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C35CC" w14:textId="19A871B4" w:rsidR="006F5417" w:rsidRPr="00FA2968" w:rsidRDefault="006F5417" w:rsidP="006E162B">
      <w:pPr>
        <w:jc w:val="center"/>
        <w:rPr>
          <w:rFonts w:ascii="Times New Roman" w:hAnsi="Times New Roman" w:cs="Times New Roman"/>
          <w:b/>
          <w:bCs/>
        </w:rPr>
      </w:pPr>
      <w:r w:rsidRPr="00FA2968">
        <w:rPr>
          <w:rFonts w:ascii="Times New Roman" w:hAnsi="Times New Roman" w:cs="Times New Roman"/>
          <w:b/>
          <w:bCs/>
        </w:rPr>
        <w:t>Dust Aerosols and Climate Change in Northeastern Nigeria: A Systematic Review of Sources, Climatic Effects, Feedbacks and Adaptation Options</w:t>
      </w:r>
      <w:r w:rsidRPr="00FA2968">
        <w:rPr>
          <w:rFonts w:ascii="Times New Roman" w:hAnsi="Times New Roman" w:cs="Times New Roman"/>
          <w:b/>
          <w:bCs/>
        </w:rPr>
        <w:t>.</w:t>
      </w:r>
    </w:p>
    <w:p w14:paraId="4F38CB12" w14:textId="52F84C8D" w:rsidR="006F5417" w:rsidRPr="00FA2968" w:rsidRDefault="006F5417" w:rsidP="006E162B">
      <w:pPr>
        <w:jc w:val="center"/>
        <w:rPr>
          <w:rFonts w:ascii="Times New Roman" w:hAnsi="Times New Roman" w:cs="Times New Roman"/>
          <w:sz w:val="20"/>
          <w:szCs w:val="20"/>
        </w:rPr>
      </w:pPr>
      <w:r w:rsidRPr="00FA2968">
        <w:rPr>
          <w:rFonts w:ascii="Times New Roman" w:hAnsi="Times New Roman" w:cs="Times New Roman"/>
          <w:b/>
          <w:bCs/>
          <w:sz w:val="20"/>
          <w:szCs w:val="20"/>
        </w:rPr>
        <w:t xml:space="preserve"/>
      </w:r>
      <w:proofErr w:type="spellStart"/>
      <w:r w:rsidRPr="00FA2968">
        <w:rPr>
          <w:rFonts w:ascii="Times New Roman" w:hAnsi="Times New Roman" w:cs="Times New Roman"/>
          <w:b/>
          <w:bCs/>
          <w:sz w:val="20"/>
          <w:szCs w:val="20"/>
        </w:rPr>
        <w:t/>
      </w:r>
      <w:proofErr w:type="spellEnd"/>
      <w:r w:rsidRPr="00FA2968">
        <w:rPr>
          <w:rFonts w:ascii="Times New Roman" w:hAnsi="Times New Roman" w:cs="Times New Roman"/>
          <w:b/>
          <w:bCs/>
          <w:sz w:val="20"/>
          <w:szCs w:val="20"/>
        </w:rPr>
        <w:t xml:space="preserve"/>
      </w:r>
      <w:proofErr w:type="spellStart"/>
      <w:r w:rsidRPr="00FA2968">
        <w:rPr>
          <w:rFonts w:ascii="Times New Roman" w:hAnsi="Times New Roman" w:cs="Times New Roman"/>
          <w:b/>
          <w:bCs/>
          <w:sz w:val="20"/>
          <w:szCs w:val="20"/>
        </w:rPr>
        <w:t/>
      </w:r>
      <w:proofErr w:type="spellEnd"/>
    </w:p>
    <w:p w14:paraId="50D343F6" w14:textId="2A506D74"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
      </w:r>
      <w:proofErr w:type="spellStart"/>
      <w:r w:rsidRPr="00FA2968">
        <w:rPr>
          <w:rFonts w:ascii="Times New Roman" w:hAnsi="Times New Roman" w:cs="Times New Roman"/>
          <w:sz w:val="20"/>
          <w:szCs w:val="20"/>
        </w:rPr>
        <w:t/>
      </w:r>
      <w:proofErr w:type="spellEnd"/>
      <w:r w:rsidRPr="00FA2968">
        <w:rPr>
          <w:rFonts w:ascii="Times New Roman" w:hAnsi="Times New Roman" w:cs="Times New Roman"/>
          <w:sz w:val="20"/>
          <w:szCs w:val="20"/>
        </w:rPr>
        <w:t xml:space="preserve"/>
      </w:r>
    </w:p>
    <w:p w14:paraId="53E306B6" w14:textId="5EC7822A" w:rsidR="006F5417" w:rsidRPr="00FA2968" w:rsidRDefault="006F5417" w:rsidP="006E162B">
      <w:pPr>
        <w:rPr>
          <w:rFonts w:ascii="Times New Roman" w:hAnsi="Times New Roman" w:cs="Times New Roman"/>
          <w:sz w:val="20"/>
          <w:szCs w:val="20"/>
        </w:rPr>
      </w:pPr>
      <w:r w:rsidRPr="00FA2968">
        <w:rPr>
          <w:rFonts w:ascii="Times New Roman" w:hAnsi="Times New Roman" w:cs="Times New Roman"/>
          <w:sz w:val="20"/>
          <w:szCs w:val="20"/>
        </w:rPr>
        <w:t/>
      </w:r>
      <w:r w:rsidRPr="00FA2968">
        <w:rPr>
          <w:rFonts w:ascii="Times New Roman" w:hAnsi="Times New Roman" w:cs="Times New Roman"/>
          <w:b/>
          <w:bCs/>
          <w:sz w:val="20"/>
          <w:szCs w:val="20"/>
        </w:rPr>
        <w:t/>
      </w:r>
      <w:r w:rsidRPr="00FA2968">
        <w:rPr>
          <w:rFonts w:ascii="Times New Roman" w:hAnsi="Times New Roman" w:cs="Times New Roman"/>
          <w:sz w:val="20"/>
          <w:szCs w:val="20"/>
        </w:rPr>
        <w:t/>
      </w:r>
      <w:r w:rsidR="006E162B" w:rsidRPr="00FA2968">
        <w:rPr>
          <w:rFonts w:ascii="Times New Roman" w:hAnsi="Times New Roman" w:cs="Times New Roman"/>
          <w:sz w:val="20"/>
          <w:szCs w:val="20"/>
        </w:rPr>
        <w:t xml:space="preserve"/>
      </w:r>
      <w:r w:rsidRPr="00FA2968">
        <w:rPr>
          <w:rFonts w:ascii="Times New Roman" w:hAnsi="Times New Roman" w:cs="Times New Roman"/>
          <w:sz w:val="20"/>
          <w:szCs w:val="20"/>
        </w:rPr>
        <w:t xml:space="preserve"/>
      </w:r>
      <w:r w:rsidRPr="00FA2968">
        <w:rPr>
          <w:rFonts w:ascii="Times New Roman" w:hAnsi="Times New Roman" w:cs="Times New Roman"/>
          <w:b/>
          <w:bCs/>
          <w:sz w:val="20"/>
          <w:szCs w:val="20"/>
        </w:rPr>
        <w:t/>
      </w:r>
      <w:r w:rsidRPr="00FA2968">
        <w:rPr>
          <w:rFonts w:ascii="Times New Roman" w:hAnsi="Times New Roman" w:cs="Times New Roman"/>
          <w:sz w:val="20"/>
          <w:szCs w:val="20"/>
        </w:rPr>
        <w:t/>
      </w:r>
      <w:hyperlink r:id="rId5" w:tgtFrame="_blank" w:history="1">
        <w:r w:rsidRPr="00FA2968">
          <w:rPr>
            <w:rStyle w:val="Hyperlink"/>
            <w:rFonts w:ascii="Times New Roman" w:hAnsi="Times New Roman" w:cs="Times New Roman"/>
            <w:sz w:val="20"/>
            <w:szCs w:val="20"/>
          </w:rPr>
          <w:t/>
        </w:r>
      </w:hyperlink>
      <w:r w:rsidRPr="00FA2968">
        <w:rPr>
          <w:rFonts w:ascii="Times New Roman" w:hAnsi="Times New Roman" w:cs="Times New Roman"/>
          <w:sz w:val="20"/>
          <w:szCs w:val="20"/>
        </w:rPr>
        <w:t/>
      </w:r>
      <w:r w:rsidRPr="00FA2968">
        <w:rPr>
          <w:rFonts w:ascii="Times New Roman" w:hAnsi="Times New Roman" w:cs="Times New Roman"/>
          <w:b/>
          <w:bCs/>
          <w:sz w:val="20"/>
          <w:szCs w:val="20"/>
        </w:rPr>
        <w:t/>
      </w:r>
      <w:r w:rsidRPr="00FA2968">
        <w:rPr>
          <w:rFonts w:ascii="Times New Roman" w:hAnsi="Times New Roman" w:cs="Times New Roman"/>
          <w:sz w:val="20"/>
          <w:szCs w:val="20"/>
        </w:rPr>
        <w:t/>
      </w:r>
      <w:r w:rsidRPr="00FA2968">
        <w:rPr>
          <w:rFonts w:ascii="Times New Roman" w:hAnsi="Times New Roman" w:cs="Times New Roman"/>
          <w:i/>
          <w:iCs/>
          <w:sz w:val="20"/>
          <w:szCs w:val="20"/>
        </w:rPr>
        <w:t/>
      </w:r>
    </w:p>
    <w:p w14:paraId="63A1786B"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Abstract</w:t>
      </w:r>
    </w:p>
    <w:p w14:paraId="61F86BF9" w14:textId="5D2A3ED2"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Northeastern Nigeria lies within the Sudano-Sahelian ecological zone, one of the most climate-stressed regions in sub-Saharan Africa. The area faces persistent exposure to climate variability, advancing desertification, recurrent Harmattan dust incursions, prolonged drought, and declining agricultural productivity that threaten the livelihoods of millions. Dust aerosols transported from the Sahara Desert, the </w:t>
      </w:r>
      <w:proofErr w:type="spellStart"/>
      <w:r w:rsidRPr="00FA2968">
        <w:rPr>
          <w:rFonts w:ascii="Times New Roman" w:hAnsi="Times New Roman" w:cs="Times New Roman"/>
          <w:sz w:val="20"/>
          <w:szCs w:val="20"/>
        </w:rPr>
        <w:t>Bodélé</w:t>
      </w:r>
      <w:proofErr w:type="spellEnd"/>
      <w:r w:rsidRPr="00FA2968">
        <w:rPr>
          <w:rFonts w:ascii="Times New Roman" w:hAnsi="Times New Roman" w:cs="Times New Roman"/>
          <w:sz w:val="20"/>
          <w:szCs w:val="20"/>
        </w:rPr>
        <w:t xml:space="preserve"> Depression, the shrinking Lake Chad Basin, degraded grazing lands, and conflict-abandoned farmlands actively modify the regional radiation budget, reshape atmospheric thermal structure, disrupt cloud and rainfall processes, and interact with land-surface conditions to amplify environmental </w:t>
      </w:r>
      <w:proofErr w:type="spellStart"/>
      <w:r w:rsidRPr="00FA2968">
        <w:rPr>
          <w:rFonts w:ascii="Times New Roman" w:hAnsi="Times New Roman" w:cs="Times New Roman"/>
          <w:sz w:val="20"/>
          <w:szCs w:val="20"/>
        </w:rPr>
        <w:t>degradation.This</w:t>
      </w:r>
      <w:proofErr w:type="spellEnd"/>
      <w:r w:rsidRPr="00FA2968">
        <w:rPr>
          <w:rFonts w:ascii="Times New Roman" w:hAnsi="Times New Roman" w:cs="Times New Roman"/>
          <w:sz w:val="20"/>
          <w:szCs w:val="20"/>
        </w:rPr>
        <w:t xml:space="preserve"> systematic review synthesises evidence from 50 peer-reviewed studies published between 2016 and 2025, examining six thematic areas: dust source identification and transport dynamics; radiative forcing and temperature modulation; dust–rainfall and monsoon interactions; land use, desertification and dust–climate feedbacks; health, air quality and socio-economic effects; and methodological advances.</w:t>
      </w:r>
      <w:r w:rsidR="006E162B" w:rsidRPr="00FA2968">
        <w:rPr>
          <w:rFonts w:ascii="Times New Roman" w:hAnsi="Times New Roman" w:cs="Times New Roman"/>
          <w:sz w:val="20"/>
          <w:szCs w:val="20"/>
        </w:rPr>
        <w:t xml:space="preserve"> </w:t>
      </w:r>
      <w:r w:rsidRPr="00FA2968">
        <w:rPr>
          <w:rFonts w:ascii="Times New Roman" w:hAnsi="Times New Roman" w:cs="Times New Roman"/>
          <w:sz w:val="20"/>
          <w:szCs w:val="20"/>
        </w:rPr>
        <w:t xml:space="preserve">The evidence confirms that transboundary dust from the </w:t>
      </w:r>
      <w:proofErr w:type="spellStart"/>
      <w:r w:rsidRPr="00FA2968">
        <w:rPr>
          <w:rFonts w:ascii="Times New Roman" w:hAnsi="Times New Roman" w:cs="Times New Roman"/>
          <w:sz w:val="20"/>
          <w:szCs w:val="20"/>
        </w:rPr>
        <w:t>Bodélé</w:t>
      </w:r>
      <w:proofErr w:type="spellEnd"/>
      <w:r w:rsidRPr="00FA2968">
        <w:rPr>
          <w:rFonts w:ascii="Times New Roman" w:hAnsi="Times New Roman" w:cs="Times New Roman"/>
          <w:sz w:val="20"/>
          <w:szCs w:val="20"/>
        </w:rPr>
        <w:t xml:space="preserve"> Depression remains the dominant contributor to regional aerosol loading during peak Harmattan periods, though local sources tied to Lake Chad's contraction (&gt;90 % surface-area loss since the 1960s), overgrazing, and conflict-driven farmland abandonment are growing rapidly. Dust aerosols reduce surface solar radiation by 30–40 %, exert surface radiative forcing near −35 W m⁻², lower daytime surface temperatures by 1.2–1.8 °C, and warm the lower troposphere at 0.5–1.2 </w:t>
      </w:r>
      <w:proofErr w:type="gramStart"/>
      <w:r w:rsidRPr="00FA2968">
        <w:rPr>
          <w:rFonts w:ascii="Times New Roman" w:hAnsi="Times New Roman" w:cs="Times New Roman"/>
          <w:sz w:val="20"/>
          <w:szCs w:val="20"/>
        </w:rPr>
        <w:t>K day</w:t>
      </w:r>
      <w:proofErr w:type="gramEnd"/>
      <w:r w:rsidRPr="00FA2968">
        <w:rPr>
          <w:rFonts w:ascii="Times New Roman" w:hAnsi="Times New Roman" w:cs="Times New Roman"/>
          <w:sz w:val="20"/>
          <w:szCs w:val="20"/>
        </w:rPr>
        <w:t>⁻¹. These changes increase atmospheric stability, suppress convection, reduce rainfall efficiency by 8–10 %, and delay monsoon onset by one to two weeks. A self-reinforcing desertification–dust–climate feedback emerges consistently across the literature, with significant downstream consequences for crop yields, respiratory health, gendered livelihood security, and regional economies.</w:t>
      </w:r>
      <w:r w:rsidR="006E162B" w:rsidRPr="00FA2968">
        <w:rPr>
          <w:rFonts w:ascii="Times New Roman" w:hAnsi="Times New Roman" w:cs="Times New Roman"/>
          <w:sz w:val="20"/>
          <w:szCs w:val="20"/>
        </w:rPr>
        <w:t xml:space="preserve"> </w:t>
      </w:r>
      <w:r w:rsidRPr="00FA2968">
        <w:rPr>
          <w:rFonts w:ascii="Times New Roman" w:hAnsi="Times New Roman" w:cs="Times New Roman"/>
          <w:sz w:val="20"/>
          <w:szCs w:val="20"/>
        </w:rPr>
        <w:t>Beyond synthesising these findings, the review identifies the scarcity of ground-based validation as the single greatest constraint on current understanding, and argues that the growing, locally controllable component of dust emission offers a genuine entry point for intervention. The paper sets out priorities for ground-based monitoring, dust early warning, high-resolution modelling, landscape restoration, and the formal integration of dust management into Nigeria's climate governance architecture.</w:t>
      </w:r>
    </w:p>
    <w:p w14:paraId="12532672" w14:textId="4AF736D5"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b/>
          <w:bCs/>
          <w:sz w:val="20"/>
          <w:szCs w:val="20"/>
        </w:rPr>
        <w:t>Keywords:</w:t>
      </w:r>
      <w:r w:rsidRPr="00FA2968">
        <w:rPr>
          <w:rFonts w:ascii="Times New Roman" w:hAnsi="Times New Roman" w:cs="Times New Roman"/>
          <w:sz w:val="20"/>
          <w:szCs w:val="20"/>
        </w:rPr>
        <w:t> Dust aerosols; Harmattan; climate change; northeastern Nigeria; radiative forcing; West African Monsoon; desertification; aerosol optical depth</w:t>
      </w:r>
    </w:p>
    <w:p w14:paraId="1AF6A7FA" w14:textId="1059258D" w:rsidR="006F5417" w:rsidRPr="00FA2968" w:rsidRDefault="006F5417" w:rsidP="006E162B">
      <w:pPr>
        <w:jc w:val="both"/>
        <w:rPr>
          <w:rFonts w:ascii="Times New Roman" w:hAnsi="Times New Roman" w:cs="Times New Roman"/>
          <w:sz w:val="20"/>
          <w:szCs w:val="20"/>
        </w:rPr>
      </w:pPr>
    </w:p>
    <w:p w14:paraId="0396DD05"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1. Introduction</w:t>
      </w:r>
    </w:p>
    <w:p w14:paraId="4DA9A8F6"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Mineral dust aerosols rank among the most abundant natural particulate materials in the global atmosphere, yet their role in driving regional climate variability is frequently underestimated relative to greenhouse gases (</w:t>
      </w:r>
      <w:proofErr w:type="spellStart"/>
      <w:r w:rsidRPr="00FA2968">
        <w:rPr>
          <w:rFonts w:ascii="Times New Roman" w:hAnsi="Times New Roman" w:cs="Times New Roman"/>
          <w:sz w:val="20"/>
          <w:szCs w:val="20"/>
        </w:rPr>
        <w:t>Knippertz</w:t>
      </w:r>
      <w:proofErr w:type="spellEnd"/>
      <w:r w:rsidRPr="00FA2968">
        <w:rPr>
          <w:rFonts w:ascii="Times New Roman" w:hAnsi="Times New Roman" w:cs="Times New Roman"/>
          <w:sz w:val="20"/>
          <w:szCs w:val="20"/>
        </w:rPr>
        <w:t xml:space="preserve"> &amp; Todd, 2012; Kok et al., 2017). Generated in arid and semi-arid landscapes where wind stress exceeds the resistance of unconsolidated surface soils, dust particles are transported across local, regional, and intercontinental scales. Their interactions with the climate system are both direct — through the scattering and absorption of radiation — and indirect, through the modification of cloud microphysics, precipitation processes, and the surface energy balance (Marticorena &amp; </w:t>
      </w:r>
      <w:proofErr w:type="spellStart"/>
      <w:r w:rsidRPr="00FA2968">
        <w:rPr>
          <w:rFonts w:ascii="Times New Roman" w:hAnsi="Times New Roman" w:cs="Times New Roman"/>
          <w:sz w:val="20"/>
          <w:szCs w:val="20"/>
        </w:rPr>
        <w:t>Bergametti</w:t>
      </w:r>
      <w:proofErr w:type="spellEnd"/>
      <w:r w:rsidRPr="00FA2968">
        <w:rPr>
          <w:rFonts w:ascii="Times New Roman" w:hAnsi="Times New Roman" w:cs="Times New Roman"/>
          <w:sz w:val="20"/>
          <w:szCs w:val="20"/>
        </w:rPr>
        <w:t>, 1995; Solmon et al., 2008).</w:t>
      </w:r>
    </w:p>
    <w:p w14:paraId="00C3BC4A"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Few regions illustrate these processes more starkly than the West African Sahel. The Sahara Desert is the world's largest source of mineral dust, and the </w:t>
      </w:r>
      <w:proofErr w:type="spellStart"/>
      <w:r w:rsidRPr="00FA2968">
        <w:rPr>
          <w:rFonts w:ascii="Times New Roman" w:hAnsi="Times New Roman" w:cs="Times New Roman"/>
          <w:sz w:val="20"/>
          <w:szCs w:val="20"/>
        </w:rPr>
        <w:t>Bodélé</w:t>
      </w:r>
      <w:proofErr w:type="spellEnd"/>
      <w:r w:rsidRPr="00FA2968">
        <w:rPr>
          <w:rFonts w:ascii="Times New Roman" w:hAnsi="Times New Roman" w:cs="Times New Roman"/>
          <w:sz w:val="20"/>
          <w:szCs w:val="20"/>
        </w:rPr>
        <w:t xml:space="preserve"> Depression in northern Chad ranks among the most productive aeolian emission zones on Earth, generating dust on roughly 100 days per year under the influence of the </w:t>
      </w:r>
      <w:proofErr w:type="spellStart"/>
      <w:r w:rsidRPr="00FA2968">
        <w:rPr>
          <w:rFonts w:ascii="Times New Roman" w:hAnsi="Times New Roman" w:cs="Times New Roman"/>
          <w:sz w:val="20"/>
          <w:szCs w:val="20"/>
        </w:rPr>
        <w:t>Bodélé</w:t>
      </w:r>
      <w:proofErr w:type="spellEnd"/>
      <w:r w:rsidRPr="00FA2968">
        <w:rPr>
          <w:rFonts w:ascii="Times New Roman" w:hAnsi="Times New Roman" w:cs="Times New Roman"/>
          <w:sz w:val="20"/>
          <w:szCs w:val="20"/>
        </w:rPr>
        <w:t xml:space="preserve"> Low-Level Jet (Washington &amp; Todd, 2005; Washington et al., 2006; Todd et al., 2007). During the Harmattan </w:t>
      </w:r>
      <w:r w:rsidRPr="00FA2968">
        <w:rPr>
          <w:rFonts w:ascii="Times New Roman" w:hAnsi="Times New Roman" w:cs="Times New Roman"/>
          <w:sz w:val="20"/>
          <w:szCs w:val="20"/>
        </w:rPr>
        <w:lastRenderedPageBreak/>
        <w:t xml:space="preserve">season — broadly November to March — these plumes are carried </w:t>
      </w:r>
      <w:proofErr w:type="spellStart"/>
      <w:r w:rsidRPr="00FA2968">
        <w:rPr>
          <w:rFonts w:ascii="Times New Roman" w:hAnsi="Times New Roman" w:cs="Times New Roman"/>
          <w:sz w:val="20"/>
          <w:szCs w:val="20"/>
        </w:rPr>
        <w:t>southwestward</w:t>
      </w:r>
      <w:proofErr w:type="spellEnd"/>
      <w:r w:rsidRPr="00FA2968">
        <w:rPr>
          <w:rFonts w:ascii="Times New Roman" w:hAnsi="Times New Roman" w:cs="Times New Roman"/>
          <w:sz w:val="20"/>
          <w:szCs w:val="20"/>
        </w:rPr>
        <w:t xml:space="preserve"> across West Africa, with northeastern Nigeria lying directly in the main transport corridor (</w:t>
      </w:r>
      <w:proofErr w:type="spellStart"/>
      <w:r w:rsidRPr="00FA2968">
        <w:rPr>
          <w:rFonts w:ascii="Times New Roman" w:hAnsi="Times New Roman" w:cs="Times New Roman"/>
          <w:sz w:val="20"/>
          <w:szCs w:val="20"/>
        </w:rPr>
        <w:t>Engelstaedter</w:t>
      </w:r>
      <w:proofErr w:type="spellEnd"/>
      <w:r w:rsidRPr="00FA2968">
        <w:rPr>
          <w:rFonts w:ascii="Times New Roman" w:hAnsi="Times New Roman" w:cs="Times New Roman"/>
          <w:sz w:val="20"/>
          <w:szCs w:val="20"/>
        </w:rPr>
        <w:t xml:space="preserve"> et al., 2006; </w:t>
      </w:r>
      <w:proofErr w:type="spellStart"/>
      <w:r w:rsidRPr="00FA2968">
        <w:rPr>
          <w:rFonts w:ascii="Times New Roman" w:hAnsi="Times New Roman" w:cs="Times New Roman"/>
          <w:sz w:val="20"/>
          <w:szCs w:val="20"/>
        </w:rPr>
        <w:t>Mbourou</w:t>
      </w:r>
      <w:proofErr w:type="spellEnd"/>
      <w:r w:rsidRPr="00FA2968">
        <w:rPr>
          <w:rFonts w:ascii="Times New Roman" w:hAnsi="Times New Roman" w:cs="Times New Roman"/>
          <w:sz w:val="20"/>
          <w:szCs w:val="20"/>
        </w:rPr>
        <w:t xml:space="preserve"> et al., 1997). The consequences are visible in the prolonged haze over Maiduguri and Damaturu, the sharp reduction in surface solar irradiance, and the suppression of early-season convective activity critical for rain-fed agriculture (Balarabe et al., 2016; Ogunjobi et al., 2004).</w:t>
      </w:r>
    </w:p>
    <w:p w14:paraId="701B0AF8"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Northeastern Nigeria encompasses six states — Borno, Yobe, Adamawa, Bauchi, Gombe, and Taraba — spanning roughly 272,395 km² within the environmentally fragile Sudano-Sahelian transition zone. The region carries a heavy burden. Lake Chad has lost more than 90 % of its surface area since the 1960s, transforming from one of Africa's largest lakes into a fragmented remnant and exposing vast expanses of fine lacustrine sediment to wind erosion (Pham-Duc et al., 2020, 2022). Persistent insecurity has driven large-scale displacement and farmland abandonment, while overgrazing and deforestation have stripped the vegetative cover that once protected surface soils (</w:t>
      </w:r>
      <w:proofErr w:type="spellStart"/>
      <w:r w:rsidRPr="00FA2968">
        <w:rPr>
          <w:rFonts w:ascii="Times New Roman" w:hAnsi="Times New Roman" w:cs="Times New Roman"/>
          <w:sz w:val="20"/>
          <w:szCs w:val="20"/>
        </w:rPr>
        <w:t>Nwilo</w:t>
      </w:r>
      <w:proofErr w:type="spellEnd"/>
      <w:r w:rsidRPr="00FA2968">
        <w:rPr>
          <w:rFonts w:ascii="Times New Roman" w:hAnsi="Times New Roman" w:cs="Times New Roman"/>
          <w:sz w:val="20"/>
          <w:szCs w:val="20"/>
        </w:rPr>
        <w:t xml:space="preserve"> et al., 2020; Brandt et al., 2017). Layered on top of high baseline dust loading from the </w:t>
      </w:r>
      <w:proofErr w:type="spellStart"/>
      <w:r w:rsidRPr="00FA2968">
        <w:rPr>
          <w:rFonts w:ascii="Times New Roman" w:hAnsi="Times New Roman" w:cs="Times New Roman"/>
          <w:sz w:val="20"/>
          <w:szCs w:val="20"/>
        </w:rPr>
        <w:t>Bodélé</w:t>
      </w:r>
      <w:proofErr w:type="spellEnd"/>
      <w:r w:rsidRPr="00FA2968">
        <w:rPr>
          <w:rFonts w:ascii="Times New Roman" w:hAnsi="Times New Roman" w:cs="Times New Roman"/>
          <w:sz w:val="20"/>
          <w:szCs w:val="20"/>
        </w:rPr>
        <w:t xml:space="preserve"> and Sahara, these conditions create a dust–climate system of unusual complexity and severity (Prospero et al., 2002; Gao et al., 2025).</w:t>
      </w:r>
    </w:p>
    <w:p w14:paraId="5880ACC0"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What makes dust especially important in this context is that it operates simultaneously as a product and a driver of environmental change. Degraded land emits more dust; elevated dust loading warms the troposphere, stabilises the atmosphere, and suppresses rainfall; reduced rainfall lowers soil moisture and vegetation cover; and diminished vegetation exposes still more soil to erosion. This feedback is not speculative — it is measurable, ongoing, and worsening (Cowie et al., 2013; </w:t>
      </w:r>
      <w:proofErr w:type="spellStart"/>
      <w:r w:rsidRPr="00FA2968">
        <w:rPr>
          <w:rFonts w:ascii="Times New Roman" w:hAnsi="Times New Roman" w:cs="Times New Roman"/>
          <w:sz w:val="20"/>
          <w:szCs w:val="20"/>
        </w:rPr>
        <w:t>N'Datchoh</w:t>
      </w:r>
      <w:proofErr w:type="spellEnd"/>
      <w:r w:rsidRPr="00FA2968">
        <w:rPr>
          <w:rFonts w:ascii="Times New Roman" w:hAnsi="Times New Roman" w:cs="Times New Roman"/>
          <w:sz w:val="20"/>
          <w:szCs w:val="20"/>
        </w:rPr>
        <w:t xml:space="preserve"> et al., 2018; </w:t>
      </w:r>
      <w:proofErr w:type="spellStart"/>
      <w:r w:rsidRPr="00FA2968">
        <w:rPr>
          <w:rFonts w:ascii="Times New Roman" w:hAnsi="Times New Roman" w:cs="Times New Roman"/>
          <w:sz w:val="20"/>
          <w:szCs w:val="20"/>
        </w:rPr>
        <w:t>Balkanski</w:t>
      </w:r>
      <w:proofErr w:type="spellEnd"/>
      <w:r w:rsidRPr="00FA2968">
        <w:rPr>
          <w:rFonts w:ascii="Times New Roman" w:hAnsi="Times New Roman" w:cs="Times New Roman"/>
          <w:sz w:val="20"/>
          <w:szCs w:val="20"/>
        </w:rPr>
        <w:t xml:space="preserve"> et al., 2021).</w:t>
      </w:r>
    </w:p>
    <w:p w14:paraId="5B703344"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Despite a growing body of research, the literature on dust and climate in northeastern Nigeria remains fragmented across atmospheric physics, agroclimatology, public health, remote sensing, and land-use science. The present review consolidates this evidence for the period 2016–2025 and draws from </w:t>
      </w:r>
      <w:proofErr w:type="spellStart"/>
      <w:proofErr w:type="gramStart"/>
      <w:r w:rsidRPr="00FA2968">
        <w:rPr>
          <w:rFonts w:ascii="Times New Roman" w:hAnsi="Times New Roman" w:cs="Times New Roman"/>
          <w:sz w:val="20"/>
          <w:szCs w:val="20"/>
        </w:rPr>
        <w:t>it</w:t>
      </w:r>
      <w:proofErr w:type="spellEnd"/>
      <w:proofErr w:type="gramEnd"/>
      <w:r w:rsidRPr="00FA2968">
        <w:rPr>
          <w:rFonts w:ascii="Times New Roman" w:hAnsi="Times New Roman" w:cs="Times New Roman"/>
          <w:sz w:val="20"/>
          <w:szCs w:val="20"/>
        </w:rPr>
        <w:t xml:space="preserve"> conclusions useful not only for researchers but also for environmental managers and policymakers operating under real constraints.</w:t>
      </w:r>
    </w:p>
    <w:p w14:paraId="7A6B98A8"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1.1 Review Objectives</w:t>
      </w:r>
    </w:p>
    <w:p w14:paraId="0CCC66E3"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This review pursues six specific objectives:</w:t>
      </w:r>
    </w:p>
    <w:p w14:paraId="1893BDB4" w14:textId="77777777" w:rsidR="006F5417" w:rsidRPr="00FA2968" w:rsidRDefault="006F5417" w:rsidP="006E162B">
      <w:pPr>
        <w:numPr>
          <w:ilvl w:val="0"/>
          <w:numId w:val="1"/>
        </w:numPr>
        <w:jc w:val="both"/>
        <w:rPr>
          <w:rFonts w:ascii="Times New Roman" w:hAnsi="Times New Roman" w:cs="Times New Roman"/>
          <w:sz w:val="20"/>
          <w:szCs w:val="20"/>
        </w:rPr>
      </w:pPr>
      <w:r w:rsidRPr="00FA2968">
        <w:rPr>
          <w:rFonts w:ascii="Times New Roman" w:hAnsi="Times New Roman" w:cs="Times New Roman"/>
          <w:sz w:val="20"/>
          <w:szCs w:val="20"/>
        </w:rPr>
        <w:t>Identify the principal sources and seasonal transport pathways of dust aerosols affecting northeastern Nigeria.</w:t>
      </w:r>
    </w:p>
    <w:p w14:paraId="76E14E72" w14:textId="77777777" w:rsidR="006F5417" w:rsidRPr="00FA2968" w:rsidRDefault="006F5417" w:rsidP="006E162B">
      <w:pPr>
        <w:numPr>
          <w:ilvl w:val="0"/>
          <w:numId w:val="1"/>
        </w:numPr>
        <w:jc w:val="both"/>
        <w:rPr>
          <w:rFonts w:ascii="Times New Roman" w:hAnsi="Times New Roman" w:cs="Times New Roman"/>
          <w:sz w:val="20"/>
          <w:szCs w:val="20"/>
        </w:rPr>
      </w:pPr>
      <w:r w:rsidRPr="00FA2968">
        <w:rPr>
          <w:rFonts w:ascii="Times New Roman" w:hAnsi="Times New Roman" w:cs="Times New Roman"/>
          <w:sz w:val="20"/>
          <w:szCs w:val="20"/>
        </w:rPr>
        <w:t>Examine how dust modifies the regional radiation balance, surface temperature, and atmospheric thermal structure.</w:t>
      </w:r>
    </w:p>
    <w:p w14:paraId="3C8B6420" w14:textId="77777777" w:rsidR="006F5417" w:rsidRPr="00FA2968" w:rsidRDefault="006F5417" w:rsidP="006E162B">
      <w:pPr>
        <w:numPr>
          <w:ilvl w:val="0"/>
          <w:numId w:val="1"/>
        </w:numPr>
        <w:jc w:val="both"/>
        <w:rPr>
          <w:rFonts w:ascii="Times New Roman" w:hAnsi="Times New Roman" w:cs="Times New Roman"/>
          <w:sz w:val="20"/>
          <w:szCs w:val="20"/>
        </w:rPr>
      </w:pPr>
      <w:r w:rsidRPr="00FA2968">
        <w:rPr>
          <w:rFonts w:ascii="Times New Roman" w:hAnsi="Times New Roman" w:cs="Times New Roman"/>
          <w:sz w:val="20"/>
          <w:szCs w:val="20"/>
        </w:rPr>
        <w:t>Assess the mechanisms and magnitude of dust-related rainfall suppression and West African Monsoon disruption.</w:t>
      </w:r>
    </w:p>
    <w:p w14:paraId="4A8CEB14" w14:textId="77777777" w:rsidR="006F5417" w:rsidRPr="00FA2968" w:rsidRDefault="006F5417" w:rsidP="006E162B">
      <w:pPr>
        <w:numPr>
          <w:ilvl w:val="0"/>
          <w:numId w:val="1"/>
        </w:numPr>
        <w:jc w:val="both"/>
        <w:rPr>
          <w:rFonts w:ascii="Times New Roman" w:hAnsi="Times New Roman" w:cs="Times New Roman"/>
          <w:sz w:val="20"/>
          <w:szCs w:val="20"/>
        </w:rPr>
      </w:pPr>
      <w:r w:rsidRPr="00FA2968">
        <w:rPr>
          <w:rFonts w:ascii="Times New Roman" w:hAnsi="Times New Roman" w:cs="Times New Roman"/>
          <w:sz w:val="20"/>
          <w:szCs w:val="20"/>
        </w:rPr>
        <w:t>Analyse the interactions and feedbacks between land degradation, desertification, and dust–climate dynamics.</w:t>
      </w:r>
    </w:p>
    <w:p w14:paraId="1B2334BC" w14:textId="77777777" w:rsidR="006F5417" w:rsidRPr="00FA2968" w:rsidRDefault="006F5417" w:rsidP="006E162B">
      <w:pPr>
        <w:numPr>
          <w:ilvl w:val="0"/>
          <w:numId w:val="1"/>
        </w:numPr>
        <w:jc w:val="both"/>
        <w:rPr>
          <w:rFonts w:ascii="Times New Roman" w:hAnsi="Times New Roman" w:cs="Times New Roman"/>
          <w:sz w:val="20"/>
          <w:szCs w:val="20"/>
        </w:rPr>
      </w:pPr>
      <w:r w:rsidRPr="00FA2968">
        <w:rPr>
          <w:rFonts w:ascii="Times New Roman" w:hAnsi="Times New Roman" w:cs="Times New Roman"/>
          <w:sz w:val="20"/>
          <w:szCs w:val="20"/>
        </w:rPr>
        <w:t>Consider the health, agricultural, gendered, and socio-economic dimensions of dust–climate impacts.</w:t>
      </w:r>
    </w:p>
    <w:p w14:paraId="25ABEBFF" w14:textId="3533693D" w:rsidR="006F5417" w:rsidRPr="00FA2968" w:rsidRDefault="006F5417" w:rsidP="006E162B">
      <w:pPr>
        <w:numPr>
          <w:ilvl w:val="0"/>
          <w:numId w:val="1"/>
        </w:numPr>
        <w:jc w:val="both"/>
        <w:rPr>
          <w:rFonts w:ascii="Times New Roman" w:hAnsi="Times New Roman" w:cs="Times New Roman"/>
          <w:sz w:val="20"/>
          <w:szCs w:val="20"/>
        </w:rPr>
      </w:pPr>
      <w:r w:rsidRPr="00FA2968">
        <w:rPr>
          <w:rFonts w:ascii="Times New Roman" w:hAnsi="Times New Roman" w:cs="Times New Roman"/>
          <w:sz w:val="20"/>
          <w:szCs w:val="20"/>
        </w:rPr>
        <w:t>Identify knowledge gaps and propose evidence-based adaptation and policy actions suited to the region.</w:t>
      </w:r>
    </w:p>
    <w:p w14:paraId="4F895301"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2. Study Area and Methodology</w:t>
      </w:r>
    </w:p>
    <w:p w14:paraId="62421E22"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2.1 Study Area</w:t>
      </w:r>
    </w:p>
    <w:p w14:paraId="2F5C5A38" w14:textId="2F2DBE7A"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lastRenderedPageBreak/>
        <w:drawing>
          <wp:inline distT="0" distB="0" distL="0" distR="0" wp14:anchorId="44AE0813" wp14:editId="63C1FBC5">
            <wp:extent cx="5731510" cy="2926080"/>
            <wp:effectExtent l="0" t="0" r="2540" b="7620"/>
            <wp:docPr id="4492496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6446" cy="2933705"/>
                    </a:xfrm>
                    <a:prstGeom prst="rect">
                      <a:avLst/>
                    </a:prstGeom>
                    <a:noFill/>
                    <a:ln>
                      <a:noFill/>
                    </a:ln>
                  </pic:spPr>
                </pic:pic>
              </a:graphicData>
            </a:graphic>
          </wp:inline>
        </w:drawing>
      </w:r>
      <w:r w:rsidRPr="00FA2968">
        <w:rPr>
          <w:rFonts w:ascii="Times New Roman" w:hAnsi="Times New Roman" w:cs="Times New Roman"/>
          <w:sz w:val="20"/>
          <w:szCs w:val="20"/>
        </w:rPr>
        <w:t xml:space="preserve"> </w:t>
      </w:r>
    </w:p>
    <w:p w14:paraId="1881BFF6" w14:textId="221BAA45"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 Figure </w:t>
      </w:r>
      <w:proofErr w:type="gramStart"/>
      <w:r w:rsidRPr="00FA2968">
        <w:rPr>
          <w:rFonts w:ascii="Times New Roman" w:hAnsi="Times New Roman" w:cs="Times New Roman"/>
          <w:sz w:val="20"/>
          <w:szCs w:val="20"/>
        </w:rPr>
        <w:t>1:Map</w:t>
      </w:r>
      <w:proofErr w:type="gramEnd"/>
      <w:r w:rsidRPr="00FA2968">
        <w:rPr>
          <w:rFonts w:ascii="Times New Roman" w:hAnsi="Times New Roman" w:cs="Times New Roman"/>
          <w:sz w:val="20"/>
          <w:szCs w:val="20"/>
        </w:rPr>
        <w:t xml:space="preserve"> of northeastern Nigeria showing Borno, Yobe, Adamawa, Bauchi, Gombe and Taraba States, Lake Chad and major dust transport pathways from the Sahara and </w:t>
      </w:r>
      <w:proofErr w:type="spellStart"/>
      <w:r w:rsidRPr="00FA2968">
        <w:rPr>
          <w:rFonts w:ascii="Times New Roman" w:hAnsi="Times New Roman" w:cs="Times New Roman"/>
          <w:sz w:val="20"/>
          <w:szCs w:val="20"/>
        </w:rPr>
        <w:t>Bodélé</w:t>
      </w:r>
      <w:proofErr w:type="spellEnd"/>
      <w:r w:rsidRPr="00FA2968">
        <w:rPr>
          <w:rFonts w:ascii="Times New Roman" w:hAnsi="Times New Roman" w:cs="Times New Roman"/>
          <w:sz w:val="20"/>
          <w:szCs w:val="20"/>
        </w:rPr>
        <w:t xml:space="preserve"> Depression.</w:t>
      </w:r>
    </w:p>
    <w:p w14:paraId="1D8AF737" w14:textId="4FB50249" w:rsidR="006F5417" w:rsidRPr="00FA2968" w:rsidRDefault="006F5417" w:rsidP="006E162B">
      <w:pPr>
        <w:jc w:val="both"/>
        <w:rPr>
          <w:rFonts w:ascii="Times New Roman" w:hAnsi="Times New Roman" w:cs="Times New Roman"/>
          <w:sz w:val="20"/>
          <w:szCs w:val="20"/>
        </w:rPr>
      </w:pPr>
    </w:p>
    <w:p w14:paraId="773AABEE"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The six states of northeastern Nigeria extend from the Sahel savanna in the far north, where Borno and Yobe border the Lake Chad Basin, southward through the Sudan savanna into the sub-humid woodlands of Adamawa and Taraba. This ecological gradient produces a steep north-to-south rainfall transition, from below 400 mm yr⁻¹ in northern Borno to above 1,000 mm yr⁻¹ in parts of Adamawa and Taraba (Nicholson, 2013; </w:t>
      </w:r>
      <w:proofErr w:type="spellStart"/>
      <w:r w:rsidRPr="00FA2968">
        <w:rPr>
          <w:rFonts w:ascii="Times New Roman" w:hAnsi="Times New Roman" w:cs="Times New Roman"/>
          <w:sz w:val="20"/>
          <w:szCs w:val="20"/>
        </w:rPr>
        <w:t>Akinsanola</w:t>
      </w:r>
      <w:proofErr w:type="spellEnd"/>
      <w:r w:rsidRPr="00FA2968">
        <w:rPr>
          <w:rFonts w:ascii="Times New Roman" w:hAnsi="Times New Roman" w:cs="Times New Roman"/>
          <w:sz w:val="20"/>
          <w:szCs w:val="20"/>
        </w:rPr>
        <w:t xml:space="preserve"> &amp; Ogunjobi, 2017). Temperatures remain high year-round, with marked diurnal swings and a strong seasonal contrast between the humid rains of June–September and the dry, dust-laden months from October to May.</w:t>
      </w:r>
    </w:p>
    <w:p w14:paraId="20E2B715"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The Harmattan season sits within the dry period, when northeasterly winds carry dust from the Sahara and </w:t>
      </w:r>
      <w:proofErr w:type="spellStart"/>
      <w:r w:rsidRPr="00FA2968">
        <w:rPr>
          <w:rFonts w:ascii="Times New Roman" w:hAnsi="Times New Roman" w:cs="Times New Roman"/>
          <w:sz w:val="20"/>
          <w:szCs w:val="20"/>
        </w:rPr>
        <w:t>Bodélé</w:t>
      </w:r>
      <w:proofErr w:type="spellEnd"/>
      <w:r w:rsidRPr="00FA2968">
        <w:rPr>
          <w:rFonts w:ascii="Times New Roman" w:hAnsi="Times New Roman" w:cs="Times New Roman"/>
          <w:sz w:val="20"/>
          <w:szCs w:val="20"/>
        </w:rPr>
        <w:t xml:space="preserve"> Depression at typical transport altitudes of 1,000–3,000 m (Washington et al., 2006; Todd et al., 2007). Aerosol loading is heaviest in the northernmost states and attenuates progressively southward, although even the sub-humid southern margins experience measurable dust impacts during peak events (</w:t>
      </w:r>
      <w:proofErr w:type="spellStart"/>
      <w:r w:rsidRPr="00FA2968">
        <w:rPr>
          <w:rFonts w:ascii="Times New Roman" w:hAnsi="Times New Roman" w:cs="Times New Roman"/>
          <w:sz w:val="20"/>
          <w:szCs w:val="20"/>
        </w:rPr>
        <w:t>Anuforom</w:t>
      </w:r>
      <w:proofErr w:type="spellEnd"/>
      <w:r w:rsidRPr="00FA2968">
        <w:rPr>
          <w:rFonts w:ascii="Times New Roman" w:hAnsi="Times New Roman" w:cs="Times New Roman"/>
          <w:sz w:val="20"/>
          <w:szCs w:val="20"/>
        </w:rPr>
        <w:t xml:space="preserve"> et al., 2007).</w:t>
      </w:r>
    </w:p>
    <w:p w14:paraId="34967094"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Dust reaching the region originates from three nested tiers. Transboundary long-range inputs from the Sahara and </w:t>
      </w:r>
      <w:proofErr w:type="spellStart"/>
      <w:r w:rsidRPr="00FA2968">
        <w:rPr>
          <w:rFonts w:ascii="Times New Roman" w:hAnsi="Times New Roman" w:cs="Times New Roman"/>
          <w:sz w:val="20"/>
          <w:szCs w:val="20"/>
        </w:rPr>
        <w:t>Bodélé</w:t>
      </w:r>
      <w:proofErr w:type="spellEnd"/>
      <w:r w:rsidRPr="00FA2968">
        <w:rPr>
          <w:rFonts w:ascii="Times New Roman" w:hAnsi="Times New Roman" w:cs="Times New Roman"/>
          <w:sz w:val="20"/>
          <w:szCs w:val="20"/>
        </w:rPr>
        <w:t xml:space="preserve"> Depression dominate during the core Harmattan months (</w:t>
      </w:r>
      <w:proofErr w:type="spellStart"/>
      <w:r w:rsidRPr="00FA2968">
        <w:rPr>
          <w:rFonts w:ascii="Times New Roman" w:hAnsi="Times New Roman" w:cs="Times New Roman"/>
          <w:sz w:val="20"/>
          <w:szCs w:val="20"/>
        </w:rPr>
        <w:t>Engelstaedter</w:t>
      </w:r>
      <w:proofErr w:type="spellEnd"/>
      <w:r w:rsidRPr="00FA2968">
        <w:rPr>
          <w:rFonts w:ascii="Times New Roman" w:hAnsi="Times New Roman" w:cs="Times New Roman"/>
          <w:sz w:val="20"/>
          <w:szCs w:val="20"/>
        </w:rPr>
        <w:t xml:space="preserve"> et al., 2006; Prospero et al., 2002). At a regional scale, the shrinking Lake Chad Basin contributes increasingly important quantities of fine lacustrine sediment (Pham-Duc et al., 2022). Locally, bare cropland, overgrazed rangeland, deforested hillsides, unpaved roads, and conflict-abandoned farmland have all become meaningful sources of wind-eroded particulate matter (</w:t>
      </w:r>
      <w:proofErr w:type="spellStart"/>
      <w:r w:rsidRPr="00FA2968">
        <w:rPr>
          <w:rFonts w:ascii="Times New Roman" w:hAnsi="Times New Roman" w:cs="Times New Roman"/>
          <w:sz w:val="20"/>
          <w:szCs w:val="20"/>
        </w:rPr>
        <w:t>Nwilo</w:t>
      </w:r>
      <w:proofErr w:type="spellEnd"/>
      <w:r w:rsidRPr="00FA2968">
        <w:rPr>
          <w:rFonts w:ascii="Times New Roman" w:hAnsi="Times New Roman" w:cs="Times New Roman"/>
          <w:sz w:val="20"/>
          <w:szCs w:val="20"/>
        </w:rPr>
        <w:t xml:space="preserve"> et al., 2020; Brandt et al., 2017).</w:t>
      </w:r>
    </w:p>
    <w:p w14:paraId="0A69B057"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2.2 Literature Search Strategy and Screening</w:t>
      </w:r>
    </w:p>
    <w:p w14:paraId="139EB387"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A systematic search was conducted for the period January 2016–December 2025 across Scopus, Web of Science, Google Scholar, African Journals Online, ResearchGate, relevant journal websites, and Nigerian university repositories. The Boolean search string was:</w:t>
      </w:r>
    </w:p>
    <w:p w14:paraId="4A5A052E" w14:textId="77777777" w:rsidR="006F5417" w:rsidRPr="00FA2968" w:rsidRDefault="006F5417" w:rsidP="006E162B">
      <w:pPr>
        <w:jc w:val="both"/>
        <w:rPr>
          <w:rFonts w:ascii="Times New Roman" w:hAnsi="Times New Roman" w:cs="Times New Roman"/>
          <w:i/>
          <w:iCs/>
          <w:sz w:val="20"/>
          <w:szCs w:val="20"/>
        </w:rPr>
      </w:pPr>
      <w:r w:rsidRPr="00FA2968">
        <w:rPr>
          <w:rFonts w:ascii="Times New Roman" w:hAnsi="Times New Roman" w:cs="Times New Roman"/>
          <w:i/>
          <w:iCs/>
          <w:sz w:val="20"/>
          <w:szCs w:val="20"/>
        </w:rPr>
        <w:t>(“dust aerosol” OR “mineral dust” OR “Harmattan dust” OR “Saharan dust” OR “PM10” OR “PM2.5” OR “aerosol optical depth” OR “AOD”) AND (“climate change” OR “climate variability” OR “radiative forcing” OR “rainfall” OR “precipitation” OR “temperature” OR “monsoon” OR “desertification” OR “land degradation”) AND (“northeastern Nigeria” OR “Borno” OR “Yobe” OR “Adamawa” OR “Bauchi” OR “Gombe” OR “Taraba” OR “Lake Chad Basin” OR “Sahel Nigeria”)</w:t>
      </w:r>
    </w:p>
    <w:p w14:paraId="7A8585F5" w14:textId="23E499F2"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lastRenderedPageBreak/>
        <w:t>The search and screening process followed PRISMA 2020 guidance and is summarised in Figure 2. This process yielded 50 studies meeting all inclusion criteria for the final synthesis.</w:t>
      </w:r>
    </w:p>
    <w:p w14:paraId="5BAB69B9" w14:textId="39C5A6EB" w:rsidR="006F5417"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drawing>
          <wp:inline distT="0" distB="0" distL="0" distR="0" wp14:anchorId="6EA162E1" wp14:editId="17A5F1BA">
            <wp:extent cx="5731510" cy="3307743"/>
            <wp:effectExtent l="0" t="0" r="2540" b="6985"/>
            <wp:docPr id="2688412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4029" cy="3314968"/>
                    </a:xfrm>
                    <a:prstGeom prst="rect">
                      <a:avLst/>
                    </a:prstGeom>
                    <a:noFill/>
                    <a:ln>
                      <a:noFill/>
                    </a:ln>
                  </pic:spPr>
                </pic:pic>
              </a:graphicData>
            </a:graphic>
          </wp:inline>
        </w:drawing>
      </w:r>
    </w:p>
    <w:p w14:paraId="4C056DBF" w14:textId="0E533318"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Figure 2: PRISMA flow chart showing literature search, screening and final selection of reviewed studies.</w:t>
      </w:r>
    </w:p>
    <w:p w14:paraId="5A03D737" w14:textId="390D3DB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2.3 Inclusion and Exclusion Criteria</w:t>
      </w:r>
    </w:p>
    <w:p w14:paraId="6064403B" w14:textId="148CB37A"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Articles were included when they were published within the 2016–202</w:t>
      </w:r>
      <w:r w:rsidR="00310036" w:rsidRPr="00FA2968">
        <w:rPr>
          <w:rFonts w:ascii="Times New Roman" w:hAnsi="Times New Roman" w:cs="Times New Roman"/>
          <w:sz w:val="20"/>
          <w:szCs w:val="20"/>
        </w:rPr>
        <w:t>6</w:t>
      </w:r>
      <w:r w:rsidRPr="00FA2968">
        <w:rPr>
          <w:rFonts w:ascii="Times New Roman" w:hAnsi="Times New Roman" w:cs="Times New Roman"/>
          <w:sz w:val="20"/>
          <w:szCs w:val="20"/>
        </w:rPr>
        <w:t xml:space="preserve"> window, focused on dust aerosols or related atmospheric particulates, addressed at least one climate-relevant variable (radiation, temperature, precipitation, atmospheric dynamics, land degradation, or drought), and held clear relevance to northeastern Nigeria, the broader Nigerian Sahel, or the Lake Chad Basin. Peer review was mandatory.</w:t>
      </w:r>
    </w:p>
    <w:p w14:paraId="0100FCD1"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Articles were excluded when they focused exclusively on indoor air pollution without climate linkage, addressed unrelated regions without evident transferability, appeared in non-peer-reviewed outlets, or substantially duplicated data already reported elsewhere in the evidence base.</w:t>
      </w:r>
    </w:p>
    <w:p w14:paraId="1DEF8830"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2.4 Data Extraction and Thematic Classification</w:t>
      </w:r>
    </w:p>
    <w:tbl>
      <w:tblPr>
        <w:tblpPr w:leftFromText="180" w:rightFromText="180" w:vertAnchor="text" w:horzAnchor="margin" w:tblpY="2405"/>
        <w:tblW w:w="9360" w:type="dxa"/>
        <w:tblBorders>
          <w:top w:val="single" w:sz="4" w:space="0" w:color="auto"/>
          <w:left w:val="single" w:sz="2" w:space="0" w:color="E5E7EB"/>
          <w:right w:val="single" w:sz="2" w:space="0" w:color="E5E7EB"/>
          <w:insideH w:val="single" w:sz="2" w:space="0" w:color="E5E7EB"/>
          <w:insideV w:val="single" w:sz="2" w:space="0" w:color="E5E7EB"/>
        </w:tblBorders>
        <w:shd w:val="clear" w:color="auto" w:fill="FCFAF8"/>
        <w:tblCellMar>
          <w:top w:w="15" w:type="dxa"/>
          <w:left w:w="15" w:type="dxa"/>
          <w:bottom w:w="15" w:type="dxa"/>
          <w:right w:w="15" w:type="dxa"/>
        </w:tblCellMar>
        <w:tblLook w:val="04A0" w:firstRow="1" w:lastRow="0" w:firstColumn="1" w:lastColumn="0" w:noHBand="0" w:noVBand="1"/>
      </w:tblPr>
      <w:tblGrid>
        <w:gridCol w:w="2918"/>
        <w:gridCol w:w="5225"/>
        <w:gridCol w:w="1217"/>
      </w:tblGrid>
      <w:tr w:rsidR="00310036" w:rsidRPr="00FA2968" w14:paraId="79091450" w14:textId="77777777" w:rsidTr="00F71A10">
        <w:trPr>
          <w:tblHeader/>
        </w:trPr>
        <w:tc>
          <w:tcPr>
            <w:tcW w:w="0" w:type="auto"/>
            <w:tcBorders>
              <w:top w:val="single" w:sz="4" w:space="0" w:color="auto"/>
              <w:bottom w:val="single" w:sz="2" w:space="0" w:color="E5E7EB"/>
            </w:tcBorders>
            <w:shd w:val="clear" w:color="auto" w:fill="FCFAF8"/>
            <w:tcMar>
              <w:top w:w="15" w:type="dxa"/>
              <w:left w:w="15" w:type="dxa"/>
              <w:bottom w:w="160" w:type="dxa"/>
              <w:right w:w="15" w:type="dxa"/>
            </w:tcMar>
            <w:vAlign w:val="bottom"/>
            <w:hideMark/>
          </w:tcPr>
          <w:p w14:paraId="19D76FAE" w14:textId="77777777" w:rsidR="00310036" w:rsidRPr="00FA2968" w:rsidRDefault="00310036"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Theme</w:t>
            </w:r>
          </w:p>
        </w:tc>
        <w:tc>
          <w:tcPr>
            <w:tcW w:w="0" w:type="auto"/>
            <w:tcBorders>
              <w:top w:val="single" w:sz="4" w:space="0" w:color="auto"/>
              <w:bottom w:val="single" w:sz="2" w:space="0" w:color="E5E7EB"/>
            </w:tcBorders>
            <w:shd w:val="clear" w:color="auto" w:fill="FCFAF8"/>
            <w:tcMar>
              <w:top w:w="15" w:type="dxa"/>
              <w:left w:w="15" w:type="dxa"/>
              <w:bottom w:w="160" w:type="dxa"/>
              <w:right w:w="15" w:type="dxa"/>
            </w:tcMar>
            <w:vAlign w:val="bottom"/>
            <w:hideMark/>
          </w:tcPr>
          <w:p w14:paraId="78E425E6" w14:textId="77777777" w:rsidR="00310036" w:rsidRPr="00FA2968" w:rsidRDefault="00310036"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Focus</w:t>
            </w:r>
          </w:p>
        </w:tc>
        <w:tc>
          <w:tcPr>
            <w:tcW w:w="0" w:type="auto"/>
            <w:tcBorders>
              <w:top w:val="single" w:sz="4" w:space="0" w:color="auto"/>
              <w:bottom w:val="single" w:sz="2" w:space="0" w:color="E5E7EB"/>
            </w:tcBorders>
            <w:shd w:val="clear" w:color="auto" w:fill="FCFAF8"/>
            <w:tcMar>
              <w:top w:w="15" w:type="dxa"/>
              <w:left w:w="15" w:type="dxa"/>
              <w:bottom w:w="160" w:type="dxa"/>
              <w:right w:w="15" w:type="dxa"/>
            </w:tcMar>
            <w:vAlign w:val="bottom"/>
            <w:hideMark/>
          </w:tcPr>
          <w:p w14:paraId="638ED187" w14:textId="77777777" w:rsidR="00310036" w:rsidRPr="00FA2968" w:rsidRDefault="00310036"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No. of Studies</w:t>
            </w:r>
          </w:p>
        </w:tc>
      </w:tr>
      <w:tr w:rsidR="00310036" w:rsidRPr="00FA2968" w14:paraId="4C429AD9" w14:textId="77777777" w:rsidTr="00310036">
        <w:tc>
          <w:tcPr>
            <w:tcW w:w="0" w:type="auto"/>
            <w:tcBorders>
              <w:top w:val="single" w:sz="4" w:space="0" w:color="000000"/>
            </w:tcBorders>
            <w:shd w:val="clear" w:color="auto" w:fill="FCFAF8"/>
            <w:tcMar>
              <w:top w:w="160" w:type="dxa"/>
              <w:left w:w="15" w:type="dxa"/>
              <w:bottom w:w="160" w:type="dxa"/>
              <w:right w:w="15" w:type="dxa"/>
            </w:tcMar>
            <w:vAlign w:val="bottom"/>
            <w:hideMark/>
          </w:tcPr>
          <w:p w14:paraId="6C5D2CF5"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Dust sources and transport</w:t>
            </w:r>
          </w:p>
        </w:tc>
        <w:tc>
          <w:tcPr>
            <w:tcW w:w="0" w:type="auto"/>
            <w:tcBorders>
              <w:top w:val="single" w:sz="4" w:space="0" w:color="000000"/>
            </w:tcBorders>
            <w:shd w:val="clear" w:color="auto" w:fill="FCFAF8"/>
            <w:tcMar>
              <w:top w:w="160" w:type="dxa"/>
              <w:left w:w="15" w:type="dxa"/>
              <w:bottom w:w="160" w:type="dxa"/>
              <w:right w:w="15" w:type="dxa"/>
            </w:tcMar>
            <w:vAlign w:val="bottom"/>
            <w:hideMark/>
          </w:tcPr>
          <w:p w14:paraId="4D92A26C"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Source identification, trajectory analysis, seasonal dynamics</w:t>
            </w:r>
          </w:p>
        </w:tc>
        <w:tc>
          <w:tcPr>
            <w:tcW w:w="0" w:type="auto"/>
            <w:tcBorders>
              <w:top w:val="single" w:sz="4" w:space="0" w:color="000000"/>
            </w:tcBorders>
            <w:shd w:val="clear" w:color="auto" w:fill="FCFAF8"/>
            <w:tcMar>
              <w:top w:w="160" w:type="dxa"/>
              <w:left w:w="15" w:type="dxa"/>
              <w:bottom w:w="160" w:type="dxa"/>
              <w:right w:w="15" w:type="dxa"/>
            </w:tcMar>
            <w:vAlign w:val="bottom"/>
            <w:hideMark/>
          </w:tcPr>
          <w:p w14:paraId="0D6DE6F9"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10</w:t>
            </w:r>
          </w:p>
        </w:tc>
      </w:tr>
      <w:tr w:rsidR="00310036" w:rsidRPr="00FA2968" w14:paraId="5D88B8BA" w14:textId="77777777" w:rsidTr="00310036">
        <w:tc>
          <w:tcPr>
            <w:tcW w:w="0" w:type="auto"/>
            <w:shd w:val="clear" w:color="auto" w:fill="FCFAF8"/>
            <w:tcMar>
              <w:top w:w="160" w:type="dxa"/>
              <w:left w:w="15" w:type="dxa"/>
              <w:bottom w:w="160" w:type="dxa"/>
              <w:right w:w="15" w:type="dxa"/>
            </w:tcMar>
            <w:vAlign w:val="bottom"/>
            <w:hideMark/>
          </w:tcPr>
          <w:p w14:paraId="323B601C"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lastRenderedPageBreak/>
              <w:t>Radiative forcing and temperature</w:t>
            </w:r>
          </w:p>
        </w:tc>
        <w:tc>
          <w:tcPr>
            <w:tcW w:w="0" w:type="auto"/>
            <w:shd w:val="clear" w:color="auto" w:fill="FCFAF8"/>
            <w:tcMar>
              <w:top w:w="160" w:type="dxa"/>
              <w:left w:w="15" w:type="dxa"/>
              <w:bottom w:w="160" w:type="dxa"/>
              <w:right w:w="15" w:type="dxa"/>
            </w:tcMar>
            <w:vAlign w:val="bottom"/>
            <w:hideMark/>
          </w:tcPr>
          <w:p w14:paraId="2AE2CD84"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AOD, radiation balance, surface and atmospheric temperature</w:t>
            </w:r>
          </w:p>
        </w:tc>
        <w:tc>
          <w:tcPr>
            <w:tcW w:w="0" w:type="auto"/>
            <w:shd w:val="clear" w:color="auto" w:fill="FCFAF8"/>
            <w:tcMar>
              <w:top w:w="160" w:type="dxa"/>
              <w:left w:w="15" w:type="dxa"/>
              <w:bottom w:w="160" w:type="dxa"/>
              <w:right w:w="15" w:type="dxa"/>
            </w:tcMar>
            <w:vAlign w:val="bottom"/>
            <w:hideMark/>
          </w:tcPr>
          <w:p w14:paraId="59F31565"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9</w:t>
            </w:r>
          </w:p>
        </w:tc>
      </w:tr>
      <w:tr w:rsidR="00310036" w:rsidRPr="00FA2968" w14:paraId="0F5005AE" w14:textId="77777777" w:rsidTr="00310036">
        <w:tc>
          <w:tcPr>
            <w:tcW w:w="0" w:type="auto"/>
            <w:shd w:val="clear" w:color="auto" w:fill="FCFAF8"/>
            <w:tcMar>
              <w:top w:w="160" w:type="dxa"/>
              <w:left w:w="15" w:type="dxa"/>
              <w:bottom w:w="160" w:type="dxa"/>
              <w:right w:w="15" w:type="dxa"/>
            </w:tcMar>
            <w:vAlign w:val="bottom"/>
            <w:hideMark/>
          </w:tcPr>
          <w:p w14:paraId="6123AD22"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Dust–rainfall and monsoon</w:t>
            </w:r>
          </w:p>
        </w:tc>
        <w:tc>
          <w:tcPr>
            <w:tcW w:w="0" w:type="auto"/>
            <w:shd w:val="clear" w:color="auto" w:fill="FCFAF8"/>
            <w:tcMar>
              <w:top w:w="160" w:type="dxa"/>
              <w:left w:w="15" w:type="dxa"/>
              <w:bottom w:w="160" w:type="dxa"/>
              <w:right w:w="15" w:type="dxa"/>
            </w:tcMar>
            <w:vAlign w:val="bottom"/>
            <w:hideMark/>
          </w:tcPr>
          <w:p w14:paraId="30B5CAF8"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Convection, cloud microphysics, WAM modulation</w:t>
            </w:r>
          </w:p>
        </w:tc>
        <w:tc>
          <w:tcPr>
            <w:tcW w:w="0" w:type="auto"/>
            <w:shd w:val="clear" w:color="auto" w:fill="FCFAF8"/>
            <w:tcMar>
              <w:top w:w="160" w:type="dxa"/>
              <w:left w:w="15" w:type="dxa"/>
              <w:bottom w:w="160" w:type="dxa"/>
              <w:right w:w="15" w:type="dxa"/>
            </w:tcMar>
            <w:vAlign w:val="bottom"/>
            <w:hideMark/>
          </w:tcPr>
          <w:p w14:paraId="493848DC"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8</w:t>
            </w:r>
          </w:p>
        </w:tc>
      </w:tr>
      <w:tr w:rsidR="00310036" w:rsidRPr="00FA2968" w14:paraId="4DE26F91" w14:textId="77777777" w:rsidTr="00310036">
        <w:tc>
          <w:tcPr>
            <w:tcW w:w="0" w:type="auto"/>
            <w:shd w:val="clear" w:color="auto" w:fill="FCFAF8"/>
            <w:tcMar>
              <w:top w:w="160" w:type="dxa"/>
              <w:left w:w="15" w:type="dxa"/>
              <w:bottom w:w="160" w:type="dxa"/>
              <w:right w:w="15" w:type="dxa"/>
            </w:tcMar>
            <w:vAlign w:val="bottom"/>
            <w:hideMark/>
          </w:tcPr>
          <w:p w14:paraId="0BF68AF4"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Land use, desertification, feedbacks</w:t>
            </w:r>
          </w:p>
        </w:tc>
        <w:tc>
          <w:tcPr>
            <w:tcW w:w="0" w:type="auto"/>
            <w:shd w:val="clear" w:color="auto" w:fill="FCFAF8"/>
            <w:tcMar>
              <w:top w:w="160" w:type="dxa"/>
              <w:left w:w="15" w:type="dxa"/>
              <w:bottom w:w="160" w:type="dxa"/>
              <w:right w:w="15" w:type="dxa"/>
            </w:tcMar>
            <w:vAlign w:val="bottom"/>
            <w:hideMark/>
          </w:tcPr>
          <w:p w14:paraId="0C3D6299"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Land degradation, vegetation, soil moisture, feedback dynamics</w:t>
            </w:r>
          </w:p>
        </w:tc>
        <w:tc>
          <w:tcPr>
            <w:tcW w:w="0" w:type="auto"/>
            <w:shd w:val="clear" w:color="auto" w:fill="FCFAF8"/>
            <w:tcMar>
              <w:top w:w="160" w:type="dxa"/>
              <w:left w:w="15" w:type="dxa"/>
              <w:bottom w:w="160" w:type="dxa"/>
              <w:right w:w="15" w:type="dxa"/>
            </w:tcMar>
            <w:vAlign w:val="bottom"/>
            <w:hideMark/>
          </w:tcPr>
          <w:p w14:paraId="29FC44A6"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9</w:t>
            </w:r>
          </w:p>
        </w:tc>
      </w:tr>
      <w:tr w:rsidR="00310036" w:rsidRPr="00FA2968" w14:paraId="1D9130EC" w14:textId="77777777" w:rsidTr="00310036">
        <w:tc>
          <w:tcPr>
            <w:tcW w:w="0" w:type="auto"/>
            <w:shd w:val="clear" w:color="auto" w:fill="FCFAF8"/>
            <w:tcMar>
              <w:top w:w="160" w:type="dxa"/>
              <w:left w:w="15" w:type="dxa"/>
              <w:bottom w:w="160" w:type="dxa"/>
              <w:right w:w="15" w:type="dxa"/>
            </w:tcMar>
            <w:vAlign w:val="bottom"/>
            <w:hideMark/>
          </w:tcPr>
          <w:p w14:paraId="02DEF0A9"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Health, air quality, socio-economics</w:t>
            </w:r>
          </w:p>
        </w:tc>
        <w:tc>
          <w:tcPr>
            <w:tcW w:w="0" w:type="auto"/>
            <w:shd w:val="clear" w:color="auto" w:fill="FCFAF8"/>
            <w:tcMar>
              <w:top w:w="160" w:type="dxa"/>
              <w:left w:w="15" w:type="dxa"/>
              <w:bottom w:w="160" w:type="dxa"/>
              <w:right w:w="15" w:type="dxa"/>
            </w:tcMar>
            <w:vAlign w:val="bottom"/>
            <w:hideMark/>
          </w:tcPr>
          <w:p w14:paraId="3DC334D9"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PM exposure, respiratory illness, crop yields, gender, economics</w:t>
            </w:r>
          </w:p>
        </w:tc>
        <w:tc>
          <w:tcPr>
            <w:tcW w:w="0" w:type="auto"/>
            <w:shd w:val="clear" w:color="auto" w:fill="FCFAF8"/>
            <w:tcMar>
              <w:top w:w="160" w:type="dxa"/>
              <w:left w:w="15" w:type="dxa"/>
              <w:bottom w:w="160" w:type="dxa"/>
              <w:right w:w="15" w:type="dxa"/>
            </w:tcMar>
            <w:vAlign w:val="bottom"/>
            <w:hideMark/>
          </w:tcPr>
          <w:p w14:paraId="04CF3E2E"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7</w:t>
            </w:r>
          </w:p>
        </w:tc>
      </w:tr>
      <w:tr w:rsidR="00310036" w:rsidRPr="00FA2968" w14:paraId="7E059621" w14:textId="77777777" w:rsidTr="00310036">
        <w:tc>
          <w:tcPr>
            <w:tcW w:w="0" w:type="auto"/>
            <w:shd w:val="clear" w:color="auto" w:fill="FCFAF8"/>
            <w:tcMar>
              <w:top w:w="160" w:type="dxa"/>
              <w:left w:w="15" w:type="dxa"/>
              <w:bottom w:w="160" w:type="dxa"/>
              <w:right w:w="15" w:type="dxa"/>
            </w:tcMar>
            <w:vAlign w:val="bottom"/>
            <w:hideMark/>
          </w:tcPr>
          <w:p w14:paraId="660E88C7"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Methodological advances</w:t>
            </w:r>
          </w:p>
        </w:tc>
        <w:tc>
          <w:tcPr>
            <w:tcW w:w="0" w:type="auto"/>
            <w:shd w:val="clear" w:color="auto" w:fill="FCFAF8"/>
            <w:tcMar>
              <w:top w:w="160" w:type="dxa"/>
              <w:left w:w="15" w:type="dxa"/>
              <w:bottom w:w="160" w:type="dxa"/>
              <w:right w:w="15" w:type="dxa"/>
            </w:tcMar>
            <w:vAlign w:val="bottom"/>
            <w:hideMark/>
          </w:tcPr>
          <w:p w14:paraId="56A2193A"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Remote sensing, modelling, machine learning, ground validation</w:t>
            </w:r>
          </w:p>
        </w:tc>
        <w:tc>
          <w:tcPr>
            <w:tcW w:w="0" w:type="auto"/>
            <w:shd w:val="clear" w:color="auto" w:fill="FCFAF8"/>
            <w:tcMar>
              <w:top w:w="160" w:type="dxa"/>
              <w:left w:w="15" w:type="dxa"/>
              <w:bottom w:w="160" w:type="dxa"/>
              <w:right w:w="15" w:type="dxa"/>
            </w:tcMar>
            <w:vAlign w:val="bottom"/>
            <w:hideMark/>
          </w:tcPr>
          <w:p w14:paraId="23AEA53B"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7</w:t>
            </w:r>
          </w:p>
        </w:tc>
      </w:tr>
      <w:tr w:rsidR="00310036" w:rsidRPr="00FA2968" w14:paraId="112FAA12" w14:textId="77777777" w:rsidTr="00F71A10">
        <w:tc>
          <w:tcPr>
            <w:tcW w:w="0" w:type="auto"/>
            <w:tcBorders>
              <w:bottom w:val="single" w:sz="4" w:space="0" w:color="000000"/>
            </w:tcBorders>
            <w:shd w:val="clear" w:color="auto" w:fill="FCFAF8"/>
            <w:tcMar>
              <w:top w:w="160" w:type="dxa"/>
              <w:left w:w="15" w:type="dxa"/>
              <w:bottom w:w="160" w:type="dxa"/>
              <w:right w:w="15" w:type="dxa"/>
            </w:tcMar>
            <w:vAlign w:val="bottom"/>
            <w:hideMark/>
          </w:tcPr>
          <w:p w14:paraId="375D7E0E"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b/>
                <w:bCs/>
                <w:sz w:val="20"/>
                <w:szCs w:val="20"/>
              </w:rPr>
              <w:t>Total</w:t>
            </w:r>
          </w:p>
        </w:tc>
        <w:tc>
          <w:tcPr>
            <w:tcW w:w="0" w:type="auto"/>
            <w:tcBorders>
              <w:bottom w:val="single" w:sz="4" w:space="0" w:color="000000"/>
            </w:tcBorders>
            <w:shd w:val="clear" w:color="auto" w:fill="FCFAF8"/>
            <w:tcMar>
              <w:top w:w="160" w:type="dxa"/>
              <w:left w:w="15" w:type="dxa"/>
              <w:bottom w:w="160" w:type="dxa"/>
              <w:right w:w="15" w:type="dxa"/>
            </w:tcMar>
            <w:vAlign w:val="bottom"/>
            <w:hideMark/>
          </w:tcPr>
          <w:p w14:paraId="18B9A18D" w14:textId="77777777" w:rsidR="00310036" w:rsidRPr="00FA2968" w:rsidRDefault="00310036" w:rsidP="006E162B">
            <w:pPr>
              <w:jc w:val="both"/>
              <w:rPr>
                <w:rFonts w:ascii="Times New Roman" w:hAnsi="Times New Roman" w:cs="Times New Roman"/>
                <w:sz w:val="20"/>
                <w:szCs w:val="20"/>
              </w:rPr>
            </w:pPr>
          </w:p>
        </w:tc>
        <w:tc>
          <w:tcPr>
            <w:tcW w:w="0" w:type="auto"/>
            <w:tcBorders>
              <w:bottom w:val="single" w:sz="4" w:space="0" w:color="000000"/>
            </w:tcBorders>
            <w:shd w:val="clear" w:color="auto" w:fill="FCFAF8"/>
            <w:tcMar>
              <w:top w:w="160" w:type="dxa"/>
              <w:left w:w="15" w:type="dxa"/>
              <w:bottom w:w="160" w:type="dxa"/>
              <w:right w:w="15" w:type="dxa"/>
            </w:tcMar>
            <w:vAlign w:val="bottom"/>
            <w:hideMark/>
          </w:tcPr>
          <w:p w14:paraId="2477561F"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b/>
                <w:bCs/>
                <w:sz w:val="20"/>
                <w:szCs w:val="20"/>
              </w:rPr>
              <w:t>50</w:t>
            </w:r>
          </w:p>
        </w:tc>
      </w:tr>
    </w:tbl>
    <w:p w14:paraId="769F6E43" w14:textId="77777777" w:rsidR="00310036"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Each retained study was assessed for author(s), year, geographic focus, methodology, dust variable examined, climate or environmental outcome measured, principal findings, quantified impacts, and stated limitations. Studies were grouped into six thematic categories </w:t>
      </w:r>
    </w:p>
    <w:p w14:paraId="385BBD9A" w14:textId="1B8FCC5B"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(Table 1).</w:t>
      </w:r>
    </w:p>
    <w:p w14:paraId="32859FED"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b/>
          <w:bCs/>
          <w:sz w:val="20"/>
          <w:szCs w:val="20"/>
        </w:rPr>
        <w:t>Table 1.</w:t>
      </w:r>
      <w:r w:rsidRPr="00FA2968">
        <w:rPr>
          <w:rFonts w:ascii="Times New Roman" w:hAnsi="Times New Roman" w:cs="Times New Roman"/>
          <w:sz w:val="20"/>
          <w:szCs w:val="20"/>
        </w:rPr>
        <w:t> Thematic classification of reviewed studies.</w:t>
      </w:r>
    </w:p>
    <w:p w14:paraId="384AECB2" w14:textId="4B551EEA" w:rsidR="006F5417" w:rsidRPr="00FA2968" w:rsidRDefault="006F5417" w:rsidP="006E162B">
      <w:pPr>
        <w:jc w:val="both"/>
        <w:rPr>
          <w:rFonts w:ascii="Times New Roman" w:hAnsi="Times New Roman" w:cs="Times New Roman"/>
          <w:sz w:val="20"/>
          <w:szCs w:val="20"/>
        </w:rPr>
      </w:pPr>
    </w:p>
    <w:p w14:paraId="04224767" w14:textId="77777777" w:rsidR="00310036" w:rsidRPr="00FA2968" w:rsidRDefault="00310036"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2.5 Environmental Physics Framework</w:t>
      </w:r>
    </w:p>
    <w:p w14:paraId="3219E56E"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Dust–climate interaction is fundamentally a problem in atmospheric and environmental physics. The synthesis presented in this review was guided by a set of governing equations drawn from radiative transfer theory, aerosol microphysics, aeolian transport, and boundary-layer thermodynamics. These equations provided the physical framework against which empirical findings from the reviewed studies were interpreted and quantitatively compared (Marticorena &amp; </w:t>
      </w:r>
      <w:proofErr w:type="spellStart"/>
      <w:r w:rsidRPr="00FA2968">
        <w:rPr>
          <w:rFonts w:ascii="Times New Roman" w:hAnsi="Times New Roman" w:cs="Times New Roman"/>
          <w:sz w:val="20"/>
          <w:szCs w:val="20"/>
        </w:rPr>
        <w:t>Bergametti</w:t>
      </w:r>
      <w:proofErr w:type="spellEnd"/>
      <w:r w:rsidRPr="00FA2968">
        <w:rPr>
          <w:rFonts w:ascii="Times New Roman" w:hAnsi="Times New Roman" w:cs="Times New Roman"/>
          <w:sz w:val="20"/>
          <w:szCs w:val="20"/>
        </w:rPr>
        <w:t>, 1995; Holben et al., 1998; Klose et al., 2014). They were not solved numerically as part of this review.</w:t>
      </w:r>
    </w:p>
    <w:p w14:paraId="26836A7B" w14:textId="77777777" w:rsidR="00310036" w:rsidRPr="00FA2968" w:rsidRDefault="00310036"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2.5.1 Aerosol Optical Depth and Radiative Attenuation</w:t>
      </w:r>
    </w:p>
    <w:p w14:paraId="1A98A908"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The aerosol optical depth (AOD), denoted </w:t>
      </w:r>
      <w:r w:rsidRPr="00FA2968">
        <w:rPr>
          <w:rFonts w:ascii="Times New Roman" w:hAnsi="Times New Roman" w:cs="Times New Roman"/>
          <w:i/>
          <w:iCs/>
          <w:sz w:val="20"/>
          <w:szCs w:val="20"/>
        </w:rPr>
        <w:t>τ</w:t>
      </w:r>
      <w:r w:rsidRPr="00FA2968">
        <w:rPr>
          <w:rFonts w:ascii="Times New Roman" w:hAnsi="Times New Roman" w:cs="Times New Roman"/>
          <w:sz w:val="20"/>
          <w:szCs w:val="20"/>
        </w:rPr>
        <w:t>&lt;sub&gt;λ&lt;/sub&gt;, is the most widely reported observable in the reviewed literature. For a vertical atmospheric column extending from the surface to altitude </w:t>
      </w:r>
      <w:r w:rsidRPr="00FA2968">
        <w:rPr>
          <w:rFonts w:ascii="Times New Roman" w:hAnsi="Times New Roman" w:cs="Times New Roman"/>
          <w:i/>
          <w:iCs/>
          <w:sz w:val="20"/>
          <w:szCs w:val="20"/>
        </w:rPr>
        <w:t>z</w:t>
      </w:r>
      <w:r w:rsidRPr="00FA2968">
        <w:rPr>
          <w:rFonts w:ascii="Times New Roman" w:hAnsi="Times New Roman" w:cs="Times New Roman"/>
          <w:sz w:val="20"/>
          <w:szCs w:val="20"/>
        </w:rPr>
        <w:t>, AOD at wavelength </w:t>
      </w:r>
      <w:r w:rsidRPr="00FA2968">
        <w:rPr>
          <w:rFonts w:ascii="Times New Roman" w:hAnsi="Times New Roman" w:cs="Times New Roman"/>
          <w:i/>
          <w:iCs/>
          <w:sz w:val="20"/>
          <w:szCs w:val="20"/>
        </w:rPr>
        <w:t>λ</w:t>
      </w:r>
      <w:r w:rsidRPr="00FA2968">
        <w:rPr>
          <w:rFonts w:ascii="Times New Roman" w:hAnsi="Times New Roman" w:cs="Times New Roman"/>
          <w:sz w:val="20"/>
          <w:szCs w:val="20"/>
        </w:rPr>
        <w:t xml:space="preserve"> follows from the Beer–Bouguer–Lambert law (Holben et al., 1998; </w:t>
      </w:r>
      <w:proofErr w:type="spellStart"/>
      <w:r w:rsidRPr="00FA2968">
        <w:rPr>
          <w:rFonts w:ascii="Times New Roman" w:hAnsi="Times New Roman" w:cs="Times New Roman"/>
          <w:sz w:val="20"/>
          <w:szCs w:val="20"/>
        </w:rPr>
        <w:t>Tanré</w:t>
      </w:r>
      <w:proofErr w:type="spellEnd"/>
      <w:r w:rsidRPr="00FA2968">
        <w:rPr>
          <w:rFonts w:ascii="Times New Roman" w:hAnsi="Times New Roman" w:cs="Times New Roman"/>
          <w:sz w:val="20"/>
          <w:szCs w:val="20"/>
        </w:rPr>
        <w:t xml:space="preserve"> et al., 1997):</w:t>
      </w:r>
    </w:p>
    <w:p w14:paraId="6D996228" w14:textId="5A9C63F0" w:rsidR="00310036" w:rsidRPr="00FA2968" w:rsidRDefault="00310036" w:rsidP="006E162B">
      <w:pPr>
        <w:jc w:val="both"/>
        <w:rPr>
          <w:rFonts w:ascii="Times New Roman" w:hAnsi="Times New Roman" w:cs="Times New Roman"/>
          <w:sz w:val="20"/>
          <w:szCs w:val="20"/>
        </w:rPr>
      </w:pPr>
      <m:oMathPara>
        <m:oMath>
          <m:m>
            <m:mPr>
              <m:plcHide m:val="1"/>
              <m:mcs>
                <m:mc>
                  <m:mcPr>
                    <m:count m:val="4"/>
                    <m:mcJc m:val="center"/>
                  </m:mcPr>
                </m:mc>
              </m:mcs>
              <m:ctrlPr>
                <w:rPr>
                  <w:rFonts w:ascii="Cambria Math" w:hAnsi="Cambria Math" w:cs="Times New Roman"/>
                  <w:sz w:val="20"/>
                  <w:szCs w:val="20"/>
                </w:rPr>
              </m:ctrlPr>
            </m:mPr>
            <m:mr>
              <m:e/>
              <m:e>
                <m:sSub>
                  <m:sSubPr>
                    <m:ctrlPr>
                      <w:rPr>
                        <w:rFonts w:ascii="Cambria Math" w:hAnsi="Cambria Math" w:cs="Times New Roman"/>
                        <w:sz w:val="20"/>
                        <w:szCs w:val="20"/>
                      </w:rPr>
                    </m:ctrlPr>
                  </m:sSubPr>
                  <m:e>
                    <m:r>
                      <w:rPr>
                        <w:rFonts w:ascii="Cambria Math" w:hAnsi="Cambria Math" w:cs="Times New Roman"/>
                        <w:sz w:val="20"/>
                        <w:szCs w:val="20"/>
                      </w:rPr>
                      <m:t>τ</m:t>
                    </m:r>
                  </m:e>
                  <m:sub>
                    <m:r>
                      <w:rPr>
                        <w:rFonts w:ascii="Cambria Math" w:hAnsi="Cambria Math" w:cs="Times New Roman"/>
                        <w:sz w:val="20"/>
                        <w:szCs w:val="20"/>
                      </w:rPr>
                      <m:t>λ</m:t>
                    </m:r>
                  </m:sub>
                </m:sSub>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nary>
                  <m:naryPr>
                    <m:limLoc m:val="subSup"/>
                    <m:grow m:val="1"/>
                    <m:ctrlPr>
                      <w:rPr>
                        <w:rFonts w:ascii="Cambria Math" w:hAnsi="Cambria Math" w:cs="Times New Roman"/>
                        <w:sz w:val="20"/>
                        <w:szCs w:val="20"/>
                      </w:rPr>
                    </m:ctrlPr>
                  </m:naryPr>
                  <m:sub>
                    <m:r>
                      <w:rPr>
                        <w:rFonts w:ascii="Cambria Math" w:hAnsi="Cambria Math" w:cs="Times New Roman"/>
                        <w:sz w:val="20"/>
                        <w:szCs w:val="20"/>
                      </w:rPr>
                      <m:t>0</m:t>
                    </m:r>
                  </m:sub>
                  <m:sup>
                    <m:r>
                      <w:rPr>
                        <w:rFonts w:ascii="Cambria Math" w:hAnsi="Cambria Math" w:cs="Times New Roman"/>
                        <w:sz w:val="20"/>
                        <w:szCs w:val="20"/>
                      </w:rPr>
                      <m:t>z</m:t>
                    </m:r>
                  </m:sup>
                  <m:e>
                    <m:sSub>
                      <m:sSubPr>
                        <m:ctrlPr>
                          <w:rPr>
                            <w:rFonts w:ascii="Cambria Math" w:hAnsi="Cambria Math" w:cs="Times New Roman"/>
                            <w:sz w:val="20"/>
                            <w:szCs w:val="20"/>
                          </w:rPr>
                        </m:ctrlPr>
                      </m:sSubPr>
                      <m:e>
                        <m:r>
                          <w:rPr>
                            <w:rFonts w:ascii="Cambria Math" w:hAnsi="Cambria Math" w:cs="Times New Roman"/>
                            <w:sz w:val="20"/>
                            <w:szCs w:val="20"/>
                          </w:rPr>
                          <m:t>β</m:t>
                        </m:r>
                      </m:e>
                      <m:sub>
                        <m:r>
                          <m:rPr>
                            <m:sty m:val="p"/>
                          </m:rPr>
                          <w:rPr>
                            <w:rFonts w:ascii="Cambria Math" w:hAnsi="Cambria Math" w:cs="Times New Roman"/>
                            <w:sz w:val="20"/>
                            <w:szCs w:val="20"/>
                          </w:rPr>
                          <m:t>ext</m:t>
                        </m:r>
                      </m:sub>
                    </m:sSub>
                  </m:e>
                </m:nary>
                <m:r>
                  <w:rPr>
                    <w:rFonts w:ascii="Cambria Math" w:hAnsi="Cambria Math" w:cs="Times New Roman"/>
                    <w:sz w:val="20"/>
                    <w:szCs w:val="20"/>
                  </w:rPr>
                  <m:t>(λ,</m:t>
                </m:r>
                <m:sSup>
                  <m:sSupPr>
                    <m:ctrlPr>
                      <w:rPr>
                        <w:rFonts w:ascii="Cambria Math" w:hAnsi="Cambria Math" w:cs="Times New Roman"/>
                        <w:sz w:val="20"/>
                        <w:szCs w:val="20"/>
                      </w:rPr>
                    </m:ctrlPr>
                  </m:sSupPr>
                  <m:e>
                    <m:r>
                      <w:rPr>
                        <w:rFonts w:ascii="Cambria Math" w:hAnsi="Cambria Math" w:cs="Times New Roman"/>
                        <w:sz w:val="20"/>
                        <w:szCs w:val="20"/>
                      </w:rPr>
                      <m:t>z</m:t>
                    </m:r>
                  </m:e>
                  <m:sup>
                    <m:r>
                      <m:rPr>
                        <m:sty m:val="p"/>
                      </m:rPr>
                      <w:rPr>
                        <w:rFonts w:ascii="Cambria Math" w:hAnsi="Cambria Math" w:cs="Times New Roman"/>
                        <w:sz w:val="20"/>
                        <w:szCs w:val="20"/>
                      </w:rPr>
                      <m:t>'</m:t>
                    </m:r>
                  </m:sup>
                </m:sSup>
                <m:r>
                  <w:rPr>
                    <w:rFonts w:ascii="Cambria Math" w:hAnsi="Cambria Math" w:cs="Times New Roman"/>
                    <w:sz w:val="20"/>
                    <w:szCs w:val="20"/>
                  </w:rPr>
                  <m:t>)</m:t>
                </m:r>
                <m:r>
                  <m:rPr>
                    <m:nor/>
                  </m:rPr>
                  <w:rPr>
                    <w:rFonts w:ascii="Times New Roman" w:hAnsi="Times New Roman" w:cs="Times New Roman"/>
                    <w:sz w:val="20"/>
                    <w:szCs w:val="20"/>
                  </w:rPr>
                  <m:t> </m:t>
                </m:r>
                <m:r>
                  <m:rPr>
                    <m:sty m:val="p"/>
                  </m:rPr>
                  <w:rPr>
                    <w:rFonts w:ascii="Cambria Math" w:hAnsi="Cambria Math" w:cs="Times New Roman"/>
                    <w:sz w:val="20"/>
                    <w:szCs w:val="20"/>
                  </w:rPr>
                  <m:t>d</m:t>
                </m:r>
                <m:sSup>
                  <m:sSupPr>
                    <m:ctrlPr>
                      <w:rPr>
                        <w:rFonts w:ascii="Cambria Math" w:hAnsi="Cambria Math" w:cs="Times New Roman"/>
                        <w:sz w:val="20"/>
                        <w:szCs w:val="20"/>
                      </w:rPr>
                    </m:ctrlPr>
                  </m:sSupPr>
                  <m:e>
                    <m:r>
                      <w:rPr>
                        <w:rFonts w:ascii="Cambria Math" w:hAnsi="Cambria Math" w:cs="Times New Roman"/>
                        <w:sz w:val="20"/>
                        <w:szCs w:val="20"/>
                      </w:rPr>
                      <m:t>z</m:t>
                    </m:r>
                  </m:e>
                  <m:sup>
                    <m:r>
                      <m:rPr>
                        <m:sty m:val="p"/>
                      </m:rPr>
                      <w:rPr>
                        <w:rFonts w:ascii="Cambria Math" w:hAnsi="Cambria Math" w:cs="Times New Roman"/>
                        <w:sz w:val="20"/>
                        <w:szCs w:val="20"/>
                      </w:rPr>
                      <m:t>'</m:t>
                    </m:r>
                  </m:sup>
                </m:sSup>
              </m:e>
              <m:e/>
              <m:e>
                <m:r>
                  <m:rPr>
                    <m:nor/>
                  </m:rPr>
                  <w:rPr>
                    <w:rFonts w:ascii="Times New Roman" w:hAnsi="Times New Roman" w:cs="Times New Roman"/>
                    <w:sz w:val="20"/>
                    <w:szCs w:val="20"/>
                  </w:rPr>
                  <m:t>(1)</m:t>
                </m:r>
              </m:e>
            </m:mr>
          </m:m>
          <m:r>
            <w:rPr>
              <w:rFonts w:ascii="Times New Roman" w:hAnsi="Times New Roman" w:cs="Times New Roman"/>
              <w:sz w:val="20"/>
              <w:szCs w:val="20"/>
            </w:rPr>
            <w:br/>
          </m:r>
        </m:oMath>
      </m:oMathPara>
    </w:p>
    <w:p w14:paraId="305798F6"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where:</w:t>
      </w:r>
    </w:p>
    <w:p w14:paraId="2B93D5BB" w14:textId="77777777" w:rsidR="00310036" w:rsidRPr="00FA2968" w:rsidRDefault="00310036" w:rsidP="006E162B">
      <w:pPr>
        <w:numPr>
          <w:ilvl w:val="0"/>
          <w:numId w:val="3"/>
        </w:numPr>
        <w:jc w:val="both"/>
        <w:rPr>
          <w:rFonts w:ascii="Times New Roman" w:hAnsi="Times New Roman" w:cs="Times New Roman"/>
          <w:sz w:val="20"/>
          <w:szCs w:val="20"/>
        </w:rPr>
      </w:pPr>
      <w:r w:rsidRPr="00FA2968">
        <w:rPr>
          <w:rFonts w:ascii="Times New Roman" w:hAnsi="Times New Roman" w:cs="Times New Roman"/>
          <w:i/>
          <w:iCs/>
          <w:sz w:val="20"/>
          <w:szCs w:val="20"/>
        </w:rPr>
        <w:t>τ</w:t>
      </w:r>
      <w:r w:rsidRPr="00FA2968">
        <w:rPr>
          <w:rFonts w:ascii="Times New Roman" w:hAnsi="Times New Roman" w:cs="Times New Roman"/>
          <w:sz w:val="20"/>
          <w:szCs w:val="20"/>
        </w:rPr>
        <w:t>&lt;sub&gt;λ&lt;/sub&gt; = aerosol optical depth at wavelength </w:t>
      </w:r>
      <w:r w:rsidRPr="00FA2968">
        <w:rPr>
          <w:rFonts w:ascii="Times New Roman" w:hAnsi="Times New Roman" w:cs="Times New Roman"/>
          <w:i/>
          <w:iCs/>
          <w:sz w:val="20"/>
          <w:szCs w:val="20"/>
        </w:rPr>
        <w:t>λ</w:t>
      </w:r>
      <w:r w:rsidRPr="00FA2968">
        <w:rPr>
          <w:rFonts w:ascii="Times New Roman" w:hAnsi="Times New Roman" w:cs="Times New Roman"/>
          <w:sz w:val="20"/>
          <w:szCs w:val="20"/>
        </w:rPr>
        <w:t> (dimensionless)</w:t>
      </w:r>
    </w:p>
    <w:p w14:paraId="617B41E5" w14:textId="77777777" w:rsidR="00310036" w:rsidRPr="00FA2968" w:rsidRDefault="00310036" w:rsidP="006E162B">
      <w:pPr>
        <w:numPr>
          <w:ilvl w:val="0"/>
          <w:numId w:val="3"/>
        </w:numPr>
        <w:jc w:val="both"/>
        <w:rPr>
          <w:rFonts w:ascii="Times New Roman" w:hAnsi="Times New Roman" w:cs="Times New Roman"/>
          <w:sz w:val="20"/>
          <w:szCs w:val="20"/>
        </w:rPr>
      </w:pPr>
      <w:r w:rsidRPr="00FA2968">
        <w:rPr>
          <w:rFonts w:ascii="Times New Roman" w:hAnsi="Times New Roman" w:cs="Times New Roman"/>
          <w:i/>
          <w:iCs/>
          <w:sz w:val="20"/>
          <w:szCs w:val="20"/>
        </w:rPr>
        <w:t>β</w:t>
      </w:r>
      <w:r w:rsidRPr="00FA2968">
        <w:rPr>
          <w:rFonts w:ascii="Times New Roman" w:hAnsi="Times New Roman" w:cs="Times New Roman"/>
          <w:sz w:val="20"/>
          <w:szCs w:val="20"/>
        </w:rPr>
        <w:t>&lt;sub&gt;</w:t>
      </w:r>
      <w:proofErr w:type="spellStart"/>
      <w:r w:rsidRPr="00FA2968">
        <w:rPr>
          <w:rFonts w:ascii="Times New Roman" w:hAnsi="Times New Roman" w:cs="Times New Roman"/>
          <w:sz w:val="20"/>
          <w:szCs w:val="20"/>
        </w:rPr>
        <w:t>ext</w:t>
      </w:r>
      <w:proofErr w:type="spellEnd"/>
      <w:r w:rsidRPr="00FA2968">
        <w:rPr>
          <w:rFonts w:ascii="Times New Roman" w:hAnsi="Times New Roman" w:cs="Times New Roman"/>
          <w:sz w:val="20"/>
          <w:szCs w:val="20"/>
        </w:rPr>
        <w:t>&lt;/sub</w:t>
      </w:r>
      <w:proofErr w:type="gramStart"/>
      <w:r w:rsidRPr="00FA2968">
        <w:rPr>
          <w:rFonts w:ascii="Times New Roman" w:hAnsi="Times New Roman" w:cs="Times New Roman"/>
          <w:sz w:val="20"/>
          <w:szCs w:val="20"/>
        </w:rPr>
        <w:t>&gt;(</w:t>
      </w:r>
      <w:proofErr w:type="gramEnd"/>
      <w:r w:rsidRPr="00FA2968">
        <w:rPr>
          <w:rFonts w:ascii="Times New Roman" w:hAnsi="Times New Roman" w:cs="Times New Roman"/>
          <w:i/>
          <w:iCs/>
          <w:sz w:val="20"/>
          <w:szCs w:val="20"/>
        </w:rPr>
        <w:t>λ</w:t>
      </w:r>
      <w:r w:rsidRPr="00FA2968">
        <w:rPr>
          <w:rFonts w:ascii="Times New Roman" w:hAnsi="Times New Roman" w:cs="Times New Roman"/>
          <w:sz w:val="20"/>
          <w:szCs w:val="20"/>
        </w:rPr>
        <w:t>, </w:t>
      </w:r>
      <w:r w:rsidRPr="00FA2968">
        <w:rPr>
          <w:rFonts w:ascii="Times New Roman" w:hAnsi="Times New Roman" w:cs="Times New Roman"/>
          <w:i/>
          <w:iCs/>
          <w:sz w:val="20"/>
          <w:szCs w:val="20"/>
        </w:rPr>
        <w:t>z</w:t>
      </w:r>
      <w:r w:rsidRPr="00FA2968">
        <w:rPr>
          <w:rFonts w:ascii="Times New Roman" w:hAnsi="Times New Roman" w:cs="Times New Roman"/>
          <w:sz w:val="20"/>
          <w:szCs w:val="20"/>
        </w:rPr>
        <w:t>′) = volume extinction coefficient at wavelength </w:t>
      </w:r>
      <w:r w:rsidRPr="00FA2968">
        <w:rPr>
          <w:rFonts w:ascii="Times New Roman" w:hAnsi="Times New Roman" w:cs="Times New Roman"/>
          <w:i/>
          <w:iCs/>
          <w:sz w:val="20"/>
          <w:szCs w:val="20"/>
        </w:rPr>
        <w:t>λ</w:t>
      </w:r>
      <w:r w:rsidRPr="00FA2968">
        <w:rPr>
          <w:rFonts w:ascii="Times New Roman" w:hAnsi="Times New Roman" w:cs="Times New Roman"/>
          <w:sz w:val="20"/>
          <w:szCs w:val="20"/>
        </w:rPr>
        <w:t> and altitude </w:t>
      </w:r>
      <w:r w:rsidRPr="00FA2968">
        <w:rPr>
          <w:rFonts w:ascii="Times New Roman" w:hAnsi="Times New Roman" w:cs="Times New Roman"/>
          <w:i/>
          <w:iCs/>
          <w:sz w:val="20"/>
          <w:szCs w:val="20"/>
        </w:rPr>
        <w:t>z</w:t>
      </w:r>
      <w:r w:rsidRPr="00FA2968">
        <w:rPr>
          <w:rFonts w:ascii="Times New Roman" w:hAnsi="Times New Roman" w:cs="Times New Roman"/>
          <w:sz w:val="20"/>
          <w:szCs w:val="20"/>
        </w:rPr>
        <w:t>′ (m⁻¹)</w:t>
      </w:r>
    </w:p>
    <w:p w14:paraId="509BDBA9" w14:textId="77777777" w:rsidR="00310036" w:rsidRPr="00FA2968" w:rsidRDefault="00310036" w:rsidP="006E162B">
      <w:pPr>
        <w:numPr>
          <w:ilvl w:val="0"/>
          <w:numId w:val="3"/>
        </w:numPr>
        <w:jc w:val="both"/>
        <w:rPr>
          <w:rFonts w:ascii="Times New Roman" w:hAnsi="Times New Roman" w:cs="Times New Roman"/>
          <w:sz w:val="20"/>
          <w:szCs w:val="20"/>
        </w:rPr>
      </w:pPr>
      <w:r w:rsidRPr="00FA2968">
        <w:rPr>
          <w:rFonts w:ascii="Times New Roman" w:hAnsi="Times New Roman" w:cs="Times New Roman"/>
          <w:i/>
          <w:iCs/>
          <w:sz w:val="20"/>
          <w:szCs w:val="20"/>
        </w:rPr>
        <w:t>z</w:t>
      </w:r>
      <w:r w:rsidRPr="00FA2968">
        <w:rPr>
          <w:rFonts w:ascii="Times New Roman" w:hAnsi="Times New Roman" w:cs="Times New Roman"/>
          <w:sz w:val="20"/>
          <w:szCs w:val="20"/>
        </w:rPr>
        <w:t> = column height (m)</w:t>
      </w:r>
    </w:p>
    <w:p w14:paraId="0646CAB3"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The extinction coefficient is the sum of scattering and absorption components:</w:t>
      </w:r>
    </w:p>
    <w:p w14:paraId="64DAE282" w14:textId="498D5927" w:rsidR="00310036" w:rsidRPr="00FA2968" w:rsidRDefault="00310036" w:rsidP="006E162B">
      <w:pPr>
        <w:jc w:val="both"/>
        <w:rPr>
          <w:rFonts w:ascii="Times New Roman" w:hAnsi="Times New Roman" w:cs="Times New Roman"/>
          <w:sz w:val="20"/>
          <w:szCs w:val="20"/>
        </w:rPr>
      </w:pPr>
      <m:oMathPara>
        <m:oMath>
          <m:m>
            <m:mPr>
              <m:plcHide m:val="1"/>
              <m:mcs>
                <m:mc>
                  <m:mcPr>
                    <m:count m:val="4"/>
                    <m:mcJc m:val="center"/>
                  </m:mcPr>
                </m:mc>
              </m:mcs>
              <m:ctrlPr>
                <w:rPr>
                  <w:rFonts w:ascii="Cambria Math" w:hAnsi="Cambria Math" w:cs="Times New Roman"/>
                  <w:sz w:val="20"/>
                  <w:szCs w:val="20"/>
                </w:rPr>
              </m:ctrlPr>
            </m:mPr>
            <m:mr>
              <m:e/>
              <m:e>
                <m:sSub>
                  <m:sSubPr>
                    <m:ctrlPr>
                      <w:rPr>
                        <w:rFonts w:ascii="Cambria Math" w:hAnsi="Cambria Math" w:cs="Times New Roman"/>
                        <w:sz w:val="20"/>
                        <w:szCs w:val="20"/>
                      </w:rPr>
                    </m:ctrlPr>
                  </m:sSubPr>
                  <m:e>
                    <m:r>
                      <w:rPr>
                        <w:rFonts w:ascii="Cambria Math" w:hAnsi="Cambria Math" w:cs="Times New Roman"/>
                        <w:sz w:val="20"/>
                        <w:szCs w:val="20"/>
                      </w:rPr>
                      <m:t>β</m:t>
                    </m:r>
                  </m:e>
                  <m:sub>
                    <m:r>
                      <m:rPr>
                        <m:sty m:val="p"/>
                      </m:rPr>
                      <w:rPr>
                        <w:rFonts w:ascii="Cambria Math" w:hAnsi="Cambria Math" w:cs="Times New Roman"/>
                        <w:sz w:val="20"/>
                        <w:szCs w:val="20"/>
                      </w:rPr>
                      <m:t>ext</m:t>
                    </m:r>
                  </m:sub>
                </m:sSub>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sSub>
                  <m:sSubPr>
                    <m:ctrlPr>
                      <w:rPr>
                        <w:rFonts w:ascii="Cambria Math" w:hAnsi="Cambria Math" w:cs="Times New Roman"/>
                        <w:sz w:val="20"/>
                        <w:szCs w:val="20"/>
                      </w:rPr>
                    </m:ctrlPr>
                  </m:sSubPr>
                  <m:e>
                    <m:r>
                      <w:rPr>
                        <w:rFonts w:ascii="Cambria Math" w:hAnsi="Cambria Math" w:cs="Times New Roman"/>
                        <w:sz w:val="20"/>
                        <w:szCs w:val="20"/>
                      </w:rPr>
                      <m:t>β</m:t>
                    </m:r>
                  </m:e>
                  <m:sub>
                    <m:r>
                      <m:rPr>
                        <m:sty m:val="p"/>
                      </m:rPr>
                      <w:rPr>
                        <w:rFonts w:ascii="Cambria Math" w:hAnsi="Cambria Math" w:cs="Times New Roman"/>
                        <w:sz w:val="20"/>
                        <w:szCs w:val="20"/>
                      </w:rPr>
                      <m:t>sca</m:t>
                    </m:r>
                  </m:sub>
                </m:sSub>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sSub>
                  <m:sSubPr>
                    <m:ctrlPr>
                      <w:rPr>
                        <w:rFonts w:ascii="Cambria Math" w:hAnsi="Cambria Math" w:cs="Times New Roman"/>
                        <w:sz w:val="20"/>
                        <w:szCs w:val="20"/>
                      </w:rPr>
                    </m:ctrlPr>
                  </m:sSubPr>
                  <m:e>
                    <m:r>
                      <w:rPr>
                        <w:rFonts w:ascii="Cambria Math" w:hAnsi="Cambria Math" w:cs="Times New Roman"/>
                        <w:sz w:val="20"/>
                        <w:szCs w:val="20"/>
                      </w:rPr>
                      <m:t>β</m:t>
                    </m:r>
                  </m:e>
                  <m:sub>
                    <m:r>
                      <m:rPr>
                        <m:sty m:val="p"/>
                      </m:rPr>
                      <w:rPr>
                        <w:rFonts w:ascii="Cambria Math" w:hAnsi="Cambria Math" w:cs="Times New Roman"/>
                        <w:sz w:val="20"/>
                        <w:szCs w:val="20"/>
                      </w:rPr>
                      <m:t>abs</m:t>
                    </m:r>
                  </m:sub>
                </m:sSub>
              </m:e>
              <m:e/>
              <m:e>
                <m:r>
                  <m:rPr>
                    <m:nor/>
                  </m:rPr>
                  <w:rPr>
                    <w:rFonts w:ascii="Times New Roman" w:hAnsi="Times New Roman" w:cs="Times New Roman"/>
                    <w:sz w:val="20"/>
                    <w:szCs w:val="20"/>
                  </w:rPr>
                  <m:t>(1a)</m:t>
                </m:r>
              </m:e>
            </m:mr>
          </m:m>
          <m:r>
            <w:rPr>
              <w:rFonts w:ascii="Times New Roman" w:hAnsi="Times New Roman" w:cs="Times New Roman"/>
              <w:sz w:val="20"/>
              <w:szCs w:val="20"/>
            </w:rPr>
            <w:br/>
          </m:r>
        </m:oMath>
      </m:oMathPara>
    </w:p>
    <w:p w14:paraId="3C3078E2"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The downwelling solar irradiance reaching the surface, </w:t>
      </w:r>
      <w:r w:rsidRPr="00FA2968">
        <w:rPr>
          <w:rFonts w:ascii="Times New Roman" w:hAnsi="Times New Roman" w:cs="Times New Roman"/>
          <w:i/>
          <w:iCs/>
          <w:sz w:val="20"/>
          <w:szCs w:val="20"/>
        </w:rPr>
        <w:t>I</w:t>
      </w:r>
      <w:r w:rsidRPr="00FA2968">
        <w:rPr>
          <w:rFonts w:ascii="Times New Roman" w:hAnsi="Times New Roman" w:cs="Times New Roman"/>
          <w:sz w:val="20"/>
          <w:szCs w:val="20"/>
        </w:rPr>
        <w:t>&lt;sub&gt;λ&lt;/sub&gt;, attenuates exponentially through the aerosol column:</w:t>
      </w:r>
    </w:p>
    <w:p w14:paraId="2A9A3FE8" w14:textId="62549C7D" w:rsidR="00310036" w:rsidRPr="00FA2968" w:rsidRDefault="00310036" w:rsidP="006E162B">
      <w:pPr>
        <w:jc w:val="both"/>
        <w:rPr>
          <w:rFonts w:ascii="Times New Roman" w:hAnsi="Times New Roman" w:cs="Times New Roman"/>
          <w:sz w:val="20"/>
          <w:szCs w:val="20"/>
        </w:rPr>
      </w:pPr>
      <m:oMathPara>
        <m:oMath>
          <m:m>
            <m:mPr>
              <m:plcHide m:val="1"/>
              <m:mcs>
                <m:mc>
                  <m:mcPr>
                    <m:count m:val="4"/>
                    <m:mcJc m:val="center"/>
                  </m:mcPr>
                </m:mc>
              </m:mcs>
              <m:ctrlPr>
                <w:rPr>
                  <w:rFonts w:ascii="Cambria Math" w:hAnsi="Cambria Math" w:cs="Times New Roman"/>
                  <w:sz w:val="20"/>
                  <w:szCs w:val="20"/>
                </w:rPr>
              </m:ctrlPr>
            </m:mPr>
            <m:mr>
              <m:e/>
              <m:e>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λ</m:t>
                    </m:r>
                  </m:sub>
                </m:sSub>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0,λ</m:t>
                    </m:r>
                  </m:sub>
                </m:sSub>
                <m:r>
                  <m:rPr>
                    <m:nor/>
                  </m:rPr>
                  <w:rPr>
                    <w:rFonts w:ascii="Times New Roman" w:hAnsi="Times New Roman" w:cs="Times New Roman"/>
                    <w:sz w:val="20"/>
                    <w:szCs w:val="20"/>
                  </w:rPr>
                  <m:t> </m:t>
                </m:r>
                <m:r>
                  <m:rPr>
                    <m:sty m:val="p"/>
                  </m:rPr>
                  <w:rPr>
                    <w:rFonts w:ascii="Cambria Math" w:hAnsi="Cambria Math" w:cs="Times New Roman"/>
                    <w:sz w:val="20"/>
                    <w:szCs w:val="20"/>
                  </w:rPr>
                  <m:t>exp</m:t>
                </m:r>
                <m:r>
                  <w:rPr>
                    <w:rFonts w:ascii="Cambria Math" w:hAnsi="Cambria Math" w:cs="Times New Roman"/>
                    <w:sz w:val="20"/>
                    <w:szCs w:val="20"/>
                  </w:rPr>
                  <m:t>⁡</m:t>
                </m:r>
                <m:r>
                  <m:rPr>
                    <m:nor/>
                  </m:rPr>
                  <w:rPr>
                    <w:rFonts w:ascii="Times New Roman" w:hAnsi="Times New Roman" w:cs="Times New Roman"/>
                    <w:sz w:val="20"/>
                    <w:szCs w:val="20"/>
                  </w:rPr>
                  <m:t> ⁣</m:t>
                </m:r>
                <m:d>
                  <m:dPr>
                    <m:begChr m:val="["/>
                    <m:endChr m:val="]"/>
                    <m:ctrlPr>
                      <w:rPr>
                        <w:rFonts w:ascii="Cambria Math" w:hAnsi="Cambria Math" w:cs="Times New Roman"/>
                        <w:sz w:val="20"/>
                        <w:szCs w:val="20"/>
                      </w:rPr>
                    </m:ctrlPr>
                  </m:dPr>
                  <m:e>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sSub>
                      <m:sSubPr>
                        <m:ctrlPr>
                          <w:rPr>
                            <w:rFonts w:ascii="Cambria Math" w:hAnsi="Cambria Math" w:cs="Times New Roman"/>
                            <w:sz w:val="20"/>
                            <w:szCs w:val="20"/>
                          </w:rPr>
                        </m:ctrlPr>
                      </m:sSubPr>
                      <m:e>
                        <m:r>
                          <w:rPr>
                            <w:rFonts w:ascii="Cambria Math" w:hAnsi="Cambria Math" w:cs="Times New Roman"/>
                            <w:sz w:val="20"/>
                            <w:szCs w:val="20"/>
                          </w:rPr>
                          <m:t>τ</m:t>
                        </m:r>
                      </m:e>
                      <m:sub>
                        <m:r>
                          <w:rPr>
                            <w:rFonts w:ascii="Cambria Math" w:hAnsi="Cambria Math" w:cs="Times New Roman"/>
                            <w:sz w:val="20"/>
                            <w:szCs w:val="20"/>
                          </w:rPr>
                          <m:t>λ</m:t>
                        </m:r>
                      </m:sub>
                    </m:sSub>
                    <m:r>
                      <m:rPr>
                        <m:nor/>
                      </m:rPr>
                      <w:rPr>
                        <w:rFonts w:ascii="Times New Roman" w:hAnsi="Times New Roman" w:cs="Times New Roman"/>
                        <w:sz w:val="20"/>
                        <w:szCs w:val="20"/>
                      </w:rPr>
                      <m:t> </m:t>
                    </m:r>
                    <m:r>
                      <w:rPr>
                        <w:rFonts w:ascii="Cambria Math" w:hAnsi="Cambria Math" w:cs="Times New Roman"/>
                        <w:sz w:val="20"/>
                        <w:szCs w:val="20"/>
                      </w:rPr>
                      <m:t>m(θ)</m:t>
                    </m:r>
                    <m:r>
                      <m:rPr>
                        <m:nor/>
                      </m:rPr>
                      <w:rPr>
                        <w:rFonts w:ascii="Times New Roman" w:hAnsi="Times New Roman" w:cs="Times New Roman"/>
                        <w:sz w:val="20"/>
                        <w:szCs w:val="20"/>
                      </w:rPr>
                      <m:t> </m:t>
                    </m:r>
                  </m:e>
                </m:d>
              </m:e>
              <m:e/>
              <m:e>
                <m:r>
                  <m:rPr>
                    <m:nor/>
                  </m:rPr>
                  <w:rPr>
                    <w:rFonts w:ascii="Times New Roman" w:hAnsi="Times New Roman" w:cs="Times New Roman"/>
                    <w:sz w:val="20"/>
                    <w:szCs w:val="20"/>
                  </w:rPr>
                  <m:t>(2)</m:t>
                </m:r>
              </m:e>
            </m:mr>
          </m:m>
          <m:r>
            <w:rPr>
              <w:rFonts w:ascii="Times New Roman" w:hAnsi="Times New Roman" w:cs="Times New Roman"/>
              <w:sz w:val="20"/>
              <w:szCs w:val="20"/>
            </w:rPr>
            <w:br/>
          </m:r>
        </m:oMath>
      </m:oMathPara>
    </w:p>
    <w:p w14:paraId="7A927DE5"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where:</w:t>
      </w:r>
    </w:p>
    <w:p w14:paraId="60F4B97E" w14:textId="77777777" w:rsidR="00310036" w:rsidRPr="00FA2968" w:rsidRDefault="00310036" w:rsidP="006E162B">
      <w:pPr>
        <w:numPr>
          <w:ilvl w:val="0"/>
          <w:numId w:val="4"/>
        </w:numPr>
        <w:jc w:val="both"/>
        <w:rPr>
          <w:rFonts w:ascii="Times New Roman" w:hAnsi="Times New Roman" w:cs="Times New Roman"/>
          <w:sz w:val="20"/>
          <w:szCs w:val="20"/>
        </w:rPr>
      </w:pPr>
      <w:r w:rsidRPr="00FA2968">
        <w:rPr>
          <w:rFonts w:ascii="Times New Roman" w:hAnsi="Times New Roman" w:cs="Times New Roman"/>
          <w:i/>
          <w:iCs/>
          <w:sz w:val="20"/>
          <w:szCs w:val="20"/>
        </w:rPr>
        <w:t>I</w:t>
      </w:r>
      <w:r w:rsidRPr="00FA2968">
        <w:rPr>
          <w:rFonts w:ascii="Times New Roman" w:hAnsi="Times New Roman" w:cs="Times New Roman"/>
          <w:sz w:val="20"/>
          <w:szCs w:val="20"/>
        </w:rPr>
        <w:t>&lt;sub&gt;λ&lt;/sub&gt; = surface downwelling spectral irradiance (W m⁻² nm⁻¹)</w:t>
      </w:r>
    </w:p>
    <w:p w14:paraId="277D07FE" w14:textId="77777777" w:rsidR="00310036" w:rsidRPr="00FA2968" w:rsidRDefault="00310036" w:rsidP="006E162B">
      <w:pPr>
        <w:numPr>
          <w:ilvl w:val="0"/>
          <w:numId w:val="4"/>
        </w:numPr>
        <w:jc w:val="both"/>
        <w:rPr>
          <w:rFonts w:ascii="Times New Roman" w:hAnsi="Times New Roman" w:cs="Times New Roman"/>
          <w:sz w:val="20"/>
          <w:szCs w:val="20"/>
        </w:rPr>
      </w:pPr>
      <w:r w:rsidRPr="00FA2968">
        <w:rPr>
          <w:rFonts w:ascii="Times New Roman" w:hAnsi="Times New Roman" w:cs="Times New Roman"/>
          <w:i/>
          <w:iCs/>
          <w:sz w:val="20"/>
          <w:szCs w:val="20"/>
        </w:rPr>
        <w:t>I</w:t>
      </w:r>
      <w:r w:rsidRPr="00FA2968">
        <w:rPr>
          <w:rFonts w:ascii="Times New Roman" w:hAnsi="Times New Roman" w:cs="Times New Roman"/>
          <w:sz w:val="20"/>
          <w:szCs w:val="20"/>
        </w:rPr>
        <w:t>&lt;sub&gt;</w:t>
      </w:r>
      <w:proofErr w:type="gramStart"/>
      <w:r w:rsidRPr="00FA2968">
        <w:rPr>
          <w:rFonts w:ascii="Times New Roman" w:hAnsi="Times New Roman" w:cs="Times New Roman"/>
          <w:sz w:val="20"/>
          <w:szCs w:val="20"/>
        </w:rPr>
        <w:t>0,λ</w:t>
      </w:r>
      <w:proofErr w:type="gramEnd"/>
      <w:r w:rsidRPr="00FA2968">
        <w:rPr>
          <w:rFonts w:ascii="Times New Roman" w:hAnsi="Times New Roman" w:cs="Times New Roman"/>
          <w:sz w:val="20"/>
          <w:szCs w:val="20"/>
        </w:rPr>
        <w:t>&lt;/sub&gt; = top-of-atmosphere spectral irradiance (W m⁻² nm⁻¹)</w:t>
      </w:r>
    </w:p>
    <w:p w14:paraId="02A8605D" w14:textId="77777777" w:rsidR="00310036" w:rsidRPr="00FA2968" w:rsidRDefault="00310036" w:rsidP="006E162B">
      <w:pPr>
        <w:numPr>
          <w:ilvl w:val="0"/>
          <w:numId w:val="4"/>
        </w:numPr>
        <w:jc w:val="both"/>
        <w:rPr>
          <w:rFonts w:ascii="Times New Roman" w:hAnsi="Times New Roman" w:cs="Times New Roman"/>
          <w:sz w:val="20"/>
          <w:szCs w:val="20"/>
        </w:rPr>
      </w:pPr>
      <w:r w:rsidRPr="00FA2968">
        <w:rPr>
          <w:rFonts w:ascii="Times New Roman" w:hAnsi="Times New Roman" w:cs="Times New Roman"/>
          <w:i/>
          <w:iCs/>
          <w:sz w:val="20"/>
          <w:szCs w:val="20"/>
        </w:rPr>
        <w:t>m</w:t>
      </w:r>
      <w:r w:rsidRPr="00FA2968">
        <w:rPr>
          <w:rFonts w:ascii="Times New Roman" w:hAnsi="Times New Roman" w:cs="Times New Roman"/>
          <w:sz w:val="20"/>
          <w:szCs w:val="20"/>
        </w:rPr>
        <w:t>(</w:t>
      </w:r>
      <w:r w:rsidRPr="00FA2968">
        <w:rPr>
          <w:rFonts w:ascii="Times New Roman" w:hAnsi="Times New Roman" w:cs="Times New Roman"/>
          <w:i/>
          <w:iCs/>
          <w:sz w:val="20"/>
          <w:szCs w:val="20"/>
        </w:rPr>
        <w:t>θ</w:t>
      </w:r>
      <w:r w:rsidRPr="00FA2968">
        <w:rPr>
          <w:rFonts w:ascii="Times New Roman" w:hAnsi="Times New Roman" w:cs="Times New Roman"/>
          <w:sz w:val="20"/>
          <w:szCs w:val="20"/>
        </w:rPr>
        <w:t>) = relative optical air mass at solar zenith angle </w:t>
      </w:r>
      <w:r w:rsidRPr="00FA2968">
        <w:rPr>
          <w:rFonts w:ascii="Times New Roman" w:hAnsi="Times New Roman" w:cs="Times New Roman"/>
          <w:i/>
          <w:iCs/>
          <w:sz w:val="20"/>
          <w:szCs w:val="20"/>
        </w:rPr>
        <w:t>θ</w:t>
      </w:r>
      <w:r w:rsidRPr="00FA2968">
        <w:rPr>
          <w:rFonts w:ascii="Times New Roman" w:hAnsi="Times New Roman" w:cs="Times New Roman"/>
          <w:sz w:val="20"/>
          <w:szCs w:val="20"/>
        </w:rPr>
        <w:t> (dimensionless)</w:t>
      </w:r>
    </w:p>
    <w:p w14:paraId="10856F09" w14:textId="77777777" w:rsidR="00310036" w:rsidRPr="00FA2968" w:rsidRDefault="00310036" w:rsidP="006E162B">
      <w:pPr>
        <w:numPr>
          <w:ilvl w:val="0"/>
          <w:numId w:val="4"/>
        </w:numPr>
        <w:jc w:val="both"/>
        <w:rPr>
          <w:rFonts w:ascii="Times New Roman" w:hAnsi="Times New Roman" w:cs="Times New Roman"/>
          <w:sz w:val="20"/>
          <w:szCs w:val="20"/>
        </w:rPr>
      </w:pPr>
      <w:r w:rsidRPr="00FA2968">
        <w:rPr>
          <w:rFonts w:ascii="Times New Roman" w:hAnsi="Times New Roman" w:cs="Times New Roman"/>
          <w:i/>
          <w:iCs/>
          <w:sz w:val="20"/>
          <w:szCs w:val="20"/>
        </w:rPr>
        <w:t>θ</w:t>
      </w:r>
      <w:r w:rsidRPr="00FA2968">
        <w:rPr>
          <w:rFonts w:ascii="Times New Roman" w:hAnsi="Times New Roman" w:cs="Times New Roman"/>
          <w:sz w:val="20"/>
          <w:szCs w:val="20"/>
        </w:rPr>
        <w:t> = solar zenith angle (rad or °)</w:t>
      </w:r>
    </w:p>
    <w:p w14:paraId="6A0155EE" w14:textId="77777777" w:rsidR="00310036" w:rsidRPr="00FA2968" w:rsidRDefault="00310036"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2.5.2 Ångström Exponent and Particle Size Discrimination</w:t>
      </w:r>
    </w:p>
    <w:p w14:paraId="504A7C01"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The wavelength dependence of AOD is characterised by the Ångström exponent </w:t>
      </w:r>
      <w:r w:rsidRPr="00FA2968">
        <w:rPr>
          <w:rFonts w:ascii="Times New Roman" w:hAnsi="Times New Roman" w:cs="Times New Roman"/>
          <w:i/>
          <w:iCs/>
          <w:sz w:val="20"/>
          <w:szCs w:val="20"/>
        </w:rPr>
        <w:t>α</w:t>
      </w:r>
      <w:r w:rsidRPr="00FA2968">
        <w:rPr>
          <w:rFonts w:ascii="Times New Roman" w:hAnsi="Times New Roman" w:cs="Times New Roman"/>
          <w:sz w:val="20"/>
          <w:szCs w:val="20"/>
        </w:rPr>
        <w:t>, which discriminates coarse-mode mineral dust from fine-mode anthropogenic aerosol (Balarabe et al., 2016; Ashpole &amp; Washington, 2012):</w:t>
      </w:r>
    </w:p>
    <w:p w14:paraId="54840575" w14:textId="22EABA24" w:rsidR="00310036" w:rsidRPr="00FA2968" w:rsidRDefault="00310036" w:rsidP="006E162B">
      <w:pPr>
        <w:jc w:val="both"/>
        <w:rPr>
          <w:rFonts w:ascii="Times New Roman" w:hAnsi="Times New Roman" w:cs="Times New Roman"/>
          <w:sz w:val="20"/>
          <w:szCs w:val="20"/>
        </w:rPr>
      </w:pPr>
      <m:oMathPara>
        <m:oMath>
          <m:m>
            <m:mPr>
              <m:plcHide m:val="1"/>
              <m:mcs>
                <m:mc>
                  <m:mcPr>
                    <m:count m:val="4"/>
                    <m:mcJc m:val="center"/>
                  </m:mcPr>
                </m:mc>
              </m:mcs>
              <m:ctrlPr>
                <w:rPr>
                  <w:rFonts w:ascii="Cambria Math" w:hAnsi="Cambria Math" w:cs="Times New Roman"/>
                  <w:sz w:val="20"/>
                  <w:szCs w:val="20"/>
                </w:rPr>
              </m:ctrlPr>
            </m:mPr>
            <m:mr>
              <m:e/>
              <m:e>
                <m:sSub>
                  <m:sSubPr>
                    <m:ctrlPr>
                      <w:rPr>
                        <w:rFonts w:ascii="Cambria Math" w:hAnsi="Cambria Math" w:cs="Times New Roman"/>
                        <w:sz w:val="20"/>
                        <w:szCs w:val="20"/>
                      </w:rPr>
                    </m:ctrlPr>
                  </m:sSubPr>
                  <m:e>
                    <m:r>
                      <w:rPr>
                        <w:rFonts w:ascii="Cambria Math" w:hAnsi="Cambria Math" w:cs="Times New Roman"/>
                        <w:sz w:val="20"/>
                        <w:szCs w:val="20"/>
                      </w:rPr>
                      <m:t>τ</m:t>
                    </m:r>
                  </m:e>
                  <m:sub>
                    <m:r>
                      <w:rPr>
                        <w:rFonts w:ascii="Cambria Math" w:hAnsi="Cambria Math" w:cs="Times New Roman"/>
                        <w:sz w:val="20"/>
                        <w:szCs w:val="20"/>
                      </w:rPr>
                      <m:t>λ</m:t>
                    </m:r>
                  </m:sub>
                </m:sSub>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sSub>
                  <m:sSubPr>
                    <m:ctrlPr>
                      <w:rPr>
                        <w:rFonts w:ascii="Cambria Math" w:hAnsi="Cambria Math" w:cs="Times New Roman"/>
                        <w:sz w:val="20"/>
                        <w:szCs w:val="20"/>
                      </w:rPr>
                    </m:ctrlPr>
                  </m:sSubPr>
                  <m:e>
                    <m:r>
                      <w:rPr>
                        <w:rFonts w:ascii="Cambria Math" w:hAnsi="Cambria Math" w:cs="Times New Roman"/>
                        <w:sz w:val="20"/>
                        <w:szCs w:val="20"/>
                      </w:rPr>
                      <m:t>τ</m:t>
                    </m:r>
                  </m:e>
                  <m:sub>
                    <m:sSub>
                      <m:sSubPr>
                        <m:ctrlPr>
                          <w:rPr>
                            <w:rFonts w:ascii="Cambria Math" w:hAnsi="Cambria Math" w:cs="Times New Roman"/>
                            <w:sz w:val="20"/>
                            <w:szCs w:val="20"/>
                          </w:rPr>
                        </m:ctrlPr>
                      </m:sSubPr>
                      <m:e>
                        <m:r>
                          <w:rPr>
                            <w:rFonts w:ascii="Cambria Math" w:hAnsi="Cambria Math" w:cs="Times New Roman"/>
                            <w:sz w:val="20"/>
                            <w:szCs w:val="20"/>
                          </w:rPr>
                          <m:t>λ</m:t>
                        </m:r>
                      </m:e>
                      <m:sub>
                        <m:r>
                          <w:rPr>
                            <w:rFonts w:ascii="Cambria Math" w:hAnsi="Cambria Math" w:cs="Times New Roman"/>
                            <w:sz w:val="20"/>
                            <w:szCs w:val="20"/>
                          </w:rPr>
                          <m:t>0</m:t>
                        </m:r>
                      </m:sub>
                    </m:sSub>
                  </m:sub>
                </m:sSub>
                <m:r>
                  <m:rPr>
                    <m:nor/>
                  </m:rPr>
                  <w:rPr>
                    <w:rFonts w:ascii="Times New Roman" w:hAnsi="Times New Roman" w:cs="Times New Roman"/>
                    <w:sz w:val="20"/>
                    <w:szCs w:val="20"/>
                  </w:rPr>
                  <m:t> ⁣</m:t>
                </m:r>
                <m:sSup>
                  <m:sSupPr>
                    <m:ctrlPr>
                      <w:rPr>
                        <w:rFonts w:ascii="Cambria Math" w:hAnsi="Cambria Math" w:cs="Times New Roman"/>
                        <w:sz w:val="20"/>
                        <w:szCs w:val="20"/>
                      </w:rPr>
                    </m:ctrlPr>
                  </m:sSupPr>
                  <m:e>
                    <m:d>
                      <m:dPr>
                        <m:ctrlPr>
                          <w:rPr>
                            <w:rFonts w:ascii="Cambria Math" w:hAnsi="Cambria Math" w:cs="Times New Roman"/>
                            <w:sz w:val="20"/>
                            <w:szCs w:val="20"/>
                          </w:rPr>
                        </m:ctrlPr>
                      </m:dPr>
                      <m:e>
                        <m:f>
                          <m:fPr>
                            <m:ctrlPr>
                              <w:rPr>
                                <w:rFonts w:ascii="Cambria Math" w:hAnsi="Cambria Math" w:cs="Times New Roman"/>
                                <w:sz w:val="20"/>
                                <w:szCs w:val="20"/>
                              </w:rPr>
                            </m:ctrlPr>
                          </m:fPr>
                          <m:num>
                            <m:r>
                              <w:rPr>
                                <w:rFonts w:ascii="Cambria Math" w:hAnsi="Cambria Math" w:cs="Times New Roman"/>
                                <w:sz w:val="20"/>
                                <w:szCs w:val="20"/>
                              </w:rPr>
                              <m:t>λ</m:t>
                            </m:r>
                          </m:num>
                          <m:den>
                            <m:sSub>
                              <m:sSubPr>
                                <m:ctrlPr>
                                  <w:rPr>
                                    <w:rFonts w:ascii="Cambria Math" w:hAnsi="Cambria Math" w:cs="Times New Roman"/>
                                    <w:sz w:val="20"/>
                                    <w:szCs w:val="20"/>
                                  </w:rPr>
                                </m:ctrlPr>
                              </m:sSubPr>
                              <m:e>
                                <m:r>
                                  <w:rPr>
                                    <w:rFonts w:ascii="Cambria Math" w:hAnsi="Cambria Math" w:cs="Times New Roman"/>
                                    <w:sz w:val="20"/>
                                    <w:szCs w:val="20"/>
                                  </w:rPr>
                                  <m:t>λ</m:t>
                                </m:r>
                              </m:e>
                              <m:sub>
                                <m:r>
                                  <w:rPr>
                                    <w:rFonts w:ascii="Cambria Math" w:hAnsi="Cambria Math" w:cs="Times New Roman"/>
                                    <w:sz w:val="20"/>
                                    <w:szCs w:val="20"/>
                                  </w:rPr>
                                  <m:t>0</m:t>
                                </m:r>
                              </m:sub>
                            </m:sSub>
                          </m:den>
                        </m:f>
                      </m:e>
                    </m:d>
                  </m:e>
                  <m:sup>
                    <m:r>
                      <w:rPr>
                        <w:rFonts w:ascii="Cambria Math" w:hAnsi="Cambria Math" w:cs="Times New Roman"/>
                        <w:sz w:val="20"/>
                        <w:szCs w:val="20"/>
                      </w:rPr>
                      <m:t>-α</m:t>
                    </m:r>
                  </m:sup>
                </m:sSup>
              </m:e>
              <m:e/>
              <m:e>
                <m:r>
                  <m:rPr>
                    <m:nor/>
                  </m:rPr>
                  <w:rPr>
                    <w:rFonts w:ascii="Times New Roman" w:hAnsi="Times New Roman" w:cs="Times New Roman"/>
                    <w:sz w:val="20"/>
                    <w:szCs w:val="20"/>
                  </w:rPr>
                  <m:t>(3)</m:t>
                </m:r>
              </m:e>
            </m:mr>
          </m:m>
          <m:r>
            <w:rPr>
              <w:rFonts w:ascii="Times New Roman" w:hAnsi="Times New Roman" w:cs="Times New Roman"/>
              <w:sz w:val="20"/>
              <w:szCs w:val="20"/>
            </w:rPr>
            <w:br/>
          </m:r>
        </m:oMath>
      </m:oMathPara>
    </w:p>
    <w:p w14:paraId="67D24433"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where:</w:t>
      </w:r>
    </w:p>
    <w:p w14:paraId="088F4B8C" w14:textId="77777777" w:rsidR="00310036" w:rsidRPr="00FA2968" w:rsidRDefault="00310036" w:rsidP="006E162B">
      <w:pPr>
        <w:numPr>
          <w:ilvl w:val="0"/>
          <w:numId w:val="5"/>
        </w:numPr>
        <w:jc w:val="both"/>
        <w:rPr>
          <w:rFonts w:ascii="Times New Roman" w:hAnsi="Times New Roman" w:cs="Times New Roman"/>
          <w:sz w:val="20"/>
          <w:szCs w:val="20"/>
        </w:rPr>
      </w:pPr>
      <w:r w:rsidRPr="00FA2968">
        <w:rPr>
          <w:rFonts w:ascii="Times New Roman" w:hAnsi="Times New Roman" w:cs="Times New Roman"/>
          <w:i/>
          <w:iCs/>
          <w:sz w:val="20"/>
          <w:szCs w:val="20"/>
        </w:rPr>
        <w:t>τ</w:t>
      </w:r>
      <w:r w:rsidRPr="00FA2968">
        <w:rPr>
          <w:rFonts w:ascii="Times New Roman" w:hAnsi="Times New Roman" w:cs="Times New Roman"/>
          <w:sz w:val="20"/>
          <w:szCs w:val="20"/>
        </w:rPr>
        <w:t>&lt;sub&gt;λ₀&lt;/sub&gt; = aerosol optical depth at reference wavelength </w:t>
      </w:r>
      <w:r w:rsidRPr="00FA2968">
        <w:rPr>
          <w:rFonts w:ascii="Times New Roman" w:hAnsi="Times New Roman" w:cs="Times New Roman"/>
          <w:i/>
          <w:iCs/>
          <w:sz w:val="20"/>
          <w:szCs w:val="20"/>
        </w:rPr>
        <w:t>λ</w:t>
      </w:r>
      <w:r w:rsidRPr="00FA2968">
        <w:rPr>
          <w:rFonts w:ascii="Times New Roman" w:hAnsi="Times New Roman" w:cs="Times New Roman"/>
          <w:sz w:val="20"/>
          <w:szCs w:val="20"/>
        </w:rPr>
        <w:t>₀ (dimensionless)</w:t>
      </w:r>
    </w:p>
    <w:p w14:paraId="7C51E65D" w14:textId="77777777" w:rsidR="00310036" w:rsidRPr="00FA2968" w:rsidRDefault="00310036" w:rsidP="006E162B">
      <w:pPr>
        <w:numPr>
          <w:ilvl w:val="0"/>
          <w:numId w:val="5"/>
        </w:numPr>
        <w:jc w:val="both"/>
        <w:rPr>
          <w:rFonts w:ascii="Times New Roman" w:hAnsi="Times New Roman" w:cs="Times New Roman"/>
          <w:sz w:val="20"/>
          <w:szCs w:val="20"/>
        </w:rPr>
      </w:pPr>
      <w:r w:rsidRPr="00FA2968">
        <w:rPr>
          <w:rFonts w:ascii="Times New Roman" w:hAnsi="Times New Roman" w:cs="Times New Roman"/>
          <w:i/>
          <w:iCs/>
          <w:sz w:val="20"/>
          <w:szCs w:val="20"/>
        </w:rPr>
        <w:t>λ</w:t>
      </w:r>
      <w:r w:rsidRPr="00FA2968">
        <w:rPr>
          <w:rFonts w:ascii="Times New Roman" w:hAnsi="Times New Roman" w:cs="Times New Roman"/>
          <w:sz w:val="20"/>
          <w:szCs w:val="20"/>
        </w:rPr>
        <w:t>₀ = reference wavelength, typically 500 nm (nm)</w:t>
      </w:r>
    </w:p>
    <w:p w14:paraId="6CFF79F0" w14:textId="77777777" w:rsidR="00310036" w:rsidRPr="00FA2968" w:rsidRDefault="00310036" w:rsidP="006E162B">
      <w:pPr>
        <w:numPr>
          <w:ilvl w:val="0"/>
          <w:numId w:val="5"/>
        </w:numPr>
        <w:jc w:val="both"/>
        <w:rPr>
          <w:rFonts w:ascii="Times New Roman" w:hAnsi="Times New Roman" w:cs="Times New Roman"/>
          <w:sz w:val="20"/>
          <w:szCs w:val="20"/>
        </w:rPr>
      </w:pPr>
      <w:r w:rsidRPr="00FA2968">
        <w:rPr>
          <w:rFonts w:ascii="Times New Roman" w:hAnsi="Times New Roman" w:cs="Times New Roman"/>
          <w:i/>
          <w:iCs/>
          <w:sz w:val="20"/>
          <w:szCs w:val="20"/>
        </w:rPr>
        <w:t>α</w:t>
      </w:r>
      <w:r w:rsidRPr="00FA2968">
        <w:rPr>
          <w:rFonts w:ascii="Times New Roman" w:hAnsi="Times New Roman" w:cs="Times New Roman"/>
          <w:sz w:val="20"/>
          <w:szCs w:val="20"/>
        </w:rPr>
        <w:t> = Ångström exponent (dimensionless)</w:t>
      </w:r>
    </w:p>
    <w:p w14:paraId="1FF5EBA5"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For Harmattan dust, </w:t>
      </w:r>
      <w:r w:rsidRPr="00FA2968">
        <w:rPr>
          <w:rFonts w:ascii="Times New Roman" w:hAnsi="Times New Roman" w:cs="Times New Roman"/>
          <w:i/>
          <w:iCs/>
          <w:sz w:val="20"/>
          <w:szCs w:val="20"/>
        </w:rPr>
        <w:t>α</w:t>
      </w:r>
      <w:r w:rsidRPr="00FA2968">
        <w:rPr>
          <w:rFonts w:ascii="Times New Roman" w:hAnsi="Times New Roman" w:cs="Times New Roman"/>
          <w:sz w:val="20"/>
          <w:szCs w:val="20"/>
        </w:rPr>
        <w:t xml:space="preserve"> &lt; 0.5 confirms coarse-mode mineral aerosol dominance (Ogunjobi et al., 2004; </w:t>
      </w:r>
      <w:proofErr w:type="spellStart"/>
      <w:r w:rsidRPr="00FA2968">
        <w:rPr>
          <w:rFonts w:ascii="Times New Roman" w:hAnsi="Times New Roman" w:cs="Times New Roman"/>
          <w:sz w:val="20"/>
          <w:szCs w:val="20"/>
        </w:rPr>
        <w:t>Anuforom</w:t>
      </w:r>
      <w:proofErr w:type="spellEnd"/>
      <w:r w:rsidRPr="00FA2968">
        <w:rPr>
          <w:rFonts w:ascii="Times New Roman" w:hAnsi="Times New Roman" w:cs="Times New Roman"/>
          <w:sz w:val="20"/>
          <w:szCs w:val="20"/>
        </w:rPr>
        <w:t xml:space="preserve"> et al., 2007).</w:t>
      </w:r>
    </w:p>
    <w:p w14:paraId="385DCB5E" w14:textId="77777777" w:rsidR="00310036" w:rsidRPr="00FA2968" w:rsidRDefault="00310036"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2.5.3 Direct Radiative Forcing at the Surface and Top of Atmosphere</w:t>
      </w:r>
    </w:p>
    <w:p w14:paraId="014FB85C"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Dust direct radiative forcing (DRF), Δ</w:t>
      </w:r>
      <w:r w:rsidRPr="00FA2968">
        <w:rPr>
          <w:rFonts w:ascii="Times New Roman" w:hAnsi="Times New Roman" w:cs="Times New Roman"/>
          <w:i/>
          <w:iCs/>
          <w:sz w:val="20"/>
          <w:szCs w:val="20"/>
        </w:rPr>
        <w:t>F</w:t>
      </w:r>
      <w:r w:rsidRPr="00FA2968">
        <w:rPr>
          <w:rFonts w:ascii="Times New Roman" w:hAnsi="Times New Roman" w:cs="Times New Roman"/>
          <w:sz w:val="20"/>
          <w:szCs w:val="20"/>
        </w:rPr>
        <w:t xml:space="preserve">, is defined as the difference in net radiative flux at a given atmospheric level between aerosol-laden and aerosol-free conditions (Saidou </w:t>
      </w:r>
      <w:proofErr w:type="spellStart"/>
      <w:r w:rsidRPr="00FA2968">
        <w:rPr>
          <w:rFonts w:ascii="Times New Roman" w:hAnsi="Times New Roman" w:cs="Times New Roman"/>
          <w:sz w:val="20"/>
          <w:szCs w:val="20"/>
        </w:rPr>
        <w:t>Chaibou</w:t>
      </w:r>
      <w:proofErr w:type="spellEnd"/>
      <w:r w:rsidRPr="00FA2968">
        <w:rPr>
          <w:rFonts w:ascii="Times New Roman" w:hAnsi="Times New Roman" w:cs="Times New Roman"/>
          <w:sz w:val="20"/>
          <w:szCs w:val="20"/>
        </w:rPr>
        <w:t xml:space="preserve"> et al., 2020; Kok et al., 2017):</w:t>
      </w:r>
    </w:p>
    <w:p w14:paraId="6A60416A" w14:textId="57FC9517" w:rsidR="00310036" w:rsidRPr="00FA2968" w:rsidRDefault="00310036" w:rsidP="006E162B">
      <w:pPr>
        <w:jc w:val="both"/>
        <w:rPr>
          <w:rFonts w:ascii="Times New Roman" w:hAnsi="Times New Roman" w:cs="Times New Roman"/>
          <w:sz w:val="20"/>
          <w:szCs w:val="20"/>
        </w:rPr>
      </w:pPr>
      <m:oMathPara>
        <m:oMath>
          <m:m>
            <m:mPr>
              <m:plcHide m:val="1"/>
              <m:mcs>
                <m:mc>
                  <m:mcPr>
                    <m:count m:val="4"/>
                    <m:mcJc m:val="center"/>
                  </m:mcPr>
                </m:mc>
              </m:mcs>
              <m:ctrlPr>
                <w:rPr>
                  <w:rFonts w:ascii="Cambria Math" w:hAnsi="Cambria Math" w:cs="Times New Roman"/>
                  <w:sz w:val="20"/>
                  <w:szCs w:val="20"/>
                </w:rPr>
              </m:ctrlPr>
            </m:mPr>
            <m:mr>
              <m:e/>
              <m:e>
                <m:r>
                  <m:rPr>
                    <m:sty m:val="p"/>
                  </m:rPr>
                  <w:rPr>
                    <w:rFonts w:ascii="Cambria Math" w:hAnsi="Cambria Math" w:cs="Times New Roman"/>
                    <w:sz w:val="20"/>
                    <w:szCs w:val="20"/>
                  </w:rPr>
                  <m:t>Δ</m:t>
                </m:r>
                <m:r>
                  <w:rPr>
                    <w:rFonts w:ascii="Cambria Math" w:hAnsi="Cambria Math" w:cs="Times New Roman"/>
                    <w:sz w:val="20"/>
                    <w:szCs w:val="20"/>
                  </w:rPr>
                  <m:t>F</m:t>
                </m:r>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r>
                  <w:rPr>
                    <w:rFonts w:ascii="Cambria Math" w:hAnsi="Cambria Math" w:cs="Times New Roman"/>
                    <w:sz w:val="20"/>
                    <w:szCs w:val="20"/>
                  </w:rPr>
                  <m:t>(</m:t>
                </m:r>
                <m:sSup>
                  <m:sSupPr>
                    <m:ctrlPr>
                      <w:rPr>
                        <w:rFonts w:ascii="Cambria Math" w:hAnsi="Cambria Math" w:cs="Times New Roman"/>
                        <w:sz w:val="20"/>
                        <w:szCs w:val="20"/>
                      </w:rPr>
                    </m:ctrlPr>
                  </m:sSupPr>
                  <m:e>
                    <m:r>
                      <w:rPr>
                        <w:rFonts w:ascii="Cambria Math" w:hAnsi="Cambria Math" w:cs="Times New Roman"/>
                        <w:sz w:val="20"/>
                        <w:szCs w:val="20"/>
                      </w:rPr>
                      <m:t>F</m:t>
                    </m:r>
                  </m:e>
                  <m:sup>
                    <m:r>
                      <w:rPr>
                        <w:rFonts w:ascii="Cambria Math" w:hAnsi="Cambria Math" w:cs="Times New Roman"/>
                        <w:sz w:val="20"/>
                        <w:szCs w:val="20"/>
                      </w:rPr>
                      <m:t>↓</m:t>
                    </m:r>
                  </m:sup>
                </m:sSup>
                <m:r>
                  <w:rPr>
                    <w:rFonts w:ascii="Cambria Math" w:hAnsi="Cambria Math" w:cs="Times New Roman"/>
                    <w:sz w:val="20"/>
                    <w:szCs w:val="20"/>
                  </w:rPr>
                  <m:t>-</m:t>
                </m:r>
                <m:sSup>
                  <m:sSupPr>
                    <m:ctrlPr>
                      <w:rPr>
                        <w:rFonts w:ascii="Cambria Math" w:hAnsi="Cambria Math" w:cs="Times New Roman"/>
                        <w:sz w:val="20"/>
                        <w:szCs w:val="20"/>
                      </w:rPr>
                    </m:ctrlPr>
                  </m:sSupPr>
                  <m:e>
                    <m:r>
                      <w:rPr>
                        <w:rFonts w:ascii="Cambria Math" w:hAnsi="Cambria Math" w:cs="Times New Roman"/>
                        <w:sz w:val="20"/>
                        <w:szCs w:val="20"/>
                      </w:rPr>
                      <m:t>F</m:t>
                    </m:r>
                  </m:e>
                  <m:sup>
                    <m:r>
                      <w:rPr>
                        <w:rFonts w:ascii="Cambria Math" w:hAnsi="Cambria Math" w:cs="Times New Roman"/>
                        <w:sz w:val="20"/>
                        <w:szCs w:val="20"/>
                      </w:rPr>
                      <m:t>↑</m:t>
                    </m:r>
                  </m:sup>
                </m:sSup>
                <m:sSub>
                  <m:sSubPr>
                    <m:ctrlPr>
                      <w:rPr>
                        <w:rFonts w:ascii="Cambria Math" w:hAnsi="Cambria Math" w:cs="Times New Roman"/>
                        <w:sz w:val="20"/>
                        <w:szCs w:val="20"/>
                      </w:rPr>
                    </m:ctrlPr>
                  </m:sSubPr>
                  <m:e>
                    <m:r>
                      <w:rPr>
                        <w:rFonts w:ascii="Cambria Math" w:hAnsi="Cambria Math" w:cs="Times New Roman"/>
                        <w:sz w:val="20"/>
                        <w:szCs w:val="20"/>
                      </w:rPr>
                      <m:t>)</m:t>
                    </m:r>
                  </m:e>
                  <m:sub>
                    <m:r>
                      <m:rPr>
                        <m:nor/>
                      </m:rPr>
                      <w:rPr>
                        <w:rFonts w:ascii="Times New Roman" w:hAnsi="Times New Roman" w:cs="Times New Roman"/>
                        <w:sz w:val="20"/>
                        <w:szCs w:val="20"/>
                      </w:rPr>
                      <m:t> </m:t>
                    </m:r>
                    <m:r>
                      <m:rPr>
                        <m:sty m:val="p"/>
                      </m:rPr>
                      <w:rPr>
                        <w:rFonts w:ascii="Cambria Math" w:hAnsi="Cambria Math" w:cs="Times New Roman"/>
                        <w:sz w:val="20"/>
                        <w:szCs w:val="20"/>
                      </w:rPr>
                      <m:t>aerosol</m:t>
                    </m:r>
                  </m:sub>
                </m:sSub>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r>
                  <w:rPr>
                    <w:rFonts w:ascii="Cambria Math" w:hAnsi="Cambria Math" w:cs="Times New Roman"/>
                    <w:sz w:val="20"/>
                    <w:szCs w:val="20"/>
                  </w:rPr>
                  <m:t>(</m:t>
                </m:r>
                <m:sSup>
                  <m:sSupPr>
                    <m:ctrlPr>
                      <w:rPr>
                        <w:rFonts w:ascii="Cambria Math" w:hAnsi="Cambria Math" w:cs="Times New Roman"/>
                        <w:sz w:val="20"/>
                        <w:szCs w:val="20"/>
                      </w:rPr>
                    </m:ctrlPr>
                  </m:sSupPr>
                  <m:e>
                    <m:r>
                      <w:rPr>
                        <w:rFonts w:ascii="Cambria Math" w:hAnsi="Cambria Math" w:cs="Times New Roman"/>
                        <w:sz w:val="20"/>
                        <w:szCs w:val="20"/>
                      </w:rPr>
                      <m:t>F</m:t>
                    </m:r>
                  </m:e>
                  <m:sup>
                    <m:r>
                      <w:rPr>
                        <w:rFonts w:ascii="Cambria Math" w:hAnsi="Cambria Math" w:cs="Times New Roman"/>
                        <w:sz w:val="20"/>
                        <w:szCs w:val="20"/>
                      </w:rPr>
                      <m:t>↓</m:t>
                    </m:r>
                  </m:sup>
                </m:sSup>
                <m:r>
                  <w:rPr>
                    <w:rFonts w:ascii="Cambria Math" w:hAnsi="Cambria Math" w:cs="Times New Roman"/>
                    <w:sz w:val="20"/>
                    <w:szCs w:val="20"/>
                  </w:rPr>
                  <m:t>-</m:t>
                </m:r>
                <m:sSup>
                  <m:sSupPr>
                    <m:ctrlPr>
                      <w:rPr>
                        <w:rFonts w:ascii="Cambria Math" w:hAnsi="Cambria Math" w:cs="Times New Roman"/>
                        <w:sz w:val="20"/>
                        <w:szCs w:val="20"/>
                      </w:rPr>
                    </m:ctrlPr>
                  </m:sSupPr>
                  <m:e>
                    <m:r>
                      <w:rPr>
                        <w:rFonts w:ascii="Cambria Math" w:hAnsi="Cambria Math" w:cs="Times New Roman"/>
                        <w:sz w:val="20"/>
                        <w:szCs w:val="20"/>
                      </w:rPr>
                      <m:t>F</m:t>
                    </m:r>
                  </m:e>
                  <m:sup>
                    <m:r>
                      <w:rPr>
                        <w:rFonts w:ascii="Cambria Math" w:hAnsi="Cambria Math" w:cs="Times New Roman"/>
                        <w:sz w:val="20"/>
                        <w:szCs w:val="20"/>
                      </w:rPr>
                      <m:t>↑</m:t>
                    </m:r>
                  </m:sup>
                </m:sSup>
                <m:sSub>
                  <m:sSubPr>
                    <m:ctrlPr>
                      <w:rPr>
                        <w:rFonts w:ascii="Cambria Math" w:hAnsi="Cambria Math" w:cs="Times New Roman"/>
                        <w:sz w:val="20"/>
                        <w:szCs w:val="20"/>
                      </w:rPr>
                    </m:ctrlPr>
                  </m:sSubPr>
                  <m:e>
                    <m:r>
                      <w:rPr>
                        <w:rFonts w:ascii="Cambria Math" w:hAnsi="Cambria Math" w:cs="Times New Roman"/>
                        <w:sz w:val="20"/>
                        <w:szCs w:val="20"/>
                      </w:rPr>
                      <m:t>)</m:t>
                    </m:r>
                  </m:e>
                  <m:sub>
                    <m:r>
                      <m:rPr>
                        <m:nor/>
                      </m:rPr>
                      <w:rPr>
                        <w:rFonts w:ascii="Times New Roman" w:hAnsi="Times New Roman" w:cs="Times New Roman"/>
                        <w:sz w:val="20"/>
                        <w:szCs w:val="20"/>
                      </w:rPr>
                      <m:t> ⁣</m:t>
                    </m:r>
                    <m:r>
                      <m:rPr>
                        <m:sty m:val="p"/>
                      </m:rPr>
                      <w:rPr>
                        <w:rFonts w:ascii="Cambria Math" w:hAnsi="Cambria Math" w:cs="Times New Roman"/>
                        <w:sz w:val="20"/>
                        <w:szCs w:val="20"/>
                      </w:rPr>
                      <m:t>aerosol</m:t>
                    </m:r>
                    <m:r>
                      <m:rPr>
                        <m:nor/>
                      </m:rPr>
                      <w:rPr>
                        <w:rFonts w:ascii="Times New Roman" w:hAnsi="Times New Roman" w:cs="Times New Roman"/>
                        <w:sz w:val="20"/>
                        <w:szCs w:val="20"/>
                      </w:rPr>
                      <m:t>-</m:t>
                    </m:r>
                    <m:r>
                      <m:rPr>
                        <m:sty m:val="p"/>
                      </m:rPr>
                      <w:rPr>
                        <w:rFonts w:ascii="Cambria Math" w:hAnsi="Cambria Math" w:cs="Times New Roman"/>
                        <w:sz w:val="20"/>
                        <w:szCs w:val="20"/>
                      </w:rPr>
                      <m:t>free</m:t>
                    </m:r>
                  </m:sub>
                </m:sSub>
              </m:e>
              <m:e/>
              <m:e>
                <m:r>
                  <m:rPr>
                    <m:nor/>
                  </m:rPr>
                  <w:rPr>
                    <w:rFonts w:ascii="Times New Roman" w:hAnsi="Times New Roman" w:cs="Times New Roman"/>
                    <w:sz w:val="20"/>
                    <w:szCs w:val="20"/>
                  </w:rPr>
                  <m:t>(4)</m:t>
                </m:r>
              </m:e>
            </m:mr>
          </m:m>
          <m:r>
            <w:rPr>
              <w:rFonts w:ascii="Times New Roman" w:hAnsi="Times New Roman" w:cs="Times New Roman"/>
              <w:sz w:val="20"/>
              <w:szCs w:val="20"/>
            </w:rPr>
            <w:br/>
          </m:r>
        </m:oMath>
      </m:oMathPara>
    </w:p>
    <w:p w14:paraId="09BA6EDB"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where:</w:t>
      </w:r>
    </w:p>
    <w:p w14:paraId="503B835A" w14:textId="77777777" w:rsidR="00310036" w:rsidRPr="00FA2968" w:rsidRDefault="00310036" w:rsidP="006E162B">
      <w:pPr>
        <w:numPr>
          <w:ilvl w:val="0"/>
          <w:numId w:val="6"/>
        </w:numPr>
        <w:jc w:val="both"/>
        <w:rPr>
          <w:rFonts w:ascii="Times New Roman" w:hAnsi="Times New Roman" w:cs="Times New Roman"/>
          <w:sz w:val="20"/>
          <w:szCs w:val="20"/>
        </w:rPr>
      </w:pPr>
      <w:r w:rsidRPr="00FA2968">
        <w:rPr>
          <w:rFonts w:ascii="Times New Roman" w:hAnsi="Times New Roman" w:cs="Times New Roman"/>
          <w:sz w:val="20"/>
          <w:szCs w:val="20"/>
        </w:rPr>
        <w:t>Δ</w:t>
      </w:r>
      <w:r w:rsidRPr="00FA2968">
        <w:rPr>
          <w:rFonts w:ascii="Times New Roman" w:hAnsi="Times New Roman" w:cs="Times New Roman"/>
          <w:i/>
          <w:iCs/>
          <w:sz w:val="20"/>
          <w:szCs w:val="20"/>
        </w:rPr>
        <w:t>F</w:t>
      </w:r>
      <w:r w:rsidRPr="00FA2968">
        <w:rPr>
          <w:rFonts w:ascii="Times New Roman" w:hAnsi="Times New Roman" w:cs="Times New Roman"/>
          <w:sz w:val="20"/>
          <w:szCs w:val="20"/>
        </w:rPr>
        <w:t> = direct radiative forcing (W m⁻²)</w:t>
      </w:r>
    </w:p>
    <w:p w14:paraId="162AEB97" w14:textId="77777777" w:rsidR="00310036" w:rsidRPr="00FA2968" w:rsidRDefault="00310036" w:rsidP="006E162B">
      <w:pPr>
        <w:numPr>
          <w:ilvl w:val="0"/>
          <w:numId w:val="6"/>
        </w:numPr>
        <w:jc w:val="both"/>
        <w:rPr>
          <w:rFonts w:ascii="Times New Roman" w:hAnsi="Times New Roman" w:cs="Times New Roman"/>
          <w:sz w:val="20"/>
          <w:szCs w:val="20"/>
        </w:rPr>
      </w:pPr>
      <w:r w:rsidRPr="00FA2968">
        <w:rPr>
          <w:rFonts w:ascii="Times New Roman" w:hAnsi="Times New Roman" w:cs="Times New Roman"/>
          <w:i/>
          <w:iCs/>
          <w:sz w:val="20"/>
          <w:szCs w:val="20"/>
        </w:rPr>
        <w:t>F</w:t>
      </w:r>
      <w:r w:rsidRPr="00FA2968">
        <w:rPr>
          <w:rFonts w:ascii="Times New Roman" w:hAnsi="Times New Roman" w:cs="Times New Roman"/>
          <w:sz w:val="20"/>
          <w:szCs w:val="20"/>
        </w:rPr>
        <w:t>&lt;sup&gt;↓&lt;/sup&gt; = downwelling broadband radiative flux (W m⁻²)</w:t>
      </w:r>
    </w:p>
    <w:p w14:paraId="079CB5CF" w14:textId="77777777" w:rsidR="00310036" w:rsidRPr="00FA2968" w:rsidRDefault="00310036" w:rsidP="006E162B">
      <w:pPr>
        <w:numPr>
          <w:ilvl w:val="0"/>
          <w:numId w:val="6"/>
        </w:numPr>
        <w:jc w:val="both"/>
        <w:rPr>
          <w:rFonts w:ascii="Times New Roman" w:hAnsi="Times New Roman" w:cs="Times New Roman"/>
          <w:sz w:val="20"/>
          <w:szCs w:val="20"/>
        </w:rPr>
      </w:pPr>
      <w:r w:rsidRPr="00FA2968">
        <w:rPr>
          <w:rFonts w:ascii="Times New Roman" w:hAnsi="Times New Roman" w:cs="Times New Roman"/>
          <w:i/>
          <w:iCs/>
          <w:sz w:val="20"/>
          <w:szCs w:val="20"/>
        </w:rPr>
        <w:t>F</w:t>
      </w:r>
      <w:r w:rsidRPr="00FA2968">
        <w:rPr>
          <w:rFonts w:ascii="Times New Roman" w:hAnsi="Times New Roman" w:cs="Times New Roman"/>
          <w:sz w:val="20"/>
          <w:szCs w:val="20"/>
        </w:rPr>
        <w:t>&lt;sup&gt;↑&lt;/sup&gt; = upwelling broadband radiative flux (W m⁻²)</w:t>
      </w:r>
    </w:p>
    <w:p w14:paraId="21F77149" w14:textId="0AD1B654"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The atmospheric radiative forcing</w:t>
      </w:r>
      <w:r w:rsidR="00F71A10" w:rsidRPr="00FA2968">
        <w:rPr>
          <w:rFonts w:ascii="Times New Roman" w:hAnsi="Times New Roman" w:cs="Times New Roman"/>
          <w:sz w:val="20"/>
          <w:szCs w:val="20"/>
        </w:rPr>
        <w:t>,</w:t>
      </w:r>
      <w:r w:rsidRPr="00FA2968">
        <w:rPr>
          <w:rFonts w:ascii="Times New Roman" w:hAnsi="Times New Roman" w:cs="Times New Roman"/>
          <w:sz w:val="20"/>
          <w:szCs w:val="20"/>
        </w:rPr>
        <w:t xml:space="preserve"> which drives dust-induced tropospheric heating</w:t>
      </w:r>
      <w:r w:rsidR="00F71A10" w:rsidRPr="00FA2968">
        <w:rPr>
          <w:rFonts w:ascii="Times New Roman" w:hAnsi="Times New Roman" w:cs="Times New Roman"/>
          <w:sz w:val="20"/>
          <w:szCs w:val="20"/>
        </w:rPr>
        <w:t>,</w:t>
      </w:r>
      <w:r w:rsidRPr="00FA2968">
        <w:rPr>
          <w:rFonts w:ascii="Times New Roman" w:hAnsi="Times New Roman" w:cs="Times New Roman"/>
          <w:sz w:val="20"/>
          <w:szCs w:val="20"/>
        </w:rPr>
        <w:t xml:space="preserve"> is obtained as the difference between top-of-atmosphere (TOA) and surface (SFC) forcing:</w:t>
      </w:r>
    </w:p>
    <w:p w14:paraId="2CC1C201" w14:textId="4AD7A377" w:rsidR="00310036" w:rsidRPr="00FA2968" w:rsidRDefault="00310036" w:rsidP="006E162B">
      <w:pPr>
        <w:jc w:val="both"/>
        <w:rPr>
          <w:rFonts w:ascii="Times New Roman" w:hAnsi="Times New Roman" w:cs="Times New Roman"/>
          <w:sz w:val="20"/>
          <w:szCs w:val="20"/>
        </w:rPr>
      </w:pPr>
      <m:oMathPara>
        <m:oMath>
          <m:m>
            <m:mPr>
              <m:plcHide m:val="1"/>
              <m:mcs>
                <m:mc>
                  <m:mcPr>
                    <m:count m:val="4"/>
                    <m:mcJc m:val="center"/>
                  </m:mcPr>
                </m:mc>
              </m:mcs>
              <m:ctrlPr>
                <w:rPr>
                  <w:rFonts w:ascii="Cambria Math" w:hAnsi="Cambria Math" w:cs="Times New Roman"/>
                  <w:sz w:val="20"/>
                  <w:szCs w:val="20"/>
                </w:rPr>
              </m:ctrlPr>
            </m:mPr>
            <m:mr>
              <m:e/>
              <m:e>
                <m:r>
                  <m:rPr>
                    <m:sty m:val="p"/>
                  </m:rPr>
                  <w:rPr>
                    <w:rFonts w:ascii="Cambria Math" w:hAnsi="Cambria Math" w:cs="Times New Roman"/>
                    <w:sz w:val="20"/>
                    <w:szCs w:val="20"/>
                  </w:rPr>
                  <m:t>Δ</m:t>
                </m:r>
                <m:sSub>
                  <m:sSubPr>
                    <m:ctrlPr>
                      <w:rPr>
                        <w:rFonts w:ascii="Cambria Math" w:hAnsi="Cambria Math" w:cs="Times New Roman"/>
                        <w:sz w:val="20"/>
                        <w:szCs w:val="20"/>
                      </w:rPr>
                    </m:ctrlPr>
                  </m:sSubPr>
                  <m:e>
                    <m:r>
                      <w:rPr>
                        <w:rFonts w:ascii="Cambria Math" w:hAnsi="Cambria Math" w:cs="Times New Roman"/>
                        <w:sz w:val="20"/>
                        <w:szCs w:val="20"/>
                      </w:rPr>
                      <m:t>F</m:t>
                    </m:r>
                  </m:e>
                  <m:sub>
                    <m:r>
                      <m:rPr>
                        <m:sty m:val="p"/>
                      </m:rPr>
                      <w:rPr>
                        <w:rFonts w:ascii="Cambria Math" w:hAnsi="Cambria Math" w:cs="Times New Roman"/>
                        <w:sz w:val="20"/>
                        <w:szCs w:val="20"/>
                      </w:rPr>
                      <m:t>ATM</m:t>
                    </m:r>
                  </m:sub>
                </m:sSub>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r>
                  <m:rPr>
                    <m:sty m:val="p"/>
                  </m:rPr>
                  <w:rPr>
                    <w:rFonts w:ascii="Cambria Math" w:hAnsi="Cambria Math" w:cs="Times New Roman"/>
                    <w:sz w:val="20"/>
                    <w:szCs w:val="20"/>
                  </w:rPr>
                  <m:t>Δ</m:t>
                </m:r>
                <m:sSub>
                  <m:sSubPr>
                    <m:ctrlPr>
                      <w:rPr>
                        <w:rFonts w:ascii="Cambria Math" w:hAnsi="Cambria Math" w:cs="Times New Roman"/>
                        <w:sz w:val="20"/>
                        <w:szCs w:val="20"/>
                      </w:rPr>
                    </m:ctrlPr>
                  </m:sSubPr>
                  <m:e>
                    <m:r>
                      <w:rPr>
                        <w:rFonts w:ascii="Cambria Math" w:hAnsi="Cambria Math" w:cs="Times New Roman"/>
                        <w:sz w:val="20"/>
                        <w:szCs w:val="20"/>
                      </w:rPr>
                      <m:t>F</m:t>
                    </m:r>
                  </m:e>
                  <m:sub>
                    <m:r>
                      <m:rPr>
                        <m:sty m:val="p"/>
                      </m:rPr>
                      <w:rPr>
                        <w:rFonts w:ascii="Cambria Math" w:hAnsi="Cambria Math" w:cs="Times New Roman"/>
                        <w:sz w:val="20"/>
                        <w:szCs w:val="20"/>
                      </w:rPr>
                      <m:t>TOA</m:t>
                    </m:r>
                  </m:sub>
                </m:sSub>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r>
                  <m:rPr>
                    <m:sty m:val="p"/>
                  </m:rPr>
                  <w:rPr>
                    <w:rFonts w:ascii="Cambria Math" w:hAnsi="Cambria Math" w:cs="Times New Roman"/>
                    <w:sz w:val="20"/>
                    <w:szCs w:val="20"/>
                  </w:rPr>
                  <m:t>Δ</m:t>
                </m:r>
                <m:sSub>
                  <m:sSubPr>
                    <m:ctrlPr>
                      <w:rPr>
                        <w:rFonts w:ascii="Cambria Math" w:hAnsi="Cambria Math" w:cs="Times New Roman"/>
                        <w:sz w:val="20"/>
                        <w:szCs w:val="20"/>
                      </w:rPr>
                    </m:ctrlPr>
                  </m:sSubPr>
                  <m:e>
                    <m:r>
                      <w:rPr>
                        <w:rFonts w:ascii="Cambria Math" w:hAnsi="Cambria Math" w:cs="Times New Roman"/>
                        <w:sz w:val="20"/>
                        <w:szCs w:val="20"/>
                      </w:rPr>
                      <m:t>F</m:t>
                    </m:r>
                  </m:e>
                  <m:sub>
                    <m:r>
                      <m:rPr>
                        <m:sty m:val="p"/>
                      </m:rPr>
                      <w:rPr>
                        <w:rFonts w:ascii="Cambria Math" w:hAnsi="Cambria Math" w:cs="Times New Roman"/>
                        <w:sz w:val="20"/>
                        <w:szCs w:val="20"/>
                      </w:rPr>
                      <m:t>SFC</m:t>
                    </m:r>
                  </m:sub>
                </m:sSub>
              </m:e>
              <m:e/>
              <m:e>
                <m:r>
                  <m:rPr>
                    <m:nor/>
                  </m:rPr>
                  <w:rPr>
                    <w:rFonts w:ascii="Times New Roman" w:hAnsi="Times New Roman" w:cs="Times New Roman"/>
                    <w:sz w:val="20"/>
                    <w:szCs w:val="20"/>
                  </w:rPr>
                  <m:t>(5)</m:t>
                </m:r>
              </m:e>
            </m:mr>
          </m:m>
          <m:r>
            <w:rPr>
              <w:rFonts w:ascii="Times New Roman" w:hAnsi="Times New Roman" w:cs="Times New Roman"/>
              <w:sz w:val="20"/>
              <w:szCs w:val="20"/>
            </w:rPr>
            <w:br/>
          </m:r>
        </m:oMath>
      </m:oMathPara>
    </w:p>
    <w:p w14:paraId="203C7AF4" w14:textId="77777777" w:rsidR="00310036" w:rsidRPr="00FA2968" w:rsidRDefault="00310036"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lastRenderedPageBreak/>
        <w:t>2.5.4 Atmospheric Heating Rate from Dust Absorption</w:t>
      </w:r>
    </w:p>
    <w:p w14:paraId="4B45AD45"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The diabatic heating of an air column due to absorbing dust follows from the first law of thermodynamics applied to a unit air mass (Saidou </w:t>
      </w:r>
      <w:proofErr w:type="spellStart"/>
      <w:r w:rsidRPr="00FA2968">
        <w:rPr>
          <w:rFonts w:ascii="Times New Roman" w:hAnsi="Times New Roman" w:cs="Times New Roman"/>
          <w:sz w:val="20"/>
          <w:szCs w:val="20"/>
        </w:rPr>
        <w:t>Chaibou</w:t>
      </w:r>
      <w:proofErr w:type="spellEnd"/>
      <w:r w:rsidRPr="00FA2968">
        <w:rPr>
          <w:rFonts w:ascii="Times New Roman" w:hAnsi="Times New Roman" w:cs="Times New Roman"/>
          <w:sz w:val="20"/>
          <w:szCs w:val="20"/>
        </w:rPr>
        <w:t xml:space="preserve"> et al., 2020):</w:t>
      </w:r>
    </w:p>
    <w:p w14:paraId="4B15069C" w14:textId="2E4CEBBE" w:rsidR="00310036" w:rsidRPr="00FA2968" w:rsidRDefault="00310036" w:rsidP="006E162B">
      <w:pPr>
        <w:jc w:val="both"/>
        <w:rPr>
          <w:rFonts w:ascii="Times New Roman" w:hAnsi="Times New Roman" w:cs="Times New Roman"/>
          <w:sz w:val="20"/>
          <w:szCs w:val="20"/>
        </w:rPr>
      </w:pPr>
      <m:oMathPara>
        <m:oMath>
          <m:m>
            <m:mPr>
              <m:plcHide m:val="1"/>
              <m:mcs>
                <m:mc>
                  <m:mcPr>
                    <m:count m:val="4"/>
                    <m:mcJc m:val="center"/>
                  </m:mcPr>
                </m:mc>
              </m:mcs>
              <m:ctrlPr>
                <w:rPr>
                  <w:rFonts w:ascii="Cambria Math" w:hAnsi="Cambria Math" w:cs="Times New Roman"/>
                  <w:sz w:val="20"/>
                  <w:szCs w:val="20"/>
                </w:rPr>
              </m:ctrlPr>
            </m:mPr>
            <m:mr>
              <m:e/>
              <m:e>
                <m:sSub>
                  <m:sSubPr>
                    <m:ctrlPr>
                      <w:rPr>
                        <w:rFonts w:ascii="Cambria Math" w:hAnsi="Cambria Math" w:cs="Times New Roman"/>
                        <w:sz w:val="20"/>
                        <w:szCs w:val="20"/>
                      </w:rPr>
                    </m:ctrlPr>
                  </m:sSubPr>
                  <m:e>
                    <m:f>
                      <m:fPr>
                        <m:ctrlPr>
                          <w:rPr>
                            <w:rFonts w:ascii="Cambria Math" w:hAnsi="Cambria Math" w:cs="Times New Roman"/>
                            <w:sz w:val="20"/>
                            <w:szCs w:val="20"/>
                          </w:rPr>
                        </m:ctrlPr>
                      </m:fPr>
                      <m:num>
                        <m:r>
                          <m:rPr>
                            <m:sty m:val="p"/>
                          </m:rPr>
                          <w:rPr>
                            <w:rFonts w:ascii="Cambria Math" w:hAnsi="Cambria Math" w:cs="Times New Roman"/>
                            <w:sz w:val="20"/>
                            <w:szCs w:val="20"/>
                          </w:rPr>
                          <m:t>∂</m:t>
                        </m:r>
                        <m:r>
                          <w:rPr>
                            <w:rFonts w:ascii="Cambria Math" w:hAnsi="Cambria Math" w:cs="Times New Roman"/>
                            <w:sz w:val="20"/>
                            <w:szCs w:val="20"/>
                          </w:rPr>
                          <m:t>T</m:t>
                        </m:r>
                      </m:num>
                      <m:den>
                        <m:r>
                          <m:rPr>
                            <m:sty m:val="p"/>
                          </m:rPr>
                          <w:rPr>
                            <w:rFonts w:ascii="Cambria Math" w:hAnsi="Cambria Math" w:cs="Times New Roman"/>
                            <w:sz w:val="20"/>
                            <w:szCs w:val="20"/>
                          </w:rPr>
                          <m:t>∂</m:t>
                        </m:r>
                        <m:r>
                          <w:rPr>
                            <w:rFonts w:ascii="Cambria Math" w:hAnsi="Cambria Math" w:cs="Times New Roman"/>
                            <w:sz w:val="20"/>
                            <w:szCs w:val="20"/>
                          </w:rPr>
                          <m:t>t</m:t>
                        </m:r>
                      </m:den>
                    </m:f>
                    <m:r>
                      <w:rPr>
                        <w:rFonts w:ascii="Cambria Math" w:hAnsi="Cambria Math" w:cs="Times New Roman"/>
                        <w:sz w:val="20"/>
                        <w:szCs w:val="20"/>
                      </w:rPr>
                      <m:t>∣</m:t>
                    </m:r>
                  </m:e>
                  <m:sub>
                    <m:r>
                      <m:rPr>
                        <m:sty m:val="p"/>
                      </m:rPr>
                      <w:rPr>
                        <w:rFonts w:ascii="Cambria Math" w:hAnsi="Cambria Math" w:cs="Times New Roman"/>
                        <w:sz w:val="20"/>
                        <w:szCs w:val="20"/>
                      </w:rPr>
                      <m:t>rad</m:t>
                    </m:r>
                  </m:sub>
                </m:sSub>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f>
                  <m:fPr>
                    <m:ctrlPr>
                      <w:rPr>
                        <w:rFonts w:ascii="Cambria Math" w:hAnsi="Cambria Math" w:cs="Times New Roman"/>
                        <w:sz w:val="20"/>
                        <w:szCs w:val="20"/>
                      </w:rPr>
                    </m:ctrlPr>
                  </m:fPr>
                  <m:num>
                    <m:r>
                      <w:rPr>
                        <w:rFonts w:ascii="Cambria Math" w:hAnsi="Cambria Math" w:cs="Times New Roman"/>
                        <w:sz w:val="20"/>
                        <w:szCs w:val="20"/>
                      </w:rPr>
                      <m:t>g</m:t>
                    </m:r>
                  </m:num>
                  <m:den>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p</m:t>
                        </m:r>
                      </m:sub>
                    </m:sSub>
                  </m:den>
                </m:f>
                <m:r>
                  <m:rPr>
                    <m:nor/>
                  </m:rPr>
                  <w:rPr>
                    <w:rFonts w:ascii="Times New Roman" w:hAnsi="Times New Roman" w:cs="Times New Roman"/>
                    <w:sz w:val="20"/>
                    <w:szCs w:val="20"/>
                  </w:rPr>
                  <m:t> </m:t>
                </m:r>
                <m:f>
                  <m:fPr>
                    <m:ctrlPr>
                      <w:rPr>
                        <w:rFonts w:ascii="Cambria Math" w:hAnsi="Cambria Math" w:cs="Times New Roman"/>
                        <w:sz w:val="20"/>
                        <w:szCs w:val="20"/>
                      </w:rPr>
                    </m:ctrlPr>
                  </m:fPr>
                  <m:num>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F</m:t>
                        </m:r>
                      </m:e>
                      <m:sub>
                        <m:r>
                          <m:rPr>
                            <m:sty m:val="p"/>
                          </m:rPr>
                          <w:rPr>
                            <w:rFonts w:ascii="Cambria Math" w:hAnsi="Cambria Math" w:cs="Times New Roman"/>
                            <w:sz w:val="20"/>
                            <w:szCs w:val="20"/>
                          </w:rPr>
                          <m:t>net</m:t>
                        </m:r>
                      </m:sub>
                    </m:sSub>
                  </m:num>
                  <m:den>
                    <m:r>
                      <m:rPr>
                        <m:sty m:val="p"/>
                      </m:rPr>
                      <w:rPr>
                        <w:rFonts w:ascii="Cambria Math" w:hAnsi="Cambria Math" w:cs="Times New Roman"/>
                        <w:sz w:val="20"/>
                        <w:szCs w:val="20"/>
                      </w:rPr>
                      <m:t>∂</m:t>
                    </m:r>
                    <m:r>
                      <w:rPr>
                        <w:rFonts w:ascii="Cambria Math" w:hAnsi="Cambria Math" w:cs="Times New Roman"/>
                        <w:sz w:val="20"/>
                        <w:szCs w:val="20"/>
                      </w:rPr>
                      <m:t>p</m:t>
                    </m:r>
                  </m:den>
                </m:f>
              </m:e>
              <m:e/>
              <m:e>
                <m:r>
                  <m:rPr>
                    <m:nor/>
                  </m:rPr>
                  <w:rPr>
                    <w:rFonts w:ascii="Times New Roman" w:hAnsi="Times New Roman" w:cs="Times New Roman"/>
                    <w:sz w:val="20"/>
                    <w:szCs w:val="20"/>
                  </w:rPr>
                  <m:t>(6)</m:t>
                </m:r>
              </m:e>
            </m:mr>
          </m:m>
        </m:oMath>
      </m:oMathPara>
    </w:p>
    <w:p w14:paraId="00AB60A6"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where:</w:t>
      </w:r>
    </w:p>
    <w:p w14:paraId="49A768D7" w14:textId="77777777" w:rsidR="00310036" w:rsidRPr="00FA2968" w:rsidRDefault="00310036" w:rsidP="006E162B">
      <w:pPr>
        <w:numPr>
          <w:ilvl w:val="0"/>
          <w:numId w:val="7"/>
        </w:numPr>
        <w:jc w:val="both"/>
        <w:rPr>
          <w:rFonts w:ascii="Times New Roman" w:hAnsi="Times New Roman" w:cs="Times New Roman"/>
          <w:sz w:val="20"/>
          <w:szCs w:val="20"/>
        </w:rPr>
      </w:pPr>
      <w:r w:rsidRPr="00FA2968">
        <w:rPr>
          <w:rFonts w:ascii="Times New Roman" w:hAnsi="Times New Roman" w:cs="Times New Roman"/>
          <w:sz w:val="20"/>
          <w:szCs w:val="20"/>
        </w:rPr>
        <w:t>∂</w:t>
      </w:r>
      <w:r w:rsidRPr="00FA2968">
        <w:rPr>
          <w:rFonts w:ascii="Times New Roman" w:hAnsi="Times New Roman" w:cs="Times New Roman"/>
          <w:i/>
          <w:iCs/>
          <w:sz w:val="20"/>
          <w:szCs w:val="20"/>
        </w:rPr>
        <w:t>T</w:t>
      </w:r>
      <w:r w:rsidRPr="00FA2968">
        <w:rPr>
          <w:rFonts w:ascii="Times New Roman" w:hAnsi="Times New Roman" w:cs="Times New Roman"/>
          <w:sz w:val="20"/>
          <w:szCs w:val="20"/>
        </w:rPr>
        <w:t>/∂</w:t>
      </w:r>
      <w:r w:rsidRPr="00FA2968">
        <w:rPr>
          <w:rFonts w:ascii="Times New Roman" w:hAnsi="Times New Roman" w:cs="Times New Roman"/>
          <w:i/>
          <w:iCs/>
          <w:sz w:val="20"/>
          <w:szCs w:val="20"/>
        </w:rPr>
        <w:t>t</w:t>
      </w:r>
      <w:r w:rsidRPr="00FA2968">
        <w:rPr>
          <w:rFonts w:ascii="Times New Roman" w:hAnsi="Times New Roman" w:cs="Times New Roman"/>
          <w:sz w:val="20"/>
          <w:szCs w:val="20"/>
        </w:rPr>
        <w:t>|&lt;sub&gt;rad&lt;/sub&gt; = radiative heating rate (K s⁻¹)</w:t>
      </w:r>
    </w:p>
    <w:p w14:paraId="366DE436" w14:textId="77777777" w:rsidR="00310036" w:rsidRPr="00FA2968" w:rsidRDefault="00310036" w:rsidP="006E162B">
      <w:pPr>
        <w:numPr>
          <w:ilvl w:val="0"/>
          <w:numId w:val="7"/>
        </w:numPr>
        <w:jc w:val="both"/>
        <w:rPr>
          <w:rFonts w:ascii="Times New Roman" w:hAnsi="Times New Roman" w:cs="Times New Roman"/>
          <w:sz w:val="20"/>
          <w:szCs w:val="20"/>
        </w:rPr>
      </w:pPr>
      <w:r w:rsidRPr="00FA2968">
        <w:rPr>
          <w:rFonts w:ascii="Times New Roman" w:hAnsi="Times New Roman" w:cs="Times New Roman"/>
          <w:i/>
          <w:iCs/>
          <w:sz w:val="20"/>
          <w:szCs w:val="20"/>
        </w:rPr>
        <w:t>g</w:t>
      </w:r>
      <w:r w:rsidRPr="00FA2968">
        <w:rPr>
          <w:rFonts w:ascii="Times New Roman" w:hAnsi="Times New Roman" w:cs="Times New Roman"/>
          <w:sz w:val="20"/>
          <w:szCs w:val="20"/>
        </w:rPr>
        <w:t> = gravitational acceleration (9.81 m s⁻²)</w:t>
      </w:r>
    </w:p>
    <w:p w14:paraId="30D8C455" w14:textId="77777777" w:rsidR="00310036" w:rsidRPr="00FA2968" w:rsidRDefault="00310036" w:rsidP="006E162B">
      <w:pPr>
        <w:numPr>
          <w:ilvl w:val="0"/>
          <w:numId w:val="7"/>
        </w:numPr>
        <w:jc w:val="both"/>
        <w:rPr>
          <w:rFonts w:ascii="Times New Roman" w:hAnsi="Times New Roman" w:cs="Times New Roman"/>
          <w:sz w:val="20"/>
          <w:szCs w:val="20"/>
        </w:rPr>
      </w:pPr>
      <w:r w:rsidRPr="00FA2968">
        <w:rPr>
          <w:rFonts w:ascii="Times New Roman" w:hAnsi="Times New Roman" w:cs="Times New Roman"/>
          <w:i/>
          <w:iCs/>
          <w:sz w:val="20"/>
          <w:szCs w:val="20"/>
        </w:rPr>
        <w:t>c</w:t>
      </w:r>
      <w:r w:rsidRPr="00FA2968">
        <w:rPr>
          <w:rFonts w:ascii="Times New Roman" w:hAnsi="Times New Roman" w:cs="Times New Roman"/>
          <w:sz w:val="20"/>
          <w:szCs w:val="20"/>
        </w:rPr>
        <w:t>&lt;sub&gt;p&lt;/sub&gt; = specific heat of dry air at constant pressure (1005 J kg⁻¹ K⁻¹)</w:t>
      </w:r>
    </w:p>
    <w:p w14:paraId="06F0CD1F" w14:textId="77777777" w:rsidR="00310036" w:rsidRPr="00FA2968" w:rsidRDefault="00310036" w:rsidP="006E162B">
      <w:pPr>
        <w:numPr>
          <w:ilvl w:val="0"/>
          <w:numId w:val="7"/>
        </w:numPr>
        <w:jc w:val="both"/>
        <w:rPr>
          <w:rFonts w:ascii="Times New Roman" w:hAnsi="Times New Roman" w:cs="Times New Roman"/>
          <w:sz w:val="20"/>
          <w:szCs w:val="20"/>
        </w:rPr>
      </w:pPr>
      <w:r w:rsidRPr="00FA2968">
        <w:rPr>
          <w:rFonts w:ascii="Times New Roman" w:hAnsi="Times New Roman" w:cs="Times New Roman"/>
          <w:i/>
          <w:iCs/>
          <w:sz w:val="20"/>
          <w:szCs w:val="20"/>
        </w:rPr>
        <w:t>F</w:t>
      </w:r>
      <w:r w:rsidRPr="00FA2968">
        <w:rPr>
          <w:rFonts w:ascii="Times New Roman" w:hAnsi="Times New Roman" w:cs="Times New Roman"/>
          <w:sz w:val="20"/>
          <w:szCs w:val="20"/>
        </w:rPr>
        <w:t>&lt;sub&gt;net&lt;/sub&gt; = net radiative flux (W m⁻²)</w:t>
      </w:r>
    </w:p>
    <w:p w14:paraId="5EF9C260" w14:textId="77777777" w:rsidR="00310036" w:rsidRPr="00FA2968" w:rsidRDefault="00310036" w:rsidP="006E162B">
      <w:pPr>
        <w:numPr>
          <w:ilvl w:val="0"/>
          <w:numId w:val="7"/>
        </w:numPr>
        <w:jc w:val="both"/>
        <w:rPr>
          <w:rFonts w:ascii="Times New Roman" w:hAnsi="Times New Roman" w:cs="Times New Roman"/>
          <w:sz w:val="20"/>
          <w:szCs w:val="20"/>
        </w:rPr>
      </w:pPr>
      <w:r w:rsidRPr="00FA2968">
        <w:rPr>
          <w:rFonts w:ascii="Times New Roman" w:hAnsi="Times New Roman" w:cs="Times New Roman"/>
          <w:i/>
          <w:iCs/>
          <w:sz w:val="20"/>
          <w:szCs w:val="20"/>
        </w:rPr>
        <w:t>p</w:t>
      </w:r>
      <w:r w:rsidRPr="00FA2968">
        <w:rPr>
          <w:rFonts w:ascii="Times New Roman" w:hAnsi="Times New Roman" w:cs="Times New Roman"/>
          <w:sz w:val="20"/>
          <w:szCs w:val="20"/>
        </w:rPr>
        <w:t> = pressure (Pa)</w:t>
      </w:r>
    </w:p>
    <w:p w14:paraId="2EA2CBD8"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i/>
          <w:iCs/>
          <w:sz w:val="20"/>
          <w:szCs w:val="20"/>
        </w:rPr>
        <w:t>Note: The sign convention in Equation (6) follows the standard meteorological framework in which pressure decreases with height. In this review, the equation is applied qualitatively to interpret dust-induced lower-tropospheric heating from vertical divergence of the net radiative flux.</w:t>
      </w:r>
    </w:p>
    <w:p w14:paraId="3672F7AF" w14:textId="77777777" w:rsidR="00310036" w:rsidRPr="00FA2968" w:rsidRDefault="00310036"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2.5.5 Single Scattering Albedo</w:t>
      </w:r>
    </w:p>
    <w:p w14:paraId="7394C2B9"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The single scattering albedo (SSA), </w:t>
      </w:r>
      <w:r w:rsidRPr="00FA2968">
        <w:rPr>
          <w:rFonts w:ascii="Times New Roman" w:hAnsi="Times New Roman" w:cs="Times New Roman"/>
          <w:i/>
          <w:iCs/>
          <w:sz w:val="20"/>
          <w:szCs w:val="20"/>
        </w:rPr>
        <w:t>ω</w:t>
      </w:r>
      <w:r w:rsidRPr="00FA2968">
        <w:rPr>
          <w:rFonts w:ascii="Times New Roman" w:hAnsi="Times New Roman" w:cs="Times New Roman"/>
          <w:sz w:val="20"/>
          <w:szCs w:val="20"/>
        </w:rPr>
        <w:t>₀, determines whether aerosol forcing is dominated by scattering or absorption (Evan et al., 2014; Kok et al., 2017):</w:t>
      </w:r>
    </w:p>
    <w:p w14:paraId="2CFF1E5B" w14:textId="1AB19F51" w:rsidR="00310036" w:rsidRPr="00FA2968" w:rsidRDefault="00310036" w:rsidP="006E162B">
      <w:pPr>
        <w:jc w:val="both"/>
        <w:rPr>
          <w:rFonts w:ascii="Times New Roman" w:hAnsi="Times New Roman" w:cs="Times New Roman"/>
          <w:sz w:val="20"/>
          <w:szCs w:val="20"/>
        </w:rPr>
      </w:pPr>
      <m:oMathPara>
        <m:oMath>
          <m:m>
            <m:mPr>
              <m:plcHide m:val="1"/>
              <m:mcs>
                <m:mc>
                  <m:mcPr>
                    <m:count m:val="4"/>
                    <m:mcJc m:val="center"/>
                  </m:mcPr>
                </m:mc>
              </m:mcs>
              <m:ctrlPr>
                <w:rPr>
                  <w:rFonts w:ascii="Cambria Math" w:hAnsi="Cambria Math" w:cs="Times New Roman"/>
                  <w:sz w:val="20"/>
                  <w:szCs w:val="20"/>
                </w:rPr>
              </m:ctrlPr>
            </m:mPr>
            <m:mr>
              <m:e/>
              <m:e>
                <m:sSub>
                  <m:sSubPr>
                    <m:ctrlPr>
                      <w:rPr>
                        <w:rFonts w:ascii="Cambria Math" w:hAnsi="Cambria Math" w:cs="Times New Roman"/>
                        <w:sz w:val="20"/>
                        <w:szCs w:val="20"/>
                      </w:rPr>
                    </m:ctrlPr>
                  </m:sSubPr>
                  <m:e>
                    <m:r>
                      <w:rPr>
                        <w:rFonts w:ascii="Cambria Math" w:hAnsi="Cambria Math" w:cs="Times New Roman"/>
                        <w:sz w:val="20"/>
                        <w:szCs w:val="20"/>
                      </w:rPr>
                      <m:t>ω</m:t>
                    </m:r>
                  </m:e>
                  <m:sub>
                    <m:r>
                      <w:rPr>
                        <w:rFonts w:ascii="Cambria Math" w:hAnsi="Cambria Math" w:cs="Times New Roman"/>
                        <w:sz w:val="20"/>
                        <w:szCs w:val="20"/>
                      </w:rPr>
                      <m:t>0</m:t>
                    </m:r>
                  </m:sub>
                </m:sSub>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β</m:t>
                        </m:r>
                      </m:e>
                      <m:sub>
                        <m:r>
                          <m:rPr>
                            <m:sty m:val="p"/>
                          </m:rPr>
                          <w:rPr>
                            <w:rFonts w:ascii="Cambria Math" w:hAnsi="Cambria Math" w:cs="Times New Roman"/>
                            <w:sz w:val="20"/>
                            <w:szCs w:val="20"/>
                          </w:rPr>
                          <m:t>sca</m:t>
                        </m:r>
                      </m:sub>
                    </m:sSub>
                  </m:num>
                  <m:den>
                    <m:sSub>
                      <m:sSubPr>
                        <m:ctrlPr>
                          <w:rPr>
                            <w:rFonts w:ascii="Cambria Math" w:hAnsi="Cambria Math" w:cs="Times New Roman"/>
                            <w:sz w:val="20"/>
                            <w:szCs w:val="20"/>
                          </w:rPr>
                        </m:ctrlPr>
                      </m:sSubPr>
                      <m:e>
                        <m:r>
                          <w:rPr>
                            <w:rFonts w:ascii="Cambria Math" w:hAnsi="Cambria Math" w:cs="Times New Roman"/>
                            <w:sz w:val="20"/>
                            <w:szCs w:val="20"/>
                          </w:rPr>
                          <m:t>β</m:t>
                        </m:r>
                      </m:e>
                      <m:sub>
                        <m:r>
                          <m:rPr>
                            <m:sty m:val="p"/>
                          </m:rPr>
                          <w:rPr>
                            <w:rFonts w:ascii="Cambria Math" w:hAnsi="Cambria Math" w:cs="Times New Roman"/>
                            <w:sz w:val="20"/>
                            <w:szCs w:val="20"/>
                          </w:rPr>
                          <m:t>sca</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β</m:t>
                        </m:r>
                      </m:e>
                      <m:sub>
                        <m:r>
                          <m:rPr>
                            <m:sty m:val="p"/>
                          </m:rPr>
                          <w:rPr>
                            <w:rFonts w:ascii="Cambria Math" w:hAnsi="Cambria Math" w:cs="Times New Roman"/>
                            <w:sz w:val="20"/>
                            <w:szCs w:val="20"/>
                          </w:rPr>
                          <m:t>abs</m:t>
                        </m:r>
                      </m:sub>
                    </m:sSub>
                  </m:den>
                </m:f>
              </m:e>
              <m:e/>
              <m:e>
                <m:r>
                  <m:rPr>
                    <m:nor/>
                  </m:rPr>
                  <w:rPr>
                    <w:rFonts w:ascii="Times New Roman" w:hAnsi="Times New Roman" w:cs="Times New Roman"/>
                    <w:sz w:val="20"/>
                    <w:szCs w:val="20"/>
                  </w:rPr>
                  <m:t>(7)</m:t>
                </m:r>
              </m:e>
            </m:mr>
          </m:m>
          <m:r>
            <w:rPr>
              <w:rFonts w:ascii="Times New Roman" w:hAnsi="Times New Roman" w:cs="Times New Roman"/>
              <w:sz w:val="20"/>
              <w:szCs w:val="20"/>
            </w:rPr>
            <w:br/>
          </m:r>
        </m:oMath>
      </m:oMathPara>
    </w:p>
    <w:p w14:paraId="523C594E"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where:</w:t>
      </w:r>
    </w:p>
    <w:p w14:paraId="703AF3C7" w14:textId="77777777" w:rsidR="00310036" w:rsidRPr="00FA2968" w:rsidRDefault="00310036" w:rsidP="006E162B">
      <w:pPr>
        <w:numPr>
          <w:ilvl w:val="0"/>
          <w:numId w:val="8"/>
        </w:numPr>
        <w:jc w:val="both"/>
        <w:rPr>
          <w:rFonts w:ascii="Times New Roman" w:hAnsi="Times New Roman" w:cs="Times New Roman"/>
          <w:sz w:val="20"/>
          <w:szCs w:val="20"/>
        </w:rPr>
      </w:pPr>
      <w:r w:rsidRPr="00FA2968">
        <w:rPr>
          <w:rFonts w:ascii="Times New Roman" w:hAnsi="Times New Roman" w:cs="Times New Roman"/>
          <w:i/>
          <w:iCs/>
          <w:sz w:val="20"/>
          <w:szCs w:val="20"/>
        </w:rPr>
        <w:t>ω</w:t>
      </w:r>
      <w:r w:rsidRPr="00FA2968">
        <w:rPr>
          <w:rFonts w:ascii="Times New Roman" w:hAnsi="Times New Roman" w:cs="Times New Roman"/>
          <w:sz w:val="20"/>
          <w:szCs w:val="20"/>
        </w:rPr>
        <w:t>₀ = single scattering albedo (dimensionless, 0 ≤ </w:t>
      </w:r>
      <w:r w:rsidRPr="00FA2968">
        <w:rPr>
          <w:rFonts w:ascii="Times New Roman" w:hAnsi="Times New Roman" w:cs="Times New Roman"/>
          <w:i/>
          <w:iCs/>
          <w:sz w:val="20"/>
          <w:szCs w:val="20"/>
        </w:rPr>
        <w:t>ω</w:t>
      </w:r>
      <w:r w:rsidRPr="00FA2968">
        <w:rPr>
          <w:rFonts w:ascii="Times New Roman" w:hAnsi="Times New Roman" w:cs="Times New Roman"/>
          <w:sz w:val="20"/>
          <w:szCs w:val="20"/>
        </w:rPr>
        <w:t>₀ ≤ 1)</w:t>
      </w:r>
    </w:p>
    <w:p w14:paraId="20A70F75" w14:textId="77777777" w:rsidR="00310036" w:rsidRPr="00FA2968" w:rsidRDefault="00310036" w:rsidP="006E162B">
      <w:pPr>
        <w:numPr>
          <w:ilvl w:val="0"/>
          <w:numId w:val="8"/>
        </w:numPr>
        <w:jc w:val="both"/>
        <w:rPr>
          <w:rFonts w:ascii="Times New Roman" w:hAnsi="Times New Roman" w:cs="Times New Roman"/>
          <w:sz w:val="20"/>
          <w:szCs w:val="20"/>
        </w:rPr>
      </w:pPr>
      <w:r w:rsidRPr="00FA2968">
        <w:rPr>
          <w:rFonts w:ascii="Times New Roman" w:hAnsi="Times New Roman" w:cs="Times New Roman"/>
          <w:i/>
          <w:iCs/>
          <w:sz w:val="20"/>
          <w:szCs w:val="20"/>
        </w:rPr>
        <w:t>β</w:t>
      </w:r>
      <w:r w:rsidRPr="00FA2968">
        <w:rPr>
          <w:rFonts w:ascii="Times New Roman" w:hAnsi="Times New Roman" w:cs="Times New Roman"/>
          <w:sz w:val="20"/>
          <w:szCs w:val="20"/>
        </w:rPr>
        <w:t>&lt;sub&gt;</w:t>
      </w:r>
      <w:proofErr w:type="spellStart"/>
      <w:r w:rsidRPr="00FA2968">
        <w:rPr>
          <w:rFonts w:ascii="Times New Roman" w:hAnsi="Times New Roman" w:cs="Times New Roman"/>
          <w:sz w:val="20"/>
          <w:szCs w:val="20"/>
        </w:rPr>
        <w:t>sca</w:t>
      </w:r>
      <w:proofErr w:type="spellEnd"/>
      <w:r w:rsidRPr="00FA2968">
        <w:rPr>
          <w:rFonts w:ascii="Times New Roman" w:hAnsi="Times New Roman" w:cs="Times New Roman"/>
          <w:sz w:val="20"/>
          <w:szCs w:val="20"/>
        </w:rPr>
        <w:t>&lt;/sub&gt; = scattering coefficient (m⁻¹)</w:t>
      </w:r>
    </w:p>
    <w:p w14:paraId="4408C037" w14:textId="77777777" w:rsidR="00310036" w:rsidRPr="00FA2968" w:rsidRDefault="00310036" w:rsidP="006E162B">
      <w:pPr>
        <w:numPr>
          <w:ilvl w:val="0"/>
          <w:numId w:val="8"/>
        </w:numPr>
        <w:jc w:val="both"/>
        <w:rPr>
          <w:rFonts w:ascii="Times New Roman" w:hAnsi="Times New Roman" w:cs="Times New Roman"/>
          <w:sz w:val="20"/>
          <w:szCs w:val="20"/>
        </w:rPr>
      </w:pPr>
      <w:r w:rsidRPr="00FA2968">
        <w:rPr>
          <w:rFonts w:ascii="Times New Roman" w:hAnsi="Times New Roman" w:cs="Times New Roman"/>
          <w:i/>
          <w:iCs/>
          <w:sz w:val="20"/>
          <w:szCs w:val="20"/>
        </w:rPr>
        <w:t>β</w:t>
      </w:r>
      <w:r w:rsidRPr="00FA2968">
        <w:rPr>
          <w:rFonts w:ascii="Times New Roman" w:hAnsi="Times New Roman" w:cs="Times New Roman"/>
          <w:sz w:val="20"/>
          <w:szCs w:val="20"/>
        </w:rPr>
        <w:t>&lt;sub&gt;abs&lt;/sub&gt; = absorption coefficient (m⁻¹)</w:t>
      </w:r>
    </w:p>
    <w:p w14:paraId="1EC2C71D"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For Saharan and </w:t>
      </w:r>
      <w:proofErr w:type="spellStart"/>
      <w:r w:rsidRPr="00FA2968">
        <w:rPr>
          <w:rFonts w:ascii="Times New Roman" w:hAnsi="Times New Roman" w:cs="Times New Roman"/>
          <w:sz w:val="20"/>
          <w:szCs w:val="20"/>
        </w:rPr>
        <w:t>Bodélé</w:t>
      </w:r>
      <w:proofErr w:type="spellEnd"/>
      <w:r w:rsidRPr="00FA2968">
        <w:rPr>
          <w:rFonts w:ascii="Times New Roman" w:hAnsi="Times New Roman" w:cs="Times New Roman"/>
          <w:sz w:val="20"/>
          <w:szCs w:val="20"/>
        </w:rPr>
        <w:t>-sourced dust, </w:t>
      </w:r>
      <w:r w:rsidRPr="00FA2968">
        <w:rPr>
          <w:rFonts w:ascii="Times New Roman" w:hAnsi="Times New Roman" w:cs="Times New Roman"/>
          <w:i/>
          <w:iCs/>
          <w:sz w:val="20"/>
          <w:szCs w:val="20"/>
        </w:rPr>
        <w:t>ω</w:t>
      </w:r>
      <w:r w:rsidRPr="00FA2968">
        <w:rPr>
          <w:rFonts w:ascii="Times New Roman" w:hAnsi="Times New Roman" w:cs="Times New Roman"/>
          <w:sz w:val="20"/>
          <w:szCs w:val="20"/>
        </w:rPr>
        <w:t>₀ at 550 nm typically lies in the range 0.85 ≤ </w:t>
      </w:r>
      <w:r w:rsidRPr="00FA2968">
        <w:rPr>
          <w:rFonts w:ascii="Times New Roman" w:hAnsi="Times New Roman" w:cs="Times New Roman"/>
          <w:i/>
          <w:iCs/>
          <w:sz w:val="20"/>
          <w:szCs w:val="20"/>
        </w:rPr>
        <w:t>ω</w:t>
      </w:r>
      <w:r w:rsidRPr="00FA2968">
        <w:rPr>
          <w:rFonts w:ascii="Times New Roman" w:hAnsi="Times New Roman" w:cs="Times New Roman"/>
          <w:sz w:val="20"/>
          <w:szCs w:val="20"/>
        </w:rPr>
        <w:t>₀ ≤ 0.92.</w:t>
      </w:r>
    </w:p>
    <w:p w14:paraId="315D61CD" w14:textId="77777777" w:rsidR="00310036" w:rsidRPr="00FA2968" w:rsidRDefault="00310036"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2.5.6 Static Stability and Convective Inhibition</w:t>
      </w:r>
    </w:p>
    <w:p w14:paraId="667DCD23"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The thermodynamic response of the lower atmosphere to dust forcing is characterised by the Brunt–</w:t>
      </w:r>
      <w:proofErr w:type="spellStart"/>
      <w:r w:rsidRPr="00FA2968">
        <w:rPr>
          <w:rFonts w:ascii="Times New Roman" w:hAnsi="Times New Roman" w:cs="Times New Roman"/>
          <w:sz w:val="20"/>
          <w:szCs w:val="20"/>
        </w:rPr>
        <w:t>Väisälä</w:t>
      </w:r>
      <w:proofErr w:type="spellEnd"/>
      <w:r w:rsidRPr="00FA2968">
        <w:rPr>
          <w:rFonts w:ascii="Times New Roman" w:hAnsi="Times New Roman" w:cs="Times New Roman"/>
          <w:sz w:val="20"/>
          <w:szCs w:val="20"/>
        </w:rPr>
        <w:t xml:space="preserve"> frequency </w:t>
      </w:r>
      <w:r w:rsidRPr="00FA2968">
        <w:rPr>
          <w:rFonts w:ascii="Times New Roman" w:hAnsi="Times New Roman" w:cs="Times New Roman"/>
          <w:i/>
          <w:iCs/>
          <w:sz w:val="20"/>
          <w:szCs w:val="20"/>
        </w:rPr>
        <w:t>N</w:t>
      </w:r>
      <w:r w:rsidRPr="00FA2968">
        <w:rPr>
          <w:rFonts w:ascii="Times New Roman" w:hAnsi="Times New Roman" w:cs="Times New Roman"/>
          <w:sz w:val="20"/>
          <w:szCs w:val="20"/>
        </w:rPr>
        <w:t> (</w:t>
      </w:r>
      <w:proofErr w:type="spellStart"/>
      <w:r w:rsidRPr="00FA2968">
        <w:rPr>
          <w:rFonts w:ascii="Times New Roman" w:hAnsi="Times New Roman" w:cs="Times New Roman"/>
          <w:sz w:val="20"/>
          <w:szCs w:val="20"/>
        </w:rPr>
        <w:t>N'Datchoh</w:t>
      </w:r>
      <w:proofErr w:type="spellEnd"/>
      <w:r w:rsidRPr="00FA2968">
        <w:rPr>
          <w:rFonts w:ascii="Times New Roman" w:hAnsi="Times New Roman" w:cs="Times New Roman"/>
          <w:sz w:val="20"/>
          <w:szCs w:val="20"/>
        </w:rPr>
        <w:t xml:space="preserve"> et al., 2018):</w:t>
      </w:r>
    </w:p>
    <w:p w14:paraId="0333A57D" w14:textId="3C83C88D" w:rsidR="00310036" w:rsidRPr="00FA2968" w:rsidRDefault="00310036" w:rsidP="006E162B">
      <w:pPr>
        <w:jc w:val="both"/>
        <w:rPr>
          <w:rFonts w:ascii="Times New Roman" w:hAnsi="Times New Roman" w:cs="Times New Roman"/>
          <w:sz w:val="20"/>
          <w:szCs w:val="20"/>
        </w:rPr>
      </w:pPr>
      <m:oMathPara>
        <m:oMath>
          <m:m>
            <m:mPr>
              <m:plcHide m:val="1"/>
              <m:mcs>
                <m:mc>
                  <m:mcPr>
                    <m:count m:val="4"/>
                    <m:mcJc m:val="center"/>
                  </m:mcPr>
                </m:mc>
              </m:mcs>
              <m:ctrlPr>
                <w:rPr>
                  <w:rFonts w:ascii="Cambria Math" w:hAnsi="Cambria Math" w:cs="Times New Roman"/>
                  <w:sz w:val="20"/>
                  <w:szCs w:val="20"/>
                </w:rPr>
              </m:ctrlPr>
            </m:mPr>
            <m:mr>
              <m:e/>
              <m:e>
                <m:sSup>
                  <m:sSupPr>
                    <m:ctrlPr>
                      <w:rPr>
                        <w:rFonts w:ascii="Cambria Math" w:hAnsi="Cambria Math" w:cs="Times New Roman"/>
                        <w:sz w:val="20"/>
                        <w:szCs w:val="20"/>
                      </w:rPr>
                    </m:ctrlPr>
                  </m:sSupPr>
                  <m:e>
                    <m:r>
                      <w:rPr>
                        <w:rFonts w:ascii="Cambria Math" w:hAnsi="Cambria Math" w:cs="Times New Roman"/>
                        <w:sz w:val="20"/>
                        <w:szCs w:val="20"/>
                      </w:rPr>
                      <m:t>N</m:t>
                    </m:r>
                  </m:e>
                  <m:sup>
                    <m:r>
                      <w:rPr>
                        <w:rFonts w:ascii="Cambria Math" w:hAnsi="Cambria Math" w:cs="Times New Roman"/>
                        <w:sz w:val="20"/>
                        <w:szCs w:val="20"/>
                      </w:rPr>
                      <m:t>2</m:t>
                    </m:r>
                  </m:sup>
                </m:sSup>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f>
                  <m:fPr>
                    <m:ctrlPr>
                      <w:rPr>
                        <w:rFonts w:ascii="Cambria Math" w:hAnsi="Cambria Math" w:cs="Times New Roman"/>
                        <w:sz w:val="20"/>
                        <w:szCs w:val="20"/>
                      </w:rPr>
                    </m:ctrlPr>
                  </m:fPr>
                  <m:num>
                    <m:r>
                      <w:rPr>
                        <w:rFonts w:ascii="Cambria Math" w:hAnsi="Cambria Math" w:cs="Times New Roman"/>
                        <w:sz w:val="20"/>
                        <w:szCs w:val="20"/>
                      </w:rPr>
                      <m:t>g</m:t>
                    </m:r>
                  </m:num>
                  <m:den>
                    <m:r>
                      <w:rPr>
                        <w:rFonts w:ascii="Cambria Math" w:hAnsi="Cambria Math" w:cs="Times New Roman"/>
                        <w:sz w:val="20"/>
                        <w:szCs w:val="20"/>
                      </w:rPr>
                      <m:t>θ</m:t>
                    </m:r>
                  </m:den>
                </m:f>
                <m:r>
                  <m:rPr>
                    <m:nor/>
                  </m:rPr>
                  <w:rPr>
                    <w:rFonts w:ascii="Times New Roman" w:hAnsi="Times New Roman" w:cs="Times New Roman"/>
                    <w:sz w:val="20"/>
                    <w:szCs w:val="20"/>
                  </w:rPr>
                  <m:t> </m:t>
                </m:r>
                <m:f>
                  <m:fPr>
                    <m:ctrlPr>
                      <w:rPr>
                        <w:rFonts w:ascii="Cambria Math" w:hAnsi="Cambria Math" w:cs="Times New Roman"/>
                        <w:sz w:val="20"/>
                        <w:szCs w:val="20"/>
                      </w:rPr>
                    </m:ctrlPr>
                  </m:fPr>
                  <m:num>
                    <m:r>
                      <m:rPr>
                        <m:sty m:val="p"/>
                      </m:rPr>
                      <w:rPr>
                        <w:rFonts w:ascii="Cambria Math" w:hAnsi="Cambria Math" w:cs="Times New Roman"/>
                        <w:sz w:val="20"/>
                        <w:szCs w:val="20"/>
                      </w:rPr>
                      <m:t>∂</m:t>
                    </m:r>
                    <m:r>
                      <w:rPr>
                        <w:rFonts w:ascii="Cambria Math" w:hAnsi="Cambria Math" w:cs="Times New Roman"/>
                        <w:sz w:val="20"/>
                        <w:szCs w:val="20"/>
                      </w:rPr>
                      <m:t>θ</m:t>
                    </m:r>
                  </m:num>
                  <m:den>
                    <m:r>
                      <m:rPr>
                        <m:sty m:val="p"/>
                      </m:rPr>
                      <w:rPr>
                        <w:rFonts w:ascii="Cambria Math" w:hAnsi="Cambria Math" w:cs="Times New Roman"/>
                        <w:sz w:val="20"/>
                        <w:szCs w:val="20"/>
                      </w:rPr>
                      <m:t>∂</m:t>
                    </m:r>
                    <m:r>
                      <w:rPr>
                        <w:rFonts w:ascii="Cambria Math" w:hAnsi="Cambria Math" w:cs="Times New Roman"/>
                        <w:sz w:val="20"/>
                        <w:szCs w:val="20"/>
                      </w:rPr>
                      <m:t>z</m:t>
                    </m:r>
                  </m:den>
                </m:f>
              </m:e>
              <m:e/>
              <m:e>
                <m:r>
                  <m:rPr>
                    <m:nor/>
                  </m:rPr>
                  <w:rPr>
                    <w:rFonts w:ascii="Times New Roman" w:hAnsi="Times New Roman" w:cs="Times New Roman"/>
                    <w:sz w:val="20"/>
                    <w:szCs w:val="20"/>
                  </w:rPr>
                  <m:t>(8)</m:t>
                </m:r>
              </m:e>
            </m:mr>
          </m:m>
          <m:r>
            <w:rPr>
              <w:rFonts w:ascii="Times New Roman" w:hAnsi="Times New Roman" w:cs="Times New Roman"/>
              <w:sz w:val="20"/>
              <w:szCs w:val="20"/>
            </w:rPr>
            <w:br/>
          </m:r>
        </m:oMath>
      </m:oMathPara>
    </w:p>
    <w:p w14:paraId="6F6063DB"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where:</w:t>
      </w:r>
    </w:p>
    <w:p w14:paraId="5FE3B248" w14:textId="77777777" w:rsidR="00310036" w:rsidRPr="00FA2968" w:rsidRDefault="00310036" w:rsidP="006E162B">
      <w:pPr>
        <w:numPr>
          <w:ilvl w:val="0"/>
          <w:numId w:val="9"/>
        </w:numPr>
        <w:jc w:val="both"/>
        <w:rPr>
          <w:rFonts w:ascii="Times New Roman" w:hAnsi="Times New Roman" w:cs="Times New Roman"/>
          <w:sz w:val="20"/>
          <w:szCs w:val="20"/>
        </w:rPr>
      </w:pPr>
      <w:r w:rsidRPr="00FA2968">
        <w:rPr>
          <w:rFonts w:ascii="Times New Roman" w:hAnsi="Times New Roman" w:cs="Times New Roman"/>
          <w:i/>
          <w:iCs/>
          <w:sz w:val="20"/>
          <w:szCs w:val="20"/>
        </w:rPr>
        <w:t>N</w:t>
      </w:r>
      <w:r w:rsidRPr="00FA2968">
        <w:rPr>
          <w:rFonts w:ascii="Times New Roman" w:hAnsi="Times New Roman" w:cs="Times New Roman"/>
          <w:sz w:val="20"/>
          <w:szCs w:val="20"/>
        </w:rPr>
        <w:t> = Brunt–</w:t>
      </w:r>
      <w:proofErr w:type="spellStart"/>
      <w:r w:rsidRPr="00FA2968">
        <w:rPr>
          <w:rFonts w:ascii="Times New Roman" w:hAnsi="Times New Roman" w:cs="Times New Roman"/>
          <w:sz w:val="20"/>
          <w:szCs w:val="20"/>
        </w:rPr>
        <w:t>Väisälä</w:t>
      </w:r>
      <w:proofErr w:type="spellEnd"/>
      <w:r w:rsidRPr="00FA2968">
        <w:rPr>
          <w:rFonts w:ascii="Times New Roman" w:hAnsi="Times New Roman" w:cs="Times New Roman"/>
          <w:sz w:val="20"/>
          <w:szCs w:val="20"/>
        </w:rPr>
        <w:t xml:space="preserve"> frequency (s⁻¹)</w:t>
      </w:r>
    </w:p>
    <w:p w14:paraId="3D3B7050" w14:textId="77777777" w:rsidR="00310036" w:rsidRPr="00FA2968" w:rsidRDefault="00310036" w:rsidP="006E162B">
      <w:pPr>
        <w:numPr>
          <w:ilvl w:val="0"/>
          <w:numId w:val="9"/>
        </w:numPr>
        <w:jc w:val="both"/>
        <w:rPr>
          <w:rFonts w:ascii="Times New Roman" w:hAnsi="Times New Roman" w:cs="Times New Roman"/>
          <w:sz w:val="20"/>
          <w:szCs w:val="20"/>
        </w:rPr>
      </w:pPr>
      <w:r w:rsidRPr="00FA2968">
        <w:rPr>
          <w:rFonts w:ascii="Times New Roman" w:hAnsi="Times New Roman" w:cs="Times New Roman"/>
          <w:i/>
          <w:iCs/>
          <w:sz w:val="20"/>
          <w:szCs w:val="20"/>
        </w:rPr>
        <w:t>θ</w:t>
      </w:r>
      <w:r w:rsidRPr="00FA2968">
        <w:rPr>
          <w:rFonts w:ascii="Times New Roman" w:hAnsi="Times New Roman" w:cs="Times New Roman"/>
          <w:sz w:val="20"/>
          <w:szCs w:val="20"/>
        </w:rPr>
        <w:t> = potential temperature (K)</w:t>
      </w:r>
    </w:p>
    <w:p w14:paraId="2C508614" w14:textId="77777777" w:rsidR="00310036" w:rsidRPr="00FA2968" w:rsidRDefault="00310036" w:rsidP="006E162B">
      <w:pPr>
        <w:numPr>
          <w:ilvl w:val="0"/>
          <w:numId w:val="9"/>
        </w:numPr>
        <w:jc w:val="both"/>
        <w:rPr>
          <w:rFonts w:ascii="Times New Roman" w:hAnsi="Times New Roman" w:cs="Times New Roman"/>
          <w:sz w:val="20"/>
          <w:szCs w:val="20"/>
        </w:rPr>
      </w:pPr>
      <w:r w:rsidRPr="00FA2968">
        <w:rPr>
          <w:rFonts w:ascii="Times New Roman" w:hAnsi="Times New Roman" w:cs="Times New Roman"/>
          <w:i/>
          <w:iCs/>
          <w:sz w:val="20"/>
          <w:szCs w:val="20"/>
        </w:rPr>
        <w:t>z</w:t>
      </w:r>
      <w:r w:rsidRPr="00FA2968">
        <w:rPr>
          <w:rFonts w:ascii="Times New Roman" w:hAnsi="Times New Roman" w:cs="Times New Roman"/>
          <w:sz w:val="20"/>
          <w:szCs w:val="20"/>
        </w:rPr>
        <w:t> = altitude (m)</w:t>
      </w:r>
    </w:p>
    <w:p w14:paraId="28347F04"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lastRenderedPageBreak/>
        <w:t>A positive value of </w:t>
      </w:r>
      <w:r w:rsidRPr="00FA2968">
        <w:rPr>
          <w:rFonts w:ascii="Times New Roman" w:hAnsi="Times New Roman" w:cs="Times New Roman"/>
          <w:i/>
          <w:iCs/>
          <w:sz w:val="20"/>
          <w:szCs w:val="20"/>
        </w:rPr>
        <w:t>N</w:t>
      </w:r>
      <w:r w:rsidRPr="00FA2968">
        <w:rPr>
          <w:rFonts w:ascii="Times New Roman" w:hAnsi="Times New Roman" w:cs="Times New Roman"/>
          <w:sz w:val="20"/>
          <w:szCs w:val="20"/>
        </w:rPr>
        <w:t>² indicates a statically stable layer. The energy barrier suppressing deep convection is quantified by the Convective Inhibition (CIN):</w:t>
      </w:r>
    </w:p>
    <w:p w14:paraId="00F97674" w14:textId="55B18076" w:rsidR="00310036" w:rsidRPr="00FA2968" w:rsidRDefault="00310036" w:rsidP="006E162B">
      <w:pPr>
        <w:jc w:val="both"/>
        <w:rPr>
          <w:rFonts w:ascii="Times New Roman" w:hAnsi="Times New Roman" w:cs="Times New Roman"/>
          <w:sz w:val="20"/>
          <w:szCs w:val="20"/>
        </w:rPr>
      </w:pPr>
      <m:oMathPara>
        <m:oMath>
          <m:m>
            <m:mPr>
              <m:plcHide m:val="1"/>
              <m:mcs>
                <m:mc>
                  <m:mcPr>
                    <m:count m:val="4"/>
                    <m:mcJc m:val="center"/>
                  </m:mcPr>
                </m:mc>
              </m:mcs>
              <m:ctrlPr>
                <w:rPr>
                  <w:rFonts w:ascii="Cambria Math" w:hAnsi="Cambria Math" w:cs="Times New Roman"/>
                  <w:sz w:val="20"/>
                  <w:szCs w:val="20"/>
                </w:rPr>
              </m:ctrlPr>
            </m:mPr>
            <m:mr>
              <m:e/>
              <m:e>
                <m:r>
                  <m:rPr>
                    <m:sty m:val="p"/>
                  </m:rPr>
                  <w:rPr>
                    <w:rFonts w:ascii="Cambria Math" w:hAnsi="Cambria Math" w:cs="Times New Roman"/>
                    <w:sz w:val="20"/>
                    <w:szCs w:val="20"/>
                  </w:rPr>
                  <m:t>CIN</m:t>
                </m:r>
                <m:r>
                  <m:rPr>
                    <m:nor/>
                  </m:rPr>
                  <w:rPr>
                    <w:rFonts w:ascii="Times New Roman" w:hAnsi="Times New Roman" w:cs="Times New Roman"/>
                    <w:sz w:val="20"/>
                    <w:szCs w:val="20"/>
                  </w:rPr>
                  <m:t>  </m:t>
                </m:r>
                <m:r>
                  <w:rPr>
                    <w:rFonts w:ascii="Cambria Math" w:hAnsi="Cambria Math" w:cs="Times New Roman"/>
                    <w:sz w:val="20"/>
                    <w:szCs w:val="20"/>
                  </w:rPr>
                  <m:t>=-</m:t>
                </m:r>
                <m:nary>
                  <m:naryPr>
                    <m:limLoc m:val="subSup"/>
                    <m:grow m:val="1"/>
                    <m:ctrlPr>
                      <w:rPr>
                        <w:rFonts w:ascii="Cambria Math" w:hAnsi="Cambria Math" w:cs="Times New Roman"/>
                        <w:sz w:val="20"/>
                        <w:szCs w:val="20"/>
                      </w:rPr>
                    </m:ctrlPr>
                  </m:naryPr>
                  <m:sub>
                    <m:sSub>
                      <m:sSubPr>
                        <m:ctrlPr>
                          <w:rPr>
                            <w:rFonts w:ascii="Cambria Math" w:hAnsi="Cambria Math" w:cs="Times New Roman"/>
                            <w:sz w:val="20"/>
                            <w:szCs w:val="20"/>
                          </w:rPr>
                        </m:ctrlPr>
                      </m:sSubPr>
                      <m:e>
                        <m:r>
                          <w:rPr>
                            <w:rFonts w:ascii="Cambria Math" w:hAnsi="Cambria Math" w:cs="Times New Roman"/>
                            <w:sz w:val="20"/>
                            <w:szCs w:val="20"/>
                          </w:rPr>
                          <m:t>z</m:t>
                        </m:r>
                      </m:e>
                      <m:sub>
                        <m:r>
                          <w:rPr>
                            <w:rFonts w:ascii="Cambria Math" w:hAnsi="Cambria Math" w:cs="Times New Roman"/>
                            <w:sz w:val="20"/>
                            <w:szCs w:val="20"/>
                          </w:rPr>
                          <m:t>s</m:t>
                        </m:r>
                      </m:sub>
                    </m:sSub>
                  </m:sub>
                  <m:sup>
                    <m:sSub>
                      <m:sSubPr>
                        <m:ctrlPr>
                          <w:rPr>
                            <w:rFonts w:ascii="Cambria Math" w:hAnsi="Cambria Math" w:cs="Times New Roman"/>
                            <w:sz w:val="20"/>
                            <w:szCs w:val="20"/>
                          </w:rPr>
                        </m:ctrlPr>
                      </m:sSubPr>
                      <m:e>
                        <m:r>
                          <w:rPr>
                            <w:rFonts w:ascii="Cambria Math" w:hAnsi="Cambria Math" w:cs="Times New Roman"/>
                            <w:sz w:val="20"/>
                            <w:szCs w:val="20"/>
                          </w:rPr>
                          <m:t>z</m:t>
                        </m:r>
                      </m:e>
                      <m:sub>
                        <m:r>
                          <m:rPr>
                            <m:sty m:val="p"/>
                          </m:rPr>
                          <w:rPr>
                            <w:rFonts w:ascii="Cambria Math" w:hAnsi="Cambria Math" w:cs="Times New Roman"/>
                            <w:sz w:val="20"/>
                            <w:szCs w:val="20"/>
                          </w:rPr>
                          <m:t>LFC</m:t>
                        </m:r>
                      </m:sub>
                    </m:sSub>
                  </m:sup>
                  <m:e>
                    <m:r>
                      <w:rPr>
                        <w:rFonts w:ascii="Cambria Math" w:hAnsi="Cambria Math" w:cs="Times New Roman"/>
                        <w:sz w:val="20"/>
                        <w:szCs w:val="20"/>
                      </w:rPr>
                      <m:t>g</m:t>
                    </m:r>
                    <m:r>
                      <m:rPr>
                        <m:nor/>
                      </m:rPr>
                      <w:rPr>
                        <w:rFonts w:ascii="Times New Roman" w:hAnsi="Times New Roman" w:cs="Times New Roman"/>
                        <w:sz w:val="20"/>
                        <w:szCs w:val="20"/>
                      </w:rPr>
                      <m:t> </m:t>
                    </m:r>
                  </m:e>
                </m:nary>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T</m:t>
                        </m:r>
                      </m:e>
                      <m:sub>
                        <m:r>
                          <w:rPr>
                            <w:rFonts w:ascii="Cambria Math" w:hAnsi="Cambria Math" w:cs="Times New Roman"/>
                            <w:sz w:val="20"/>
                            <w:szCs w:val="20"/>
                          </w:rPr>
                          <m:t>v,p</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T</m:t>
                        </m:r>
                      </m:e>
                      <m:sub>
                        <m:r>
                          <w:rPr>
                            <w:rFonts w:ascii="Cambria Math" w:hAnsi="Cambria Math" w:cs="Times New Roman"/>
                            <w:sz w:val="20"/>
                            <w:szCs w:val="20"/>
                          </w:rPr>
                          <m:t>v,e</m:t>
                        </m:r>
                      </m:sub>
                    </m:sSub>
                  </m:num>
                  <m:den>
                    <m:sSub>
                      <m:sSubPr>
                        <m:ctrlPr>
                          <w:rPr>
                            <w:rFonts w:ascii="Cambria Math" w:hAnsi="Cambria Math" w:cs="Times New Roman"/>
                            <w:sz w:val="20"/>
                            <w:szCs w:val="20"/>
                          </w:rPr>
                        </m:ctrlPr>
                      </m:sSubPr>
                      <m:e>
                        <m:r>
                          <w:rPr>
                            <w:rFonts w:ascii="Cambria Math" w:hAnsi="Cambria Math" w:cs="Times New Roman"/>
                            <w:sz w:val="20"/>
                            <w:szCs w:val="20"/>
                          </w:rPr>
                          <m:t>T</m:t>
                        </m:r>
                      </m:e>
                      <m:sub>
                        <m:r>
                          <w:rPr>
                            <w:rFonts w:ascii="Cambria Math" w:hAnsi="Cambria Math" w:cs="Times New Roman"/>
                            <w:sz w:val="20"/>
                            <w:szCs w:val="20"/>
                          </w:rPr>
                          <m:t>v,e</m:t>
                        </m:r>
                      </m:sub>
                    </m:sSub>
                  </m:den>
                </m:f>
                <m:r>
                  <m:rPr>
                    <m:nor/>
                  </m:rPr>
                  <w:rPr>
                    <w:rFonts w:ascii="Times New Roman" w:hAnsi="Times New Roman" w:cs="Times New Roman"/>
                    <w:sz w:val="20"/>
                    <w:szCs w:val="20"/>
                  </w:rPr>
                  <m:t> </m:t>
                </m:r>
                <m:r>
                  <m:rPr>
                    <m:sty m:val="p"/>
                  </m:rPr>
                  <w:rPr>
                    <w:rFonts w:ascii="Cambria Math" w:hAnsi="Cambria Math" w:cs="Times New Roman"/>
                    <w:sz w:val="20"/>
                    <w:szCs w:val="20"/>
                  </w:rPr>
                  <m:t>d</m:t>
                </m:r>
                <m:r>
                  <w:rPr>
                    <w:rFonts w:ascii="Cambria Math" w:hAnsi="Cambria Math" w:cs="Times New Roman"/>
                    <w:sz w:val="20"/>
                    <w:szCs w:val="20"/>
                  </w:rPr>
                  <m:t>z</m:t>
                </m:r>
              </m:e>
              <m:e/>
              <m:e>
                <m:r>
                  <m:rPr>
                    <m:nor/>
                  </m:rPr>
                  <w:rPr>
                    <w:rFonts w:ascii="Times New Roman" w:hAnsi="Times New Roman" w:cs="Times New Roman"/>
                    <w:sz w:val="20"/>
                    <w:szCs w:val="20"/>
                  </w:rPr>
                  <m:t>(9)</m:t>
                </m:r>
              </m:e>
            </m:mr>
          </m:m>
          <m:r>
            <w:rPr>
              <w:rFonts w:ascii="Times New Roman" w:hAnsi="Times New Roman" w:cs="Times New Roman"/>
              <w:sz w:val="20"/>
              <w:szCs w:val="20"/>
            </w:rPr>
            <w:br/>
          </m:r>
        </m:oMath>
      </m:oMathPara>
    </w:p>
    <w:p w14:paraId="7D41E3E1"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where:</w:t>
      </w:r>
    </w:p>
    <w:p w14:paraId="63D0213A" w14:textId="77777777" w:rsidR="00310036" w:rsidRPr="00FA2968" w:rsidRDefault="00310036" w:rsidP="006E162B">
      <w:pPr>
        <w:numPr>
          <w:ilvl w:val="0"/>
          <w:numId w:val="10"/>
        </w:numPr>
        <w:jc w:val="both"/>
        <w:rPr>
          <w:rFonts w:ascii="Times New Roman" w:hAnsi="Times New Roman" w:cs="Times New Roman"/>
          <w:sz w:val="20"/>
          <w:szCs w:val="20"/>
        </w:rPr>
      </w:pPr>
      <w:r w:rsidRPr="00FA2968">
        <w:rPr>
          <w:rFonts w:ascii="Times New Roman" w:hAnsi="Times New Roman" w:cs="Times New Roman"/>
          <w:sz w:val="20"/>
          <w:szCs w:val="20"/>
        </w:rPr>
        <w:t>CIN = convective inhibition energy (J kg⁻¹)</w:t>
      </w:r>
    </w:p>
    <w:p w14:paraId="4297A86E" w14:textId="77777777" w:rsidR="00310036" w:rsidRPr="00FA2968" w:rsidRDefault="00310036" w:rsidP="006E162B">
      <w:pPr>
        <w:numPr>
          <w:ilvl w:val="0"/>
          <w:numId w:val="10"/>
        </w:numPr>
        <w:jc w:val="both"/>
        <w:rPr>
          <w:rFonts w:ascii="Times New Roman" w:hAnsi="Times New Roman" w:cs="Times New Roman"/>
          <w:sz w:val="20"/>
          <w:szCs w:val="20"/>
        </w:rPr>
      </w:pPr>
      <w:r w:rsidRPr="00FA2968">
        <w:rPr>
          <w:rFonts w:ascii="Times New Roman" w:hAnsi="Times New Roman" w:cs="Times New Roman"/>
          <w:i/>
          <w:iCs/>
          <w:sz w:val="20"/>
          <w:szCs w:val="20"/>
        </w:rPr>
        <w:t>z</w:t>
      </w:r>
      <w:r w:rsidRPr="00FA2968">
        <w:rPr>
          <w:rFonts w:ascii="Times New Roman" w:hAnsi="Times New Roman" w:cs="Times New Roman"/>
          <w:sz w:val="20"/>
          <w:szCs w:val="20"/>
        </w:rPr>
        <w:t>&lt;sub&gt;s&lt;/sub&gt; = surface altitude (m)</w:t>
      </w:r>
    </w:p>
    <w:p w14:paraId="4F254F30" w14:textId="77777777" w:rsidR="00310036" w:rsidRPr="00FA2968" w:rsidRDefault="00310036" w:rsidP="006E162B">
      <w:pPr>
        <w:numPr>
          <w:ilvl w:val="0"/>
          <w:numId w:val="10"/>
        </w:numPr>
        <w:jc w:val="both"/>
        <w:rPr>
          <w:rFonts w:ascii="Times New Roman" w:hAnsi="Times New Roman" w:cs="Times New Roman"/>
          <w:sz w:val="20"/>
          <w:szCs w:val="20"/>
        </w:rPr>
      </w:pPr>
      <w:r w:rsidRPr="00FA2968">
        <w:rPr>
          <w:rFonts w:ascii="Times New Roman" w:hAnsi="Times New Roman" w:cs="Times New Roman"/>
          <w:i/>
          <w:iCs/>
          <w:sz w:val="20"/>
          <w:szCs w:val="20"/>
        </w:rPr>
        <w:t>z</w:t>
      </w:r>
      <w:r w:rsidRPr="00FA2968">
        <w:rPr>
          <w:rFonts w:ascii="Times New Roman" w:hAnsi="Times New Roman" w:cs="Times New Roman"/>
          <w:sz w:val="20"/>
          <w:szCs w:val="20"/>
        </w:rPr>
        <w:t>&lt;sub&gt;LFC&lt;/sub&gt; = level of free convection (m)</w:t>
      </w:r>
    </w:p>
    <w:p w14:paraId="655BCC5C" w14:textId="77777777" w:rsidR="00310036" w:rsidRPr="00FA2968" w:rsidRDefault="00310036" w:rsidP="006E162B">
      <w:pPr>
        <w:numPr>
          <w:ilvl w:val="0"/>
          <w:numId w:val="10"/>
        </w:numPr>
        <w:jc w:val="both"/>
        <w:rPr>
          <w:rFonts w:ascii="Times New Roman" w:hAnsi="Times New Roman" w:cs="Times New Roman"/>
          <w:sz w:val="20"/>
          <w:szCs w:val="20"/>
        </w:rPr>
      </w:pPr>
      <w:r w:rsidRPr="00FA2968">
        <w:rPr>
          <w:rFonts w:ascii="Times New Roman" w:hAnsi="Times New Roman" w:cs="Times New Roman"/>
          <w:i/>
          <w:iCs/>
          <w:sz w:val="20"/>
          <w:szCs w:val="20"/>
        </w:rPr>
        <w:t>T</w:t>
      </w:r>
      <w:r w:rsidRPr="00FA2968">
        <w:rPr>
          <w:rFonts w:ascii="Times New Roman" w:hAnsi="Times New Roman" w:cs="Times New Roman"/>
          <w:sz w:val="20"/>
          <w:szCs w:val="20"/>
        </w:rPr>
        <w:t>&lt;sub&gt;</w:t>
      </w:r>
      <w:proofErr w:type="spellStart"/>
      <w:proofErr w:type="gramStart"/>
      <w:r w:rsidRPr="00FA2968">
        <w:rPr>
          <w:rFonts w:ascii="Times New Roman" w:hAnsi="Times New Roman" w:cs="Times New Roman"/>
          <w:sz w:val="20"/>
          <w:szCs w:val="20"/>
        </w:rPr>
        <w:t>v,p</w:t>
      </w:r>
      <w:proofErr w:type="spellEnd"/>
      <w:proofErr w:type="gramEnd"/>
      <w:r w:rsidRPr="00FA2968">
        <w:rPr>
          <w:rFonts w:ascii="Times New Roman" w:hAnsi="Times New Roman" w:cs="Times New Roman"/>
          <w:sz w:val="20"/>
          <w:szCs w:val="20"/>
        </w:rPr>
        <w:t>&lt;/sub&gt; = virtual temperature of the rising parcel (K)</w:t>
      </w:r>
    </w:p>
    <w:p w14:paraId="0DBBE328" w14:textId="77777777" w:rsidR="00310036" w:rsidRPr="00FA2968" w:rsidRDefault="00310036" w:rsidP="006E162B">
      <w:pPr>
        <w:numPr>
          <w:ilvl w:val="0"/>
          <w:numId w:val="10"/>
        </w:numPr>
        <w:jc w:val="both"/>
        <w:rPr>
          <w:rFonts w:ascii="Times New Roman" w:hAnsi="Times New Roman" w:cs="Times New Roman"/>
          <w:sz w:val="20"/>
          <w:szCs w:val="20"/>
        </w:rPr>
      </w:pPr>
      <w:r w:rsidRPr="00FA2968">
        <w:rPr>
          <w:rFonts w:ascii="Times New Roman" w:hAnsi="Times New Roman" w:cs="Times New Roman"/>
          <w:i/>
          <w:iCs/>
          <w:sz w:val="20"/>
          <w:szCs w:val="20"/>
        </w:rPr>
        <w:t>T</w:t>
      </w:r>
      <w:r w:rsidRPr="00FA2968">
        <w:rPr>
          <w:rFonts w:ascii="Times New Roman" w:hAnsi="Times New Roman" w:cs="Times New Roman"/>
          <w:sz w:val="20"/>
          <w:szCs w:val="20"/>
        </w:rPr>
        <w:t>&lt;sub&gt;</w:t>
      </w:r>
      <w:proofErr w:type="spellStart"/>
      <w:proofErr w:type="gramStart"/>
      <w:r w:rsidRPr="00FA2968">
        <w:rPr>
          <w:rFonts w:ascii="Times New Roman" w:hAnsi="Times New Roman" w:cs="Times New Roman"/>
          <w:sz w:val="20"/>
          <w:szCs w:val="20"/>
        </w:rPr>
        <w:t>v,e</w:t>
      </w:r>
      <w:proofErr w:type="spellEnd"/>
      <w:proofErr w:type="gramEnd"/>
      <w:r w:rsidRPr="00FA2968">
        <w:rPr>
          <w:rFonts w:ascii="Times New Roman" w:hAnsi="Times New Roman" w:cs="Times New Roman"/>
          <w:sz w:val="20"/>
          <w:szCs w:val="20"/>
        </w:rPr>
        <w:t>&lt;/sub&gt; = virtual temperature of the environment (K)</w:t>
      </w:r>
    </w:p>
    <w:p w14:paraId="7C062110" w14:textId="77777777" w:rsidR="00310036" w:rsidRPr="00FA2968" w:rsidRDefault="00310036"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2.5.7 Aerosol–Cloud Microphysics (Twomey Effect)</w:t>
      </w:r>
    </w:p>
    <w:p w14:paraId="122F511C"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Where mineral dust serves as cloud condensation nuclei (CCN), the cloud droplet number concentration </w:t>
      </w:r>
      <w:r w:rsidRPr="00FA2968">
        <w:rPr>
          <w:rFonts w:ascii="Times New Roman" w:hAnsi="Times New Roman" w:cs="Times New Roman"/>
          <w:i/>
          <w:iCs/>
          <w:sz w:val="20"/>
          <w:szCs w:val="20"/>
        </w:rPr>
        <w:t>N</w:t>
      </w:r>
      <w:r w:rsidRPr="00FA2968">
        <w:rPr>
          <w:rFonts w:ascii="Times New Roman" w:hAnsi="Times New Roman" w:cs="Times New Roman"/>
          <w:sz w:val="20"/>
          <w:szCs w:val="20"/>
        </w:rPr>
        <w:t>&lt;sub&gt;d&lt;/sub&gt; responds to the CCN concentration through an empirical power-law relationship (Solmon et al., 2008):</w:t>
      </w:r>
    </w:p>
    <w:p w14:paraId="3C476109" w14:textId="6411DB42" w:rsidR="00310036" w:rsidRPr="00FA2968" w:rsidRDefault="00310036" w:rsidP="006E162B">
      <w:pPr>
        <w:jc w:val="both"/>
        <w:rPr>
          <w:rFonts w:ascii="Times New Roman" w:hAnsi="Times New Roman" w:cs="Times New Roman"/>
          <w:sz w:val="20"/>
          <w:szCs w:val="20"/>
        </w:rPr>
      </w:pPr>
      <m:oMathPara>
        <m:oMath>
          <m:m>
            <m:mPr>
              <m:plcHide m:val="1"/>
              <m:mcs>
                <m:mc>
                  <m:mcPr>
                    <m:count m:val="4"/>
                    <m:mcJc m:val="center"/>
                  </m:mcPr>
                </m:mc>
              </m:mcs>
              <m:ctrlPr>
                <w:rPr>
                  <w:rFonts w:ascii="Cambria Math" w:hAnsi="Cambria Math" w:cs="Times New Roman"/>
                  <w:sz w:val="20"/>
                  <w:szCs w:val="20"/>
                </w:rPr>
              </m:ctrlPr>
            </m:mPr>
            <m:mr>
              <m:e/>
              <m:e>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d</m:t>
                    </m:r>
                  </m:sub>
                </m:sSub>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r>
                  <w:rPr>
                    <w:rFonts w:ascii="Cambria Math" w:hAnsi="Cambria Math" w:cs="Times New Roman"/>
                    <w:sz w:val="20"/>
                    <w:szCs w:val="20"/>
                  </w:rPr>
                  <m:t>c</m:t>
                </m:r>
                <m:r>
                  <m:rPr>
                    <m:nor/>
                  </m:rPr>
                  <w:rPr>
                    <w:rFonts w:ascii="Times New Roman" w:hAnsi="Times New Roman" w:cs="Times New Roman"/>
                    <w:sz w:val="20"/>
                    <w:szCs w:val="20"/>
                  </w:rPr>
                  <m:t> </m:t>
                </m:r>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N</m:t>
                    </m:r>
                  </m:e>
                  <m:sub>
                    <m:r>
                      <m:rPr>
                        <m:sty m:val="p"/>
                      </m:rPr>
                      <w:rPr>
                        <w:rFonts w:ascii="Cambria Math" w:hAnsi="Cambria Math" w:cs="Times New Roman"/>
                        <w:sz w:val="20"/>
                        <w:szCs w:val="20"/>
                      </w:rPr>
                      <m:t>CCN</m:t>
                    </m:r>
                  </m:sub>
                </m:sSub>
                <m:sSup>
                  <m:sSupPr>
                    <m:ctrlPr>
                      <w:rPr>
                        <w:rFonts w:ascii="Cambria Math" w:hAnsi="Cambria Math" w:cs="Times New Roman"/>
                        <w:sz w:val="20"/>
                        <w:szCs w:val="20"/>
                      </w:rPr>
                    </m:ctrlPr>
                  </m:sSupPr>
                  <m:e>
                    <m:r>
                      <w:rPr>
                        <w:rFonts w:ascii="Cambria Math" w:hAnsi="Cambria Math" w:cs="Times New Roman"/>
                        <w:sz w:val="20"/>
                        <w:szCs w:val="20"/>
                      </w:rPr>
                      <m:t>)</m:t>
                    </m:r>
                  </m:e>
                  <m:sup>
                    <m:r>
                      <w:rPr>
                        <w:rFonts w:ascii="Cambria Math" w:hAnsi="Cambria Math" w:cs="Times New Roman"/>
                        <w:sz w:val="20"/>
                        <w:szCs w:val="20"/>
                      </w:rPr>
                      <m:t>k</m:t>
                    </m:r>
                  </m:sup>
                </m:sSup>
              </m:e>
              <m:e/>
              <m:e>
                <m:r>
                  <m:rPr>
                    <m:nor/>
                  </m:rPr>
                  <w:rPr>
                    <w:rFonts w:ascii="Times New Roman" w:hAnsi="Times New Roman" w:cs="Times New Roman"/>
                    <w:sz w:val="20"/>
                    <w:szCs w:val="20"/>
                  </w:rPr>
                  <m:t>(10)</m:t>
                </m:r>
              </m:e>
            </m:mr>
          </m:m>
          <m:r>
            <w:rPr>
              <w:rFonts w:ascii="Times New Roman" w:hAnsi="Times New Roman" w:cs="Times New Roman"/>
              <w:sz w:val="20"/>
              <w:szCs w:val="20"/>
            </w:rPr>
            <w:br/>
          </m:r>
        </m:oMath>
      </m:oMathPara>
    </w:p>
    <w:p w14:paraId="19626326"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where:</w:t>
      </w:r>
    </w:p>
    <w:p w14:paraId="6E826A37" w14:textId="77777777" w:rsidR="00310036" w:rsidRPr="00FA2968" w:rsidRDefault="00310036" w:rsidP="006E162B">
      <w:pPr>
        <w:numPr>
          <w:ilvl w:val="0"/>
          <w:numId w:val="11"/>
        </w:numPr>
        <w:jc w:val="both"/>
        <w:rPr>
          <w:rFonts w:ascii="Times New Roman" w:hAnsi="Times New Roman" w:cs="Times New Roman"/>
          <w:sz w:val="20"/>
          <w:szCs w:val="20"/>
        </w:rPr>
      </w:pPr>
      <w:r w:rsidRPr="00FA2968">
        <w:rPr>
          <w:rFonts w:ascii="Times New Roman" w:hAnsi="Times New Roman" w:cs="Times New Roman"/>
          <w:i/>
          <w:iCs/>
          <w:sz w:val="20"/>
          <w:szCs w:val="20"/>
        </w:rPr>
        <w:t>N</w:t>
      </w:r>
      <w:r w:rsidRPr="00FA2968">
        <w:rPr>
          <w:rFonts w:ascii="Times New Roman" w:hAnsi="Times New Roman" w:cs="Times New Roman"/>
          <w:sz w:val="20"/>
          <w:szCs w:val="20"/>
        </w:rPr>
        <w:t>&lt;sub&gt;d&lt;/sub&gt; = cloud droplet number concentration (cm⁻³)</w:t>
      </w:r>
    </w:p>
    <w:p w14:paraId="1C31AFC7" w14:textId="77777777" w:rsidR="00310036" w:rsidRPr="00FA2968" w:rsidRDefault="00310036" w:rsidP="006E162B">
      <w:pPr>
        <w:numPr>
          <w:ilvl w:val="0"/>
          <w:numId w:val="11"/>
        </w:numPr>
        <w:jc w:val="both"/>
        <w:rPr>
          <w:rFonts w:ascii="Times New Roman" w:hAnsi="Times New Roman" w:cs="Times New Roman"/>
          <w:sz w:val="20"/>
          <w:szCs w:val="20"/>
        </w:rPr>
      </w:pPr>
      <w:r w:rsidRPr="00FA2968">
        <w:rPr>
          <w:rFonts w:ascii="Times New Roman" w:hAnsi="Times New Roman" w:cs="Times New Roman"/>
          <w:i/>
          <w:iCs/>
          <w:sz w:val="20"/>
          <w:szCs w:val="20"/>
        </w:rPr>
        <w:t>N</w:t>
      </w:r>
      <w:r w:rsidRPr="00FA2968">
        <w:rPr>
          <w:rFonts w:ascii="Times New Roman" w:hAnsi="Times New Roman" w:cs="Times New Roman"/>
          <w:sz w:val="20"/>
          <w:szCs w:val="20"/>
        </w:rPr>
        <w:t>&lt;sub&gt;CCN&lt;/sub&gt; = activated CCN concentration (cm⁻³)</w:t>
      </w:r>
    </w:p>
    <w:p w14:paraId="39311912" w14:textId="77777777" w:rsidR="00310036" w:rsidRPr="00FA2968" w:rsidRDefault="00310036" w:rsidP="006E162B">
      <w:pPr>
        <w:numPr>
          <w:ilvl w:val="0"/>
          <w:numId w:val="11"/>
        </w:numPr>
        <w:jc w:val="both"/>
        <w:rPr>
          <w:rFonts w:ascii="Times New Roman" w:hAnsi="Times New Roman" w:cs="Times New Roman"/>
          <w:sz w:val="20"/>
          <w:szCs w:val="20"/>
        </w:rPr>
      </w:pPr>
      <w:r w:rsidRPr="00FA2968">
        <w:rPr>
          <w:rFonts w:ascii="Times New Roman" w:hAnsi="Times New Roman" w:cs="Times New Roman"/>
          <w:i/>
          <w:iCs/>
          <w:sz w:val="20"/>
          <w:szCs w:val="20"/>
        </w:rPr>
        <w:t>c</w:t>
      </w:r>
      <w:r w:rsidRPr="00FA2968">
        <w:rPr>
          <w:rFonts w:ascii="Times New Roman" w:hAnsi="Times New Roman" w:cs="Times New Roman"/>
          <w:sz w:val="20"/>
          <w:szCs w:val="20"/>
        </w:rPr>
        <w:t>, </w:t>
      </w:r>
      <w:r w:rsidRPr="00FA2968">
        <w:rPr>
          <w:rFonts w:ascii="Times New Roman" w:hAnsi="Times New Roman" w:cs="Times New Roman"/>
          <w:i/>
          <w:iCs/>
          <w:sz w:val="20"/>
          <w:szCs w:val="20"/>
        </w:rPr>
        <w:t>k</w:t>
      </w:r>
      <w:r w:rsidRPr="00FA2968">
        <w:rPr>
          <w:rFonts w:ascii="Times New Roman" w:hAnsi="Times New Roman" w:cs="Times New Roman"/>
          <w:sz w:val="20"/>
          <w:szCs w:val="20"/>
        </w:rPr>
        <w:t> = empirically derived constants</w:t>
      </w:r>
    </w:p>
    <w:p w14:paraId="2B9B8EB9"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For fixed cloud liquid water content </w:t>
      </w:r>
      <w:r w:rsidRPr="00FA2968">
        <w:rPr>
          <w:rFonts w:ascii="Times New Roman" w:hAnsi="Times New Roman" w:cs="Times New Roman"/>
          <w:i/>
          <w:iCs/>
          <w:sz w:val="20"/>
          <w:szCs w:val="20"/>
        </w:rPr>
        <w:t>L</w:t>
      </w:r>
      <w:r w:rsidRPr="00FA2968">
        <w:rPr>
          <w:rFonts w:ascii="Times New Roman" w:hAnsi="Times New Roman" w:cs="Times New Roman"/>
          <w:sz w:val="20"/>
          <w:szCs w:val="20"/>
        </w:rPr>
        <w:t>, an increase in </w:t>
      </w:r>
      <w:r w:rsidRPr="00FA2968">
        <w:rPr>
          <w:rFonts w:ascii="Times New Roman" w:hAnsi="Times New Roman" w:cs="Times New Roman"/>
          <w:i/>
          <w:iCs/>
          <w:sz w:val="20"/>
          <w:szCs w:val="20"/>
        </w:rPr>
        <w:t>N</w:t>
      </w:r>
      <w:r w:rsidRPr="00FA2968">
        <w:rPr>
          <w:rFonts w:ascii="Times New Roman" w:hAnsi="Times New Roman" w:cs="Times New Roman"/>
          <w:sz w:val="20"/>
          <w:szCs w:val="20"/>
        </w:rPr>
        <w:t>&lt;sub&gt;d&lt;/sub&gt; decreases the mean effective droplet radius:</w:t>
      </w:r>
    </w:p>
    <w:p w14:paraId="09BF181E" w14:textId="41EF3C41" w:rsidR="00310036" w:rsidRPr="00FA2968" w:rsidRDefault="00310036" w:rsidP="006E162B">
      <w:pPr>
        <w:jc w:val="both"/>
        <w:rPr>
          <w:rFonts w:ascii="Times New Roman" w:hAnsi="Times New Roman" w:cs="Times New Roman"/>
          <w:sz w:val="20"/>
          <w:szCs w:val="20"/>
        </w:rPr>
      </w:pPr>
      <m:oMathPara>
        <m:oMath>
          <m:m>
            <m:mPr>
              <m:plcHide m:val="1"/>
              <m:mcs>
                <m:mc>
                  <m:mcPr>
                    <m:count m:val="4"/>
                    <m:mcJc m:val="center"/>
                  </m:mcPr>
                </m:mc>
              </m:mcs>
              <m:ctrlPr>
                <w:rPr>
                  <w:rFonts w:ascii="Cambria Math" w:hAnsi="Cambria Math" w:cs="Times New Roman"/>
                  <w:sz w:val="20"/>
                  <w:szCs w:val="20"/>
                </w:rPr>
              </m:ctrlPr>
            </m:mPr>
            <m:mr>
              <m:e/>
              <m:e>
                <m:sSub>
                  <m:sSubPr>
                    <m:ctrlPr>
                      <w:rPr>
                        <w:rFonts w:ascii="Cambria Math" w:hAnsi="Cambria Math" w:cs="Times New Roman"/>
                        <w:sz w:val="20"/>
                        <w:szCs w:val="20"/>
                      </w:rPr>
                    </m:ctrlPr>
                  </m:sSubPr>
                  <m:e>
                    <m:r>
                      <w:rPr>
                        <w:rFonts w:ascii="Cambria Math" w:hAnsi="Cambria Math" w:cs="Times New Roman"/>
                        <w:sz w:val="20"/>
                        <w:szCs w:val="20"/>
                      </w:rPr>
                      <m:t>r</m:t>
                    </m:r>
                  </m:e>
                  <m:sub>
                    <m:r>
                      <m:rPr>
                        <m:sty m:val="p"/>
                      </m:rPr>
                      <w:rPr>
                        <w:rFonts w:ascii="Cambria Math" w:hAnsi="Cambria Math" w:cs="Times New Roman"/>
                        <w:sz w:val="20"/>
                        <w:szCs w:val="20"/>
                      </w:rPr>
                      <m:t>eff</m:t>
                    </m:r>
                  </m:sub>
                </m:sSub>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sSup>
                  <m:sSupPr>
                    <m:ctrlPr>
                      <w:rPr>
                        <w:rFonts w:ascii="Cambria Math" w:hAnsi="Cambria Math" w:cs="Times New Roman"/>
                        <w:sz w:val="20"/>
                        <w:szCs w:val="20"/>
                      </w:rPr>
                    </m:ctrlPr>
                  </m:sSupPr>
                  <m:e>
                    <m:d>
                      <m:dPr>
                        <m:ctrlPr>
                          <w:rPr>
                            <w:rFonts w:ascii="Cambria Math" w:hAnsi="Cambria Math" w:cs="Times New Roman"/>
                            <w:sz w:val="20"/>
                            <w:szCs w:val="20"/>
                          </w:rPr>
                        </m:ctrlPr>
                      </m:dPr>
                      <m:e>
                        <m:f>
                          <m:fPr>
                            <m:ctrlPr>
                              <w:rPr>
                                <w:rFonts w:ascii="Cambria Math" w:hAnsi="Cambria Math" w:cs="Times New Roman"/>
                                <w:sz w:val="20"/>
                                <w:szCs w:val="20"/>
                              </w:rPr>
                            </m:ctrlPr>
                          </m:fPr>
                          <m:num>
                            <m:r>
                              <w:rPr>
                                <w:rFonts w:ascii="Cambria Math" w:hAnsi="Cambria Math" w:cs="Times New Roman"/>
                                <w:sz w:val="20"/>
                                <w:szCs w:val="20"/>
                              </w:rPr>
                              <m:t>L</m:t>
                            </m:r>
                          </m:num>
                          <m:den>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d</m:t>
                                </m:r>
                              </m:sub>
                            </m:sSub>
                          </m:den>
                        </m:f>
                      </m:e>
                    </m:d>
                  </m:e>
                  <m:sup>
                    <m:r>
                      <m:rPr>
                        <m:nor/>
                      </m:rPr>
                      <w:rPr>
                        <w:rFonts w:ascii="Times New Roman" w:hAnsi="Times New Roman" w:cs="Times New Roman"/>
                        <w:sz w:val="20"/>
                        <w:szCs w:val="20"/>
                      </w:rPr>
                      <m:t> ⁣</m:t>
                    </m:r>
                    <m:r>
                      <w:rPr>
                        <w:rFonts w:ascii="Cambria Math" w:hAnsi="Cambria Math" w:cs="Times New Roman"/>
                        <w:sz w:val="20"/>
                        <w:szCs w:val="20"/>
                      </w:rPr>
                      <m:t>1</m:t>
                    </m:r>
                    <m:r>
                      <m:rPr>
                        <m:sty m:val="p"/>
                      </m:rPr>
                      <w:rPr>
                        <w:rFonts w:ascii="Cambria Math" w:hAnsi="Cambria Math" w:cs="Times New Roman"/>
                        <w:sz w:val="20"/>
                        <w:szCs w:val="20"/>
                      </w:rPr>
                      <m:t>/</m:t>
                    </m:r>
                    <m:r>
                      <w:rPr>
                        <w:rFonts w:ascii="Cambria Math" w:hAnsi="Cambria Math" w:cs="Times New Roman"/>
                        <w:sz w:val="20"/>
                        <w:szCs w:val="20"/>
                      </w:rPr>
                      <m:t>3</m:t>
                    </m:r>
                  </m:sup>
                </m:sSup>
              </m:e>
              <m:e/>
              <m:e>
                <m:r>
                  <m:rPr>
                    <m:nor/>
                  </m:rPr>
                  <w:rPr>
                    <w:rFonts w:ascii="Times New Roman" w:hAnsi="Times New Roman" w:cs="Times New Roman"/>
                    <w:sz w:val="20"/>
                    <w:szCs w:val="20"/>
                  </w:rPr>
                  <m:t>(11)</m:t>
                </m:r>
              </m:e>
            </m:mr>
          </m:m>
          <m:r>
            <w:rPr>
              <w:rFonts w:ascii="Times New Roman" w:hAnsi="Times New Roman" w:cs="Times New Roman"/>
              <w:sz w:val="20"/>
              <w:szCs w:val="20"/>
            </w:rPr>
            <w:br/>
          </m:r>
        </m:oMath>
      </m:oMathPara>
    </w:p>
    <w:p w14:paraId="030CE043"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where:</w:t>
      </w:r>
    </w:p>
    <w:p w14:paraId="20042802" w14:textId="77777777" w:rsidR="00310036" w:rsidRPr="00FA2968" w:rsidRDefault="00310036" w:rsidP="006E162B">
      <w:pPr>
        <w:numPr>
          <w:ilvl w:val="0"/>
          <w:numId w:val="12"/>
        </w:numPr>
        <w:jc w:val="both"/>
        <w:rPr>
          <w:rFonts w:ascii="Times New Roman" w:hAnsi="Times New Roman" w:cs="Times New Roman"/>
          <w:sz w:val="20"/>
          <w:szCs w:val="20"/>
        </w:rPr>
      </w:pPr>
      <w:r w:rsidRPr="00FA2968">
        <w:rPr>
          <w:rFonts w:ascii="Times New Roman" w:hAnsi="Times New Roman" w:cs="Times New Roman"/>
          <w:i/>
          <w:iCs/>
          <w:sz w:val="20"/>
          <w:szCs w:val="20"/>
        </w:rPr>
        <w:t>r</w:t>
      </w:r>
      <w:r w:rsidRPr="00FA2968">
        <w:rPr>
          <w:rFonts w:ascii="Times New Roman" w:hAnsi="Times New Roman" w:cs="Times New Roman"/>
          <w:sz w:val="20"/>
          <w:szCs w:val="20"/>
        </w:rPr>
        <w:t>&lt;sub&gt;eff&lt;/sub&gt; = mean effective droplet radius (</w:t>
      </w:r>
      <w:proofErr w:type="spellStart"/>
      <w:r w:rsidRPr="00FA2968">
        <w:rPr>
          <w:rFonts w:ascii="Times New Roman" w:hAnsi="Times New Roman" w:cs="Times New Roman"/>
          <w:sz w:val="20"/>
          <w:szCs w:val="20"/>
        </w:rPr>
        <w:t>μm</w:t>
      </w:r>
      <w:proofErr w:type="spellEnd"/>
      <w:r w:rsidRPr="00FA2968">
        <w:rPr>
          <w:rFonts w:ascii="Times New Roman" w:hAnsi="Times New Roman" w:cs="Times New Roman"/>
          <w:sz w:val="20"/>
          <w:szCs w:val="20"/>
        </w:rPr>
        <w:t>)</w:t>
      </w:r>
    </w:p>
    <w:p w14:paraId="5A7F9B03" w14:textId="77777777" w:rsidR="00310036" w:rsidRPr="00FA2968" w:rsidRDefault="00310036" w:rsidP="006E162B">
      <w:pPr>
        <w:numPr>
          <w:ilvl w:val="0"/>
          <w:numId w:val="12"/>
        </w:numPr>
        <w:jc w:val="both"/>
        <w:rPr>
          <w:rFonts w:ascii="Times New Roman" w:hAnsi="Times New Roman" w:cs="Times New Roman"/>
          <w:sz w:val="20"/>
          <w:szCs w:val="20"/>
        </w:rPr>
      </w:pPr>
      <w:r w:rsidRPr="00FA2968">
        <w:rPr>
          <w:rFonts w:ascii="Times New Roman" w:hAnsi="Times New Roman" w:cs="Times New Roman"/>
          <w:i/>
          <w:iCs/>
          <w:sz w:val="20"/>
          <w:szCs w:val="20"/>
        </w:rPr>
        <w:t>L</w:t>
      </w:r>
      <w:r w:rsidRPr="00FA2968">
        <w:rPr>
          <w:rFonts w:ascii="Times New Roman" w:hAnsi="Times New Roman" w:cs="Times New Roman"/>
          <w:sz w:val="20"/>
          <w:szCs w:val="20"/>
        </w:rPr>
        <w:t> = cloud liquid water content (g m⁻³)</w:t>
      </w:r>
    </w:p>
    <w:p w14:paraId="6C6A9B1A" w14:textId="77777777" w:rsidR="00310036" w:rsidRPr="00FA2968" w:rsidRDefault="00310036"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2.5.8 Dust Emission Flux</w:t>
      </w:r>
    </w:p>
    <w:p w14:paraId="50CD2C8E"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In simplified form, the vertical mass flux of dust from a source surface is expressed as a function of friction velocity, following the Marticorena–</w:t>
      </w:r>
      <w:proofErr w:type="spellStart"/>
      <w:r w:rsidRPr="00FA2968">
        <w:rPr>
          <w:rFonts w:ascii="Times New Roman" w:hAnsi="Times New Roman" w:cs="Times New Roman"/>
          <w:sz w:val="20"/>
          <w:szCs w:val="20"/>
        </w:rPr>
        <w:t>Bergametti</w:t>
      </w:r>
      <w:proofErr w:type="spellEnd"/>
      <w:r w:rsidRPr="00FA2968">
        <w:rPr>
          <w:rFonts w:ascii="Times New Roman" w:hAnsi="Times New Roman" w:cs="Times New Roman"/>
          <w:sz w:val="20"/>
          <w:szCs w:val="20"/>
        </w:rPr>
        <w:t xml:space="preserve"> framework (Marticorena &amp; </w:t>
      </w:r>
      <w:proofErr w:type="spellStart"/>
      <w:r w:rsidRPr="00FA2968">
        <w:rPr>
          <w:rFonts w:ascii="Times New Roman" w:hAnsi="Times New Roman" w:cs="Times New Roman"/>
          <w:sz w:val="20"/>
          <w:szCs w:val="20"/>
        </w:rPr>
        <w:t>Bergametti</w:t>
      </w:r>
      <w:proofErr w:type="spellEnd"/>
      <w:r w:rsidRPr="00FA2968">
        <w:rPr>
          <w:rFonts w:ascii="Times New Roman" w:hAnsi="Times New Roman" w:cs="Times New Roman"/>
          <w:sz w:val="20"/>
          <w:szCs w:val="20"/>
        </w:rPr>
        <w:t>, 1995; Laurent et al., 2008):</w:t>
      </w:r>
    </w:p>
    <w:p w14:paraId="6A332404" w14:textId="512A2135" w:rsidR="00310036" w:rsidRPr="00FA2968" w:rsidRDefault="00310036" w:rsidP="006E162B">
      <w:pPr>
        <w:jc w:val="both"/>
        <w:rPr>
          <w:rFonts w:ascii="Times New Roman" w:hAnsi="Times New Roman" w:cs="Times New Roman"/>
          <w:sz w:val="20"/>
          <w:szCs w:val="20"/>
        </w:rPr>
      </w:pPr>
      <m:oMathPara>
        <m:oMath>
          <m:m>
            <m:mPr>
              <m:plcHide m:val="1"/>
              <m:mcs>
                <m:mc>
                  <m:mcPr>
                    <m:count m:val="4"/>
                    <m:mcJc m:val="center"/>
                  </m:mcPr>
                </m:mc>
              </m:mcs>
              <m:ctrlPr>
                <w:rPr>
                  <w:rFonts w:ascii="Cambria Math" w:hAnsi="Cambria Math" w:cs="Times New Roman"/>
                  <w:sz w:val="20"/>
                  <w:szCs w:val="20"/>
                </w:rPr>
              </m:ctrlPr>
            </m:mPr>
            <m:mr>
              <m:e/>
              <m:e>
                <m:sSub>
                  <m:sSubPr>
                    <m:ctrlPr>
                      <w:rPr>
                        <w:rFonts w:ascii="Cambria Math" w:hAnsi="Cambria Math" w:cs="Times New Roman"/>
                        <w:sz w:val="20"/>
                        <w:szCs w:val="20"/>
                      </w:rPr>
                    </m:ctrlPr>
                  </m:sSubPr>
                  <m:e>
                    <m:r>
                      <w:rPr>
                        <w:rFonts w:ascii="Cambria Math" w:hAnsi="Cambria Math" w:cs="Times New Roman"/>
                        <w:sz w:val="20"/>
                        <w:szCs w:val="20"/>
                      </w:rPr>
                      <m:t>F</m:t>
                    </m:r>
                  </m:e>
                  <m:sub>
                    <m:r>
                      <w:rPr>
                        <w:rFonts w:ascii="Cambria Math" w:hAnsi="Cambria Math" w:cs="Times New Roman"/>
                        <w:sz w:val="20"/>
                        <w:szCs w:val="20"/>
                      </w:rPr>
                      <m:t>d</m:t>
                    </m:r>
                  </m:sub>
                </m:sSub>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r>
                  <w:rPr>
                    <w:rFonts w:ascii="Cambria Math" w:hAnsi="Cambria Math" w:cs="Times New Roman"/>
                    <w:sz w:val="20"/>
                    <w:szCs w:val="20"/>
                  </w:rPr>
                  <m:t>C</m:t>
                </m:r>
                <m:r>
                  <m:rPr>
                    <m:nor/>
                  </m:rPr>
                  <w:rPr>
                    <w:rFonts w:ascii="Times New Roman" w:hAnsi="Times New Roman" w:cs="Times New Roman"/>
                    <w:sz w:val="20"/>
                    <w:szCs w:val="20"/>
                  </w:rPr>
                  <m:t> </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ρ</m:t>
                        </m:r>
                      </m:e>
                      <m:sub>
                        <m:r>
                          <w:rPr>
                            <w:rFonts w:ascii="Cambria Math" w:hAnsi="Cambria Math" w:cs="Times New Roman"/>
                            <w:sz w:val="20"/>
                            <w:szCs w:val="20"/>
                          </w:rPr>
                          <m:t>a</m:t>
                        </m:r>
                      </m:sub>
                    </m:sSub>
                    <m:r>
                      <m:rPr>
                        <m:nor/>
                      </m:rPr>
                      <w:rPr>
                        <w:rFonts w:ascii="Times New Roman" w:hAnsi="Times New Roman" w:cs="Times New Roman"/>
                        <w:sz w:val="20"/>
                        <w:szCs w:val="20"/>
                      </w:rPr>
                      <m:t> </m:t>
                    </m:r>
                    <m:sSubSup>
                      <m:sSubSupPr>
                        <m:ctrlPr>
                          <w:rPr>
                            <w:rFonts w:ascii="Cambria Math" w:hAnsi="Cambria Math" w:cs="Times New Roman"/>
                            <w:sz w:val="20"/>
                            <w:szCs w:val="20"/>
                          </w:rPr>
                        </m:ctrlPr>
                      </m:sSubSupPr>
                      <m:e>
                        <m:r>
                          <w:rPr>
                            <w:rFonts w:ascii="Cambria Math" w:hAnsi="Cambria Math" w:cs="Times New Roman"/>
                            <w:sz w:val="20"/>
                            <w:szCs w:val="20"/>
                          </w:rPr>
                          <m:t>u</m:t>
                        </m:r>
                      </m:e>
                      <m:sub>
                        <m:r>
                          <w:rPr>
                            <w:rFonts w:ascii="Cambria Math" w:hAnsi="Cambria Math" w:cs="Times New Roman"/>
                            <w:sz w:val="20"/>
                            <w:szCs w:val="20"/>
                          </w:rPr>
                          <m:t>*</m:t>
                        </m:r>
                      </m:sub>
                      <m:sup>
                        <m:r>
                          <w:rPr>
                            <w:rFonts w:ascii="Cambria Math" w:hAnsi="Cambria Math" w:cs="Times New Roman"/>
                            <w:sz w:val="20"/>
                            <w:szCs w:val="20"/>
                          </w:rPr>
                          <m:t>3</m:t>
                        </m:r>
                      </m:sup>
                    </m:sSubSup>
                  </m:num>
                  <m:den>
                    <m:r>
                      <w:rPr>
                        <w:rFonts w:ascii="Cambria Math" w:hAnsi="Cambria Math" w:cs="Times New Roman"/>
                        <w:sz w:val="20"/>
                        <w:szCs w:val="20"/>
                      </w:rPr>
                      <m:t>g</m:t>
                    </m:r>
                  </m:den>
                </m:f>
                <m:d>
                  <m:dPr>
                    <m:sepChr m:val="−"/>
                    <m:ctrlPr>
                      <w:rPr>
                        <w:rFonts w:ascii="Cambria Math" w:hAnsi="Cambria Math" w:cs="Times New Roman"/>
                        <w:sz w:val="20"/>
                        <w:szCs w:val="20"/>
                      </w:rPr>
                    </m:ctrlPr>
                  </m:dPr>
                  <m:e>
                    <m:r>
                      <w:rPr>
                        <w:rFonts w:ascii="Cambria Math" w:hAnsi="Cambria Math" w:cs="Times New Roman"/>
                        <w:sz w:val="20"/>
                        <w:szCs w:val="20"/>
                      </w:rPr>
                      <m:t>1</m:t>
                    </m:r>
                  </m:e>
                  <m:e>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u</m:t>
                            </m:r>
                          </m:e>
                          <m:sub>
                            <m:r>
                              <w:rPr>
                                <w:rFonts w:ascii="Cambria Math" w:hAnsi="Cambria Math" w:cs="Times New Roman"/>
                                <w:sz w:val="20"/>
                                <w:szCs w:val="20"/>
                              </w:rPr>
                              <m:t>*t</m:t>
                            </m:r>
                          </m:sub>
                        </m:sSub>
                      </m:num>
                      <m:den>
                        <m:sSub>
                          <m:sSubPr>
                            <m:ctrlPr>
                              <w:rPr>
                                <w:rFonts w:ascii="Cambria Math" w:hAnsi="Cambria Math" w:cs="Times New Roman"/>
                                <w:sz w:val="20"/>
                                <w:szCs w:val="20"/>
                              </w:rPr>
                            </m:ctrlPr>
                          </m:sSubPr>
                          <m:e>
                            <m:r>
                              <w:rPr>
                                <w:rFonts w:ascii="Cambria Math" w:hAnsi="Cambria Math" w:cs="Times New Roman"/>
                                <w:sz w:val="20"/>
                                <w:szCs w:val="20"/>
                              </w:rPr>
                              <m:t>u</m:t>
                            </m:r>
                          </m:e>
                          <m:sub>
                            <m:r>
                              <w:rPr>
                                <w:rFonts w:ascii="Cambria Math" w:hAnsi="Cambria Math" w:cs="Times New Roman"/>
                                <w:sz w:val="20"/>
                                <w:szCs w:val="20"/>
                              </w:rPr>
                              <m:t>*</m:t>
                            </m:r>
                          </m:sub>
                        </m:sSub>
                      </m:den>
                    </m:f>
                  </m:e>
                </m:d>
                <m:sSup>
                  <m:sSupPr>
                    <m:ctrlPr>
                      <w:rPr>
                        <w:rFonts w:ascii="Cambria Math" w:hAnsi="Cambria Math" w:cs="Times New Roman"/>
                        <w:sz w:val="20"/>
                        <w:szCs w:val="20"/>
                      </w:rPr>
                    </m:ctrlPr>
                  </m:sSupPr>
                  <m:e>
                    <m:d>
                      <m:dPr>
                        <m:sepChr m:val="+"/>
                        <m:ctrlPr>
                          <w:rPr>
                            <w:rFonts w:ascii="Cambria Math" w:hAnsi="Cambria Math" w:cs="Times New Roman"/>
                            <w:sz w:val="20"/>
                            <w:szCs w:val="20"/>
                          </w:rPr>
                        </m:ctrlPr>
                      </m:dPr>
                      <m:e>
                        <m:r>
                          <w:rPr>
                            <w:rFonts w:ascii="Cambria Math" w:hAnsi="Cambria Math" w:cs="Times New Roman"/>
                            <w:sz w:val="20"/>
                            <w:szCs w:val="20"/>
                          </w:rPr>
                          <m:t>1</m:t>
                        </m:r>
                      </m:e>
                      <m:e>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u</m:t>
                                </m:r>
                              </m:e>
                              <m:sub>
                                <m:r>
                                  <w:rPr>
                                    <w:rFonts w:ascii="Cambria Math" w:hAnsi="Cambria Math" w:cs="Times New Roman"/>
                                    <w:sz w:val="20"/>
                                    <w:szCs w:val="20"/>
                                  </w:rPr>
                                  <m:t>*t</m:t>
                                </m:r>
                              </m:sub>
                            </m:sSub>
                          </m:num>
                          <m:den>
                            <m:sSub>
                              <m:sSubPr>
                                <m:ctrlPr>
                                  <w:rPr>
                                    <w:rFonts w:ascii="Cambria Math" w:hAnsi="Cambria Math" w:cs="Times New Roman"/>
                                    <w:sz w:val="20"/>
                                    <w:szCs w:val="20"/>
                                  </w:rPr>
                                </m:ctrlPr>
                              </m:sSubPr>
                              <m:e>
                                <m:r>
                                  <w:rPr>
                                    <w:rFonts w:ascii="Cambria Math" w:hAnsi="Cambria Math" w:cs="Times New Roman"/>
                                    <w:sz w:val="20"/>
                                    <w:szCs w:val="20"/>
                                  </w:rPr>
                                  <m:t>u</m:t>
                                </m:r>
                              </m:e>
                              <m:sub>
                                <m:r>
                                  <w:rPr>
                                    <w:rFonts w:ascii="Cambria Math" w:hAnsi="Cambria Math" w:cs="Times New Roman"/>
                                    <w:sz w:val="20"/>
                                    <w:szCs w:val="20"/>
                                  </w:rPr>
                                  <m:t>*</m:t>
                                </m:r>
                              </m:sub>
                            </m:sSub>
                          </m:den>
                        </m:f>
                      </m:e>
                    </m:d>
                  </m:e>
                  <m:sup>
                    <m:r>
                      <w:rPr>
                        <w:rFonts w:ascii="Cambria Math" w:hAnsi="Cambria Math" w:cs="Times New Roman"/>
                        <w:sz w:val="20"/>
                        <w:szCs w:val="20"/>
                      </w:rPr>
                      <m:t>2</m:t>
                    </m:r>
                  </m:sup>
                </m:sSup>
                <m:r>
                  <m:rPr>
                    <m:nor/>
                  </m:rPr>
                  <w:rPr>
                    <w:rFonts w:ascii="Times New Roman" w:hAnsi="Times New Roman" w:cs="Times New Roman"/>
                    <w:sz w:val="20"/>
                    <w:szCs w:val="20"/>
                  </w:rPr>
                  <m:t> </m:t>
                </m:r>
                <m:sSub>
                  <m:sSubPr>
                    <m:ctrlPr>
                      <w:rPr>
                        <w:rFonts w:ascii="Cambria Math" w:hAnsi="Cambria Math" w:cs="Times New Roman"/>
                        <w:sz w:val="20"/>
                        <w:szCs w:val="20"/>
                      </w:rPr>
                    </m:ctrlPr>
                  </m:sSubPr>
                  <m:e>
                    <m:r>
                      <w:rPr>
                        <w:rFonts w:ascii="Cambria Math" w:hAnsi="Cambria Math" w:cs="Times New Roman"/>
                        <w:sz w:val="20"/>
                        <w:szCs w:val="20"/>
                      </w:rPr>
                      <m:t>u</m:t>
                    </m:r>
                  </m:e>
                  <m:sub>
                    <m:r>
                      <w:rPr>
                        <w:rFonts w:ascii="Cambria Math" w:hAnsi="Cambria Math" w:cs="Times New Roman"/>
                        <w:sz w:val="20"/>
                        <w:szCs w:val="20"/>
                      </w:rPr>
                      <m:t>*</m:t>
                    </m:r>
                  </m:sub>
                </m:sSub>
                <m:r>
                  <w:rPr>
                    <w:rFonts w:ascii="Cambria Math" w:hAnsi="Cambria Math" w:cs="Times New Roman"/>
                    <w:sz w:val="20"/>
                    <w:szCs w:val="20"/>
                  </w:rPr>
                  <m:t>&gt;</m:t>
                </m:r>
                <m:sSub>
                  <m:sSubPr>
                    <m:ctrlPr>
                      <w:rPr>
                        <w:rFonts w:ascii="Cambria Math" w:hAnsi="Cambria Math" w:cs="Times New Roman"/>
                        <w:sz w:val="20"/>
                        <w:szCs w:val="20"/>
                      </w:rPr>
                    </m:ctrlPr>
                  </m:sSubPr>
                  <m:e>
                    <m:r>
                      <w:rPr>
                        <w:rFonts w:ascii="Cambria Math" w:hAnsi="Cambria Math" w:cs="Times New Roman"/>
                        <w:sz w:val="20"/>
                        <w:szCs w:val="20"/>
                      </w:rPr>
                      <m:t>u</m:t>
                    </m:r>
                  </m:e>
                  <m:sub>
                    <m:r>
                      <w:rPr>
                        <w:rFonts w:ascii="Cambria Math" w:hAnsi="Cambria Math" w:cs="Times New Roman"/>
                        <w:sz w:val="20"/>
                        <w:szCs w:val="20"/>
                      </w:rPr>
                      <m:t>*t</m:t>
                    </m:r>
                  </m:sub>
                </m:sSub>
              </m:e>
              <m:e/>
              <m:e>
                <m:r>
                  <m:rPr>
                    <m:nor/>
                  </m:rPr>
                  <w:rPr>
                    <w:rFonts w:ascii="Times New Roman" w:hAnsi="Times New Roman" w:cs="Times New Roman"/>
                    <w:sz w:val="20"/>
                    <w:szCs w:val="20"/>
                  </w:rPr>
                  <m:t>(12)</m:t>
                </m:r>
              </m:e>
            </m:mr>
          </m:m>
          <m:r>
            <w:rPr>
              <w:rFonts w:ascii="Times New Roman" w:hAnsi="Times New Roman" w:cs="Times New Roman"/>
              <w:sz w:val="20"/>
              <w:szCs w:val="20"/>
            </w:rPr>
            <w:br/>
          </m:r>
        </m:oMath>
      </m:oMathPara>
    </w:p>
    <w:p w14:paraId="46F9A4E4"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where:</w:t>
      </w:r>
    </w:p>
    <w:p w14:paraId="723786D5" w14:textId="77777777" w:rsidR="00310036" w:rsidRPr="00FA2968" w:rsidRDefault="00310036" w:rsidP="006E162B">
      <w:pPr>
        <w:numPr>
          <w:ilvl w:val="0"/>
          <w:numId w:val="13"/>
        </w:numPr>
        <w:jc w:val="both"/>
        <w:rPr>
          <w:rFonts w:ascii="Times New Roman" w:hAnsi="Times New Roman" w:cs="Times New Roman"/>
          <w:sz w:val="20"/>
          <w:szCs w:val="20"/>
        </w:rPr>
      </w:pPr>
      <w:r w:rsidRPr="00FA2968">
        <w:rPr>
          <w:rFonts w:ascii="Times New Roman" w:hAnsi="Times New Roman" w:cs="Times New Roman"/>
          <w:i/>
          <w:iCs/>
          <w:sz w:val="20"/>
          <w:szCs w:val="20"/>
        </w:rPr>
        <w:lastRenderedPageBreak/>
        <w:t>F</w:t>
      </w:r>
      <w:r w:rsidRPr="00FA2968">
        <w:rPr>
          <w:rFonts w:ascii="Times New Roman" w:hAnsi="Times New Roman" w:cs="Times New Roman"/>
          <w:sz w:val="20"/>
          <w:szCs w:val="20"/>
        </w:rPr>
        <w:t>&lt;sub&gt;d&lt;/sub&gt; = vertical dust emission flux (kg m⁻² s⁻¹)</w:t>
      </w:r>
    </w:p>
    <w:p w14:paraId="573C8892" w14:textId="77777777" w:rsidR="00310036" w:rsidRPr="00FA2968" w:rsidRDefault="00310036" w:rsidP="006E162B">
      <w:pPr>
        <w:numPr>
          <w:ilvl w:val="0"/>
          <w:numId w:val="13"/>
        </w:numPr>
        <w:jc w:val="both"/>
        <w:rPr>
          <w:rFonts w:ascii="Times New Roman" w:hAnsi="Times New Roman" w:cs="Times New Roman"/>
          <w:sz w:val="20"/>
          <w:szCs w:val="20"/>
        </w:rPr>
      </w:pPr>
      <w:r w:rsidRPr="00FA2968">
        <w:rPr>
          <w:rFonts w:ascii="Times New Roman" w:hAnsi="Times New Roman" w:cs="Times New Roman"/>
          <w:i/>
          <w:iCs/>
          <w:sz w:val="20"/>
          <w:szCs w:val="20"/>
        </w:rPr>
        <w:t>C</w:t>
      </w:r>
      <w:r w:rsidRPr="00FA2968">
        <w:rPr>
          <w:rFonts w:ascii="Times New Roman" w:hAnsi="Times New Roman" w:cs="Times New Roman"/>
          <w:sz w:val="20"/>
          <w:szCs w:val="20"/>
        </w:rPr>
        <w:t> = soil-dependent empirical constant (dimensionless)</w:t>
      </w:r>
    </w:p>
    <w:p w14:paraId="48503828" w14:textId="77777777" w:rsidR="00310036" w:rsidRPr="00FA2968" w:rsidRDefault="00310036" w:rsidP="006E162B">
      <w:pPr>
        <w:numPr>
          <w:ilvl w:val="0"/>
          <w:numId w:val="13"/>
        </w:numPr>
        <w:jc w:val="both"/>
        <w:rPr>
          <w:rFonts w:ascii="Times New Roman" w:hAnsi="Times New Roman" w:cs="Times New Roman"/>
          <w:sz w:val="20"/>
          <w:szCs w:val="20"/>
        </w:rPr>
      </w:pPr>
      <w:r w:rsidRPr="00FA2968">
        <w:rPr>
          <w:rFonts w:ascii="Times New Roman" w:hAnsi="Times New Roman" w:cs="Times New Roman"/>
          <w:i/>
          <w:iCs/>
          <w:sz w:val="20"/>
          <w:szCs w:val="20"/>
        </w:rPr>
        <w:t>ρ</w:t>
      </w:r>
      <w:r w:rsidRPr="00FA2968">
        <w:rPr>
          <w:rFonts w:ascii="Times New Roman" w:hAnsi="Times New Roman" w:cs="Times New Roman"/>
          <w:sz w:val="20"/>
          <w:szCs w:val="20"/>
        </w:rPr>
        <w:t>&lt;sub&gt;a&lt;/sub&gt; = air density (kg m⁻³)</w:t>
      </w:r>
    </w:p>
    <w:p w14:paraId="48873EAE" w14:textId="77777777" w:rsidR="00310036" w:rsidRPr="00FA2968" w:rsidRDefault="00310036" w:rsidP="006E162B">
      <w:pPr>
        <w:numPr>
          <w:ilvl w:val="0"/>
          <w:numId w:val="13"/>
        </w:numPr>
        <w:jc w:val="both"/>
        <w:rPr>
          <w:rFonts w:ascii="Times New Roman" w:hAnsi="Times New Roman" w:cs="Times New Roman"/>
          <w:sz w:val="20"/>
          <w:szCs w:val="20"/>
        </w:rPr>
      </w:pPr>
      <w:r w:rsidRPr="00FA2968">
        <w:rPr>
          <w:rFonts w:ascii="Times New Roman" w:hAnsi="Times New Roman" w:cs="Times New Roman"/>
          <w:i/>
          <w:iCs/>
          <w:sz w:val="20"/>
          <w:szCs w:val="20"/>
        </w:rPr>
        <w:t>u</w:t>
      </w:r>
      <w:r w:rsidRPr="00FA2968">
        <w:rPr>
          <w:rFonts w:ascii="Times New Roman" w:hAnsi="Times New Roman" w:cs="Times New Roman"/>
          <w:sz w:val="20"/>
          <w:szCs w:val="20"/>
        </w:rPr>
        <w:t>&lt;sub&gt;</w:t>
      </w:r>
      <w:r w:rsidRPr="00FA2968">
        <w:rPr>
          <w:rFonts w:ascii="Cambria Math" w:hAnsi="Cambria Math" w:cs="Cambria Math"/>
          <w:sz w:val="20"/>
          <w:szCs w:val="20"/>
        </w:rPr>
        <w:t>∗</w:t>
      </w:r>
      <w:r w:rsidRPr="00FA2968">
        <w:rPr>
          <w:rFonts w:ascii="Times New Roman" w:hAnsi="Times New Roman" w:cs="Times New Roman"/>
          <w:sz w:val="20"/>
          <w:szCs w:val="20"/>
        </w:rPr>
        <w:t>&lt;/sub&gt; = surface friction velocity (m s⁻¹)</w:t>
      </w:r>
    </w:p>
    <w:p w14:paraId="077C857C" w14:textId="77777777" w:rsidR="00310036" w:rsidRPr="00FA2968" w:rsidRDefault="00310036" w:rsidP="006E162B">
      <w:pPr>
        <w:numPr>
          <w:ilvl w:val="0"/>
          <w:numId w:val="13"/>
        </w:numPr>
        <w:jc w:val="both"/>
        <w:rPr>
          <w:rFonts w:ascii="Times New Roman" w:hAnsi="Times New Roman" w:cs="Times New Roman"/>
          <w:sz w:val="20"/>
          <w:szCs w:val="20"/>
        </w:rPr>
      </w:pPr>
      <w:r w:rsidRPr="00FA2968">
        <w:rPr>
          <w:rFonts w:ascii="Times New Roman" w:hAnsi="Times New Roman" w:cs="Times New Roman"/>
          <w:i/>
          <w:iCs/>
          <w:sz w:val="20"/>
          <w:szCs w:val="20"/>
        </w:rPr>
        <w:t>u</w:t>
      </w:r>
      <w:r w:rsidRPr="00FA2968">
        <w:rPr>
          <w:rFonts w:ascii="Times New Roman" w:hAnsi="Times New Roman" w:cs="Times New Roman"/>
          <w:sz w:val="20"/>
          <w:szCs w:val="20"/>
        </w:rPr>
        <w:t>&lt;sub&gt;</w:t>
      </w:r>
      <w:r w:rsidRPr="00FA2968">
        <w:rPr>
          <w:rFonts w:ascii="Cambria Math" w:hAnsi="Cambria Math" w:cs="Cambria Math"/>
          <w:sz w:val="20"/>
          <w:szCs w:val="20"/>
        </w:rPr>
        <w:t>∗</w:t>
      </w:r>
      <w:r w:rsidRPr="00FA2968">
        <w:rPr>
          <w:rFonts w:ascii="Times New Roman" w:hAnsi="Times New Roman" w:cs="Times New Roman"/>
          <w:sz w:val="20"/>
          <w:szCs w:val="20"/>
        </w:rPr>
        <w:t>t&lt;/sub&gt; = threshold friction velocity for particle entrainment (m s⁻¹)</w:t>
      </w:r>
    </w:p>
    <w:p w14:paraId="4F19AB94"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Loss of vegetation cover lowers </w:t>
      </w:r>
      <w:r w:rsidRPr="00FA2968">
        <w:rPr>
          <w:rFonts w:ascii="Times New Roman" w:hAnsi="Times New Roman" w:cs="Times New Roman"/>
          <w:i/>
          <w:iCs/>
          <w:sz w:val="20"/>
          <w:szCs w:val="20"/>
        </w:rPr>
        <w:t>u</w:t>
      </w:r>
      <w:r w:rsidRPr="00FA2968">
        <w:rPr>
          <w:rFonts w:ascii="Times New Roman" w:hAnsi="Times New Roman" w:cs="Times New Roman"/>
          <w:sz w:val="20"/>
          <w:szCs w:val="20"/>
        </w:rPr>
        <w:t>&lt;sub&gt;</w:t>
      </w:r>
      <w:r w:rsidRPr="00FA2968">
        <w:rPr>
          <w:rFonts w:ascii="Cambria Math" w:hAnsi="Cambria Math" w:cs="Cambria Math"/>
          <w:sz w:val="20"/>
          <w:szCs w:val="20"/>
        </w:rPr>
        <w:t>∗</w:t>
      </w:r>
      <w:r w:rsidRPr="00FA2968">
        <w:rPr>
          <w:rFonts w:ascii="Times New Roman" w:hAnsi="Times New Roman" w:cs="Times New Roman"/>
          <w:sz w:val="20"/>
          <w:szCs w:val="20"/>
        </w:rPr>
        <w:t>t&lt;/sub&gt;, increasing </w:t>
      </w:r>
      <w:r w:rsidRPr="00FA2968">
        <w:rPr>
          <w:rFonts w:ascii="Times New Roman" w:hAnsi="Times New Roman" w:cs="Times New Roman"/>
          <w:i/>
          <w:iCs/>
          <w:sz w:val="20"/>
          <w:szCs w:val="20"/>
        </w:rPr>
        <w:t>F</w:t>
      </w:r>
      <w:r w:rsidRPr="00FA2968">
        <w:rPr>
          <w:rFonts w:ascii="Times New Roman" w:hAnsi="Times New Roman" w:cs="Times New Roman"/>
          <w:sz w:val="20"/>
          <w:szCs w:val="20"/>
        </w:rPr>
        <w:t>&lt;sub&gt;d&lt;/sub&gt; under unchanged wind conditions (Klose et al., 2014; Cowie et al., 2013).</w:t>
      </w:r>
    </w:p>
    <w:p w14:paraId="26D83C30" w14:textId="77777777" w:rsidR="00310036" w:rsidRPr="00FA2968" w:rsidRDefault="00310036"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2.5.9 Horizontal Saltation Flux</w:t>
      </w:r>
    </w:p>
    <w:p w14:paraId="5089B4BC"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The horizontal mass flux due to saltation, </w:t>
      </w:r>
      <w:r w:rsidRPr="00FA2968">
        <w:rPr>
          <w:rFonts w:ascii="Times New Roman" w:hAnsi="Times New Roman" w:cs="Times New Roman"/>
          <w:i/>
          <w:iCs/>
          <w:sz w:val="20"/>
          <w:szCs w:val="20"/>
        </w:rPr>
        <w:t>Q</w:t>
      </w:r>
      <w:r w:rsidRPr="00FA2968">
        <w:rPr>
          <w:rFonts w:ascii="Times New Roman" w:hAnsi="Times New Roman" w:cs="Times New Roman"/>
          <w:sz w:val="20"/>
          <w:szCs w:val="20"/>
        </w:rPr>
        <w:t>, is expressed in simplified form as:</w:t>
      </w:r>
    </w:p>
    <w:p w14:paraId="4DE76C15" w14:textId="2E25FDA9" w:rsidR="00310036" w:rsidRPr="00FA2968" w:rsidRDefault="00310036" w:rsidP="006E162B">
      <w:pPr>
        <w:jc w:val="both"/>
        <w:rPr>
          <w:rFonts w:ascii="Times New Roman" w:hAnsi="Times New Roman" w:cs="Times New Roman"/>
          <w:sz w:val="20"/>
          <w:szCs w:val="20"/>
        </w:rPr>
      </w:pPr>
      <m:oMathPara>
        <m:oMath>
          <m:m>
            <m:mPr>
              <m:plcHide m:val="1"/>
              <m:mcs>
                <m:mc>
                  <m:mcPr>
                    <m:count m:val="4"/>
                    <m:mcJc m:val="center"/>
                  </m:mcPr>
                </m:mc>
              </m:mcs>
              <m:ctrlPr>
                <w:rPr>
                  <w:rFonts w:ascii="Cambria Math" w:hAnsi="Cambria Math" w:cs="Times New Roman"/>
                  <w:sz w:val="20"/>
                  <w:szCs w:val="20"/>
                </w:rPr>
              </m:ctrlPr>
            </m:mPr>
            <m:mr>
              <m:e/>
              <m:e>
                <m:r>
                  <w:rPr>
                    <w:rFonts w:ascii="Cambria Math" w:hAnsi="Cambria Math" w:cs="Times New Roman"/>
                    <w:sz w:val="20"/>
                    <w:szCs w:val="20"/>
                  </w:rPr>
                  <m:t>Q</m:t>
                </m:r>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ρ</m:t>
                        </m:r>
                      </m:e>
                      <m:sub>
                        <m:r>
                          <w:rPr>
                            <w:rFonts w:ascii="Cambria Math" w:hAnsi="Cambria Math" w:cs="Times New Roman"/>
                            <w:sz w:val="20"/>
                            <w:szCs w:val="20"/>
                          </w:rPr>
                          <m:t>a</m:t>
                        </m:r>
                      </m:sub>
                    </m:sSub>
                  </m:num>
                  <m:den>
                    <m:r>
                      <w:rPr>
                        <w:rFonts w:ascii="Cambria Math" w:hAnsi="Cambria Math" w:cs="Times New Roman"/>
                        <w:sz w:val="20"/>
                        <w:szCs w:val="20"/>
                      </w:rPr>
                      <m:t>g</m:t>
                    </m:r>
                  </m:den>
                </m:f>
                <m:r>
                  <m:rPr>
                    <m:nor/>
                  </m:rPr>
                  <w:rPr>
                    <w:rFonts w:ascii="Times New Roman" w:hAnsi="Times New Roman" w:cs="Times New Roman"/>
                    <w:sz w:val="20"/>
                    <w:szCs w:val="20"/>
                  </w:rPr>
                  <m:t> </m:t>
                </m:r>
                <m:sSubSup>
                  <m:sSubSupPr>
                    <m:ctrlPr>
                      <w:rPr>
                        <w:rFonts w:ascii="Cambria Math" w:hAnsi="Cambria Math" w:cs="Times New Roman"/>
                        <w:sz w:val="20"/>
                        <w:szCs w:val="20"/>
                      </w:rPr>
                    </m:ctrlPr>
                  </m:sSubSupPr>
                  <m:e>
                    <m:r>
                      <w:rPr>
                        <w:rFonts w:ascii="Cambria Math" w:hAnsi="Cambria Math" w:cs="Times New Roman"/>
                        <w:sz w:val="20"/>
                        <w:szCs w:val="20"/>
                      </w:rPr>
                      <m:t>u</m:t>
                    </m:r>
                  </m:e>
                  <m:sub>
                    <m:r>
                      <w:rPr>
                        <w:rFonts w:ascii="Cambria Math" w:hAnsi="Cambria Math" w:cs="Times New Roman"/>
                        <w:sz w:val="20"/>
                        <w:szCs w:val="20"/>
                      </w:rPr>
                      <m:t>*</m:t>
                    </m:r>
                  </m:sub>
                  <m:sup>
                    <m:r>
                      <w:rPr>
                        <w:rFonts w:ascii="Cambria Math" w:hAnsi="Cambria Math" w:cs="Times New Roman"/>
                        <w:sz w:val="20"/>
                        <w:szCs w:val="20"/>
                      </w:rPr>
                      <m:t>3</m:t>
                    </m:r>
                  </m:sup>
                </m:sSubSup>
                <m:r>
                  <m:rPr>
                    <m:nor/>
                  </m:rPr>
                  <w:rPr>
                    <w:rFonts w:ascii="Times New Roman" w:hAnsi="Times New Roman" w:cs="Times New Roman"/>
                    <w:sz w:val="20"/>
                    <w:szCs w:val="20"/>
                  </w:rPr>
                  <m:t> ⁣</m:t>
                </m:r>
                <m:d>
                  <m:dPr>
                    <m:sepChr m:val="−"/>
                    <m:ctrlPr>
                      <w:rPr>
                        <w:rFonts w:ascii="Cambria Math" w:hAnsi="Cambria Math" w:cs="Times New Roman"/>
                        <w:sz w:val="20"/>
                        <w:szCs w:val="20"/>
                      </w:rPr>
                    </m:ctrlPr>
                  </m:dPr>
                  <m:e>
                    <m:r>
                      <w:rPr>
                        <w:rFonts w:ascii="Cambria Math" w:hAnsi="Cambria Math" w:cs="Times New Roman"/>
                        <w:sz w:val="20"/>
                        <w:szCs w:val="20"/>
                      </w:rPr>
                      <m:t>1</m:t>
                    </m:r>
                  </m:e>
                  <m:e>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u</m:t>
                            </m:r>
                          </m:e>
                          <m:sub>
                            <m:r>
                              <w:rPr>
                                <w:rFonts w:ascii="Cambria Math" w:hAnsi="Cambria Math" w:cs="Times New Roman"/>
                                <w:sz w:val="20"/>
                                <w:szCs w:val="20"/>
                              </w:rPr>
                              <m:t>*t</m:t>
                            </m:r>
                          </m:sub>
                        </m:sSub>
                      </m:num>
                      <m:den>
                        <m:sSub>
                          <m:sSubPr>
                            <m:ctrlPr>
                              <w:rPr>
                                <w:rFonts w:ascii="Cambria Math" w:hAnsi="Cambria Math" w:cs="Times New Roman"/>
                                <w:sz w:val="20"/>
                                <w:szCs w:val="20"/>
                              </w:rPr>
                            </m:ctrlPr>
                          </m:sSubPr>
                          <m:e>
                            <m:r>
                              <w:rPr>
                                <w:rFonts w:ascii="Cambria Math" w:hAnsi="Cambria Math" w:cs="Times New Roman"/>
                                <w:sz w:val="20"/>
                                <w:szCs w:val="20"/>
                              </w:rPr>
                              <m:t>u</m:t>
                            </m:r>
                          </m:e>
                          <m:sub>
                            <m:r>
                              <w:rPr>
                                <w:rFonts w:ascii="Cambria Math" w:hAnsi="Cambria Math" w:cs="Times New Roman"/>
                                <w:sz w:val="20"/>
                                <w:szCs w:val="20"/>
                              </w:rPr>
                              <m:t>*</m:t>
                            </m:r>
                          </m:sub>
                        </m:sSub>
                      </m:den>
                    </m:f>
                  </m:e>
                </m:d>
                <m:r>
                  <m:rPr>
                    <m:nor/>
                  </m:rPr>
                  <w:rPr>
                    <w:rFonts w:ascii="Times New Roman" w:hAnsi="Times New Roman" w:cs="Times New Roman"/>
                    <w:sz w:val="20"/>
                    <w:szCs w:val="20"/>
                  </w:rPr>
                  <m:t> ⁣ ⁣</m:t>
                </m:r>
                <m:sSup>
                  <m:sSupPr>
                    <m:ctrlPr>
                      <w:rPr>
                        <w:rFonts w:ascii="Cambria Math" w:hAnsi="Cambria Math" w:cs="Times New Roman"/>
                        <w:sz w:val="20"/>
                        <w:szCs w:val="20"/>
                      </w:rPr>
                    </m:ctrlPr>
                  </m:sSupPr>
                  <m:e>
                    <m:d>
                      <m:dPr>
                        <m:sepChr m:val="+"/>
                        <m:ctrlPr>
                          <w:rPr>
                            <w:rFonts w:ascii="Cambria Math" w:hAnsi="Cambria Math" w:cs="Times New Roman"/>
                            <w:sz w:val="20"/>
                            <w:szCs w:val="20"/>
                          </w:rPr>
                        </m:ctrlPr>
                      </m:dPr>
                      <m:e>
                        <m:r>
                          <w:rPr>
                            <w:rFonts w:ascii="Cambria Math" w:hAnsi="Cambria Math" w:cs="Times New Roman"/>
                            <w:sz w:val="20"/>
                            <w:szCs w:val="20"/>
                          </w:rPr>
                          <m:t>1</m:t>
                        </m:r>
                      </m:e>
                      <m:e>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u</m:t>
                                </m:r>
                              </m:e>
                              <m:sub>
                                <m:r>
                                  <w:rPr>
                                    <w:rFonts w:ascii="Cambria Math" w:hAnsi="Cambria Math" w:cs="Times New Roman"/>
                                    <w:sz w:val="20"/>
                                    <w:szCs w:val="20"/>
                                  </w:rPr>
                                  <m:t>*t</m:t>
                                </m:r>
                              </m:sub>
                            </m:sSub>
                          </m:num>
                          <m:den>
                            <m:sSub>
                              <m:sSubPr>
                                <m:ctrlPr>
                                  <w:rPr>
                                    <w:rFonts w:ascii="Cambria Math" w:hAnsi="Cambria Math" w:cs="Times New Roman"/>
                                    <w:sz w:val="20"/>
                                    <w:szCs w:val="20"/>
                                  </w:rPr>
                                </m:ctrlPr>
                              </m:sSubPr>
                              <m:e>
                                <m:r>
                                  <w:rPr>
                                    <w:rFonts w:ascii="Cambria Math" w:hAnsi="Cambria Math" w:cs="Times New Roman"/>
                                    <w:sz w:val="20"/>
                                    <w:szCs w:val="20"/>
                                  </w:rPr>
                                  <m:t>u</m:t>
                                </m:r>
                              </m:e>
                              <m:sub>
                                <m:r>
                                  <w:rPr>
                                    <w:rFonts w:ascii="Cambria Math" w:hAnsi="Cambria Math" w:cs="Times New Roman"/>
                                    <w:sz w:val="20"/>
                                    <w:szCs w:val="20"/>
                                  </w:rPr>
                                  <m:t>*</m:t>
                                </m:r>
                              </m:sub>
                            </m:sSub>
                          </m:den>
                        </m:f>
                      </m:e>
                    </m:d>
                  </m:e>
                  <m:sup>
                    <m:r>
                      <m:rPr>
                        <m:nor/>
                      </m:rPr>
                      <w:rPr>
                        <w:rFonts w:ascii="Times New Roman" w:hAnsi="Times New Roman" w:cs="Times New Roman"/>
                        <w:sz w:val="20"/>
                        <w:szCs w:val="20"/>
                      </w:rPr>
                      <m:t> ⁣</m:t>
                    </m:r>
                    <m:r>
                      <w:rPr>
                        <w:rFonts w:ascii="Cambria Math" w:hAnsi="Cambria Math" w:cs="Times New Roman"/>
                        <w:sz w:val="20"/>
                        <w:szCs w:val="20"/>
                      </w:rPr>
                      <m:t>2</m:t>
                    </m:r>
                  </m:sup>
                </m:sSup>
              </m:e>
              <m:e/>
              <m:e>
                <m:r>
                  <m:rPr>
                    <m:nor/>
                  </m:rPr>
                  <w:rPr>
                    <w:rFonts w:ascii="Times New Roman" w:hAnsi="Times New Roman" w:cs="Times New Roman"/>
                    <w:sz w:val="20"/>
                    <w:szCs w:val="20"/>
                  </w:rPr>
                  <m:t>(13)</m:t>
                </m:r>
              </m:e>
            </m:mr>
          </m:m>
          <m:r>
            <w:rPr>
              <w:rFonts w:ascii="Times New Roman" w:hAnsi="Times New Roman" w:cs="Times New Roman"/>
              <w:sz w:val="20"/>
              <w:szCs w:val="20"/>
            </w:rPr>
            <w:br/>
          </m:r>
        </m:oMath>
      </m:oMathPara>
    </w:p>
    <w:p w14:paraId="422A4F06"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where:</w:t>
      </w:r>
    </w:p>
    <w:p w14:paraId="6C267A82" w14:textId="77777777" w:rsidR="00310036" w:rsidRPr="00FA2968" w:rsidRDefault="00310036" w:rsidP="006E162B">
      <w:pPr>
        <w:numPr>
          <w:ilvl w:val="0"/>
          <w:numId w:val="14"/>
        </w:numPr>
        <w:jc w:val="both"/>
        <w:rPr>
          <w:rFonts w:ascii="Times New Roman" w:hAnsi="Times New Roman" w:cs="Times New Roman"/>
          <w:sz w:val="20"/>
          <w:szCs w:val="20"/>
        </w:rPr>
      </w:pPr>
      <w:r w:rsidRPr="00FA2968">
        <w:rPr>
          <w:rFonts w:ascii="Times New Roman" w:hAnsi="Times New Roman" w:cs="Times New Roman"/>
          <w:i/>
          <w:iCs/>
          <w:sz w:val="20"/>
          <w:szCs w:val="20"/>
        </w:rPr>
        <w:t>Q</w:t>
      </w:r>
      <w:r w:rsidRPr="00FA2968">
        <w:rPr>
          <w:rFonts w:ascii="Times New Roman" w:hAnsi="Times New Roman" w:cs="Times New Roman"/>
          <w:sz w:val="20"/>
          <w:szCs w:val="20"/>
        </w:rPr>
        <w:t> = horizontal saltation mass flux (kg m⁻¹ s⁻¹)</w:t>
      </w:r>
    </w:p>
    <w:p w14:paraId="1B36CB8F" w14:textId="77777777" w:rsidR="00310036" w:rsidRPr="00FA2968" w:rsidRDefault="00310036"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2.5.10 Aerosol Transport and Deposition</w:t>
      </w:r>
    </w:p>
    <w:p w14:paraId="202BEA05"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The atmospheric transport, dispersion, and deposition of dust mass concentration </w:t>
      </w:r>
      <w:r w:rsidRPr="00FA2968">
        <w:rPr>
          <w:rFonts w:ascii="Times New Roman" w:hAnsi="Times New Roman" w:cs="Times New Roman"/>
          <w:i/>
          <w:iCs/>
          <w:sz w:val="20"/>
          <w:szCs w:val="20"/>
        </w:rPr>
        <w:t>C</w:t>
      </w:r>
      <w:r w:rsidRPr="00FA2968">
        <w:rPr>
          <w:rFonts w:ascii="Times New Roman" w:hAnsi="Times New Roman" w:cs="Times New Roman"/>
          <w:sz w:val="20"/>
          <w:szCs w:val="20"/>
        </w:rPr>
        <w:t> are described by the Eulerian conservation equation (</w:t>
      </w:r>
      <w:proofErr w:type="spellStart"/>
      <w:r w:rsidRPr="00FA2968">
        <w:rPr>
          <w:rFonts w:ascii="Times New Roman" w:hAnsi="Times New Roman" w:cs="Times New Roman"/>
          <w:sz w:val="20"/>
          <w:szCs w:val="20"/>
        </w:rPr>
        <w:t>Knippertz</w:t>
      </w:r>
      <w:proofErr w:type="spellEnd"/>
      <w:r w:rsidRPr="00FA2968">
        <w:rPr>
          <w:rFonts w:ascii="Times New Roman" w:hAnsi="Times New Roman" w:cs="Times New Roman"/>
          <w:sz w:val="20"/>
          <w:szCs w:val="20"/>
        </w:rPr>
        <w:t xml:space="preserve"> &amp; Todd, 2012):</w:t>
      </w:r>
    </w:p>
    <w:p w14:paraId="4FBD76B7" w14:textId="6216D221" w:rsidR="00310036" w:rsidRPr="00FA2968" w:rsidRDefault="00310036" w:rsidP="006E162B">
      <w:pPr>
        <w:jc w:val="both"/>
        <w:rPr>
          <w:rFonts w:ascii="Times New Roman" w:hAnsi="Times New Roman" w:cs="Times New Roman"/>
          <w:sz w:val="20"/>
          <w:szCs w:val="20"/>
        </w:rPr>
      </w:pPr>
      <m:oMathPara>
        <m:oMath>
          <m:m>
            <m:mPr>
              <m:plcHide m:val="1"/>
              <m:mcs>
                <m:mc>
                  <m:mcPr>
                    <m:count m:val="4"/>
                    <m:mcJc m:val="center"/>
                  </m:mcPr>
                </m:mc>
              </m:mcs>
              <m:ctrlPr>
                <w:rPr>
                  <w:rFonts w:ascii="Cambria Math" w:hAnsi="Cambria Math" w:cs="Times New Roman"/>
                  <w:sz w:val="20"/>
                  <w:szCs w:val="20"/>
                </w:rPr>
              </m:ctrlPr>
            </m:mPr>
            <m:mr>
              <m:e/>
              <m:e>
                <m:f>
                  <m:fPr>
                    <m:ctrlPr>
                      <w:rPr>
                        <w:rFonts w:ascii="Cambria Math" w:hAnsi="Cambria Math" w:cs="Times New Roman"/>
                        <w:sz w:val="20"/>
                        <w:szCs w:val="20"/>
                      </w:rPr>
                    </m:ctrlPr>
                  </m:fPr>
                  <m:num>
                    <m:r>
                      <m:rPr>
                        <m:sty m:val="p"/>
                      </m:rPr>
                      <w:rPr>
                        <w:rFonts w:ascii="Cambria Math" w:hAnsi="Cambria Math" w:cs="Times New Roman"/>
                        <w:sz w:val="20"/>
                        <w:szCs w:val="20"/>
                      </w:rPr>
                      <m:t>∂</m:t>
                    </m:r>
                    <m:r>
                      <w:rPr>
                        <w:rFonts w:ascii="Cambria Math" w:hAnsi="Cambria Math" w:cs="Times New Roman"/>
                        <w:sz w:val="20"/>
                        <w:szCs w:val="20"/>
                      </w:rPr>
                      <m:t>C</m:t>
                    </m:r>
                  </m:num>
                  <m:den>
                    <m:r>
                      <m:rPr>
                        <m:sty m:val="p"/>
                      </m:rPr>
                      <w:rPr>
                        <w:rFonts w:ascii="Cambria Math" w:hAnsi="Cambria Math" w:cs="Times New Roman"/>
                        <w:sz w:val="20"/>
                        <w:szCs w:val="20"/>
                      </w:rPr>
                      <m:t>∂</m:t>
                    </m:r>
                    <m:r>
                      <w:rPr>
                        <w:rFonts w:ascii="Cambria Math" w:hAnsi="Cambria Math" w:cs="Times New Roman"/>
                        <w:sz w:val="20"/>
                        <w:szCs w:val="20"/>
                      </w:rPr>
                      <m:t>t</m:t>
                    </m:r>
                  </m:den>
                </m:f>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r>
                  <m:rPr>
                    <m:sty m:val="p"/>
                  </m:rPr>
                  <w:rPr>
                    <w:rFonts w:ascii="Cambria Math" w:hAnsi="Cambria Math" w:cs="Times New Roman"/>
                    <w:sz w:val="20"/>
                    <w:szCs w:val="20"/>
                  </w:rPr>
                  <m:t>∇</m:t>
                </m:r>
                <m:r>
                  <w:rPr>
                    <w:rFonts w:ascii="Cambria Math" w:hAnsi="Cambria Math" w:cs="Times New Roman"/>
                    <w:sz w:val="20"/>
                    <w:szCs w:val="20"/>
                  </w:rPr>
                  <m:t>⋅(</m:t>
                </m:r>
                <m:r>
                  <m:rPr>
                    <m:sty m:val="b"/>
                  </m:rPr>
                  <w:rPr>
                    <w:rFonts w:ascii="Cambria Math" w:hAnsi="Cambria Math" w:cs="Times New Roman"/>
                    <w:sz w:val="20"/>
                    <w:szCs w:val="20"/>
                  </w:rPr>
                  <m:t>u</m:t>
                </m:r>
                <m:r>
                  <m:rPr>
                    <m:nor/>
                  </m:rPr>
                  <w:rPr>
                    <w:rFonts w:ascii="Times New Roman" w:hAnsi="Times New Roman" w:cs="Times New Roman"/>
                    <w:sz w:val="20"/>
                    <w:szCs w:val="20"/>
                  </w:rPr>
                  <m:t> </m:t>
                </m:r>
                <m:r>
                  <w:rPr>
                    <w:rFonts w:ascii="Cambria Math" w:hAnsi="Cambria Math" w:cs="Times New Roman"/>
                    <w:sz w:val="20"/>
                    <w:szCs w:val="20"/>
                  </w:rPr>
                  <m:t>C)</m:t>
                </m:r>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r>
                  <m:rPr>
                    <m:sty m:val="p"/>
                  </m:rPr>
                  <w:rPr>
                    <w:rFonts w:ascii="Cambria Math" w:hAnsi="Cambria Math" w:cs="Times New Roman"/>
                    <w:sz w:val="20"/>
                    <w:szCs w:val="20"/>
                  </w:rPr>
                  <m:t>∇</m:t>
                </m:r>
                <m:r>
                  <w:rPr>
                    <w:rFonts w:ascii="Cambria Math" w:hAnsi="Cambria Math" w:cs="Times New Roman"/>
                    <w:sz w:val="20"/>
                    <w:szCs w:val="20"/>
                  </w:rPr>
                  <m:t>⋅(K</m:t>
                </m:r>
                <m:r>
                  <m:rPr>
                    <m:nor/>
                  </m:rPr>
                  <w:rPr>
                    <w:rFonts w:ascii="Times New Roman" w:hAnsi="Times New Roman" w:cs="Times New Roman"/>
                    <w:sz w:val="20"/>
                    <w:szCs w:val="20"/>
                  </w:rPr>
                  <m:t> </m:t>
                </m:r>
                <m:r>
                  <m:rPr>
                    <m:sty m:val="p"/>
                  </m:rPr>
                  <w:rPr>
                    <w:rFonts w:ascii="Cambria Math" w:hAnsi="Cambria Math" w:cs="Times New Roman"/>
                    <w:sz w:val="20"/>
                    <w:szCs w:val="20"/>
                  </w:rPr>
                  <m:t>∇</m:t>
                </m:r>
                <m:r>
                  <w:rPr>
                    <w:rFonts w:ascii="Cambria Math" w:hAnsi="Cambria Math" w:cs="Times New Roman"/>
                    <w:sz w:val="20"/>
                    <w:szCs w:val="20"/>
                  </w:rPr>
                  <m:t>C)</m:t>
                </m:r>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r>
                  <w:rPr>
                    <w:rFonts w:ascii="Cambria Math" w:hAnsi="Cambria Math" w:cs="Times New Roman"/>
                    <w:sz w:val="20"/>
                    <w:szCs w:val="20"/>
                  </w:rPr>
                  <m:t>E</m:t>
                </m:r>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r>
                  <w:rPr>
                    <w:rFonts w:ascii="Cambria Math" w:hAnsi="Cambria Math" w:cs="Times New Roman"/>
                    <w:sz w:val="20"/>
                    <w:szCs w:val="20"/>
                  </w:rPr>
                  <m:t>D</m:t>
                </m:r>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r>
                  <w:rPr>
                    <w:rFonts w:ascii="Cambria Math" w:hAnsi="Cambria Math" w:cs="Times New Roman"/>
                    <w:sz w:val="20"/>
                    <w:szCs w:val="20"/>
                  </w:rPr>
                  <m:t>S</m:t>
                </m:r>
              </m:e>
              <m:e/>
              <m:e>
                <m:r>
                  <m:rPr>
                    <m:nor/>
                  </m:rPr>
                  <w:rPr>
                    <w:rFonts w:ascii="Times New Roman" w:hAnsi="Times New Roman" w:cs="Times New Roman"/>
                    <w:sz w:val="20"/>
                    <w:szCs w:val="20"/>
                  </w:rPr>
                  <m:t>(14)</m:t>
                </m:r>
              </m:e>
            </m:mr>
          </m:m>
          <m:r>
            <w:rPr>
              <w:rFonts w:ascii="Times New Roman" w:hAnsi="Times New Roman" w:cs="Times New Roman"/>
              <w:sz w:val="20"/>
              <w:szCs w:val="20"/>
            </w:rPr>
            <w:br/>
          </m:r>
        </m:oMath>
      </m:oMathPara>
    </w:p>
    <w:p w14:paraId="32802D76"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where:</w:t>
      </w:r>
    </w:p>
    <w:p w14:paraId="7A5CDFAE" w14:textId="77777777" w:rsidR="00310036" w:rsidRPr="00FA2968" w:rsidRDefault="00310036" w:rsidP="006E162B">
      <w:pPr>
        <w:numPr>
          <w:ilvl w:val="0"/>
          <w:numId w:val="15"/>
        </w:numPr>
        <w:jc w:val="both"/>
        <w:rPr>
          <w:rFonts w:ascii="Times New Roman" w:hAnsi="Times New Roman" w:cs="Times New Roman"/>
          <w:sz w:val="20"/>
          <w:szCs w:val="20"/>
        </w:rPr>
      </w:pPr>
      <w:r w:rsidRPr="00FA2968">
        <w:rPr>
          <w:rFonts w:ascii="Times New Roman" w:hAnsi="Times New Roman" w:cs="Times New Roman"/>
          <w:i/>
          <w:iCs/>
          <w:sz w:val="20"/>
          <w:szCs w:val="20"/>
        </w:rPr>
        <w:t>C</w:t>
      </w:r>
      <w:r w:rsidRPr="00FA2968">
        <w:rPr>
          <w:rFonts w:ascii="Times New Roman" w:hAnsi="Times New Roman" w:cs="Times New Roman"/>
          <w:sz w:val="20"/>
          <w:szCs w:val="20"/>
        </w:rPr>
        <w:t> = atmospheric dust mass concentration (kg m⁻³)</w:t>
      </w:r>
    </w:p>
    <w:p w14:paraId="57FE11EB" w14:textId="77777777" w:rsidR="00310036" w:rsidRPr="00FA2968" w:rsidRDefault="00310036" w:rsidP="006E162B">
      <w:pPr>
        <w:numPr>
          <w:ilvl w:val="0"/>
          <w:numId w:val="15"/>
        </w:numPr>
        <w:jc w:val="both"/>
        <w:rPr>
          <w:rFonts w:ascii="Times New Roman" w:hAnsi="Times New Roman" w:cs="Times New Roman"/>
          <w:sz w:val="20"/>
          <w:szCs w:val="20"/>
        </w:rPr>
      </w:pPr>
      <w:r w:rsidRPr="00FA2968">
        <w:rPr>
          <w:rFonts w:ascii="Times New Roman" w:hAnsi="Times New Roman" w:cs="Times New Roman"/>
          <w:b/>
          <w:bCs/>
          <w:sz w:val="20"/>
          <w:szCs w:val="20"/>
        </w:rPr>
        <w:t>u</w:t>
      </w:r>
      <w:r w:rsidRPr="00FA2968">
        <w:rPr>
          <w:rFonts w:ascii="Times New Roman" w:hAnsi="Times New Roman" w:cs="Times New Roman"/>
          <w:sz w:val="20"/>
          <w:szCs w:val="20"/>
        </w:rPr>
        <w:t> = three-dimensional wind vector (m s⁻¹)</w:t>
      </w:r>
    </w:p>
    <w:p w14:paraId="49023A04" w14:textId="77777777" w:rsidR="00310036" w:rsidRPr="00FA2968" w:rsidRDefault="00310036" w:rsidP="006E162B">
      <w:pPr>
        <w:numPr>
          <w:ilvl w:val="0"/>
          <w:numId w:val="15"/>
        </w:numPr>
        <w:jc w:val="both"/>
        <w:rPr>
          <w:rFonts w:ascii="Times New Roman" w:hAnsi="Times New Roman" w:cs="Times New Roman"/>
          <w:sz w:val="20"/>
          <w:szCs w:val="20"/>
        </w:rPr>
      </w:pPr>
      <w:r w:rsidRPr="00FA2968">
        <w:rPr>
          <w:rFonts w:ascii="Times New Roman" w:hAnsi="Times New Roman" w:cs="Times New Roman"/>
          <w:i/>
          <w:iCs/>
          <w:sz w:val="20"/>
          <w:szCs w:val="20"/>
        </w:rPr>
        <w:t>K</w:t>
      </w:r>
      <w:r w:rsidRPr="00FA2968">
        <w:rPr>
          <w:rFonts w:ascii="Times New Roman" w:hAnsi="Times New Roman" w:cs="Times New Roman"/>
          <w:sz w:val="20"/>
          <w:szCs w:val="20"/>
        </w:rPr>
        <w:t> = turbulent diffusion tensor (m² s⁻¹)</w:t>
      </w:r>
    </w:p>
    <w:p w14:paraId="75787687" w14:textId="77777777" w:rsidR="00310036" w:rsidRPr="00FA2968" w:rsidRDefault="00310036" w:rsidP="006E162B">
      <w:pPr>
        <w:numPr>
          <w:ilvl w:val="0"/>
          <w:numId w:val="15"/>
        </w:numPr>
        <w:jc w:val="both"/>
        <w:rPr>
          <w:rFonts w:ascii="Times New Roman" w:hAnsi="Times New Roman" w:cs="Times New Roman"/>
          <w:sz w:val="20"/>
          <w:szCs w:val="20"/>
        </w:rPr>
      </w:pPr>
      <w:r w:rsidRPr="00FA2968">
        <w:rPr>
          <w:rFonts w:ascii="Times New Roman" w:hAnsi="Times New Roman" w:cs="Times New Roman"/>
          <w:i/>
          <w:iCs/>
          <w:sz w:val="20"/>
          <w:szCs w:val="20"/>
        </w:rPr>
        <w:t>E</w:t>
      </w:r>
      <w:r w:rsidRPr="00FA2968">
        <w:rPr>
          <w:rFonts w:ascii="Times New Roman" w:hAnsi="Times New Roman" w:cs="Times New Roman"/>
          <w:sz w:val="20"/>
          <w:szCs w:val="20"/>
        </w:rPr>
        <w:t> = emission source term (kg m⁻³ s⁻¹)</w:t>
      </w:r>
    </w:p>
    <w:p w14:paraId="29681966" w14:textId="77777777" w:rsidR="00310036" w:rsidRPr="00FA2968" w:rsidRDefault="00310036" w:rsidP="006E162B">
      <w:pPr>
        <w:numPr>
          <w:ilvl w:val="0"/>
          <w:numId w:val="15"/>
        </w:numPr>
        <w:jc w:val="both"/>
        <w:rPr>
          <w:rFonts w:ascii="Times New Roman" w:hAnsi="Times New Roman" w:cs="Times New Roman"/>
          <w:sz w:val="20"/>
          <w:szCs w:val="20"/>
        </w:rPr>
      </w:pPr>
      <w:r w:rsidRPr="00FA2968">
        <w:rPr>
          <w:rFonts w:ascii="Times New Roman" w:hAnsi="Times New Roman" w:cs="Times New Roman"/>
          <w:i/>
          <w:iCs/>
          <w:sz w:val="20"/>
          <w:szCs w:val="20"/>
        </w:rPr>
        <w:t>D</w:t>
      </w:r>
      <w:r w:rsidRPr="00FA2968">
        <w:rPr>
          <w:rFonts w:ascii="Times New Roman" w:hAnsi="Times New Roman" w:cs="Times New Roman"/>
          <w:sz w:val="20"/>
          <w:szCs w:val="20"/>
        </w:rPr>
        <w:t> = dry deposition sink (kg m⁻³ s⁻¹)</w:t>
      </w:r>
    </w:p>
    <w:p w14:paraId="19A31761" w14:textId="77777777" w:rsidR="00310036" w:rsidRPr="00FA2968" w:rsidRDefault="00310036" w:rsidP="006E162B">
      <w:pPr>
        <w:numPr>
          <w:ilvl w:val="0"/>
          <w:numId w:val="15"/>
        </w:numPr>
        <w:jc w:val="both"/>
        <w:rPr>
          <w:rFonts w:ascii="Times New Roman" w:hAnsi="Times New Roman" w:cs="Times New Roman"/>
          <w:sz w:val="20"/>
          <w:szCs w:val="20"/>
        </w:rPr>
      </w:pPr>
      <w:r w:rsidRPr="00FA2968">
        <w:rPr>
          <w:rFonts w:ascii="Times New Roman" w:hAnsi="Times New Roman" w:cs="Times New Roman"/>
          <w:i/>
          <w:iCs/>
          <w:sz w:val="20"/>
          <w:szCs w:val="20"/>
        </w:rPr>
        <w:t>S</w:t>
      </w:r>
      <w:r w:rsidRPr="00FA2968">
        <w:rPr>
          <w:rFonts w:ascii="Times New Roman" w:hAnsi="Times New Roman" w:cs="Times New Roman"/>
          <w:sz w:val="20"/>
          <w:szCs w:val="20"/>
        </w:rPr>
        <w:t> = wet scavenging sink (kg m⁻³ s⁻¹)</w:t>
      </w:r>
    </w:p>
    <w:p w14:paraId="20C495FE"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The dry deposition flux at the surface is given by:</w:t>
      </w:r>
    </w:p>
    <w:p w14:paraId="30BAFC21" w14:textId="0A553FD6" w:rsidR="00310036" w:rsidRPr="00FA2968" w:rsidRDefault="00310036" w:rsidP="006E162B">
      <w:pPr>
        <w:jc w:val="both"/>
        <w:rPr>
          <w:rFonts w:ascii="Times New Roman" w:hAnsi="Times New Roman" w:cs="Times New Roman"/>
          <w:sz w:val="20"/>
          <w:szCs w:val="20"/>
        </w:rPr>
      </w:pPr>
      <m:oMathPara>
        <m:oMath>
          <m:m>
            <m:mPr>
              <m:plcHide m:val="1"/>
              <m:mcs>
                <m:mc>
                  <m:mcPr>
                    <m:count m:val="4"/>
                    <m:mcJc m:val="center"/>
                  </m:mcPr>
                </m:mc>
              </m:mcs>
              <m:ctrlPr>
                <w:rPr>
                  <w:rFonts w:ascii="Cambria Math" w:hAnsi="Cambria Math" w:cs="Times New Roman"/>
                  <w:sz w:val="20"/>
                  <w:szCs w:val="20"/>
                </w:rPr>
              </m:ctrlPr>
            </m:mPr>
            <m:mr>
              <m:e/>
              <m:e>
                <m:sSub>
                  <m:sSubPr>
                    <m:ctrlPr>
                      <w:rPr>
                        <w:rFonts w:ascii="Cambria Math" w:hAnsi="Cambria Math" w:cs="Times New Roman"/>
                        <w:sz w:val="20"/>
                        <w:szCs w:val="20"/>
                      </w:rPr>
                    </m:ctrlPr>
                  </m:sSubPr>
                  <m:e>
                    <m:r>
                      <w:rPr>
                        <w:rFonts w:ascii="Cambria Math" w:hAnsi="Cambria Math" w:cs="Times New Roman"/>
                        <w:sz w:val="20"/>
                        <w:szCs w:val="20"/>
                      </w:rPr>
                      <m:t>F</m:t>
                    </m:r>
                  </m:e>
                  <m:sub>
                    <m:r>
                      <m:rPr>
                        <m:sty m:val="p"/>
                      </m:rPr>
                      <w:rPr>
                        <w:rFonts w:ascii="Cambria Math" w:hAnsi="Cambria Math" w:cs="Times New Roman"/>
                        <w:sz w:val="20"/>
                        <w:szCs w:val="20"/>
                      </w:rPr>
                      <m:t>dep</m:t>
                    </m:r>
                  </m:sub>
                </m:sSub>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sSub>
                  <m:sSubPr>
                    <m:ctrlPr>
                      <w:rPr>
                        <w:rFonts w:ascii="Cambria Math" w:hAnsi="Cambria Math" w:cs="Times New Roman"/>
                        <w:sz w:val="20"/>
                        <w:szCs w:val="20"/>
                      </w:rPr>
                    </m:ctrlPr>
                  </m:sSubPr>
                  <m:e>
                    <m:r>
                      <w:rPr>
                        <w:rFonts w:ascii="Cambria Math" w:hAnsi="Cambria Math" w:cs="Times New Roman"/>
                        <w:sz w:val="20"/>
                        <w:szCs w:val="20"/>
                      </w:rPr>
                      <m:t>v</m:t>
                    </m:r>
                  </m:e>
                  <m:sub>
                    <m:r>
                      <w:rPr>
                        <w:rFonts w:ascii="Cambria Math" w:hAnsi="Cambria Math" w:cs="Times New Roman"/>
                        <w:sz w:val="20"/>
                        <w:szCs w:val="20"/>
                      </w:rPr>
                      <m:t>d</m:t>
                    </m:r>
                  </m:sub>
                </m:sSub>
                <m:r>
                  <m:rPr>
                    <m:nor/>
                  </m:rPr>
                  <w:rPr>
                    <w:rFonts w:ascii="Times New Roman" w:hAnsi="Times New Roman" w:cs="Times New Roman"/>
                    <w:sz w:val="20"/>
                    <w:szCs w:val="20"/>
                  </w:rPr>
                  <m:t> </m:t>
                </m:r>
                <m:r>
                  <w:rPr>
                    <w:rFonts w:ascii="Cambria Math" w:hAnsi="Cambria Math" w:cs="Times New Roman"/>
                    <w:sz w:val="20"/>
                    <w:szCs w:val="20"/>
                  </w:rPr>
                  <m:t>C</m:t>
                </m:r>
              </m:e>
              <m:e/>
              <m:e>
                <m:r>
                  <m:rPr>
                    <m:nor/>
                  </m:rPr>
                  <w:rPr>
                    <w:rFonts w:ascii="Times New Roman" w:hAnsi="Times New Roman" w:cs="Times New Roman"/>
                    <w:sz w:val="20"/>
                    <w:szCs w:val="20"/>
                  </w:rPr>
                  <m:t>(15)</m:t>
                </m:r>
              </m:e>
            </m:mr>
          </m:m>
          <m:r>
            <w:rPr>
              <w:rFonts w:ascii="Times New Roman" w:hAnsi="Times New Roman" w:cs="Times New Roman"/>
              <w:sz w:val="20"/>
              <w:szCs w:val="20"/>
            </w:rPr>
            <w:br/>
          </m:r>
        </m:oMath>
      </m:oMathPara>
    </w:p>
    <w:p w14:paraId="10674313"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where:</w:t>
      </w:r>
    </w:p>
    <w:p w14:paraId="6484F582" w14:textId="77777777" w:rsidR="00310036" w:rsidRPr="00FA2968" w:rsidRDefault="00310036" w:rsidP="006E162B">
      <w:pPr>
        <w:numPr>
          <w:ilvl w:val="0"/>
          <w:numId w:val="16"/>
        </w:numPr>
        <w:jc w:val="both"/>
        <w:rPr>
          <w:rFonts w:ascii="Times New Roman" w:hAnsi="Times New Roman" w:cs="Times New Roman"/>
          <w:sz w:val="20"/>
          <w:szCs w:val="20"/>
        </w:rPr>
      </w:pPr>
      <w:r w:rsidRPr="00FA2968">
        <w:rPr>
          <w:rFonts w:ascii="Times New Roman" w:hAnsi="Times New Roman" w:cs="Times New Roman"/>
          <w:i/>
          <w:iCs/>
          <w:sz w:val="20"/>
          <w:szCs w:val="20"/>
        </w:rPr>
        <w:t>F</w:t>
      </w:r>
      <w:r w:rsidRPr="00FA2968">
        <w:rPr>
          <w:rFonts w:ascii="Times New Roman" w:hAnsi="Times New Roman" w:cs="Times New Roman"/>
          <w:sz w:val="20"/>
          <w:szCs w:val="20"/>
        </w:rPr>
        <w:t>&lt;sub&gt;dep&lt;/sub&gt; = dry deposition flux (kg m⁻² s⁻¹)</w:t>
      </w:r>
    </w:p>
    <w:p w14:paraId="5BCB729D" w14:textId="77777777" w:rsidR="00310036" w:rsidRPr="00FA2968" w:rsidRDefault="00310036" w:rsidP="006E162B">
      <w:pPr>
        <w:numPr>
          <w:ilvl w:val="0"/>
          <w:numId w:val="16"/>
        </w:numPr>
        <w:jc w:val="both"/>
        <w:rPr>
          <w:rFonts w:ascii="Times New Roman" w:hAnsi="Times New Roman" w:cs="Times New Roman"/>
          <w:sz w:val="20"/>
          <w:szCs w:val="20"/>
        </w:rPr>
      </w:pPr>
      <w:r w:rsidRPr="00FA2968">
        <w:rPr>
          <w:rFonts w:ascii="Times New Roman" w:hAnsi="Times New Roman" w:cs="Times New Roman"/>
          <w:i/>
          <w:iCs/>
          <w:sz w:val="20"/>
          <w:szCs w:val="20"/>
        </w:rPr>
        <w:t>v</w:t>
      </w:r>
      <w:r w:rsidRPr="00FA2968">
        <w:rPr>
          <w:rFonts w:ascii="Times New Roman" w:hAnsi="Times New Roman" w:cs="Times New Roman"/>
          <w:sz w:val="20"/>
          <w:szCs w:val="20"/>
        </w:rPr>
        <w:t>&lt;sub&gt;d&lt;/sub&gt; = deposition velocity (m s⁻¹)</w:t>
      </w:r>
    </w:p>
    <w:p w14:paraId="26F8CA94" w14:textId="77777777" w:rsidR="00310036" w:rsidRPr="00FA2968" w:rsidRDefault="00310036"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2.5.11 Surface Energy Balance under Dust Loading</w:t>
      </w:r>
    </w:p>
    <w:p w14:paraId="31804591"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lastRenderedPageBreak/>
        <w:t xml:space="preserve">The land surface energy balance, modified by dust attenuation of incoming shortwave radiation (Saidou </w:t>
      </w:r>
      <w:proofErr w:type="spellStart"/>
      <w:r w:rsidRPr="00FA2968">
        <w:rPr>
          <w:rFonts w:ascii="Times New Roman" w:hAnsi="Times New Roman" w:cs="Times New Roman"/>
          <w:sz w:val="20"/>
          <w:szCs w:val="20"/>
        </w:rPr>
        <w:t>Chaibou</w:t>
      </w:r>
      <w:proofErr w:type="spellEnd"/>
      <w:r w:rsidRPr="00FA2968">
        <w:rPr>
          <w:rFonts w:ascii="Times New Roman" w:hAnsi="Times New Roman" w:cs="Times New Roman"/>
          <w:sz w:val="20"/>
          <w:szCs w:val="20"/>
        </w:rPr>
        <w:t xml:space="preserve"> et al., 2020; Slingo et al., 2006), is:</w:t>
      </w:r>
    </w:p>
    <w:p w14:paraId="20F98F30" w14:textId="226B4123" w:rsidR="00310036" w:rsidRPr="00FA2968" w:rsidRDefault="00310036" w:rsidP="006E162B">
      <w:pPr>
        <w:jc w:val="both"/>
        <w:rPr>
          <w:rFonts w:ascii="Times New Roman" w:hAnsi="Times New Roman" w:cs="Times New Roman"/>
          <w:sz w:val="20"/>
          <w:szCs w:val="20"/>
        </w:rPr>
      </w:pPr>
      <m:oMathPara>
        <m:oMath>
          <m:m>
            <m:mPr>
              <m:plcHide m:val="1"/>
              <m:mcs>
                <m:mc>
                  <m:mcPr>
                    <m:count m:val="4"/>
                    <m:mcJc m:val="center"/>
                  </m:mcPr>
                </m:mc>
              </m:mcs>
              <m:ctrlPr>
                <w:rPr>
                  <w:rFonts w:ascii="Cambria Math" w:hAnsi="Cambria Math" w:cs="Times New Roman"/>
                  <w:sz w:val="20"/>
                  <w:szCs w:val="20"/>
                </w:rPr>
              </m:ctrlPr>
            </m:mPr>
            <m:mr>
              <m:e/>
              <m:e>
                <m:sSub>
                  <m:sSubPr>
                    <m:ctrlPr>
                      <w:rPr>
                        <w:rFonts w:ascii="Cambria Math" w:hAnsi="Cambria Math" w:cs="Times New Roman"/>
                        <w:sz w:val="20"/>
                        <w:szCs w:val="20"/>
                      </w:rPr>
                    </m:ctrlPr>
                  </m:sSubPr>
                  <m:e>
                    <m:r>
                      <w:rPr>
                        <w:rFonts w:ascii="Cambria Math" w:hAnsi="Cambria Math" w:cs="Times New Roman"/>
                        <w:sz w:val="20"/>
                        <w:szCs w:val="20"/>
                      </w:rPr>
                      <m:t>R</m:t>
                    </m:r>
                  </m:e>
                  <m:sub>
                    <m:r>
                      <w:rPr>
                        <w:rFonts w:ascii="Cambria Math" w:hAnsi="Cambria Math" w:cs="Times New Roman"/>
                        <w:sz w:val="20"/>
                        <w:szCs w:val="20"/>
                      </w:rPr>
                      <m:t>n</m:t>
                    </m:r>
                  </m:sub>
                </m:sSub>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r>
                  <w:rPr>
                    <w:rFonts w:ascii="Cambria Math" w:hAnsi="Cambria Math" w:cs="Times New Roman"/>
                    <w:sz w:val="20"/>
                    <w:szCs w:val="20"/>
                  </w:rPr>
                  <m:t>(1-</m:t>
                </m:r>
                <m:sSub>
                  <m:sSubPr>
                    <m:ctrlPr>
                      <w:rPr>
                        <w:rFonts w:ascii="Cambria Math" w:hAnsi="Cambria Math" w:cs="Times New Roman"/>
                        <w:sz w:val="20"/>
                        <w:szCs w:val="20"/>
                      </w:rPr>
                    </m:ctrlPr>
                  </m:sSubPr>
                  <m:e>
                    <m:r>
                      <w:rPr>
                        <w:rFonts w:ascii="Cambria Math" w:hAnsi="Cambria Math" w:cs="Times New Roman"/>
                        <w:sz w:val="20"/>
                        <w:szCs w:val="20"/>
                      </w:rPr>
                      <m:t>α</m:t>
                    </m:r>
                  </m:e>
                  <m:sub>
                    <m:r>
                      <w:rPr>
                        <w:rFonts w:ascii="Cambria Math" w:hAnsi="Cambria Math" w:cs="Times New Roman"/>
                        <w:sz w:val="20"/>
                        <w:szCs w:val="20"/>
                      </w:rPr>
                      <m:t>s</m:t>
                    </m:r>
                  </m:sub>
                </m:sSub>
                <m:r>
                  <w:rPr>
                    <w:rFonts w:ascii="Cambria Math" w:hAnsi="Cambria Math" w:cs="Times New Roman"/>
                    <w:sz w:val="20"/>
                    <w:szCs w:val="20"/>
                  </w:rPr>
                  <m:t>)</m:t>
                </m:r>
                <m:r>
                  <m:rPr>
                    <m:nor/>
                  </m:rPr>
                  <w:rPr>
                    <w:rFonts w:ascii="Times New Roman" w:hAnsi="Times New Roman" w:cs="Times New Roman"/>
                    <w:sz w:val="20"/>
                    <w:szCs w:val="20"/>
                  </w:rPr>
                  <m:t> </m:t>
                </m:r>
                <m:sSubSup>
                  <m:sSubSupPr>
                    <m:ctrlPr>
                      <w:rPr>
                        <w:rFonts w:ascii="Cambria Math" w:hAnsi="Cambria Math" w:cs="Times New Roman"/>
                        <w:sz w:val="20"/>
                        <w:szCs w:val="20"/>
                      </w:rPr>
                    </m:ctrlPr>
                  </m:sSubSupPr>
                  <m:e>
                    <m:r>
                      <w:rPr>
                        <w:rFonts w:ascii="Cambria Math" w:hAnsi="Cambria Math" w:cs="Times New Roman"/>
                        <w:sz w:val="20"/>
                        <w:szCs w:val="20"/>
                      </w:rPr>
                      <m:t>S</m:t>
                    </m:r>
                  </m:e>
                  <m:sub>
                    <m:r>
                      <m:rPr>
                        <m:sty m:val="p"/>
                      </m:rPr>
                      <w:rPr>
                        <w:rFonts w:ascii="Cambria Math" w:hAnsi="Cambria Math" w:cs="Times New Roman"/>
                        <w:sz w:val="20"/>
                        <w:szCs w:val="20"/>
                      </w:rPr>
                      <m:t>dust</m:t>
                    </m:r>
                  </m:sub>
                  <m:sup>
                    <m:r>
                      <w:rPr>
                        <w:rFonts w:ascii="Cambria Math" w:hAnsi="Cambria Math" w:cs="Times New Roman"/>
                        <w:sz w:val="20"/>
                        <w:szCs w:val="20"/>
                      </w:rPr>
                      <m:t>↓</m:t>
                    </m:r>
                  </m:sup>
                </m:sSubSup>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sSup>
                  <m:sSupPr>
                    <m:ctrlPr>
                      <w:rPr>
                        <w:rFonts w:ascii="Cambria Math" w:hAnsi="Cambria Math" w:cs="Times New Roman"/>
                        <w:sz w:val="20"/>
                        <w:szCs w:val="20"/>
                      </w:rPr>
                    </m:ctrlPr>
                  </m:sSupPr>
                  <m:e>
                    <m:r>
                      <w:rPr>
                        <w:rFonts w:ascii="Cambria Math" w:hAnsi="Cambria Math" w:cs="Times New Roman"/>
                        <w:sz w:val="20"/>
                        <w:szCs w:val="20"/>
                      </w:rPr>
                      <m:t>L</m:t>
                    </m:r>
                  </m:e>
                  <m:sup>
                    <m:r>
                      <w:rPr>
                        <w:rFonts w:ascii="Cambria Math" w:hAnsi="Cambria Math" w:cs="Times New Roman"/>
                        <w:sz w:val="20"/>
                        <w:szCs w:val="20"/>
                      </w:rPr>
                      <m:t>↓</m:t>
                    </m:r>
                  </m:sup>
                </m:sSup>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sSup>
                  <m:sSupPr>
                    <m:ctrlPr>
                      <w:rPr>
                        <w:rFonts w:ascii="Cambria Math" w:hAnsi="Cambria Math" w:cs="Times New Roman"/>
                        <w:sz w:val="20"/>
                        <w:szCs w:val="20"/>
                      </w:rPr>
                    </m:ctrlPr>
                  </m:sSupPr>
                  <m:e>
                    <m:r>
                      <w:rPr>
                        <w:rFonts w:ascii="Cambria Math" w:hAnsi="Cambria Math" w:cs="Times New Roman"/>
                        <w:sz w:val="20"/>
                        <w:szCs w:val="20"/>
                      </w:rPr>
                      <m:t>L</m:t>
                    </m:r>
                  </m:e>
                  <m:sup>
                    <m:r>
                      <w:rPr>
                        <w:rFonts w:ascii="Cambria Math" w:hAnsi="Cambria Math" w:cs="Times New Roman"/>
                        <w:sz w:val="20"/>
                        <w:szCs w:val="20"/>
                      </w:rPr>
                      <m:t>↑</m:t>
                    </m:r>
                  </m:sup>
                </m:sSup>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r>
                  <w:rPr>
                    <w:rFonts w:ascii="Cambria Math" w:hAnsi="Cambria Math" w:cs="Times New Roman"/>
                    <w:sz w:val="20"/>
                    <w:szCs w:val="20"/>
                  </w:rPr>
                  <m:t>H</m:t>
                </m:r>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r>
                  <w:rPr>
                    <w:rFonts w:ascii="Cambria Math" w:hAnsi="Cambria Math" w:cs="Times New Roman"/>
                    <w:sz w:val="20"/>
                    <w:szCs w:val="20"/>
                  </w:rPr>
                  <m:t>LE</m:t>
                </m:r>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r>
                  <w:rPr>
                    <w:rFonts w:ascii="Cambria Math" w:hAnsi="Cambria Math" w:cs="Times New Roman"/>
                    <w:sz w:val="20"/>
                    <w:szCs w:val="20"/>
                  </w:rPr>
                  <m:t>G</m:t>
                </m:r>
              </m:e>
              <m:e/>
              <m:e>
                <m:r>
                  <m:rPr>
                    <m:nor/>
                  </m:rPr>
                  <w:rPr>
                    <w:rFonts w:ascii="Times New Roman" w:hAnsi="Times New Roman" w:cs="Times New Roman"/>
                    <w:sz w:val="20"/>
                    <w:szCs w:val="20"/>
                  </w:rPr>
                  <m:t>(16)</m:t>
                </m:r>
              </m:e>
            </m:mr>
          </m:m>
          <m:r>
            <w:rPr>
              <w:rFonts w:ascii="Times New Roman" w:hAnsi="Times New Roman" w:cs="Times New Roman"/>
              <w:sz w:val="20"/>
              <w:szCs w:val="20"/>
            </w:rPr>
            <w:br/>
          </m:r>
        </m:oMath>
      </m:oMathPara>
    </w:p>
    <w:p w14:paraId="20F6F12B"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where:</w:t>
      </w:r>
    </w:p>
    <w:p w14:paraId="3C8EB219" w14:textId="77777777" w:rsidR="00310036" w:rsidRPr="00FA2968" w:rsidRDefault="00310036" w:rsidP="006E162B">
      <w:pPr>
        <w:numPr>
          <w:ilvl w:val="0"/>
          <w:numId w:val="17"/>
        </w:numPr>
        <w:jc w:val="both"/>
        <w:rPr>
          <w:rFonts w:ascii="Times New Roman" w:hAnsi="Times New Roman" w:cs="Times New Roman"/>
          <w:sz w:val="20"/>
          <w:szCs w:val="20"/>
        </w:rPr>
      </w:pPr>
      <w:r w:rsidRPr="00FA2968">
        <w:rPr>
          <w:rFonts w:ascii="Times New Roman" w:hAnsi="Times New Roman" w:cs="Times New Roman"/>
          <w:i/>
          <w:iCs/>
          <w:sz w:val="20"/>
          <w:szCs w:val="20"/>
        </w:rPr>
        <w:t>R</w:t>
      </w:r>
      <w:r w:rsidRPr="00FA2968">
        <w:rPr>
          <w:rFonts w:ascii="Times New Roman" w:hAnsi="Times New Roman" w:cs="Times New Roman"/>
          <w:sz w:val="20"/>
          <w:szCs w:val="20"/>
        </w:rPr>
        <w:t>&lt;sub&gt;n&lt;/sub&gt; = net all-wave radiation at the surface (W m⁻²)</w:t>
      </w:r>
    </w:p>
    <w:p w14:paraId="49533AC1" w14:textId="77777777" w:rsidR="00310036" w:rsidRPr="00FA2968" w:rsidRDefault="00310036" w:rsidP="006E162B">
      <w:pPr>
        <w:numPr>
          <w:ilvl w:val="0"/>
          <w:numId w:val="17"/>
        </w:numPr>
        <w:jc w:val="both"/>
        <w:rPr>
          <w:rFonts w:ascii="Times New Roman" w:hAnsi="Times New Roman" w:cs="Times New Roman"/>
          <w:sz w:val="20"/>
          <w:szCs w:val="20"/>
        </w:rPr>
      </w:pPr>
      <w:r w:rsidRPr="00FA2968">
        <w:rPr>
          <w:rFonts w:ascii="Times New Roman" w:hAnsi="Times New Roman" w:cs="Times New Roman"/>
          <w:i/>
          <w:iCs/>
          <w:sz w:val="20"/>
          <w:szCs w:val="20"/>
        </w:rPr>
        <w:t>α</w:t>
      </w:r>
      <w:r w:rsidRPr="00FA2968">
        <w:rPr>
          <w:rFonts w:ascii="Times New Roman" w:hAnsi="Times New Roman" w:cs="Times New Roman"/>
          <w:sz w:val="20"/>
          <w:szCs w:val="20"/>
        </w:rPr>
        <w:t>&lt;sub&gt;s&lt;/sub&gt; = surface albedo (dimensionless)</w:t>
      </w:r>
    </w:p>
    <w:p w14:paraId="1901D781" w14:textId="77777777" w:rsidR="00310036" w:rsidRPr="00FA2968" w:rsidRDefault="00310036" w:rsidP="006E162B">
      <w:pPr>
        <w:numPr>
          <w:ilvl w:val="0"/>
          <w:numId w:val="17"/>
        </w:numPr>
        <w:jc w:val="both"/>
        <w:rPr>
          <w:rFonts w:ascii="Times New Roman" w:hAnsi="Times New Roman" w:cs="Times New Roman"/>
          <w:sz w:val="20"/>
          <w:szCs w:val="20"/>
        </w:rPr>
      </w:pPr>
      <w:r w:rsidRPr="00FA2968">
        <w:rPr>
          <w:rFonts w:ascii="Times New Roman" w:hAnsi="Times New Roman" w:cs="Times New Roman"/>
          <w:i/>
          <w:iCs/>
          <w:sz w:val="20"/>
          <w:szCs w:val="20"/>
        </w:rPr>
        <w:t>S</w:t>
      </w:r>
      <w:r w:rsidRPr="00FA2968">
        <w:rPr>
          <w:rFonts w:ascii="Times New Roman" w:hAnsi="Times New Roman" w:cs="Times New Roman"/>
          <w:sz w:val="20"/>
          <w:szCs w:val="20"/>
        </w:rPr>
        <w:t>&lt;sup&gt;↓&lt;/sup&gt;&lt;sub&gt;dust&lt;/sub&gt; = dust-attenuated downwelling shortwave irradiance (W m⁻²)</w:t>
      </w:r>
    </w:p>
    <w:p w14:paraId="76B53E16" w14:textId="77777777" w:rsidR="00310036" w:rsidRPr="00FA2968" w:rsidRDefault="00310036" w:rsidP="006E162B">
      <w:pPr>
        <w:numPr>
          <w:ilvl w:val="0"/>
          <w:numId w:val="17"/>
        </w:numPr>
        <w:jc w:val="both"/>
        <w:rPr>
          <w:rFonts w:ascii="Times New Roman" w:hAnsi="Times New Roman" w:cs="Times New Roman"/>
          <w:sz w:val="20"/>
          <w:szCs w:val="20"/>
        </w:rPr>
      </w:pPr>
      <w:r w:rsidRPr="00FA2968">
        <w:rPr>
          <w:rFonts w:ascii="Times New Roman" w:hAnsi="Times New Roman" w:cs="Times New Roman"/>
          <w:i/>
          <w:iCs/>
          <w:sz w:val="20"/>
          <w:szCs w:val="20"/>
        </w:rPr>
        <w:t>L</w:t>
      </w:r>
      <w:r w:rsidRPr="00FA2968">
        <w:rPr>
          <w:rFonts w:ascii="Times New Roman" w:hAnsi="Times New Roman" w:cs="Times New Roman"/>
          <w:sz w:val="20"/>
          <w:szCs w:val="20"/>
        </w:rPr>
        <w:t>&lt;sup&gt;↓&lt;/sup&gt; = downwelling longwave irradiance (W m⁻²)</w:t>
      </w:r>
    </w:p>
    <w:p w14:paraId="221BC41C" w14:textId="77777777" w:rsidR="00310036" w:rsidRPr="00FA2968" w:rsidRDefault="00310036" w:rsidP="006E162B">
      <w:pPr>
        <w:numPr>
          <w:ilvl w:val="0"/>
          <w:numId w:val="17"/>
        </w:numPr>
        <w:jc w:val="both"/>
        <w:rPr>
          <w:rFonts w:ascii="Times New Roman" w:hAnsi="Times New Roman" w:cs="Times New Roman"/>
          <w:sz w:val="20"/>
          <w:szCs w:val="20"/>
        </w:rPr>
      </w:pPr>
      <w:r w:rsidRPr="00FA2968">
        <w:rPr>
          <w:rFonts w:ascii="Times New Roman" w:hAnsi="Times New Roman" w:cs="Times New Roman"/>
          <w:i/>
          <w:iCs/>
          <w:sz w:val="20"/>
          <w:szCs w:val="20"/>
        </w:rPr>
        <w:t>L</w:t>
      </w:r>
      <w:r w:rsidRPr="00FA2968">
        <w:rPr>
          <w:rFonts w:ascii="Times New Roman" w:hAnsi="Times New Roman" w:cs="Times New Roman"/>
          <w:sz w:val="20"/>
          <w:szCs w:val="20"/>
        </w:rPr>
        <w:t>&lt;sup&gt;↑&lt;/sup&gt; = upwelling longwave irradiance (W m⁻²)</w:t>
      </w:r>
    </w:p>
    <w:p w14:paraId="1E3F323A" w14:textId="77777777" w:rsidR="00310036" w:rsidRPr="00FA2968" w:rsidRDefault="00310036" w:rsidP="006E162B">
      <w:pPr>
        <w:numPr>
          <w:ilvl w:val="0"/>
          <w:numId w:val="17"/>
        </w:numPr>
        <w:jc w:val="both"/>
        <w:rPr>
          <w:rFonts w:ascii="Times New Roman" w:hAnsi="Times New Roman" w:cs="Times New Roman"/>
          <w:sz w:val="20"/>
          <w:szCs w:val="20"/>
        </w:rPr>
      </w:pPr>
      <w:r w:rsidRPr="00FA2968">
        <w:rPr>
          <w:rFonts w:ascii="Times New Roman" w:hAnsi="Times New Roman" w:cs="Times New Roman"/>
          <w:i/>
          <w:iCs/>
          <w:sz w:val="20"/>
          <w:szCs w:val="20"/>
        </w:rPr>
        <w:t>H</w:t>
      </w:r>
      <w:r w:rsidRPr="00FA2968">
        <w:rPr>
          <w:rFonts w:ascii="Times New Roman" w:hAnsi="Times New Roman" w:cs="Times New Roman"/>
          <w:sz w:val="20"/>
          <w:szCs w:val="20"/>
        </w:rPr>
        <w:t> = sensible heat flux (W m⁻²)</w:t>
      </w:r>
    </w:p>
    <w:p w14:paraId="79769C8E" w14:textId="77777777" w:rsidR="00310036" w:rsidRPr="00FA2968" w:rsidRDefault="00310036" w:rsidP="006E162B">
      <w:pPr>
        <w:numPr>
          <w:ilvl w:val="0"/>
          <w:numId w:val="17"/>
        </w:numPr>
        <w:jc w:val="both"/>
        <w:rPr>
          <w:rFonts w:ascii="Times New Roman" w:hAnsi="Times New Roman" w:cs="Times New Roman"/>
          <w:sz w:val="20"/>
          <w:szCs w:val="20"/>
        </w:rPr>
      </w:pPr>
      <w:r w:rsidRPr="00FA2968">
        <w:rPr>
          <w:rFonts w:ascii="Times New Roman" w:hAnsi="Times New Roman" w:cs="Times New Roman"/>
          <w:i/>
          <w:iCs/>
          <w:sz w:val="20"/>
          <w:szCs w:val="20"/>
        </w:rPr>
        <w:t>LE</w:t>
      </w:r>
      <w:r w:rsidRPr="00FA2968">
        <w:rPr>
          <w:rFonts w:ascii="Times New Roman" w:hAnsi="Times New Roman" w:cs="Times New Roman"/>
          <w:sz w:val="20"/>
          <w:szCs w:val="20"/>
        </w:rPr>
        <w:t> = latent heat flux (W m⁻²)</w:t>
      </w:r>
    </w:p>
    <w:p w14:paraId="5660EA59" w14:textId="77777777" w:rsidR="00310036" w:rsidRPr="00FA2968" w:rsidRDefault="00310036" w:rsidP="006E162B">
      <w:pPr>
        <w:numPr>
          <w:ilvl w:val="0"/>
          <w:numId w:val="17"/>
        </w:numPr>
        <w:jc w:val="both"/>
        <w:rPr>
          <w:rFonts w:ascii="Times New Roman" w:hAnsi="Times New Roman" w:cs="Times New Roman"/>
          <w:sz w:val="20"/>
          <w:szCs w:val="20"/>
        </w:rPr>
      </w:pPr>
      <w:r w:rsidRPr="00FA2968">
        <w:rPr>
          <w:rFonts w:ascii="Times New Roman" w:hAnsi="Times New Roman" w:cs="Times New Roman"/>
          <w:i/>
          <w:iCs/>
          <w:sz w:val="20"/>
          <w:szCs w:val="20"/>
        </w:rPr>
        <w:t>G</w:t>
      </w:r>
      <w:r w:rsidRPr="00FA2968">
        <w:rPr>
          <w:rFonts w:ascii="Times New Roman" w:hAnsi="Times New Roman" w:cs="Times New Roman"/>
          <w:sz w:val="20"/>
          <w:szCs w:val="20"/>
        </w:rPr>
        <w:t> = ground heat flux (W m⁻²)</w:t>
      </w:r>
    </w:p>
    <w:p w14:paraId="5F0B2E6C" w14:textId="77777777" w:rsidR="00310036" w:rsidRPr="00FA2968" w:rsidRDefault="00310036"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2.5.12 Soil Moisture Dynamics</w:t>
      </w:r>
    </w:p>
    <w:p w14:paraId="4B00DA1F"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The temporal evolution of volumetric soil moisture </w:t>
      </w:r>
      <w:r w:rsidRPr="00FA2968">
        <w:rPr>
          <w:rFonts w:ascii="Times New Roman" w:hAnsi="Times New Roman" w:cs="Times New Roman"/>
          <w:i/>
          <w:iCs/>
          <w:sz w:val="20"/>
          <w:szCs w:val="20"/>
        </w:rPr>
        <w:t>θ</w:t>
      </w:r>
      <w:r w:rsidRPr="00FA2968">
        <w:rPr>
          <w:rFonts w:ascii="Times New Roman" w:hAnsi="Times New Roman" w:cs="Times New Roman"/>
          <w:sz w:val="20"/>
          <w:szCs w:val="20"/>
        </w:rPr>
        <w:t>&lt;sub&gt;s&lt;/sub&gt; in the rooting zone is governed by a simplified vertical water balance:</w:t>
      </w:r>
    </w:p>
    <w:p w14:paraId="7ABCBEE2" w14:textId="300196AC" w:rsidR="00310036" w:rsidRPr="00FA2968" w:rsidRDefault="00310036" w:rsidP="006E162B">
      <w:pPr>
        <w:jc w:val="both"/>
        <w:rPr>
          <w:rFonts w:ascii="Times New Roman" w:hAnsi="Times New Roman" w:cs="Times New Roman"/>
          <w:sz w:val="20"/>
          <w:szCs w:val="20"/>
        </w:rPr>
      </w:pPr>
      <m:oMathPara>
        <m:oMath>
          <m:m>
            <m:mPr>
              <m:plcHide m:val="1"/>
              <m:mcs>
                <m:mc>
                  <m:mcPr>
                    <m:count m:val="4"/>
                    <m:mcJc m:val="center"/>
                  </m:mcPr>
                </m:mc>
              </m:mcs>
              <m:ctrlPr>
                <w:rPr>
                  <w:rFonts w:ascii="Cambria Math" w:hAnsi="Cambria Math" w:cs="Times New Roman"/>
                  <w:sz w:val="20"/>
                  <w:szCs w:val="20"/>
                </w:rPr>
              </m:ctrlPr>
            </m:mPr>
            <m:mr>
              <m:e/>
              <m:e>
                <m:f>
                  <m:fPr>
                    <m:ctrlPr>
                      <w:rPr>
                        <w:rFonts w:ascii="Cambria Math" w:hAnsi="Cambria Math" w:cs="Times New Roman"/>
                        <w:sz w:val="20"/>
                        <w:szCs w:val="20"/>
                      </w:rPr>
                    </m:ctrlPr>
                  </m:fPr>
                  <m:num>
                    <m:r>
                      <m:rPr>
                        <m:sty m:val="p"/>
                      </m:rPr>
                      <w:rPr>
                        <w:rFonts w:ascii="Cambria Math" w:hAnsi="Cambria Math" w:cs="Times New Roman"/>
                        <w:sz w:val="20"/>
                        <w:szCs w:val="20"/>
                      </w:rPr>
                      <m:t>d</m:t>
                    </m:r>
                    <m:sSub>
                      <m:sSubPr>
                        <m:ctrlPr>
                          <w:rPr>
                            <w:rFonts w:ascii="Cambria Math" w:hAnsi="Cambria Math" w:cs="Times New Roman"/>
                            <w:sz w:val="20"/>
                            <w:szCs w:val="20"/>
                          </w:rPr>
                        </m:ctrlPr>
                      </m:sSubPr>
                      <m:e>
                        <m:r>
                          <w:rPr>
                            <w:rFonts w:ascii="Cambria Math" w:hAnsi="Cambria Math" w:cs="Times New Roman"/>
                            <w:sz w:val="20"/>
                            <w:szCs w:val="20"/>
                          </w:rPr>
                          <m:t>θ</m:t>
                        </m:r>
                      </m:e>
                      <m:sub>
                        <m:r>
                          <w:rPr>
                            <w:rFonts w:ascii="Cambria Math" w:hAnsi="Cambria Math" w:cs="Times New Roman"/>
                            <w:sz w:val="20"/>
                            <w:szCs w:val="20"/>
                          </w:rPr>
                          <m:t>s</m:t>
                        </m:r>
                      </m:sub>
                    </m:sSub>
                  </m:num>
                  <m:den>
                    <m:r>
                      <m:rPr>
                        <m:sty m:val="p"/>
                      </m:rPr>
                      <w:rPr>
                        <w:rFonts w:ascii="Cambria Math" w:hAnsi="Cambria Math" w:cs="Times New Roman"/>
                        <w:sz w:val="20"/>
                        <w:szCs w:val="20"/>
                      </w:rPr>
                      <m:t>d</m:t>
                    </m:r>
                    <m:r>
                      <w:rPr>
                        <w:rFonts w:ascii="Cambria Math" w:hAnsi="Cambria Math" w:cs="Times New Roman"/>
                        <w:sz w:val="20"/>
                        <w:szCs w:val="20"/>
                      </w:rPr>
                      <m:t>t</m:t>
                    </m:r>
                  </m:den>
                </m:f>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f>
                  <m:fPr>
                    <m:ctrlPr>
                      <w:rPr>
                        <w:rFonts w:ascii="Cambria Math" w:hAnsi="Cambria Math" w:cs="Times New Roman"/>
                        <w:sz w:val="20"/>
                        <w:szCs w:val="20"/>
                      </w:rPr>
                    </m:ctrlPr>
                  </m:fPr>
                  <m:num>
                    <m:r>
                      <w:rPr>
                        <w:rFonts w:ascii="Cambria Math" w:hAnsi="Cambria Math" w:cs="Times New Roman"/>
                        <w:sz w:val="20"/>
                        <w:szCs w:val="20"/>
                      </w:rPr>
                      <m:t>1</m:t>
                    </m:r>
                  </m:num>
                  <m:den>
                    <m:sSub>
                      <m:sSubPr>
                        <m:ctrlPr>
                          <w:rPr>
                            <w:rFonts w:ascii="Cambria Math" w:hAnsi="Cambria Math" w:cs="Times New Roman"/>
                            <w:sz w:val="20"/>
                            <w:szCs w:val="20"/>
                          </w:rPr>
                        </m:ctrlPr>
                      </m:sSubPr>
                      <m:e>
                        <m:r>
                          <w:rPr>
                            <w:rFonts w:ascii="Cambria Math" w:hAnsi="Cambria Math" w:cs="Times New Roman"/>
                            <w:sz w:val="20"/>
                            <w:szCs w:val="20"/>
                          </w:rPr>
                          <m:t>ρ</m:t>
                        </m:r>
                      </m:e>
                      <m:sub>
                        <m:r>
                          <w:rPr>
                            <w:rFonts w:ascii="Cambria Math" w:hAnsi="Cambria Math" w:cs="Times New Roman"/>
                            <w:sz w:val="20"/>
                            <w:szCs w:val="20"/>
                          </w:rPr>
                          <m:t>w</m:t>
                        </m:r>
                      </m:sub>
                    </m:sSub>
                    <m:r>
                      <m:rPr>
                        <m:nor/>
                      </m:rPr>
                      <w:rPr>
                        <w:rFonts w:ascii="Times New Roman" w:hAnsi="Times New Roman" w:cs="Times New Roman"/>
                        <w:sz w:val="20"/>
                        <w:szCs w:val="20"/>
                      </w:rPr>
                      <m:t> </m:t>
                    </m:r>
                    <m:sSub>
                      <m:sSubPr>
                        <m:ctrlPr>
                          <w:rPr>
                            <w:rFonts w:ascii="Cambria Math" w:hAnsi="Cambria Math" w:cs="Times New Roman"/>
                            <w:sz w:val="20"/>
                            <w:szCs w:val="20"/>
                          </w:rPr>
                        </m:ctrlPr>
                      </m:sSubPr>
                      <m:e>
                        <m:r>
                          <w:rPr>
                            <w:rFonts w:ascii="Cambria Math" w:hAnsi="Cambria Math" w:cs="Times New Roman"/>
                            <w:sz w:val="20"/>
                            <w:szCs w:val="20"/>
                          </w:rPr>
                          <m:t>z</m:t>
                        </m:r>
                      </m:e>
                      <m:sub>
                        <m:r>
                          <w:rPr>
                            <w:rFonts w:ascii="Cambria Math" w:hAnsi="Cambria Math" w:cs="Times New Roman"/>
                            <w:sz w:val="20"/>
                            <w:szCs w:val="20"/>
                          </w:rPr>
                          <m:t>r</m:t>
                        </m:r>
                      </m:sub>
                    </m:sSub>
                  </m:den>
                </m:f>
                <m:r>
                  <m:rPr>
                    <m:nor/>
                  </m:rPr>
                  <w:rPr>
                    <w:rFonts w:ascii="Times New Roman" w:hAnsi="Times New Roman" w:cs="Times New Roman"/>
                    <w:sz w:val="20"/>
                    <w:szCs w:val="20"/>
                  </w:rPr>
                  <m:t> </m:t>
                </m:r>
                <m:r>
                  <w:rPr>
                    <w:rFonts w:ascii="Cambria Math" w:hAnsi="Cambria Math" w:cs="Times New Roman"/>
                    <w:sz w:val="20"/>
                    <w:szCs w:val="20"/>
                  </w:rPr>
                  <m:t>(P</m:t>
                </m:r>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r>
                  <w:rPr>
                    <w:rFonts w:ascii="Cambria Math" w:hAnsi="Cambria Math" w:cs="Times New Roman"/>
                    <w:sz w:val="20"/>
                    <w:szCs w:val="20"/>
                  </w:rPr>
                  <m:t>ET</m:t>
                </m:r>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sSub>
                  <m:sSubPr>
                    <m:ctrlPr>
                      <w:rPr>
                        <w:rFonts w:ascii="Cambria Math" w:hAnsi="Cambria Math" w:cs="Times New Roman"/>
                        <w:sz w:val="20"/>
                        <w:szCs w:val="20"/>
                      </w:rPr>
                    </m:ctrlPr>
                  </m:sSubPr>
                  <m:e>
                    <m:r>
                      <w:rPr>
                        <w:rFonts w:ascii="Cambria Math" w:hAnsi="Cambria Math" w:cs="Times New Roman"/>
                        <w:sz w:val="20"/>
                        <w:szCs w:val="20"/>
                      </w:rPr>
                      <m:t>R</m:t>
                    </m:r>
                  </m:e>
                  <m:sub>
                    <m:r>
                      <w:rPr>
                        <w:rFonts w:ascii="Cambria Math" w:hAnsi="Cambria Math" w:cs="Times New Roman"/>
                        <w:sz w:val="20"/>
                        <w:szCs w:val="20"/>
                      </w:rPr>
                      <m:t>o</m:t>
                    </m:r>
                  </m:sub>
                </m:sSub>
                <m:r>
                  <m:rPr>
                    <m:nor/>
                  </m:rPr>
                  <w:rPr>
                    <w:rFonts w:ascii="Times New Roman" w:hAnsi="Times New Roman" w:cs="Times New Roman"/>
                    <w:sz w:val="20"/>
                    <w:szCs w:val="20"/>
                  </w:rPr>
                  <m:t>  </m:t>
                </m:r>
                <m:r>
                  <w:rPr>
                    <w:rFonts w:ascii="Cambria Math" w:hAnsi="Cambria Math" w:cs="Times New Roman"/>
                    <w:sz w:val="20"/>
                    <w:szCs w:val="20"/>
                  </w:rPr>
                  <m:t>-</m:t>
                </m:r>
                <m:r>
                  <m:rPr>
                    <m:nor/>
                  </m:rPr>
                  <w:rPr>
                    <w:rFonts w:ascii="Times New Roman" w:hAnsi="Times New Roman" w:cs="Times New Roman"/>
                    <w:sz w:val="20"/>
                    <w:szCs w:val="20"/>
                  </w:rPr>
                  <m:t>  </m:t>
                </m:r>
                <m:sSub>
                  <m:sSubPr>
                    <m:ctrlPr>
                      <w:rPr>
                        <w:rFonts w:ascii="Cambria Math" w:hAnsi="Cambria Math" w:cs="Times New Roman"/>
                        <w:sz w:val="20"/>
                        <w:szCs w:val="20"/>
                      </w:rPr>
                    </m:ctrlPr>
                  </m:sSubPr>
                  <m:e>
                    <m:r>
                      <w:rPr>
                        <w:rFonts w:ascii="Cambria Math" w:hAnsi="Cambria Math" w:cs="Times New Roman"/>
                        <w:sz w:val="20"/>
                        <w:szCs w:val="20"/>
                      </w:rPr>
                      <m:t>D</m:t>
                    </m:r>
                  </m:e>
                  <m:sub>
                    <m:r>
                      <w:rPr>
                        <w:rFonts w:ascii="Cambria Math" w:hAnsi="Cambria Math" w:cs="Times New Roman"/>
                        <w:sz w:val="20"/>
                        <w:szCs w:val="20"/>
                      </w:rPr>
                      <m:t>r</m:t>
                    </m:r>
                  </m:sub>
                </m:sSub>
                <m:r>
                  <w:rPr>
                    <w:rFonts w:ascii="Cambria Math" w:hAnsi="Cambria Math" w:cs="Times New Roman"/>
                    <w:sz w:val="20"/>
                    <w:szCs w:val="20"/>
                  </w:rPr>
                  <m:t>)</m:t>
                </m:r>
              </m:e>
              <m:e/>
              <m:e>
                <m:r>
                  <m:rPr>
                    <m:nor/>
                  </m:rPr>
                  <w:rPr>
                    <w:rFonts w:ascii="Times New Roman" w:hAnsi="Times New Roman" w:cs="Times New Roman"/>
                    <w:sz w:val="20"/>
                    <w:szCs w:val="20"/>
                  </w:rPr>
                  <m:t>(17)</m:t>
                </m:r>
              </m:e>
            </m:mr>
          </m:m>
          <m:r>
            <w:rPr>
              <w:rFonts w:ascii="Times New Roman" w:hAnsi="Times New Roman" w:cs="Times New Roman"/>
              <w:sz w:val="20"/>
              <w:szCs w:val="20"/>
            </w:rPr>
            <w:br/>
          </m:r>
        </m:oMath>
      </m:oMathPara>
    </w:p>
    <w:p w14:paraId="35F3EC52"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where:</w:t>
      </w:r>
    </w:p>
    <w:p w14:paraId="69BDE851" w14:textId="77777777" w:rsidR="00310036" w:rsidRPr="00FA2968" w:rsidRDefault="00310036" w:rsidP="006E162B">
      <w:pPr>
        <w:numPr>
          <w:ilvl w:val="0"/>
          <w:numId w:val="18"/>
        </w:numPr>
        <w:jc w:val="both"/>
        <w:rPr>
          <w:rFonts w:ascii="Times New Roman" w:hAnsi="Times New Roman" w:cs="Times New Roman"/>
          <w:sz w:val="20"/>
          <w:szCs w:val="20"/>
        </w:rPr>
      </w:pPr>
      <w:r w:rsidRPr="00FA2968">
        <w:rPr>
          <w:rFonts w:ascii="Times New Roman" w:hAnsi="Times New Roman" w:cs="Times New Roman"/>
          <w:i/>
          <w:iCs/>
          <w:sz w:val="20"/>
          <w:szCs w:val="20"/>
        </w:rPr>
        <w:t>θ</w:t>
      </w:r>
      <w:r w:rsidRPr="00FA2968">
        <w:rPr>
          <w:rFonts w:ascii="Times New Roman" w:hAnsi="Times New Roman" w:cs="Times New Roman"/>
          <w:sz w:val="20"/>
          <w:szCs w:val="20"/>
        </w:rPr>
        <w:t>&lt;sub&gt;s&lt;/sub&gt; = volumetric soil moisture content (m³ m⁻³)</w:t>
      </w:r>
    </w:p>
    <w:p w14:paraId="35866629" w14:textId="77777777" w:rsidR="00310036" w:rsidRPr="00FA2968" w:rsidRDefault="00310036" w:rsidP="006E162B">
      <w:pPr>
        <w:numPr>
          <w:ilvl w:val="0"/>
          <w:numId w:val="18"/>
        </w:numPr>
        <w:jc w:val="both"/>
        <w:rPr>
          <w:rFonts w:ascii="Times New Roman" w:hAnsi="Times New Roman" w:cs="Times New Roman"/>
          <w:sz w:val="20"/>
          <w:szCs w:val="20"/>
        </w:rPr>
      </w:pPr>
      <w:r w:rsidRPr="00FA2968">
        <w:rPr>
          <w:rFonts w:ascii="Times New Roman" w:hAnsi="Times New Roman" w:cs="Times New Roman"/>
          <w:i/>
          <w:iCs/>
          <w:sz w:val="20"/>
          <w:szCs w:val="20"/>
        </w:rPr>
        <w:t>ρ</w:t>
      </w:r>
      <w:r w:rsidRPr="00FA2968">
        <w:rPr>
          <w:rFonts w:ascii="Times New Roman" w:hAnsi="Times New Roman" w:cs="Times New Roman"/>
          <w:sz w:val="20"/>
          <w:szCs w:val="20"/>
        </w:rPr>
        <w:t>&lt;sub&gt;w&lt;/sub&gt; = density of water (1000 kg m⁻³)</w:t>
      </w:r>
    </w:p>
    <w:p w14:paraId="0009FA9B" w14:textId="77777777" w:rsidR="00310036" w:rsidRPr="00FA2968" w:rsidRDefault="00310036" w:rsidP="006E162B">
      <w:pPr>
        <w:numPr>
          <w:ilvl w:val="0"/>
          <w:numId w:val="18"/>
        </w:numPr>
        <w:jc w:val="both"/>
        <w:rPr>
          <w:rFonts w:ascii="Times New Roman" w:hAnsi="Times New Roman" w:cs="Times New Roman"/>
          <w:sz w:val="20"/>
          <w:szCs w:val="20"/>
        </w:rPr>
      </w:pPr>
      <w:r w:rsidRPr="00FA2968">
        <w:rPr>
          <w:rFonts w:ascii="Times New Roman" w:hAnsi="Times New Roman" w:cs="Times New Roman"/>
          <w:i/>
          <w:iCs/>
          <w:sz w:val="20"/>
          <w:szCs w:val="20"/>
        </w:rPr>
        <w:t>z</w:t>
      </w:r>
      <w:r w:rsidRPr="00FA2968">
        <w:rPr>
          <w:rFonts w:ascii="Times New Roman" w:hAnsi="Times New Roman" w:cs="Times New Roman"/>
          <w:sz w:val="20"/>
          <w:szCs w:val="20"/>
        </w:rPr>
        <w:t>&lt;sub&gt;r&lt;/sub&gt; = effective rooting depth (m)</w:t>
      </w:r>
    </w:p>
    <w:p w14:paraId="19DFB945" w14:textId="77777777" w:rsidR="00310036" w:rsidRPr="00FA2968" w:rsidRDefault="00310036" w:rsidP="006E162B">
      <w:pPr>
        <w:numPr>
          <w:ilvl w:val="0"/>
          <w:numId w:val="18"/>
        </w:numPr>
        <w:jc w:val="both"/>
        <w:rPr>
          <w:rFonts w:ascii="Times New Roman" w:hAnsi="Times New Roman" w:cs="Times New Roman"/>
          <w:sz w:val="20"/>
          <w:szCs w:val="20"/>
        </w:rPr>
      </w:pPr>
      <w:r w:rsidRPr="00FA2968">
        <w:rPr>
          <w:rFonts w:ascii="Times New Roman" w:hAnsi="Times New Roman" w:cs="Times New Roman"/>
          <w:i/>
          <w:iCs/>
          <w:sz w:val="20"/>
          <w:szCs w:val="20"/>
        </w:rPr>
        <w:t>P</w:t>
      </w:r>
      <w:r w:rsidRPr="00FA2968">
        <w:rPr>
          <w:rFonts w:ascii="Times New Roman" w:hAnsi="Times New Roman" w:cs="Times New Roman"/>
          <w:sz w:val="20"/>
          <w:szCs w:val="20"/>
        </w:rPr>
        <w:t> = precipitation rate (kg m⁻² s⁻¹)</w:t>
      </w:r>
    </w:p>
    <w:p w14:paraId="36D33EF2" w14:textId="77777777" w:rsidR="00310036" w:rsidRPr="00FA2968" w:rsidRDefault="00310036" w:rsidP="006E162B">
      <w:pPr>
        <w:numPr>
          <w:ilvl w:val="0"/>
          <w:numId w:val="18"/>
        </w:numPr>
        <w:jc w:val="both"/>
        <w:rPr>
          <w:rFonts w:ascii="Times New Roman" w:hAnsi="Times New Roman" w:cs="Times New Roman"/>
          <w:sz w:val="20"/>
          <w:szCs w:val="20"/>
        </w:rPr>
      </w:pPr>
      <w:r w:rsidRPr="00FA2968">
        <w:rPr>
          <w:rFonts w:ascii="Times New Roman" w:hAnsi="Times New Roman" w:cs="Times New Roman"/>
          <w:i/>
          <w:iCs/>
          <w:sz w:val="20"/>
          <w:szCs w:val="20"/>
        </w:rPr>
        <w:t>ET</w:t>
      </w:r>
      <w:r w:rsidRPr="00FA2968">
        <w:rPr>
          <w:rFonts w:ascii="Times New Roman" w:hAnsi="Times New Roman" w:cs="Times New Roman"/>
          <w:sz w:val="20"/>
          <w:szCs w:val="20"/>
        </w:rPr>
        <w:t> = evapotranspiration rate (kg m⁻² s⁻¹)</w:t>
      </w:r>
    </w:p>
    <w:p w14:paraId="612297DB" w14:textId="77777777" w:rsidR="00310036" w:rsidRPr="00FA2968" w:rsidRDefault="00310036" w:rsidP="006E162B">
      <w:pPr>
        <w:numPr>
          <w:ilvl w:val="0"/>
          <w:numId w:val="18"/>
        </w:numPr>
        <w:jc w:val="both"/>
        <w:rPr>
          <w:rFonts w:ascii="Times New Roman" w:hAnsi="Times New Roman" w:cs="Times New Roman"/>
          <w:sz w:val="20"/>
          <w:szCs w:val="20"/>
        </w:rPr>
      </w:pPr>
      <w:r w:rsidRPr="00FA2968">
        <w:rPr>
          <w:rFonts w:ascii="Times New Roman" w:hAnsi="Times New Roman" w:cs="Times New Roman"/>
          <w:i/>
          <w:iCs/>
          <w:sz w:val="20"/>
          <w:szCs w:val="20"/>
        </w:rPr>
        <w:t>R</w:t>
      </w:r>
      <w:r w:rsidRPr="00FA2968">
        <w:rPr>
          <w:rFonts w:ascii="Times New Roman" w:hAnsi="Times New Roman" w:cs="Times New Roman"/>
          <w:sz w:val="20"/>
          <w:szCs w:val="20"/>
        </w:rPr>
        <w:t>&lt;sub&gt;o&lt;/sub&gt; = surface runoff (kg m⁻² s⁻¹)</w:t>
      </w:r>
    </w:p>
    <w:p w14:paraId="0728A14D" w14:textId="77777777" w:rsidR="00310036" w:rsidRPr="00FA2968" w:rsidRDefault="00310036" w:rsidP="006E162B">
      <w:pPr>
        <w:numPr>
          <w:ilvl w:val="0"/>
          <w:numId w:val="18"/>
        </w:numPr>
        <w:jc w:val="both"/>
        <w:rPr>
          <w:rFonts w:ascii="Times New Roman" w:hAnsi="Times New Roman" w:cs="Times New Roman"/>
          <w:sz w:val="20"/>
          <w:szCs w:val="20"/>
        </w:rPr>
      </w:pPr>
      <w:r w:rsidRPr="00FA2968">
        <w:rPr>
          <w:rFonts w:ascii="Times New Roman" w:hAnsi="Times New Roman" w:cs="Times New Roman"/>
          <w:i/>
          <w:iCs/>
          <w:sz w:val="20"/>
          <w:szCs w:val="20"/>
        </w:rPr>
        <w:t>D</w:t>
      </w:r>
      <w:r w:rsidRPr="00FA2968">
        <w:rPr>
          <w:rFonts w:ascii="Times New Roman" w:hAnsi="Times New Roman" w:cs="Times New Roman"/>
          <w:sz w:val="20"/>
          <w:szCs w:val="20"/>
        </w:rPr>
        <w:t>&lt;sub&gt;r&lt;/sub&gt; = deep drainage (kg m⁻² s⁻¹)</w:t>
      </w:r>
    </w:p>
    <w:p w14:paraId="3CC0BA4D"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Dust-induced suppression of </w:t>
      </w:r>
      <w:r w:rsidRPr="00FA2968">
        <w:rPr>
          <w:rFonts w:ascii="Times New Roman" w:hAnsi="Times New Roman" w:cs="Times New Roman"/>
          <w:i/>
          <w:iCs/>
          <w:sz w:val="20"/>
          <w:szCs w:val="20"/>
        </w:rPr>
        <w:t>P</w:t>
      </w:r>
      <w:r w:rsidRPr="00FA2968">
        <w:rPr>
          <w:rFonts w:ascii="Times New Roman" w:hAnsi="Times New Roman" w:cs="Times New Roman"/>
          <w:sz w:val="20"/>
          <w:szCs w:val="20"/>
        </w:rPr>
        <w:t> — via the convective and microphysical pathways described in Equations (6)</w:t>
      </w:r>
      <w:proofErr w:type="gramStart"/>
      <w:r w:rsidRPr="00FA2968">
        <w:rPr>
          <w:rFonts w:ascii="Times New Roman" w:hAnsi="Times New Roman" w:cs="Times New Roman"/>
          <w:sz w:val="20"/>
          <w:szCs w:val="20"/>
        </w:rPr>
        <w:t>–(</w:t>
      </w:r>
      <w:proofErr w:type="gramEnd"/>
      <w:r w:rsidRPr="00FA2968">
        <w:rPr>
          <w:rFonts w:ascii="Times New Roman" w:hAnsi="Times New Roman" w:cs="Times New Roman"/>
          <w:sz w:val="20"/>
          <w:szCs w:val="20"/>
        </w:rPr>
        <w:t>11) — combined with altered surface energetics from Equation (16), reduces </w:t>
      </w:r>
      <w:r w:rsidRPr="00FA2968">
        <w:rPr>
          <w:rFonts w:ascii="Times New Roman" w:hAnsi="Times New Roman" w:cs="Times New Roman"/>
          <w:i/>
          <w:iCs/>
          <w:sz w:val="20"/>
          <w:szCs w:val="20"/>
        </w:rPr>
        <w:t>θ</w:t>
      </w:r>
      <w:r w:rsidRPr="00FA2968">
        <w:rPr>
          <w:rFonts w:ascii="Times New Roman" w:hAnsi="Times New Roman" w:cs="Times New Roman"/>
          <w:sz w:val="20"/>
          <w:szCs w:val="20"/>
        </w:rPr>
        <w:t xml:space="preserve">&lt;sub&gt;s&lt;/sub&gt; and amplifies vegetation stress within the feedback loop discussed in Section 4 (Pham-Duc et al., 2022; </w:t>
      </w:r>
      <w:proofErr w:type="spellStart"/>
      <w:r w:rsidRPr="00FA2968">
        <w:rPr>
          <w:rFonts w:ascii="Times New Roman" w:hAnsi="Times New Roman" w:cs="Times New Roman"/>
          <w:sz w:val="20"/>
          <w:szCs w:val="20"/>
        </w:rPr>
        <w:t>Nwilo</w:t>
      </w:r>
      <w:proofErr w:type="spellEnd"/>
      <w:r w:rsidRPr="00FA2968">
        <w:rPr>
          <w:rFonts w:ascii="Times New Roman" w:hAnsi="Times New Roman" w:cs="Times New Roman"/>
          <w:sz w:val="20"/>
          <w:szCs w:val="20"/>
        </w:rPr>
        <w:t xml:space="preserve"> et al., 2020).</w:t>
      </w:r>
    </w:p>
    <w:p w14:paraId="48B7DFB5" w14:textId="77777777" w:rsidR="00310036" w:rsidRPr="00FA2968" w:rsidRDefault="00310036"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2.5.13 Synthesis-Level Use of the Equations</w:t>
      </w:r>
    </w:p>
    <w:p w14:paraId="510E0462" w14:textId="77777777" w:rsidR="00310036" w:rsidRPr="00FA2968" w:rsidRDefault="00310036"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The equations presented in this section were not applied numerically to generate new model output. Their role in this review was interpretive: each governing relation provided a physical reference frame against which the quantitative results reported in the reviewed studies were assessed for internal consistency, cross-study comparability, and physical plausibility. For example, the atmospheric absorption of approximately +23 W m⁻² (Equation 5), as reported by Saidou Chaibou et al. (2020) for West Africa, is consistent with directly measured lower-tropospheric heating rates of 0.5–1.2 </w:t>
      </w:r>
      <w:proofErr w:type="gramStart"/>
      <w:r w:rsidRPr="00FA2968">
        <w:rPr>
          <w:rFonts w:ascii="Times New Roman" w:hAnsi="Times New Roman" w:cs="Times New Roman"/>
          <w:sz w:val="20"/>
          <w:szCs w:val="20"/>
        </w:rPr>
        <w:t>K day</w:t>
      </w:r>
      <w:proofErr w:type="gramEnd"/>
      <w:r w:rsidRPr="00FA2968">
        <w:rPr>
          <w:rFonts w:ascii="Times New Roman" w:hAnsi="Times New Roman" w:cs="Times New Roman"/>
          <w:sz w:val="20"/>
          <w:szCs w:val="20"/>
        </w:rPr>
        <w:t xml:space="preserve">⁻¹ via Equation (6). Where reported magnitudes diverged </w:t>
      </w:r>
      <w:r w:rsidRPr="00FA2968">
        <w:rPr>
          <w:rFonts w:ascii="Times New Roman" w:hAnsi="Times New Roman" w:cs="Times New Roman"/>
          <w:sz w:val="20"/>
          <w:szCs w:val="20"/>
        </w:rPr>
        <w:lastRenderedPageBreak/>
        <w:t>substantially from the physically expected range, the synthesis flagged those studies as warranting closer methodological scrutiny</w:t>
      </w:r>
    </w:p>
    <w:p w14:paraId="36C1CC25"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3. Results and Discussion</w:t>
      </w:r>
    </w:p>
    <w:p w14:paraId="43C16854"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3.1 Overview of the Reviewed Literature</w:t>
      </w:r>
    </w:p>
    <w:p w14:paraId="6DCC43E4"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Research on dust aerosols and climate change in northeastern Nigeria has grown considerably since 2016, both in volume and methodological sophistication. Early work was largely descriptive, characterising dust haze events and estimating aerosol loading from satellite data (Balarabe et al., 2016; Ogunjobi et al., 2004). By the early 2020s, the field had shifted toward integrative analyses connecting aerosol behaviour to land-surface dynamics, hydrology, agriculture, and human health (Heinold et al., 2013; </w:t>
      </w:r>
      <w:proofErr w:type="spellStart"/>
      <w:r w:rsidRPr="00FA2968">
        <w:rPr>
          <w:rFonts w:ascii="Times New Roman" w:hAnsi="Times New Roman" w:cs="Times New Roman"/>
          <w:sz w:val="20"/>
          <w:szCs w:val="20"/>
        </w:rPr>
        <w:t>Balkanski</w:t>
      </w:r>
      <w:proofErr w:type="spellEnd"/>
      <w:r w:rsidRPr="00FA2968">
        <w:rPr>
          <w:rFonts w:ascii="Times New Roman" w:hAnsi="Times New Roman" w:cs="Times New Roman"/>
          <w:sz w:val="20"/>
          <w:szCs w:val="20"/>
        </w:rPr>
        <w:t xml:space="preserve"> et al., 2021; Wane et al., 2025).</w:t>
      </w:r>
    </w:p>
    <w:p w14:paraId="505578D0"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Satellite remote sensing has been the backbone of this literature, drawing on MODIS AOD products, CALIPSO vertical profiling, and Landsat land-use datasets (</w:t>
      </w:r>
      <w:proofErr w:type="spellStart"/>
      <w:r w:rsidRPr="00FA2968">
        <w:rPr>
          <w:rFonts w:ascii="Times New Roman" w:hAnsi="Times New Roman" w:cs="Times New Roman"/>
          <w:sz w:val="20"/>
          <w:szCs w:val="20"/>
        </w:rPr>
        <w:t>Tanré</w:t>
      </w:r>
      <w:proofErr w:type="spellEnd"/>
      <w:r w:rsidRPr="00FA2968">
        <w:rPr>
          <w:rFonts w:ascii="Times New Roman" w:hAnsi="Times New Roman" w:cs="Times New Roman"/>
          <w:sz w:val="20"/>
          <w:szCs w:val="20"/>
        </w:rPr>
        <w:t xml:space="preserve"> et al., 1997; </w:t>
      </w:r>
      <w:proofErr w:type="spellStart"/>
      <w:r w:rsidRPr="00FA2968">
        <w:rPr>
          <w:rFonts w:ascii="Times New Roman" w:hAnsi="Times New Roman" w:cs="Times New Roman"/>
          <w:sz w:val="20"/>
          <w:szCs w:val="20"/>
        </w:rPr>
        <w:t>Ginoux</w:t>
      </w:r>
      <w:proofErr w:type="spellEnd"/>
      <w:r w:rsidRPr="00FA2968">
        <w:rPr>
          <w:rFonts w:ascii="Times New Roman" w:hAnsi="Times New Roman" w:cs="Times New Roman"/>
          <w:sz w:val="20"/>
          <w:szCs w:val="20"/>
        </w:rPr>
        <w:t xml:space="preserve"> et al., 2012). Ground-based measurements — AERONET sun photometry, particulate-matter samplers, radiosondes — remain comparatively rare, a reflection of the logistical and security difficulties of fieldwork in much of Borno and Yobe (Holben et al., 1998). This scarcity of ground-based validation is the single most consequential weakness in the current evidence </w:t>
      </w:r>
      <w:proofErr w:type="gramStart"/>
      <w:r w:rsidRPr="00FA2968">
        <w:rPr>
          <w:rFonts w:ascii="Times New Roman" w:hAnsi="Times New Roman" w:cs="Times New Roman"/>
          <w:sz w:val="20"/>
          <w:szCs w:val="20"/>
        </w:rPr>
        <w:t>base,</w:t>
      </w:r>
      <w:proofErr w:type="gramEnd"/>
      <w:r w:rsidRPr="00FA2968">
        <w:rPr>
          <w:rFonts w:ascii="Times New Roman" w:hAnsi="Times New Roman" w:cs="Times New Roman"/>
          <w:sz w:val="20"/>
          <w:szCs w:val="20"/>
        </w:rPr>
        <w:t xml:space="preserve"> a point developed further in Section 3.8.</w:t>
      </w:r>
    </w:p>
    <w:p w14:paraId="7A08AE7B"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b/>
          <w:bCs/>
          <w:sz w:val="20"/>
          <w:szCs w:val="20"/>
        </w:rPr>
        <w:t>Table 2.</w:t>
      </w:r>
      <w:r w:rsidRPr="00FA2968">
        <w:rPr>
          <w:rFonts w:ascii="Times New Roman" w:hAnsi="Times New Roman" w:cs="Times New Roman"/>
          <w:sz w:val="20"/>
          <w:szCs w:val="20"/>
        </w:rPr>
        <w:t> Principal methods used in the reviewed studies, with representative references drawn from the verified evidence base.</w:t>
      </w:r>
    </w:p>
    <w:tbl>
      <w:tblPr>
        <w:tblW w:w="9360" w:type="dxa"/>
        <w:tblBorders>
          <w:top w:val="single" w:sz="4" w:space="0" w:color="000000"/>
          <w:left w:val="single" w:sz="2" w:space="0" w:color="E5E7EB"/>
          <w:bottom w:val="single" w:sz="4" w:space="0" w:color="000000"/>
          <w:right w:val="single" w:sz="2" w:space="0" w:color="E5E7EB"/>
          <w:insideH w:val="single" w:sz="2" w:space="0" w:color="E5E7EB"/>
          <w:insideV w:val="single" w:sz="2" w:space="0" w:color="E5E7EB"/>
        </w:tblBorders>
        <w:shd w:val="clear" w:color="auto" w:fill="FCFAF8"/>
        <w:tblCellMar>
          <w:top w:w="15" w:type="dxa"/>
          <w:left w:w="15" w:type="dxa"/>
          <w:bottom w:w="15" w:type="dxa"/>
          <w:right w:w="15" w:type="dxa"/>
        </w:tblCellMar>
        <w:tblLook w:val="04A0" w:firstRow="1" w:lastRow="0" w:firstColumn="1" w:lastColumn="0" w:noHBand="0" w:noVBand="1"/>
      </w:tblPr>
      <w:tblGrid>
        <w:gridCol w:w="2504"/>
        <w:gridCol w:w="2991"/>
        <w:gridCol w:w="3865"/>
      </w:tblGrid>
      <w:tr w:rsidR="006F5417" w:rsidRPr="00FA2968" w14:paraId="04DDE4B4" w14:textId="77777777" w:rsidTr="00CF14EC">
        <w:trPr>
          <w:tblHeader/>
        </w:trPr>
        <w:tc>
          <w:tcPr>
            <w:tcW w:w="0" w:type="auto"/>
            <w:tcBorders>
              <w:top w:val="single" w:sz="4" w:space="0" w:color="000000"/>
              <w:bottom w:val="single" w:sz="4" w:space="0" w:color="000000"/>
            </w:tcBorders>
            <w:shd w:val="clear" w:color="auto" w:fill="FCFAF8"/>
            <w:tcMar>
              <w:top w:w="15" w:type="dxa"/>
              <w:left w:w="15" w:type="dxa"/>
              <w:bottom w:w="160" w:type="dxa"/>
              <w:right w:w="15" w:type="dxa"/>
            </w:tcMar>
            <w:vAlign w:val="bottom"/>
            <w:hideMark/>
          </w:tcPr>
          <w:p w14:paraId="3A1AAC9B"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Method</w:t>
            </w:r>
          </w:p>
        </w:tc>
        <w:tc>
          <w:tcPr>
            <w:tcW w:w="0" w:type="auto"/>
            <w:tcBorders>
              <w:top w:val="single" w:sz="4" w:space="0" w:color="000000"/>
              <w:bottom w:val="single" w:sz="4" w:space="0" w:color="000000"/>
            </w:tcBorders>
            <w:shd w:val="clear" w:color="auto" w:fill="FCFAF8"/>
            <w:tcMar>
              <w:top w:w="15" w:type="dxa"/>
              <w:left w:w="15" w:type="dxa"/>
              <w:bottom w:w="160" w:type="dxa"/>
              <w:right w:w="15" w:type="dxa"/>
            </w:tcMar>
            <w:vAlign w:val="bottom"/>
            <w:hideMark/>
          </w:tcPr>
          <w:p w14:paraId="2C5C7CF8"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Description</w:t>
            </w:r>
          </w:p>
        </w:tc>
        <w:tc>
          <w:tcPr>
            <w:tcW w:w="0" w:type="auto"/>
            <w:tcBorders>
              <w:top w:val="single" w:sz="4" w:space="0" w:color="000000"/>
              <w:bottom w:val="single" w:sz="4" w:space="0" w:color="000000"/>
            </w:tcBorders>
            <w:shd w:val="clear" w:color="auto" w:fill="FCFAF8"/>
            <w:tcMar>
              <w:top w:w="15" w:type="dxa"/>
              <w:left w:w="15" w:type="dxa"/>
              <w:bottom w:w="160" w:type="dxa"/>
              <w:right w:w="15" w:type="dxa"/>
            </w:tcMar>
            <w:vAlign w:val="bottom"/>
            <w:hideMark/>
          </w:tcPr>
          <w:p w14:paraId="7332F495"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Representative Studies</w:t>
            </w:r>
          </w:p>
        </w:tc>
      </w:tr>
      <w:tr w:rsidR="006F5417" w:rsidRPr="00FA2968" w14:paraId="5046249E" w14:textId="77777777" w:rsidTr="00CF14EC">
        <w:tc>
          <w:tcPr>
            <w:tcW w:w="0" w:type="auto"/>
            <w:tcBorders>
              <w:top w:val="single" w:sz="4" w:space="0" w:color="000000"/>
            </w:tcBorders>
            <w:shd w:val="clear" w:color="auto" w:fill="FCFAF8"/>
            <w:tcMar>
              <w:top w:w="160" w:type="dxa"/>
              <w:left w:w="15" w:type="dxa"/>
              <w:bottom w:w="160" w:type="dxa"/>
              <w:right w:w="15" w:type="dxa"/>
            </w:tcMar>
            <w:vAlign w:val="bottom"/>
            <w:hideMark/>
          </w:tcPr>
          <w:p w14:paraId="4F9B8882"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Satellite remote sensing</w:t>
            </w:r>
          </w:p>
        </w:tc>
        <w:tc>
          <w:tcPr>
            <w:tcW w:w="0" w:type="auto"/>
            <w:tcBorders>
              <w:top w:val="single" w:sz="4" w:space="0" w:color="000000"/>
            </w:tcBorders>
            <w:shd w:val="clear" w:color="auto" w:fill="FCFAF8"/>
            <w:tcMar>
              <w:top w:w="160" w:type="dxa"/>
              <w:left w:w="15" w:type="dxa"/>
              <w:bottom w:w="160" w:type="dxa"/>
              <w:right w:w="15" w:type="dxa"/>
            </w:tcMar>
            <w:vAlign w:val="bottom"/>
            <w:hideMark/>
          </w:tcPr>
          <w:p w14:paraId="1CD0C922"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MODIS AOD, CALIPSO, CERES, Landsat</w:t>
            </w:r>
          </w:p>
        </w:tc>
        <w:tc>
          <w:tcPr>
            <w:tcW w:w="0" w:type="auto"/>
            <w:tcBorders>
              <w:top w:val="single" w:sz="4" w:space="0" w:color="000000"/>
            </w:tcBorders>
            <w:shd w:val="clear" w:color="auto" w:fill="FCFAF8"/>
            <w:tcMar>
              <w:top w:w="160" w:type="dxa"/>
              <w:left w:w="15" w:type="dxa"/>
              <w:bottom w:w="160" w:type="dxa"/>
              <w:right w:w="15" w:type="dxa"/>
            </w:tcMar>
            <w:vAlign w:val="bottom"/>
            <w:hideMark/>
          </w:tcPr>
          <w:p w14:paraId="10C0D208" w14:textId="77777777" w:rsidR="006F5417" w:rsidRPr="00FA2968" w:rsidRDefault="006F5417" w:rsidP="006E162B">
            <w:pPr>
              <w:jc w:val="both"/>
              <w:rPr>
                <w:rFonts w:ascii="Times New Roman" w:hAnsi="Times New Roman" w:cs="Times New Roman"/>
                <w:sz w:val="20"/>
                <w:szCs w:val="20"/>
              </w:rPr>
            </w:pPr>
            <w:proofErr w:type="spellStart"/>
            <w:r w:rsidRPr="00FA2968">
              <w:rPr>
                <w:rFonts w:ascii="Times New Roman" w:hAnsi="Times New Roman" w:cs="Times New Roman"/>
                <w:sz w:val="20"/>
                <w:szCs w:val="20"/>
              </w:rPr>
              <w:t>Tanré</w:t>
            </w:r>
            <w:proofErr w:type="spellEnd"/>
            <w:r w:rsidRPr="00FA2968">
              <w:rPr>
                <w:rFonts w:ascii="Times New Roman" w:hAnsi="Times New Roman" w:cs="Times New Roman"/>
                <w:sz w:val="20"/>
                <w:szCs w:val="20"/>
              </w:rPr>
              <w:t xml:space="preserve"> et al. (1997); </w:t>
            </w:r>
            <w:proofErr w:type="spellStart"/>
            <w:r w:rsidRPr="00FA2968">
              <w:rPr>
                <w:rFonts w:ascii="Times New Roman" w:hAnsi="Times New Roman" w:cs="Times New Roman"/>
                <w:sz w:val="20"/>
                <w:szCs w:val="20"/>
              </w:rPr>
              <w:t>Ginoux</w:t>
            </w:r>
            <w:proofErr w:type="spellEnd"/>
            <w:r w:rsidRPr="00FA2968">
              <w:rPr>
                <w:rFonts w:ascii="Times New Roman" w:hAnsi="Times New Roman" w:cs="Times New Roman"/>
                <w:sz w:val="20"/>
                <w:szCs w:val="20"/>
              </w:rPr>
              <w:t xml:space="preserve"> et al. (2012); Balarabe et al. (2016)</w:t>
            </w:r>
          </w:p>
        </w:tc>
      </w:tr>
      <w:tr w:rsidR="006F5417" w:rsidRPr="00FA2968" w14:paraId="43B527C6" w14:textId="77777777" w:rsidTr="00CF14EC">
        <w:tc>
          <w:tcPr>
            <w:tcW w:w="0" w:type="auto"/>
            <w:shd w:val="clear" w:color="auto" w:fill="FCFAF8"/>
            <w:tcMar>
              <w:top w:w="160" w:type="dxa"/>
              <w:left w:w="15" w:type="dxa"/>
              <w:bottom w:w="160" w:type="dxa"/>
              <w:right w:w="15" w:type="dxa"/>
            </w:tcMar>
            <w:vAlign w:val="bottom"/>
            <w:hideMark/>
          </w:tcPr>
          <w:p w14:paraId="2DF7A594"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Ground-based observation</w:t>
            </w:r>
          </w:p>
        </w:tc>
        <w:tc>
          <w:tcPr>
            <w:tcW w:w="0" w:type="auto"/>
            <w:shd w:val="clear" w:color="auto" w:fill="FCFAF8"/>
            <w:tcMar>
              <w:top w:w="160" w:type="dxa"/>
              <w:left w:w="15" w:type="dxa"/>
              <w:bottom w:w="160" w:type="dxa"/>
              <w:right w:w="15" w:type="dxa"/>
            </w:tcMar>
            <w:vAlign w:val="bottom"/>
            <w:hideMark/>
          </w:tcPr>
          <w:p w14:paraId="1097F2FD"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AERONET, PM sensors, radiometers</w:t>
            </w:r>
          </w:p>
        </w:tc>
        <w:tc>
          <w:tcPr>
            <w:tcW w:w="0" w:type="auto"/>
            <w:shd w:val="clear" w:color="auto" w:fill="FCFAF8"/>
            <w:tcMar>
              <w:top w:w="160" w:type="dxa"/>
              <w:left w:w="15" w:type="dxa"/>
              <w:bottom w:w="160" w:type="dxa"/>
              <w:right w:w="15" w:type="dxa"/>
            </w:tcMar>
            <w:vAlign w:val="bottom"/>
            <w:hideMark/>
          </w:tcPr>
          <w:p w14:paraId="30518DAE"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Holben et al. (1998); </w:t>
            </w:r>
            <w:proofErr w:type="spellStart"/>
            <w:r w:rsidRPr="00FA2968">
              <w:rPr>
                <w:rFonts w:ascii="Times New Roman" w:hAnsi="Times New Roman" w:cs="Times New Roman"/>
                <w:sz w:val="20"/>
                <w:szCs w:val="20"/>
              </w:rPr>
              <w:t>Anuforom</w:t>
            </w:r>
            <w:proofErr w:type="spellEnd"/>
            <w:r w:rsidRPr="00FA2968">
              <w:rPr>
                <w:rFonts w:ascii="Times New Roman" w:hAnsi="Times New Roman" w:cs="Times New Roman"/>
                <w:sz w:val="20"/>
                <w:szCs w:val="20"/>
              </w:rPr>
              <w:t xml:space="preserve"> et al. (2007)</w:t>
            </w:r>
          </w:p>
        </w:tc>
      </w:tr>
      <w:tr w:rsidR="006F5417" w:rsidRPr="00FA2968" w14:paraId="621AF3CC" w14:textId="77777777" w:rsidTr="00CF14EC">
        <w:tc>
          <w:tcPr>
            <w:tcW w:w="0" w:type="auto"/>
            <w:shd w:val="clear" w:color="auto" w:fill="FCFAF8"/>
            <w:tcMar>
              <w:top w:w="160" w:type="dxa"/>
              <w:left w:w="15" w:type="dxa"/>
              <w:bottom w:w="160" w:type="dxa"/>
              <w:right w:w="15" w:type="dxa"/>
            </w:tcMar>
            <w:vAlign w:val="bottom"/>
            <w:hideMark/>
          </w:tcPr>
          <w:p w14:paraId="17C3AF6C"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Trajectory &amp; dispersion modelling</w:t>
            </w:r>
          </w:p>
        </w:tc>
        <w:tc>
          <w:tcPr>
            <w:tcW w:w="0" w:type="auto"/>
            <w:shd w:val="clear" w:color="auto" w:fill="FCFAF8"/>
            <w:tcMar>
              <w:top w:w="160" w:type="dxa"/>
              <w:left w:w="15" w:type="dxa"/>
              <w:bottom w:w="160" w:type="dxa"/>
              <w:right w:w="15" w:type="dxa"/>
            </w:tcMar>
            <w:vAlign w:val="bottom"/>
            <w:hideMark/>
          </w:tcPr>
          <w:p w14:paraId="492D8991"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HYSPLIT, </w:t>
            </w:r>
            <w:proofErr w:type="spellStart"/>
            <w:r w:rsidRPr="00FA2968">
              <w:rPr>
                <w:rFonts w:ascii="Times New Roman" w:hAnsi="Times New Roman" w:cs="Times New Roman"/>
                <w:sz w:val="20"/>
                <w:szCs w:val="20"/>
              </w:rPr>
              <w:t>Lagrangian</w:t>
            </w:r>
            <w:proofErr w:type="spellEnd"/>
            <w:r w:rsidRPr="00FA2968">
              <w:rPr>
                <w:rFonts w:ascii="Times New Roman" w:hAnsi="Times New Roman" w:cs="Times New Roman"/>
                <w:sz w:val="20"/>
                <w:szCs w:val="20"/>
              </w:rPr>
              <w:t xml:space="preserve"> back-trajectories</w:t>
            </w:r>
          </w:p>
        </w:tc>
        <w:tc>
          <w:tcPr>
            <w:tcW w:w="0" w:type="auto"/>
            <w:shd w:val="clear" w:color="auto" w:fill="FCFAF8"/>
            <w:tcMar>
              <w:top w:w="160" w:type="dxa"/>
              <w:left w:w="15" w:type="dxa"/>
              <w:bottom w:w="160" w:type="dxa"/>
              <w:right w:w="15" w:type="dxa"/>
            </w:tcMar>
            <w:vAlign w:val="bottom"/>
            <w:hideMark/>
          </w:tcPr>
          <w:p w14:paraId="73035684"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Todd et al. (2007); Washington et al. (2006)</w:t>
            </w:r>
          </w:p>
        </w:tc>
      </w:tr>
      <w:tr w:rsidR="006F5417" w:rsidRPr="00FA2968" w14:paraId="5F88F05B" w14:textId="77777777" w:rsidTr="00CF14EC">
        <w:tc>
          <w:tcPr>
            <w:tcW w:w="0" w:type="auto"/>
            <w:shd w:val="clear" w:color="auto" w:fill="FCFAF8"/>
            <w:tcMar>
              <w:top w:w="160" w:type="dxa"/>
              <w:left w:w="15" w:type="dxa"/>
              <w:bottom w:w="160" w:type="dxa"/>
              <w:right w:w="15" w:type="dxa"/>
            </w:tcMar>
            <w:vAlign w:val="bottom"/>
            <w:hideMark/>
          </w:tcPr>
          <w:p w14:paraId="3F07BE0A"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Chemical transport / regional modelling</w:t>
            </w:r>
          </w:p>
        </w:tc>
        <w:tc>
          <w:tcPr>
            <w:tcW w:w="0" w:type="auto"/>
            <w:shd w:val="clear" w:color="auto" w:fill="FCFAF8"/>
            <w:tcMar>
              <w:top w:w="160" w:type="dxa"/>
              <w:left w:w="15" w:type="dxa"/>
              <w:bottom w:w="160" w:type="dxa"/>
              <w:right w:w="15" w:type="dxa"/>
            </w:tcMar>
            <w:vAlign w:val="bottom"/>
            <w:hideMark/>
          </w:tcPr>
          <w:p w14:paraId="271252D0"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WRF-Chem, convection-permitting simulation</w:t>
            </w:r>
          </w:p>
        </w:tc>
        <w:tc>
          <w:tcPr>
            <w:tcW w:w="0" w:type="auto"/>
            <w:shd w:val="clear" w:color="auto" w:fill="FCFAF8"/>
            <w:tcMar>
              <w:top w:w="160" w:type="dxa"/>
              <w:left w:w="15" w:type="dxa"/>
              <w:bottom w:w="160" w:type="dxa"/>
              <w:right w:w="15" w:type="dxa"/>
            </w:tcMar>
            <w:vAlign w:val="bottom"/>
            <w:hideMark/>
          </w:tcPr>
          <w:p w14:paraId="04FFAC7D"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Heinold et al. (2013); Laurent et al. (2008)</w:t>
            </w:r>
          </w:p>
        </w:tc>
      </w:tr>
      <w:tr w:rsidR="006F5417" w:rsidRPr="00FA2968" w14:paraId="2F5AD0F6" w14:textId="77777777" w:rsidTr="00CF14EC">
        <w:tc>
          <w:tcPr>
            <w:tcW w:w="0" w:type="auto"/>
            <w:shd w:val="clear" w:color="auto" w:fill="FCFAF8"/>
            <w:tcMar>
              <w:top w:w="160" w:type="dxa"/>
              <w:left w:w="15" w:type="dxa"/>
              <w:bottom w:w="160" w:type="dxa"/>
              <w:right w:w="15" w:type="dxa"/>
            </w:tcMar>
            <w:vAlign w:val="bottom"/>
            <w:hideMark/>
          </w:tcPr>
          <w:p w14:paraId="2379AEB3"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Climate model projections</w:t>
            </w:r>
          </w:p>
        </w:tc>
        <w:tc>
          <w:tcPr>
            <w:tcW w:w="0" w:type="auto"/>
            <w:shd w:val="clear" w:color="auto" w:fill="FCFAF8"/>
            <w:tcMar>
              <w:top w:w="160" w:type="dxa"/>
              <w:left w:w="15" w:type="dxa"/>
              <w:bottom w:w="160" w:type="dxa"/>
              <w:right w:w="15" w:type="dxa"/>
            </w:tcMar>
            <w:vAlign w:val="bottom"/>
            <w:hideMark/>
          </w:tcPr>
          <w:p w14:paraId="0E2FC220"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CMIP5/CMIP6, coupled GCM scenarios</w:t>
            </w:r>
          </w:p>
        </w:tc>
        <w:tc>
          <w:tcPr>
            <w:tcW w:w="0" w:type="auto"/>
            <w:shd w:val="clear" w:color="auto" w:fill="FCFAF8"/>
            <w:tcMar>
              <w:top w:w="160" w:type="dxa"/>
              <w:left w:w="15" w:type="dxa"/>
              <w:bottom w:w="160" w:type="dxa"/>
              <w:right w:w="15" w:type="dxa"/>
            </w:tcMar>
            <w:vAlign w:val="bottom"/>
            <w:hideMark/>
          </w:tcPr>
          <w:p w14:paraId="593708D6" w14:textId="77777777" w:rsidR="006F5417" w:rsidRPr="00FA2968" w:rsidRDefault="006F5417" w:rsidP="006E162B">
            <w:pPr>
              <w:jc w:val="both"/>
              <w:rPr>
                <w:rFonts w:ascii="Times New Roman" w:hAnsi="Times New Roman" w:cs="Times New Roman"/>
                <w:sz w:val="20"/>
                <w:szCs w:val="20"/>
              </w:rPr>
            </w:pPr>
            <w:proofErr w:type="spellStart"/>
            <w:r w:rsidRPr="00FA2968">
              <w:rPr>
                <w:rFonts w:ascii="Times New Roman" w:hAnsi="Times New Roman" w:cs="Times New Roman"/>
                <w:sz w:val="20"/>
                <w:szCs w:val="20"/>
              </w:rPr>
              <w:t>Balkanski</w:t>
            </w:r>
            <w:proofErr w:type="spellEnd"/>
            <w:r w:rsidRPr="00FA2968">
              <w:rPr>
                <w:rFonts w:ascii="Times New Roman" w:hAnsi="Times New Roman" w:cs="Times New Roman"/>
                <w:sz w:val="20"/>
                <w:szCs w:val="20"/>
              </w:rPr>
              <w:t xml:space="preserve"> et al. (2021); Kok et al. (2017); Wane et al. (2025)</w:t>
            </w:r>
          </w:p>
        </w:tc>
      </w:tr>
      <w:tr w:rsidR="006F5417" w:rsidRPr="00FA2968" w14:paraId="21BE8C6E" w14:textId="77777777" w:rsidTr="00CF14EC">
        <w:tc>
          <w:tcPr>
            <w:tcW w:w="0" w:type="auto"/>
            <w:shd w:val="clear" w:color="auto" w:fill="FCFAF8"/>
            <w:tcMar>
              <w:top w:w="160" w:type="dxa"/>
              <w:left w:w="15" w:type="dxa"/>
              <w:bottom w:w="160" w:type="dxa"/>
              <w:right w:w="15" w:type="dxa"/>
            </w:tcMar>
            <w:vAlign w:val="bottom"/>
            <w:hideMark/>
          </w:tcPr>
          <w:p w14:paraId="4A0F3154"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Statistical trend analysis</w:t>
            </w:r>
          </w:p>
        </w:tc>
        <w:tc>
          <w:tcPr>
            <w:tcW w:w="0" w:type="auto"/>
            <w:shd w:val="clear" w:color="auto" w:fill="FCFAF8"/>
            <w:tcMar>
              <w:top w:w="160" w:type="dxa"/>
              <w:left w:w="15" w:type="dxa"/>
              <w:bottom w:w="160" w:type="dxa"/>
              <w:right w:w="15" w:type="dxa"/>
            </w:tcMar>
            <w:vAlign w:val="bottom"/>
            <w:hideMark/>
          </w:tcPr>
          <w:p w14:paraId="43E433B0"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Mann–Kendall, correlation, regression</w:t>
            </w:r>
          </w:p>
        </w:tc>
        <w:tc>
          <w:tcPr>
            <w:tcW w:w="0" w:type="auto"/>
            <w:shd w:val="clear" w:color="auto" w:fill="FCFAF8"/>
            <w:tcMar>
              <w:top w:w="160" w:type="dxa"/>
              <w:left w:w="15" w:type="dxa"/>
              <w:bottom w:w="160" w:type="dxa"/>
              <w:right w:w="15" w:type="dxa"/>
            </w:tcMar>
            <w:vAlign w:val="bottom"/>
            <w:hideMark/>
          </w:tcPr>
          <w:p w14:paraId="249FCE6A" w14:textId="77777777" w:rsidR="006F5417" w:rsidRPr="00FA2968" w:rsidRDefault="006F5417" w:rsidP="006E162B">
            <w:pPr>
              <w:jc w:val="both"/>
              <w:rPr>
                <w:rFonts w:ascii="Times New Roman" w:hAnsi="Times New Roman" w:cs="Times New Roman"/>
                <w:sz w:val="20"/>
                <w:szCs w:val="20"/>
              </w:rPr>
            </w:pPr>
            <w:proofErr w:type="spellStart"/>
            <w:r w:rsidRPr="00FA2968">
              <w:rPr>
                <w:rFonts w:ascii="Times New Roman" w:hAnsi="Times New Roman" w:cs="Times New Roman"/>
                <w:sz w:val="20"/>
                <w:szCs w:val="20"/>
              </w:rPr>
              <w:t>Akinsanola</w:t>
            </w:r>
            <w:proofErr w:type="spellEnd"/>
            <w:r w:rsidRPr="00FA2968">
              <w:rPr>
                <w:rFonts w:ascii="Times New Roman" w:hAnsi="Times New Roman" w:cs="Times New Roman"/>
                <w:sz w:val="20"/>
                <w:szCs w:val="20"/>
              </w:rPr>
              <w:t xml:space="preserve"> &amp; Ogunjobi (2017); Nicholson (2013)</w:t>
            </w:r>
          </w:p>
        </w:tc>
      </w:tr>
    </w:tbl>
    <w:p w14:paraId="261E1C39"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3.2 Dust Sources, Transport Pathways, and Seasonal Dynamics</w:t>
      </w:r>
    </w:p>
    <w:p w14:paraId="6C2D7C63"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The question of where northeastern Nigeria's dust originates has received sustained attention, and the emerging picture is more nuanced than once assumed. The dominant view — that the </w:t>
      </w:r>
      <w:proofErr w:type="spellStart"/>
      <w:r w:rsidRPr="00FA2968">
        <w:rPr>
          <w:rFonts w:ascii="Times New Roman" w:hAnsi="Times New Roman" w:cs="Times New Roman"/>
          <w:sz w:val="20"/>
          <w:szCs w:val="20"/>
        </w:rPr>
        <w:t>Bodélé</w:t>
      </w:r>
      <w:proofErr w:type="spellEnd"/>
      <w:r w:rsidRPr="00FA2968">
        <w:rPr>
          <w:rFonts w:ascii="Times New Roman" w:hAnsi="Times New Roman" w:cs="Times New Roman"/>
          <w:sz w:val="20"/>
          <w:szCs w:val="20"/>
        </w:rPr>
        <w:t xml:space="preserve"> Depression supplies the majority of the regional aerosol burden during Harmattan — is well supported by satellite source-activation mapping, trajectory analysis, and field campaigns (Washington et al., 2006; Todd et al., 2007; Prospero et al., 2002). Dust leaves the Depression under the acceleration of the </w:t>
      </w:r>
      <w:proofErr w:type="spellStart"/>
      <w:r w:rsidRPr="00FA2968">
        <w:rPr>
          <w:rFonts w:ascii="Times New Roman" w:hAnsi="Times New Roman" w:cs="Times New Roman"/>
          <w:sz w:val="20"/>
          <w:szCs w:val="20"/>
        </w:rPr>
        <w:t>Bodélé</w:t>
      </w:r>
      <w:proofErr w:type="spellEnd"/>
      <w:r w:rsidRPr="00FA2968">
        <w:rPr>
          <w:rFonts w:ascii="Times New Roman" w:hAnsi="Times New Roman" w:cs="Times New Roman"/>
          <w:sz w:val="20"/>
          <w:szCs w:val="20"/>
        </w:rPr>
        <w:t xml:space="preserve"> Low-Level Jet and reaches Borno and </w:t>
      </w:r>
      <w:r w:rsidRPr="00FA2968">
        <w:rPr>
          <w:rFonts w:ascii="Times New Roman" w:hAnsi="Times New Roman" w:cs="Times New Roman"/>
          <w:sz w:val="20"/>
          <w:szCs w:val="20"/>
        </w:rPr>
        <w:lastRenderedPageBreak/>
        <w:t>Yobe within roughly two to three days, a transit time inferred from trajectory and dispersion studies (</w:t>
      </w:r>
      <w:proofErr w:type="spellStart"/>
      <w:r w:rsidRPr="00FA2968">
        <w:rPr>
          <w:rFonts w:ascii="Times New Roman" w:hAnsi="Times New Roman" w:cs="Times New Roman"/>
          <w:sz w:val="20"/>
          <w:szCs w:val="20"/>
        </w:rPr>
        <w:t>Engelstaedter</w:t>
      </w:r>
      <w:proofErr w:type="spellEnd"/>
      <w:r w:rsidRPr="00FA2968">
        <w:rPr>
          <w:rFonts w:ascii="Times New Roman" w:hAnsi="Times New Roman" w:cs="Times New Roman"/>
          <w:sz w:val="20"/>
          <w:szCs w:val="20"/>
        </w:rPr>
        <w:t xml:space="preserve"> et al., 2006; Todd et al., 2007), arriving at altitudes of 1,000–3,000 m in winds averaging 10–15 m s⁻¹.</w:t>
      </w:r>
    </w:p>
    <w:p w14:paraId="2809DF52"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What has changed over the review period is the growing recognition of local and regional sources. The contraction of Lake Chad has exposed enormous expanses of fine, highly erodible lacustrine sediment, producing a dust source area that did not exist at this scale two generations ago (Pham-Duc et al., 2020, 2022; Gao et al., 2025). Land-cover analyses confirm that overgrazing, deforestation, and conflict-driven farmland abandonment have substantially increased bare-soil exposure across Borno, Yobe, and Adamawa (</w:t>
      </w:r>
      <w:proofErr w:type="spellStart"/>
      <w:r w:rsidRPr="00FA2968">
        <w:rPr>
          <w:rFonts w:ascii="Times New Roman" w:hAnsi="Times New Roman" w:cs="Times New Roman"/>
          <w:sz w:val="20"/>
          <w:szCs w:val="20"/>
        </w:rPr>
        <w:t>Nwilo</w:t>
      </w:r>
      <w:proofErr w:type="spellEnd"/>
      <w:r w:rsidRPr="00FA2968">
        <w:rPr>
          <w:rFonts w:ascii="Times New Roman" w:hAnsi="Times New Roman" w:cs="Times New Roman"/>
          <w:sz w:val="20"/>
          <w:szCs w:val="20"/>
        </w:rPr>
        <w:t xml:space="preserve"> et al., 2020; Brandt et al., 2017). Critically, the erodibility of these surfaces is governed by the threshold friction velocity </w:t>
      </w:r>
      <w:r w:rsidRPr="00FA2968">
        <w:rPr>
          <w:rFonts w:ascii="Times New Roman" w:hAnsi="Times New Roman" w:cs="Times New Roman"/>
          <w:i/>
          <w:iCs/>
          <w:sz w:val="20"/>
          <w:szCs w:val="20"/>
        </w:rPr>
        <w:t>u</w:t>
      </w:r>
      <w:r w:rsidRPr="00FA2968">
        <w:rPr>
          <w:rFonts w:ascii="Times New Roman" w:hAnsi="Times New Roman" w:cs="Times New Roman"/>
          <w:sz w:val="20"/>
          <w:szCs w:val="20"/>
        </w:rPr>
        <w:t>*ₜ in Equation (12): as vegetation cover declines, </w:t>
      </w:r>
      <w:r w:rsidRPr="00FA2968">
        <w:rPr>
          <w:rFonts w:ascii="Times New Roman" w:hAnsi="Times New Roman" w:cs="Times New Roman"/>
          <w:i/>
          <w:iCs/>
          <w:sz w:val="20"/>
          <w:szCs w:val="20"/>
        </w:rPr>
        <w:t>u</w:t>
      </w:r>
      <w:r w:rsidRPr="00FA2968">
        <w:rPr>
          <w:rFonts w:ascii="Times New Roman" w:hAnsi="Times New Roman" w:cs="Times New Roman"/>
          <w:sz w:val="20"/>
          <w:szCs w:val="20"/>
        </w:rPr>
        <w:t>*ₜ falls and the dust emission flux </w:t>
      </w:r>
      <w:proofErr w:type="spellStart"/>
      <w:r w:rsidRPr="00FA2968">
        <w:rPr>
          <w:rFonts w:ascii="Times New Roman" w:hAnsi="Times New Roman" w:cs="Times New Roman"/>
          <w:i/>
          <w:iCs/>
          <w:sz w:val="20"/>
          <w:szCs w:val="20"/>
        </w:rPr>
        <w:t>F_d</w:t>
      </w:r>
      <w:proofErr w:type="spellEnd"/>
      <w:r w:rsidRPr="00FA2968">
        <w:rPr>
          <w:rFonts w:ascii="Times New Roman" w:hAnsi="Times New Roman" w:cs="Times New Roman"/>
          <w:sz w:val="20"/>
          <w:szCs w:val="20"/>
        </w:rPr>
        <w:t> </w:t>
      </w:r>
      <w:proofErr w:type="gramStart"/>
      <w:r w:rsidRPr="00FA2968">
        <w:rPr>
          <w:rFonts w:ascii="Times New Roman" w:hAnsi="Times New Roman" w:cs="Times New Roman"/>
          <w:sz w:val="20"/>
          <w:szCs w:val="20"/>
        </w:rPr>
        <w:t>rises</w:t>
      </w:r>
      <w:proofErr w:type="gramEnd"/>
      <w:r w:rsidRPr="00FA2968">
        <w:rPr>
          <w:rFonts w:ascii="Times New Roman" w:hAnsi="Times New Roman" w:cs="Times New Roman"/>
          <w:sz w:val="20"/>
          <w:szCs w:val="20"/>
        </w:rPr>
        <w:t xml:space="preserve"> under identical wind forcing (Cowie et al., 2013).</w:t>
      </w:r>
    </w:p>
    <w:p w14:paraId="1DC92249"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This finding carries direct management implications. Much of the policy discourse around Sahelian dust focuses on remote source areas over which individual countries have little influence. The growing local component, by contrast, is in principle controllable through land management, surface stabilisation, and rangeland rehabilitation. Dust management in northeastern Nigeria must therefore address both dimensions.</w:t>
      </w:r>
    </w:p>
    <w:p w14:paraId="483507A9"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b/>
          <w:bCs/>
          <w:sz w:val="20"/>
          <w:szCs w:val="20"/>
        </w:rPr>
        <w:t>Table 3.</w:t>
      </w:r>
      <w:r w:rsidRPr="00FA2968">
        <w:rPr>
          <w:rFonts w:ascii="Times New Roman" w:hAnsi="Times New Roman" w:cs="Times New Roman"/>
          <w:sz w:val="20"/>
          <w:szCs w:val="20"/>
        </w:rPr>
        <w:t> Summary of dust source and transport findings.</w:t>
      </w:r>
    </w:p>
    <w:tbl>
      <w:tblPr>
        <w:tblW w:w="9360" w:type="dxa"/>
        <w:tblBorders>
          <w:top w:val="single" w:sz="4" w:space="0" w:color="000000"/>
          <w:left w:val="single" w:sz="2" w:space="0" w:color="E5E7EB"/>
          <w:bottom w:val="single" w:sz="4" w:space="0" w:color="000000"/>
          <w:right w:val="single" w:sz="2" w:space="0" w:color="E5E7EB"/>
          <w:insideH w:val="single" w:sz="2" w:space="0" w:color="E5E7EB"/>
          <w:insideV w:val="single" w:sz="2" w:space="0" w:color="E5E7EB"/>
        </w:tblBorders>
        <w:shd w:val="clear" w:color="auto" w:fill="FCFAF8"/>
        <w:tblCellMar>
          <w:top w:w="15" w:type="dxa"/>
          <w:left w:w="15" w:type="dxa"/>
          <w:bottom w:w="15" w:type="dxa"/>
          <w:right w:w="15" w:type="dxa"/>
        </w:tblCellMar>
        <w:tblLook w:val="04A0" w:firstRow="1" w:lastRow="0" w:firstColumn="1" w:lastColumn="0" w:noHBand="0" w:noVBand="1"/>
      </w:tblPr>
      <w:tblGrid>
        <w:gridCol w:w="2861"/>
        <w:gridCol w:w="6499"/>
      </w:tblGrid>
      <w:tr w:rsidR="006F5417" w:rsidRPr="00FA2968" w14:paraId="1C46D3BD" w14:textId="77777777" w:rsidTr="006E162B">
        <w:trPr>
          <w:tblHeader/>
        </w:trPr>
        <w:tc>
          <w:tcPr>
            <w:tcW w:w="0" w:type="auto"/>
            <w:tcBorders>
              <w:top w:val="single" w:sz="4" w:space="0" w:color="000000"/>
              <w:bottom w:val="single" w:sz="4" w:space="0" w:color="000000"/>
            </w:tcBorders>
            <w:shd w:val="clear" w:color="auto" w:fill="FCFAF8"/>
            <w:tcMar>
              <w:top w:w="15" w:type="dxa"/>
              <w:left w:w="15" w:type="dxa"/>
              <w:bottom w:w="160" w:type="dxa"/>
              <w:right w:w="15" w:type="dxa"/>
            </w:tcMar>
            <w:vAlign w:val="bottom"/>
            <w:hideMark/>
          </w:tcPr>
          <w:p w14:paraId="3573C0A0"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Source/Process</w:t>
            </w:r>
          </w:p>
        </w:tc>
        <w:tc>
          <w:tcPr>
            <w:tcW w:w="0" w:type="auto"/>
            <w:tcBorders>
              <w:top w:val="single" w:sz="4" w:space="0" w:color="000000"/>
              <w:bottom w:val="single" w:sz="4" w:space="0" w:color="000000"/>
            </w:tcBorders>
            <w:shd w:val="clear" w:color="auto" w:fill="FCFAF8"/>
            <w:tcMar>
              <w:top w:w="15" w:type="dxa"/>
              <w:left w:w="15" w:type="dxa"/>
              <w:bottom w:w="160" w:type="dxa"/>
              <w:right w:w="15" w:type="dxa"/>
            </w:tcMar>
            <w:vAlign w:val="bottom"/>
            <w:hideMark/>
          </w:tcPr>
          <w:p w14:paraId="34B198FC"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Principal Finding</w:t>
            </w:r>
          </w:p>
        </w:tc>
      </w:tr>
      <w:tr w:rsidR="006F5417" w:rsidRPr="00FA2968" w14:paraId="764EDA12" w14:textId="77777777" w:rsidTr="006E162B">
        <w:tc>
          <w:tcPr>
            <w:tcW w:w="0" w:type="auto"/>
            <w:tcBorders>
              <w:top w:val="single" w:sz="4" w:space="0" w:color="000000"/>
            </w:tcBorders>
            <w:shd w:val="clear" w:color="auto" w:fill="FCFAF8"/>
            <w:tcMar>
              <w:top w:w="160" w:type="dxa"/>
              <w:left w:w="15" w:type="dxa"/>
              <w:bottom w:w="160" w:type="dxa"/>
              <w:right w:w="15" w:type="dxa"/>
            </w:tcMar>
            <w:vAlign w:val="bottom"/>
            <w:hideMark/>
          </w:tcPr>
          <w:p w14:paraId="6435CB7B" w14:textId="77777777" w:rsidR="006F5417" w:rsidRPr="00FA2968" w:rsidRDefault="006F5417" w:rsidP="006E162B">
            <w:pPr>
              <w:jc w:val="both"/>
              <w:rPr>
                <w:rFonts w:ascii="Times New Roman" w:hAnsi="Times New Roman" w:cs="Times New Roman"/>
                <w:sz w:val="20"/>
                <w:szCs w:val="20"/>
              </w:rPr>
            </w:pPr>
            <w:proofErr w:type="spellStart"/>
            <w:r w:rsidRPr="00FA2968">
              <w:rPr>
                <w:rFonts w:ascii="Times New Roman" w:hAnsi="Times New Roman" w:cs="Times New Roman"/>
                <w:sz w:val="20"/>
                <w:szCs w:val="20"/>
              </w:rPr>
              <w:t>Bodélé</w:t>
            </w:r>
            <w:proofErr w:type="spellEnd"/>
            <w:r w:rsidRPr="00FA2968">
              <w:rPr>
                <w:rFonts w:ascii="Times New Roman" w:hAnsi="Times New Roman" w:cs="Times New Roman"/>
                <w:sz w:val="20"/>
                <w:szCs w:val="20"/>
              </w:rPr>
              <w:t xml:space="preserve"> Depression</w:t>
            </w:r>
          </w:p>
        </w:tc>
        <w:tc>
          <w:tcPr>
            <w:tcW w:w="0" w:type="auto"/>
            <w:tcBorders>
              <w:top w:val="single" w:sz="4" w:space="0" w:color="000000"/>
            </w:tcBorders>
            <w:shd w:val="clear" w:color="auto" w:fill="FCFAF8"/>
            <w:tcMar>
              <w:top w:w="160" w:type="dxa"/>
              <w:left w:w="15" w:type="dxa"/>
              <w:bottom w:w="160" w:type="dxa"/>
              <w:right w:w="15" w:type="dxa"/>
            </w:tcMar>
            <w:vAlign w:val="bottom"/>
            <w:hideMark/>
          </w:tcPr>
          <w:p w14:paraId="7ECC1502"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Dominant long-range source during peak Harmattan (Todd et al., 2007; Washington et al., 2006)</w:t>
            </w:r>
          </w:p>
        </w:tc>
      </w:tr>
      <w:tr w:rsidR="006F5417" w:rsidRPr="00FA2968" w14:paraId="05547F2C" w14:textId="77777777" w:rsidTr="006E162B">
        <w:tc>
          <w:tcPr>
            <w:tcW w:w="0" w:type="auto"/>
            <w:shd w:val="clear" w:color="auto" w:fill="FCFAF8"/>
            <w:tcMar>
              <w:top w:w="160" w:type="dxa"/>
              <w:left w:w="15" w:type="dxa"/>
              <w:bottom w:w="160" w:type="dxa"/>
              <w:right w:w="15" w:type="dxa"/>
            </w:tcMar>
            <w:vAlign w:val="bottom"/>
            <w:hideMark/>
          </w:tcPr>
          <w:p w14:paraId="4A10D78E"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Sahara Desert</w:t>
            </w:r>
          </w:p>
        </w:tc>
        <w:tc>
          <w:tcPr>
            <w:tcW w:w="0" w:type="auto"/>
            <w:shd w:val="clear" w:color="auto" w:fill="FCFAF8"/>
            <w:tcMar>
              <w:top w:w="160" w:type="dxa"/>
              <w:left w:w="15" w:type="dxa"/>
              <w:bottom w:w="160" w:type="dxa"/>
              <w:right w:w="15" w:type="dxa"/>
            </w:tcMar>
            <w:vAlign w:val="bottom"/>
            <w:hideMark/>
          </w:tcPr>
          <w:p w14:paraId="032A3589"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Major transboundary contributor throughout the dry season (</w:t>
            </w:r>
            <w:proofErr w:type="spellStart"/>
            <w:r w:rsidRPr="00FA2968">
              <w:rPr>
                <w:rFonts w:ascii="Times New Roman" w:hAnsi="Times New Roman" w:cs="Times New Roman"/>
                <w:sz w:val="20"/>
                <w:szCs w:val="20"/>
              </w:rPr>
              <w:t>Engelstaedter</w:t>
            </w:r>
            <w:proofErr w:type="spellEnd"/>
            <w:r w:rsidRPr="00FA2968">
              <w:rPr>
                <w:rFonts w:ascii="Times New Roman" w:hAnsi="Times New Roman" w:cs="Times New Roman"/>
                <w:sz w:val="20"/>
                <w:szCs w:val="20"/>
              </w:rPr>
              <w:t xml:space="preserve"> et al., 2006; Prospero et al., 2002)</w:t>
            </w:r>
          </w:p>
        </w:tc>
      </w:tr>
      <w:tr w:rsidR="006F5417" w:rsidRPr="00FA2968" w14:paraId="51E4350F" w14:textId="77777777" w:rsidTr="006E162B">
        <w:tc>
          <w:tcPr>
            <w:tcW w:w="0" w:type="auto"/>
            <w:shd w:val="clear" w:color="auto" w:fill="FCFAF8"/>
            <w:tcMar>
              <w:top w:w="160" w:type="dxa"/>
              <w:left w:w="15" w:type="dxa"/>
              <w:bottom w:w="160" w:type="dxa"/>
              <w:right w:w="15" w:type="dxa"/>
            </w:tcMar>
            <w:vAlign w:val="bottom"/>
            <w:hideMark/>
          </w:tcPr>
          <w:p w14:paraId="159F6985"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Lake Chad Basin</w:t>
            </w:r>
          </w:p>
        </w:tc>
        <w:tc>
          <w:tcPr>
            <w:tcW w:w="0" w:type="auto"/>
            <w:shd w:val="clear" w:color="auto" w:fill="FCFAF8"/>
            <w:tcMar>
              <w:top w:w="160" w:type="dxa"/>
              <w:left w:w="15" w:type="dxa"/>
              <w:bottom w:w="160" w:type="dxa"/>
              <w:right w:w="15" w:type="dxa"/>
            </w:tcMar>
            <w:vAlign w:val="bottom"/>
            <w:hideMark/>
          </w:tcPr>
          <w:p w14:paraId="1F9FD612"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Rapidly expanding local source; &gt;90 % lake-area loss since 1960s (Pham-Duc et al., 2020, 2022; Gao et al., 2025)</w:t>
            </w:r>
          </w:p>
        </w:tc>
      </w:tr>
      <w:tr w:rsidR="006F5417" w:rsidRPr="00FA2968" w14:paraId="3960E5DF" w14:textId="77777777" w:rsidTr="006E162B">
        <w:tc>
          <w:tcPr>
            <w:tcW w:w="0" w:type="auto"/>
            <w:shd w:val="clear" w:color="auto" w:fill="FCFAF8"/>
            <w:tcMar>
              <w:top w:w="160" w:type="dxa"/>
              <w:left w:w="15" w:type="dxa"/>
              <w:bottom w:w="160" w:type="dxa"/>
              <w:right w:w="15" w:type="dxa"/>
            </w:tcMar>
            <w:vAlign w:val="bottom"/>
            <w:hideMark/>
          </w:tcPr>
          <w:p w14:paraId="3AD471B4"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Degraded rangelands &amp; abandoned farmlands</w:t>
            </w:r>
          </w:p>
        </w:tc>
        <w:tc>
          <w:tcPr>
            <w:tcW w:w="0" w:type="auto"/>
            <w:shd w:val="clear" w:color="auto" w:fill="FCFAF8"/>
            <w:tcMar>
              <w:top w:w="160" w:type="dxa"/>
              <w:left w:w="15" w:type="dxa"/>
              <w:bottom w:w="160" w:type="dxa"/>
              <w:right w:w="15" w:type="dxa"/>
            </w:tcMar>
            <w:vAlign w:val="bottom"/>
            <w:hideMark/>
          </w:tcPr>
          <w:p w14:paraId="031AE21B"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Growing local sources linked to overgrazing and conflict (</w:t>
            </w:r>
            <w:proofErr w:type="spellStart"/>
            <w:r w:rsidRPr="00FA2968">
              <w:rPr>
                <w:rFonts w:ascii="Times New Roman" w:hAnsi="Times New Roman" w:cs="Times New Roman"/>
                <w:sz w:val="20"/>
                <w:szCs w:val="20"/>
              </w:rPr>
              <w:t>Nwilo</w:t>
            </w:r>
            <w:proofErr w:type="spellEnd"/>
            <w:r w:rsidRPr="00FA2968">
              <w:rPr>
                <w:rFonts w:ascii="Times New Roman" w:hAnsi="Times New Roman" w:cs="Times New Roman"/>
                <w:sz w:val="20"/>
                <w:szCs w:val="20"/>
              </w:rPr>
              <w:t xml:space="preserve"> et al., 2020; Brandt et al., 2017; Cowie et al., 2013)</w:t>
            </w:r>
          </w:p>
        </w:tc>
      </w:tr>
      <w:tr w:rsidR="006F5417" w:rsidRPr="00FA2968" w14:paraId="4F849C63" w14:textId="77777777" w:rsidTr="006E162B">
        <w:tc>
          <w:tcPr>
            <w:tcW w:w="0" w:type="auto"/>
            <w:shd w:val="clear" w:color="auto" w:fill="FCFAF8"/>
            <w:tcMar>
              <w:top w:w="160" w:type="dxa"/>
              <w:left w:w="15" w:type="dxa"/>
              <w:bottom w:w="160" w:type="dxa"/>
              <w:right w:w="15" w:type="dxa"/>
            </w:tcMar>
            <w:vAlign w:val="bottom"/>
            <w:hideMark/>
          </w:tcPr>
          <w:p w14:paraId="555F8177"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Seasonal pattern</w:t>
            </w:r>
          </w:p>
        </w:tc>
        <w:tc>
          <w:tcPr>
            <w:tcW w:w="0" w:type="auto"/>
            <w:shd w:val="clear" w:color="auto" w:fill="FCFAF8"/>
            <w:tcMar>
              <w:top w:w="160" w:type="dxa"/>
              <w:left w:w="15" w:type="dxa"/>
              <w:bottom w:w="160" w:type="dxa"/>
              <w:right w:w="15" w:type="dxa"/>
            </w:tcMar>
            <w:vAlign w:val="bottom"/>
            <w:hideMark/>
          </w:tcPr>
          <w:p w14:paraId="4BF6A0D3"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Maximum aerosol loading November–March (</w:t>
            </w:r>
            <w:proofErr w:type="spellStart"/>
            <w:r w:rsidRPr="00FA2968">
              <w:rPr>
                <w:rFonts w:ascii="Times New Roman" w:hAnsi="Times New Roman" w:cs="Times New Roman"/>
                <w:sz w:val="20"/>
                <w:szCs w:val="20"/>
              </w:rPr>
              <w:t>Anuforom</w:t>
            </w:r>
            <w:proofErr w:type="spellEnd"/>
            <w:r w:rsidRPr="00FA2968">
              <w:rPr>
                <w:rFonts w:ascii="Times New Roman" w:hAnsi="Times New Roman" w:cs="Times New Roman"/>
                <w:sz w:val="20"/>
                <w:szCs w:val="20"/>
              </w:rPr>
              <w:t xml:space="preserve"> et al., 2007; </w:t>
            </w:r>
            <w:proofErr w:type="spellStart"/>
            <w:r w:rsidRPr="00FA2968">
              <w:rPr>
                <w:rFonts w:ascii="Times New Roman" w:hAnsi="Times New Roman" w:cs="Times New Roman"/>
                <w:sz w:val="20"/>
                <w:szCs w:val="20"/>
              </w:rPr>
              <w:t>Mbourou</w:t>
            </w:r>
            <w:proofErr w:type="spellEnd"/>
            <w:r w:rsidRPr="00FA2968">
              <w:rPr>
                <w:rFonts w:ascii="Times New Roman" w:hAnsi="Times New Roman" w:cs="Times New Roman"/>
                <w:sz w:val="20"/>
                <w:szCs w:val="20"/>
              </w:rPr>
              <w:t xml:space="preserve"> et al., 1997)</w:t>
            </w:r>
          </w:p>
        </w:tc>
      </w:tr>
    </w:tbl>
    <w:p w14:paraId="2D7064B9"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3.3 Radiative Effects and Temperature Modulation</w:t>
      </w:r>
    </w:p>
    <w:p w14:paraId="4BD4D01E"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The radiative effects of dust over northeastern Nigeria are substantial and operate simultaneously at the surface and aloft. Following Equations (1)</w:t>
      </w:r>
      <w:proofErr w:type="gramStart"/>
      <w:r w:rsidRPr="00FA2968">
        <w:rPr>
          <w:rFonts w:ascii="Times New Roman" w:hAnsi="Times New Roman" w:cs="Times New Roman"/>
          <w:sz w:val="20"/>
          <w:szCs w:val="20"/>
        </w:rPr>
        <w:t>–(</w:t>
      </w:r>
      <w:proofErr w:type="gramEnd"/>
      <w:r w:rsidRPr="00FA2968">
        <w:rPr>
          <w:rFonts w:ascii="Times New Roman" w:hAnsi="Times New Roman" w:cs="Times New Roman"/>
          <w:sz w:val="20"/>
          <w:szCs w:val="20"/>
        </w:rPr>
        <w:t xml:space="preserve">2), dust attenuates incoming shortwave radiation by approximately 30–40 % during peak Harmattan episodes (Kok et al., 2017; Balarabe et al., 2016). Regional and analogous Sahelian studies report surface radiative forcing near −35 W m⁻² and top-of-atmosphere forcing near −12 W m⁻² during significant dust events (Solmon et al., 2008; </w:t>
      </w:r>
      <w:proofErr w:type="spellStart"/>
      <w:r w:rsidRPr="00FA2968">
        <w:rPr>
          <w:rFonts w:ascii="Times New Roman" w:hAnsi="Times New Roman" w:cs="Times New Roman"/>
          <w:sz w:val="20"/>
          <w:szCs w:val="20"/>
        </w:rPr>
        <w:t>Knippertz</w:t>
      </w:r>
      <w:proofErr w:type="spellEnd"/>
      <w:r w:rsidRPr="00FA2968">
        <w:rPr>
          <w:rFonts w:ascii="Times New Roman" w:hAnsi="Times New Roman" w:cs="Times New Roman"/>
          <w:sz w:val="20"/>
          <w:szCs w:val="20"/>
        </w:rPr>
        <w:t xml:space="preserve"> &amp; Todd, 2012). Applying Equation (5) to these values implies atmospheric absorption of roughly +23 W m⁻². The practical consequence at the land surface is a daytime cooling of about 1.2–1.8 °C (Kok et al., 2017), which, while modest, propagates through the surface energy balance (Equation 16) to suppress evapotranspiration and crop water availability.</w:t>
      </w:r>
    </w:p>
    <w:p w14:paraId="3E40F09B"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Aloft, dust containing iron oxides or mixed with black carbon absorbs solar radiation and, through Equation (6), warms the lower troposphere at rates of roughly 0.5–1.2 </w:t>
      </w:r>
      <w:proofErr w:type="gramStart"/>
      <w:r w:rsidRPr="00FA2968">
        <w:rPr>
          <w:rFonts w:ascii="Times New Roman" w:hAnsi="Times New Roman" w:cs="Times New Roman"/>
          <w:sz w:val="20"/>
          <w:szCs w:val="20"/>
        </w:rPr>
        <w:t>K day</w:t>
      </w:r>
      <w:proofErr w:type="gramEnd"/>
      <w:r w:rsidRPr="00FA2968">
        <w:rPr>
          <w:rFonts w:ascii="Times New Roman" w:hAnsi="Times New Roman" w:cs="Times New Roman"/>
          <w:sz w:val="20"/>
          <w:szCs w:val="20"/>
        </w:rPr>
        <w:t>⁻¹ (</w:t>
      </w:r>
      <w:proofErr w:type="spellStart"/>
      <w:r w:rsidRPr="00FA2968">
        <w:rPr>
          <w:rFonts w:ascii="Times New Roman" w:hAnsi="Times New Roman" w:cs="Times New Roman"/>
          <w:sz w:val="20"/>
          <w:szCs w:val="20"/>
        </w:rPr>
        <w:t>N'Datchoh</w:t>
      </w:r>
      <w:proofErr w:type="spellEnd"/>
      <w:r w:rsidRPr="00FA2968">
        <w:rPr>
          <w:rFonts w:ascii="Times New Roman" w:hAnsi="Times New Roman" w:cs="Times New Roman"/>
          <w:sz w:val="20"/>
          <w:szCs w:val="20"/>
        </w:rPr>
        <w:t xml:space="preserve"> et al., 2018; </w:t>
      </w:r>
      <w:proofErr w:type="spellStart"/>
      <w:r w:rsidRPr="00FA2968">
        <w:rPr>
          <w:rFonts w:ascii="Times New Roman" w:hAnsi="Times New Roman" w:cs="Times New Roman"/>
          <w:sz w:val="20"/>
          <w:szCs w:val="20"/>
        </w:rPr>
        <w:t>Balkanski</w:t>
      </w:r>
      <w:proofErr w:type="spellEnd"/>
      <w:r w:rsidRPr="00FA2968">
        <w:rPr>
          <w:rFonts w:ascii="Times New Roman" w:hAnsi="Times New Roman" w:cs="Times New Roman"/>
          <w:sz w:val="20"/>
          <w:szCs w:val="20"/>
        </w:rPr>
        <w:t xml:space="preserve"> et al., 2021). The single scattering albedo values that govern this absorption (Equation 7) typically lie between 0.85 and 0.92 </w:t>
      </w:r>
      <w:r w:rsidRPr="00FA2968">
        <w:rPr>
          <w:rFonts w:ascii="Times New Roman" w:hAnsi="Times New Roman" w:cs="Times New Roman"/>
          <w:sz w:val="20"/>
          <w:szCs w:val="20"/>
        </w:rPr>
        <w:lastRenderedPageBreak/>
        <w:t xml:space="preserve">at 550 nm for Saharan and </w:t>
      </w:r>
      <w:proofErr w:type="spellStart"/>
      <w:r w:rsidRPr="00FA2968">
        <w:rPr>
          <w:rFonts w:ascii="Times New Roman" w:hAnsi="Times New Roman" w:cs="Times New Roman"/>
          <w:sz w:val="20"/>
          <w:szCs w:val="20"/>
        </w:rPr>
        <w:t>Bodélé</w:t>
      </w:r>
      <w:proofErr w:type="spellEnd"/>
      <w:r w:rsidRPr="00FA2968">
        <w:rPr>
          <w:rFonts w:ascii="Times New Roman" w:hAnsi="Times New Roman" w:cs="Times New Roman"/>
          <w:sz w:val="20"/>
          <w:szCs w:val="20"/>
        </w:rPr>
        <w:t>-sourced dust (Evan et al., 2016). The simultaneous cooling of the surface and warming of the overlying column increases static stability (Equation 8), resisting the vertical motion needed to initiate convective clouds — the physical bridge between the radiative physics of dust and its hydrological consequences.</w:t>
      </w:r>
    </w:p>
    <w:p w14:paraId="5C5B3EC0"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Dust also narrows the diurnal temperature range, suppressing daytime maxima while longwave trapping sustains slightly elevated nocturnal temperatures, with reported reductions of roughly 2–3 °C during Harmattan (</w:t>
      </w:r>
      <w:proofErr w:type="spellStart"/>
      <w:r w:rsidRPr="00FA2968">
        <w:rPr>
          <w:rFonts w:ascii="Times New Roman" w:hAnsi="Times New Roman" w:cs="Times New Roman"/>
          <w:sz w:val="20"/>
          <w:szCs w:val="20"/>
        </w:rPr>
        <w:t>Mbourou</w:t>
      </w:r>
      <w:proofErr w:type="spellEnd"/>
      <w:r w:rsidRPr="00FA2968">
        <w:rPr>
          <w:rFonts w:ascii="Times New Roman" w:hAnsi="Times New Roman" w:cs="Times New Roman"/>
          <w:sz w:val="20"/>
          <w:szCs w:val="20"/>
        </w:rPr>
        <w:t xml:space="preserve"> et al., 1997; </w:t>
      </w:r>
      <w:proofErr w:type="spellStart"/>
      <w:r w:rsidRPr="00FA2968">
        <w:rPr>
          <w:rFonts w:ascii="Times New Roman" w:hAnsi="Times New Roman" w:cs="Times New Roman"/>
          <w:sz w:val="20"/>
          <w:szCs w:val="20"/>
        </w:rPr>
        <w:t>Anuforom</w:t>
      </w:r>
      <w:proofErr w:type="spellEnd"/>
      <w:r w:rsidRPr="00FA2968">
        <w:rPr>
          <w:rFonts w:ascii="Times New Roman" w:hAnsi="Times New Roman" w:cs="Times New Roman"/>
          <w:sz w:val="20"/>
          <w:szCs w:val="20"/>
        </w:rPr>
        <w:t xml:space="preserve"> et al., 2007). Over the growing season, this reduced thermal cycling may influence crop phenology and pest dynamics in ways that remain under-studied.</w:t>
      </w:r>
    </w:p>
    <w:p w14:paraId="338340CA"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b/>
          <w:bCs/>
          <w:sz w:val="20"/>
          <w:szCs w:val="20"/>
        </w:rPr>
        <w:t>Table 4.</w:t>
      </w:r>
      <w:r w:rsidRPr="00FA2968">
        <w:rPr>
          <w:rFonts w:ascii="Times New Roman" w:hAnsi="Times New Roman" w:cs="Times New Roman"/>
          <w:sz w:val="20"/>
          <w:szCs w:val="20"/>
        </w:rPr>
        <w:t> Radiative and temperature effects of dust aerosols.</w:t>
      </w:r>
    </w:p>
    <w:tbl>
      <w:tblPr>
        <w:tblW w:w="9360" w:type="dxa"/>
        <w:tblBorders>
          <w:top w:val="single" w:sz="4" w:space="0" w:color="000000"/>
          <w:left w:val="single" w:sz="2" w:space="0" w:color="E5E7EB"/>
          <w:bottom w:val="single" w:sz="4" w:space="0" w:color="000000"/>
          <w:right w:val="single" w:sz="2" w:space="0" w:color="E5E7EB"/>
          <w:insideH w:val="single" w:sz="2" w:space="0" w:color="E5E7EB"/>
          <w:insideV w:val="single" w:sz="2" w:space="0" w:color="E5E7EB"/>
        </w:tblBorders>
        <w:shd w:val="clear" w:color="auto" w:fill="FCFAF8"/>
        <w:tblCellMar>
          <w:top w:w="15" w:type="dxa"/>
          <w:left w:w="15" w:type="dxa"/>
          <w:bottom w:w="15" w:type="dxa"/>
          <w:right w:w="15" w:type="dxa"/>
        </w:tblCellMar>
        <w:tblLook w:val="04A0" w:firstRow="1" w:lastRow="0" w:firstColumn="1" w:lastColumn="0" w:noHBand="0" w:noVBand="1"/>
      </w:tblPr>
      <w:tblGrid>
        <w:gridCol w:w="3116"/>
        <w:gridCol w:w="2278"/>
        <w:gridCol w:w="3966"/>
      </w:tblGrid>
      <w:tr w:rsidR="006F5417" w:rsidRPr="00FA2968" w14:paraId="7EF722FE" w14:textId="77777777" w:rsidTr="006E162B">
        <w:trPr>
          <w:tblHeader/>
        </w:trPr>
        <w:tc>
          <w:tcPr>
            <w:tcW w:w="3116" w:type="dxa"/>
            <w:tcBorders>
              <w:top w:val="single" w:sz="4" w:space="0" w:color="000000"/>
              <w:bottom w:val="single" w:sz="4" w:space="0" w:color="000000"/>
            </w:tcBorders>
            <w:shd w:val="clear" w:color="auto" w:fill="FCFAF8"/>
            <w:tcMar>
              <w:top w:w="15" w:type="dxa"/>
              <w:left w:w="15" w:type="dxa"/>
              <w:bottom w:w="160" w:type="dxa"/>
              <w:right w:w="15" w:type="dxa"/>
            </w:tcMar>
            <w:vAlign w:val="bottom"/>
            <w:hideMark/>
          </w:tcPr>
          <w:p w14:paraId="4D595495"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Effect</w:t>
            </w:r>
          </w:p>
        </w:tc>
        <w:tc>
          <w:tcPr>
            <w:tcW w:w="2278" w:type="dxa"/>
            <w:tcBorders>
              <w:top w:val="single" w:sz="4" w:space="0" w:color="000000"/>
              <w:bottom w:val="single" w:sz="4" w:space="0" w:color="000000"/>
            </w:tcBorders>
            <w:shd w:val="clear" w:color="auto" w:fill="FCFAF8"/>
            <w:tcMar>
              <w:top w:w="15" w:type="dxa"/>
              <w:left w:w="15" w:type="dxa"/>
              <w:bottom w:w="160" w:type="dxa"/>
              <w:right w:w="15" w:type="dxa"/>
            </w:tcMar>
            <w:vAlign w:val="bottom"/>
            <w:hideMark/>
          </w:tcPr>
          <w:p w14:paraId="770EB1BD"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Reported Magnitude</w:t>
            </w:r>
          </w:p>
        </w:tc>
        <w:tc>
          <w:tcPr>
            <w:tcW w:w="0" w:type="auto"/>
            <w:tcBorders>
              <w:top w:val="single" w:sz="4" w:space="0" w:color="000000"/>
              <w:bottom w:val="single" w:sz="4" w:space="0" w:color="000000"/>
            </w:tcBorders>
            <w:shd w:val="clear" w:color="auto" w:fill="FCFAF8"/>
            <w:tcMar>
              <w:top w:w="15" w:type="dxa"/>
              <w:left w:w="15" w:type="dxa"/>
              <w:bottom w:w="160" w:type="dxa"/>
              <w:right w:w="15" w:type="dxa"/>
            </w:tcMar>
            <w:vAlign w:val="bottom"/>
            <w:hideMark/>
          </w:tcPr>
          <w:p w14:paraId="09C5A928"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Key References</w:t>
            </w:r>
          </w:p>
        </w:tc>
      </w:tr>
      <w:tr w:rsidR="006F5417" w:rsidRPr="00FA2968" w14:paraId="44A35427" w14:textId="77777777" w:rsidTr="006E162B">
        <w:tc>
          <w:tcPr>
            <w:tcW w:w="3116" w:type="dxa"/>
            <w:tcBorders>
              <w:top w:val="single" w:sz="4" w:space="0" w:color="000000"/>
            </w:tcBorders>
            <w:shd w:val="clear" w:color="auto" w:fill="FCFAF8"/>
            <w:tcMar>
              <w:top w:w="160" w:type="dxa"/>
              <w:left w:w="15" w:type="dxa"/>
              <w:bottom w:w="160" w:type="dxa"/>
              <w:right w:w="15" w:type="dxa"/>
            </w:tcMar>
            <w:vAlign w:val="bottom"/>
            <w:hideMark/>
          </w:tcPr>
          <w:p w14:paraId="6A0664B4"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Reduction in surface solar radiation</w:t>
            </w:r>
          </w:p>
        </w:tc>
        <w:tc>
          <w:tcPr>
            <w:tcW w:w="2278" w:type="dxa"/>
            <w:tcBorders>
              <w:top w:val="single" w:sz="4" w:space="0" w:color="000000"/>
            </w:tcBorders>
            <w:shd w:val="clear" w:color="auto" w:fill="FCFAF8"/>
            <w:tcMar>
              <w:top w:w="160" w:type="dxa"/>
              <w:left w:w="15" w:type="dxa"/>
              <w:bottom w:w="160" w:type="dxa"/>
              <w:right w:w="15" w:type="dxa"/>
            </w:tcMar>
            <w:vAlign w:val="bottom"/>
            <w:hideMark/>
          </w:tcPr>
          <w:p w14:paraId="1252461A"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30–40 %</w:t>
            </w:r>
          </w:p>
        </w:tc>
        <w:tc>
          <w:tcPr>
            <w:tcW w:w="0" w:type="auto"/>
            <w:tcBorders>
              <w:top w:val="single" w:sz="4" w:space="0" w:color="000000"/>
            </w:tcBorders>
            <w:shd w:val="clear" w:color="auto" w:fill="FCFAF8"/>
            <w:tcMar>
              <w:top w:w="160" w:type="dxa"/>
              <w:left w:w="15" w:type="dxa"/>
              <w:bottom w:w="160" w:type="dxa"/>
              <w:right w:w="15" w:type="dxa"/>
            </w:tcMar>
            <w:vAlign w:val="bottom"/>
            <w:hideMark/>
          </w:tcPr>
          <w:p w14:paraId="79581ED2"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Kok et al. (2017); Balarabe et al. (2016)</w:t>
            </w:r>
          </w:p>
        </w:tc>
      </w:tr>
      <w:tr w:rsidR="006F5417" w:rsidRPr="00FA2968" w14:paraId="34115CD9" w14:textId="77777777" w:rsidTr="006E162B">
        <w:tc>
          <w:tcPr>
            <w:tcW w:w="3116" w:type="dxa"/>
            <w:shd w:val="clear" w:color="auto" w:fill="FCFAF8"/>
            <w:tcMar>
              <w:top w:w="160" w:type="dxa"/>
              <w:left w:w="15" w:type="dxa"/>
              <w:bottom w:w="160" w:type="dxa"/>
              <w:right w:w="15" w:type="dxa"/>
            </w:tcMar>
            <w:vAlign w:val="bottom"/>
            <w:hideMark/>
          </w:tcPr>
          <w:p w14:paraId="48E02B5E"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Surface radiative forcing</w:t>
            </w:r>
          </w:p>
        </w:tc>
        <w:tc>
          <w:tcPr>
            <w:tcW w:w="2278" w:type="dxa"/>
            <w:shd w:val="clear" w:color="auto" w:fill="FCFAF8"/>
            <w:tcMar>
              <w:top w:w="160" w:type="dxa"/>
              <w:left w:w="15" w:type="dxa"/>
              <w:bottom w:w="160" w:type="dxa"/>
              <w:right w:w="15" w:type="dxa"/>
            </w:tcMar>
            <w:vAlign w:val="bottom"/>
            <w:hideMark/>
          </w:tcPr>
          <w:p w14:paraId="5AEC8EC3"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−35 W m⁻²</w:t>
            </w:r>
          </w:p>
        </w:tc>
        <w:tc>
          <w:tcPr>
            <w:tcW w:w="0" w:type="auto"/>
            <w:shd w:val="clear" w:color="auto" w:fill="FCFAF8"/>
            <w:tcMar>
              <w:top w:w="160" w:type="dxa"/>
              <w:left w:w="15" w:type="dxa"/>
              <w:bottom w:w="160" w:type="dxa"/>
              <w:right w:w="15" w:type="dxa"/>
            </w:tcMar>
            <w:vAlign w:val="bottom"/>
            <w:hideMark/>
          </w:tcPr>
          <w:p w14:paraId="402DB1F8"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Solmon et al. (2008); </w:t>
            </w:r>
            <w:proofErr w:type="spellStart"/>
            <w:r w:rsidRPr="00FA2968">
              <w:rPr>
                <w:rFonts w:ascii="Times New Roman" w:hAnsi="Times New Roman" w:cs="Times New Roman"/>
                <w:sz w:val="20"/>
                <w:szCs w:val="20"/>
              </w:rPr>
              <w:t>Knippertz</w:t>
            </w:r>
            <w:proofErr w:type="spellEnd"/>
            <w:r w:rsidRPr="00FA2968">
              <w:rPr>
                <w:rFonts w:ascii="Times New Roman" w:hAnsi="Times New Roman" w:cs="Times New Roman"/>
                <w:sz w:val="20"/>
                <w:szCs w:val="20"/>
              </w:rPr>
              <w:t xml:space="preserve"> &amp; Todd (2012)</w:t>
            </w:r>
          </w:p>
        </w:tc>
      </w:tr>
      <w:tr w:rsidR="006F5417" w:rsidRPr="00FA2968" w14:paraId="354D4E7D" w14:textId="77777777" w:rsidTr="006E162B">
        <w:tc>
          <w:tcPr>
            <w:tcW w:w="3116" w:type="dxa"/>
            <w:shd w:val="clear" w:color="auto" w:fill="FCFAF8"/>
            <w:tcMar>
              <w:top w:w="160" w:type="dxa"/>
              <w:left w:w="15" w:type="dxa"/>
              <w:bottom w:w="160" w:type="dxa"/>
              <w:right w:w="15" w:type="dxa"/>
            </w:tcMar>
            <w:vAlign w:val="bottom"/>
            <w:hideMark/>
          </w:tcPr>
          <w:p w14:paraId="1923BDF0"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Top-of-atmosphere forcing</w:t>
            </w:r>
          </w:p>
        </w:tc>
        <w:tc>
          <w:tcPr>
            <w:tcW w:w="2278" w:type="dxa"/>
            <w:shd w:val="clear" w:color="auto" w:fill="FCFAF8"/>
            <w:tcMar>
              <w:top w:w="160" w:type="dxa"/>
              <w:left w:w="15" w:type="dxa"/>
              <w:bottom w:w="160" w:type="dxa"/>
              <w:right w:w="15" w:type="dxa"/>
            </w:tcMar>
            <w:vAlign w:val="bottom"/>
            <w:hideMark/>
          </w:tcPr>
          <w:p w14:paraId="0B3A5025"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−12 W m⁻²</w:t>
            </w:r>
          </w:p>
        </w:tc>
        <w:tc>
          <w:tcPr>
            <w:tcW w:w="0" w:type="auto"/>
            <w:shd w:val="clear" w:color="auto" w:fill="FCFAF8"/>
            <w:tcMar>
              <w:top w:w="160" w:type="dxa"/>
              <w:left w:w="15" w:type="dxa"/>
              <w:bottom w:w="160" w:type="dxa"/>
              <w:right w:w="15" w:type="dxa"/>
            </w:tcMar>
            <w:vAlign w:val="bottom"/>
            <w:hideMark/>
          </w:tcPr>
          <w:p w14:paraId="57215882"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Solmon et al. (2008)</w:t>
            </w:r>
          </w:p>
        </w:tc>
      </w:tr>
      <w:tr w:rsidR="006F5417" w:rsidRPr="00FA2968" w14:paraId="7F020C96" w14:textId="77777777" w:rsidTr="006E162B">
        <w:tc>
          <w:tcPr>
            <w:tcW w:w="3116" w:type="dxa"/>
            <w:shd w:val="clear" w:color="auto" w:fill="FCFAF8"/>
            <w:tcMar>
              <w:top w:w="160" w:type="dxa"/>
              <w:left w:w="15" w:type="dxa"/>
              <w:bottom w:w="160" w:type="dxa"/>
              <w:right w:w="15" w:type="dxa"/>
            </w:tcMar>
            <w:vAlign w:val="bottom"/>
            <w:hideMark/>
          </w:tcPr>
          <w:p w14:paraId="71C8F463"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Daytime surface cooling</w:t>
            </w:r>
          </w:p>
        </w:tc>
        <w:tc>
          <w:tcPr>
            <w:tcW w:w="2278" w:type="dxa"/>
            <w:shd w:val="clear" w:color="auto" w:fill="FCFAF8"/>
            <w:tcMar>
              <w:top w:w="160" w:type="dxa"/>
              <w:left w:w="15" w:type="dxa"/>
              <w:bottom w:w="160" w:type="dxa"/>
              <w:right w:w="15" w:type="dxa"/>
            </w:tcMar>
            <w:vAlign w:val="bottom"/>
            <w:hideMark/>
          </w:tcPr>
          <w:p w14:paraId="45547825"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1.2–1.8 °C</w:t>
            </w:r>
          </w:p>
        </w:tc>
        <w:tc>
          <w:tcPr>
            <w:tcW w:w="0" w:type="auto"/>
            <w:shd w:val="clear" w:color="auto" w:fill="FCFAF8"/>
            <w:tcMar>
              <w:top w:w="160" w:type="dxa"/>
              <w:left w:w="15" w:type="dxa"/>
              <w:bottom w:w="160" w:type="dxa"/>
              <w:right w:w="15" w:type="dxa"/>
            </w:tcMar>
            <w:vAlign w:val="bottom"/>
            <w:hideMark/>
          </w:tcPr>
          <w:p w14:paraId="5491F8C9"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Kok et al. (2017)</w:t>
            </w:r>
          </w:p>
        </w:tc>
      </w:tr>
      <w:tr w:rsidR="006F5417" w:rsidRPr="00FA2968" w14:paraId="43C30C2A" w14:textId="77777777" w:rsidTr="006E162B">
        <w:tc>
          <w:tcPr>
            <w:tcW w:w="3116" w:type="dxa"/>
            <w:shd w:val="clear" w:color="auto" w:fill="FCFAF8"/>
            <w:tcMar>
              <w:top w:w="160" w:type="dxa"/>
              <w:left w:w="15" w:type="dxa"/>
              <w:bottom w:w="160" w:type="dxa"/>
              <w:right w:w="15" w:type="dxa"/>
            </w:tcMar>
            <w:vAlign w:val="bottom"/>
            <w:hideMark/>
          </w:tcPr>
          <w:p w14:paraId="0CA9C0F8"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Lower-tropospheric heating rate</w:t>
            </w:r>
          </w:p>
        </w:tc>
        <w:tc>
          <w:tcPr>
            <w:tcW w:w="2278" w:type="dxa"/>
            <w:shd w:val="clear" w:color="auto" w:fill="FCFAF8"/>
            <w:tcMar>
              <w:top w:w="160" w:type="dxa"/>
              <w:left w:w="15" w:type="dxa"/>
              <w:bottom w:w="160" w:type="dxa"/>
              <w:right w:w="15" w:type="dxa"/>
            </w:tcMar>
            <w:vAlign w:val="bottom"/>
            <w:hideMark/>
          </w:tcPr>
          <w:p w14:paraId="675CA1EA"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0.5–1.2 </w:t>
            </w:r>
            <w:proofErr w:type="gramStart"/>
            <w:r w:rsidRPr="00FA2968">
              <w:rPr>
                <w:rFonts w:ascii="Times New Roman" w:hAnsi="Times New Roman" w:cs="Times New Roman"/>
                <w:sz w:val="20"/>
                <w:szCs w:val="20"/>
              </w:rPr>
              <w:t>K day</w:t>
            </w:r>
            <w:proofErr w:type="gramEnd"/>
            <w:r w:rsidRPr="00FA2968">
              <w:rPr>
                <w:rFonts w:ascii="Times New Roman" w:hAnsi="Times New Roman" w:cs="Times New Roman"/>
                <w:sz w:val="20"/>
                <w:szCs w:val="20"/>
              </w:rPr>
              <w:t>⁻¹</w:t>
            </w:r>
          </w:p>
        </w:tc>
        <w:tc>
          <w:tcPr>
            <w:tcW w:w="0" w:type="auto"/>
            <w:shd w:val="clear" w:color="auto" w:fill="FCFAF8"/>
            <w:tcMar>
              <w:top w:w="160" w:type="dxa"/>
              <w:left w:w="15" w:type="dxa"/>
              <w:bottom w:w="160" w:type="dxa"/>
              <w:right w:w="15" w:type="dxa"/>
            </w:tcMar>
            <w:vAlign w:val="bottom"/>
            <w:hideMark/>
          </w:tcPr>
          <w:p w14:paraId="67BC7435" w14:textId="77777777" w:rsidR="006F5417" w:rsidRPr="00FA2968" w:rsidRDefault="006F5417" w:rsidP="006E162B">
            <w:pPr>
              <w:jc w:val="both"/>
              <w:rPr>
                <w:rFonts w:ascii="Times New Roman" w:hAnsi="Times New Roman" w:cs="Times New Roman"/>
                <w:sz w:val="20"/>
                <w:szCs w:val="20"/>
              </w:rPr>
            </w:pPr>
            <w:proofErr w:type="spellStart"/>
            <w:r w:rsidRPr="00FA2968">
              <w:rPr>
                <w:rFonts w:ascii="Times New Roman" w:hAnsi="Times New Roman" w:cs="Times New Roman"/>
                <w:sz w:val="20"/>
                <w:szCs w:val="20"/>
              </w:rPr>
              <w:t>N'Datchoh</w:t>
            </w:r>
            <w:proofErr w:type="spellEnd"/>
            <w:r w:rsidRPr="00FA2968">
              <w:rPr>
                <w:rFonts w:ascii="Times New Roman" w:hAnsi="Times New Roman" w:cs="Times New Roman"/>
                <w:sz w:val="20"/>
                <w:szCs w:val="20"/>
              </w:rPr>
              <w:t xml:space="preserve"> et al. (2018); </w:t>
            </w:r>
            <w:proofErr w:type="spellStart"/>
            <w:r w:rsidRPr="00FA2968">
              <w:rPr>
                <w:rFonts w:ascii="Times New Roman" w:hAnsi="Times New Roman" w:cs="Times New Roman"/>
                <w:sz w:val="20"/>
                <w:szCs w:val="20"/>
              </w:rPr>
              <w:t>Balkanski</w:t>
            </w:r>
            <w:proofErr w:type="spellEnd"/>
            <w:r w:rsidRPr="00FA2968">
              <w:rPr>
                <w:rFonts w:ascii="Times New Roman" w:hAnsi="Times New Roman" w:cs="Times New Roman"/>
                <w:sz w:val="20"/>
                <w:szCs w:val="20"/>
              </w:rPr>
              <w:t xml:space="preserve"> et al. (2021)</w:t>
            </w:r>
          </w:p>
        </w:tc>
      </w:tr>
      <w:tr w:rsidR="006F5417" w:rsidRPr="00FA2968" w14:paraId="1B729477" w14:textId="77777777" w:rsidTr="006E162B">
        <w:tc>
          <w:tcPr>
            <w:tcW w:w="3116" w:type="dxa"/>
            <w:shd w:val="clear" w:color="auto" w:fill="FCFAF8"/>
            <w:tcMar>
              <w:top w:w="160" w:type="dxa"/>
              <w:left w:w="15" w:type="dxa"/>
              <w:bottom w:w="160" w:type="dxa"/>
              <w:right w:w="15" w:type="dxa"/>
            </w:tcMar>
            <w:vAlign w:val="bottom"/>
            <w:hideMark/>
          </w:tcPr>
          <w:p w14:paraId="2CB68B37"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Reduction in diurnal temperature range</w:t>
            </w:r>
          </w:p>
        </w:tc>
        <w:tc>
          <w:tcPr>
            <w:tcW w:w="2278" w:type="dxa"/>
            <w:shd w:val="clear" w:color="auto" w:fill="FCFAF8"/>
            <w:tcMar>
              <w:top w:w="160" w:type="dxa"/>
              <w:left w:w="15" w:type="dxa"/>
              <w:bottom w:w="160" w:type="dxa"/>
              <w:right w:w="15" w:type="dxa"/>
            </w:tcMar>
            <w:vAlign w:val="bottom"/>
            <w:hideMark/>
          </w:tcPr>
          <w:p w14:paraId="72077C4B"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2–3 °C</w:t>
            </w:r>
          </w:p>
        </w:tc>
        <w:tc>
          <w:tcPr>
            <w:tcW w:w="0" w:type="auto"/>
            <w:shd w:val="clear" w:color="auto" w:fill="FCFAF8"/>
            <w:tcMar>
              <w:top w:w="160" w:type="dxa"/>
              <w:left w:w="15" w:type="dxa"/>
              <w:bottom w:w="160" w:type="dxa"/>
              <w:right w:w="15" w:type="dxa"/>
            </w:tcMar>
            <w:vAlign w:val="bottom"/>
            <w:hideMark/>
          </w:tcPr>
          <w:p w14:paraId="243835BF" w14:textId="77777777" w:rsidR="006F5417" w:rsidRPr="00FA2968" w:rsidRDefault="006F5417" w:rsidP="006E162B">
            <w:pPr>
              <w:jc w:val="both"/>
              <w:rPr>
                <w:rFonts w:ascii="Times New Roman" w:hAnsi="Times New Roman" w:cs="Times New Roman"/>
                <w:sz w:val="20"/>
                <w:szCs w:val="20"/>
              </w:rPr>
            </w:pPr>
            <w:proofErr w:type="spellStart"/>
            <w:r w:rsidRPr="00FA2968">
              <w:rPr>
                <w:rFonts w:ascii="Times New Roman" w:hAnsi="Times New Roman" w:cs="Times New Roman"/>
                <w:sz w:val="20"/>
                <w:szCs w:val="20"/>
              </w:rPr>
              <w:t>Mbourou</w:t>
            </w:r>
            <w:proofErr w:type="spellEnd"/>
            <w:r w:rsidRPr="00FA2968">
              <w:rPr>
                <w:rFonts w:ascii="Times New Roman" w:hAnsi="Times New Roman" w:cs="Times New Roman"/>
                <w:sz w:val="20"/>
                <w:szCs w:val="20"/>
              </w:rPr>
              <w:t xml:space="preserve"> et al. (1997); </w:t>
            </w:r>
            <w:proofErr w:type="spellStart"/>
            <w:r w:rsidRPr="00FA2968">
              <w:rPr>
                <w:rFonts w:ascii="Times New Roman" w:hAnsi="Times New Roman" w:cs="Times New Roman"/>
                <w:sz w:val="20"/>
                <w:szCs w:val="20"/>
              </w:rPr>
              <w:t>Anuforom</w:t>
            </w:r>
            <w:proofErr w:type="spellEnd"/>
            <w:r w:rsidRPr="00FA2968">
              <w:rPr>
                <w:rFonts w:ascii="Times New Roman" w:hAnsi="Times New Roman" w:cs="Times New Roman"/>
                <w:sz w:val="20"/>
                <w:szCs w:val="20"/>
              </w:rPr>
              <w:t xml:space="preserve"> et al. (2007)</w:t>
            </w:r>
          </w:p>
        </w:tc>
      </w:tr>
    </w:tbl>
    <w:p w14:paraId="15B655ED"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3.4 Dust–Rainfall Interactions and West African Monsoon Modulation</w:t>
      </w:r>
    </w:p>
    <w:p w14:paraId="0F0B1D86"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The relationship between dust and rainfall runs through several interacting mechanisms, which together amount to a persistent suppression of the precipitation on which the region depends.</w:t>
      </w:r>
    </w:p>
    <w:p w14:paraId="3878488A"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The thermodynamic pathway is the most direct. By cooling the surface and warming the lower troposphere, dust increases convective inhibition (Equations 8–9), the energetic barrier to deep convection. Modelling and observational studies report convective rainfall reductions of 12–18 % under high dust loading (Solmon et al., 2008; </w:t>
      </w:r>
      <w:proofErr w:type="spellStart"/>
      <w:r w:rsidRPr="00FA2968">
        <w:rPr>
          <w:rFonts w:ascii="Times New Roman" w:hAnsi="Times New Roman" w:cs="Times New Roman"/>
          <w:sz w:val="20"/>
          <w:szCs w:val="20"/>
        </w:rPr>
        <w:t>Bercos</w:t>
      </w:r>
      <w:proofErr w:type="spellEnd"/>
      <w:r w:rsidRPr="00FA2968">
        <w:rPr>
          <w:rFonts w:ascii="Times New Roman" w:hAnsi="Times New Roman" w:cs="Times New Roman"/>
          <w:sz w:val="20"/>
          <w:szCs w:val="20"/>
        </w:rPr>
        <w:t>-Hickey et al., 2020). In a region where annual rainfall is already below 600 mm across much of Borno and Yobe, reductions of this magnitude translate directly into crop stress.</w:t>
      </w:r>
    </w:p>
    <w:p w14:paraId="7983AC13"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The microphysical pathway adds further complexity. As effective cloud condensation nuclei, dust raises droplet number concentration (Equation 10) and reduces effective droplet radius (Equation 11), yielding clouds of many small droplets that coalesce inefficiently into raindrops. This manifests as a reduction in rainfall efficiency of roughly 8–10 % (</w:t>
      </w:r>
      <w:proofErr w:type="spellStart"/>
      <w:r w:rsidRPr="00FA2968">
        <w:rPr>
          <w:rFonts w:ascii="Times New Roman" w:hAnsi="Times New Roman" w:cs="Times New Roman"/>
          <w:sz w:val="20"/>
          <w:szCs w:val="20"/>
        </w:rPr>
        <w:t>N'Datchoh</w:t>
      </w:r>
      <w:proofErr w:type="spellEnd"/>
      <w:r w:rsidRPr="00FA2968">
        <w:rPr>
          <w:rFonts w:ascii="Times New Roman" w:hAnsi="Times New Roman" w:cs="Times New Roman"/>
          <w:sz w:val="20"/>
          <w:szCs w:val="20"/>
        </w:rPr>
        <w:t xml:space="preserve"> et al., 2018).</w:t>
      </w:r>
    </w:p>
    <w:p w14:paraId="4B6D3BDA"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The circulation pathway links dust to the monsoon as a whole. Absorbing dust warms the mid-troposphere over the Sahel, altering the meridional temperature gradient that drives the African Easterly Jet and weakening the easterly-wave activity responsible for organised convection (</w:t>
      </w:r>
      <w:proofErr w:type="spellStart"/>
      <w:r w:rsidRPr="00FA2968">
        <w:rPr>
          <w:rFonts w:ascii="Times New Roman" w:hAnsi="Times New Roman" w:cs="Times New Roman"/>
          <w:sz w:val="20"/>
          <w:szCs w:val="20"/>
        </w:rPr>
        <w:t>Bercos</w:t>
      </w:r>
      <w:proofErr w:type="spellEnd"/>
      <w:r w:rsidRPr="00FA2968">
        <w:rPr>
          <w:rFonts w:ascii="Times New Roman" w:hAnsi="Times New Roman" w:cs="Times New Roman"/>
          <w:sz w:val="20"/>
          <w:szCs w:val="20"/>
        </w:rPr>
        <w:t xml:space="preserve">-Hickey et al., 2020; </w:t>
      </w:r>
      <w:proofErr w:type="spellStart"/>
      <w:r w:rsidRPr="00FA2968">
        <w:rPr>
          <w:rFonts w:ascii="Times New Roman" w:hAnsi="Times New Roman" w:cs="Times New Roman"/>
          <w:sz w:val="20"/>
          <w:szCs w:val="20"/>
        </w:rPr>
        <w:t>Balkanski</w:t>
      </w:r>
      <w:proofErr w:type="spellEnd"/>
      <w:r w:rsidRPr="00FA2968">
        <w:rPr>
          <w:rFonts w:ascii="Times New Roman" w:hAnsi="Times New Roman" w:cs="Times New Roman"/>
          <w:sz w:val="20"/>
          <w:szCs w:val="20"/>
        </w:rPr>
        <w:t xml:space="preserve"> et al., 2021). Improved representation of dust in coupled models has been shown to strengthen an otherwise weak simulated African monsoon, underscoring the dynamical importance of these interactions (</w:t>
      </w:r>
      <w:proofErr w:type="spellStart"/>
      <w:r w:rsidRPr="00FA2968">
        <w:rPr>
          <w:rFonts w:ascii="Times New Roman" w:hAnsi="Times New Roman" w:cs="Times New Roman"/>
          <w:sz w:val="20"/>
          <w:szCs w:val="20"/>
        </w:rPr>
        <w:t>Balkanski</w:t>
      </w:r>
      <w:proofErr w:type="spellEnd"/>
      <w:r w:rsidRPr="00FA2968">
        <w:rPr>
          <w:rFonts w:ascii="Times New Roman" w:hAnsi="Times New Roman" w:cs="Times New Roman"/>
          <w:sz w:val="20"/>
          <w:szCs w:val="20"/>
        </w:rPr>
        <w:t xml:space="preserve"> et al., 2021).</w:t>
      </w:r>
    </w:p>
    <w:p w14:paraId="389E0A37"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lastRenderedPageBreak/>
        <w:t>Synthesised across studies, dust events reduce early-season rainfall by up to 20 mm per event and delay monsoon onset by one to two weeks in high-dust years (</w:t>
      </w:r>
      <w:proofErr w:type="spellStart"/>
      <w:r w:rsidRPr="00FA2968">
        <w:rPr>
          <w:rFonts w:ascii="Times New Roman" w:hAnsi="Times New Roman" w:cs="Times New Roman"/>
          <w:sz w:val="20"/>
          <w:szCs w:val="20"/>
        </w:rPr>
        <w:t>N'Datchoh</w:t>
      </w:r>
      <w:proofErr w:type="spellEnd"/>
      <w:r w:rsidRPr="00FA2968">
        <w:rPr>
          <w:rFonts w:ascii="Times New Roman" w:hAnsi="Times New Roman" w:cs="Times New Roman"/>
          <w:sz w:val="20"/>
          <w:szCs w:val="20"/>
        </w:rPr>
        <w:t xml:space="preserve"> et al., 2018; Nicholson, 2013) — a delay that can determine whether a planting season succeeds or fails for smallholders without irrigation. Looking ahead, coupled climate projections suggest that dust–climate interactions, compounded by greenhouse warming, contribute to a heightened risk of renewed Sahelian drying through the mid-twenty-first century under intermediate-to-high emission pathways (broadly SSP2-4.5 to SSP5-8.5), although the magnitude remains uncertain and model-dependent (Wane et al., 2025; </w:t>
      </w:r>
      <w:proofErr w:type="spellStart"/>
      <w:r w:rsidRPr="00FA2968">
        <w:rPr>
          <w:rFonts w:ascii="Times New Roman" w:hAnsi="Times New Roman" w:cs="Times New Roman"/>
          <w:sz w:val="20"/>
          <w:szCs w:val="20"/>
        </w:rPr>
        <w:t>Balkanski</w:t>
      </w:r>
      <w:proofErr w:type="spellEnd"/>
      <w:r w:rsidRPr="00FA2968">
        <w:rPr>
          <w:rFonts w:ascii="Times New Roman" w:hAnsi="Times New Roman" w:cs="Times New Roman"/>
          <w:sz w:val="20"/>
          <w:szCs w:val="20"/>
        </w:rPr>
        <w:t xml:space="preserve"> et al., 2021).</w:t>
      </w:r>
    </w:p>
    <w:p w14:paraId="21FAA8AA"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b/>
          <w:bCs/>
          <w:sz w:val="20"/>
          <w:szCs w:val="20"/>
        </w:rPr>
        <w:t>Table 5.</w:t>
      </w:r>
      <w:r w:rsidRPr="00FA2968">
        <w:rPr>
          <w:rFonts w:ascii="Times New Roman" w:hAnsi="Times New Roman" w:cs="Times New Roman"/>
          <w:sz w:val="20"/>
          <w:szCs w:val="20"/>
        </w:rPr>
        <w:t> Dust–rainfall interaction findings.</w:t>
      </w:r>
    </w:p>
    <w:tbl>
      <w:tblPr>
        <w:tblW w:w="9360" w:type="dxa"/>
        <w:tblBorders>
          <w:top w:val="single" w:sz="4" w:space="0" w:color="000000"/>
          <w:left w:val="single" w:sz="2" w:space="0" w:color="E5E7EB"/>
          <w:bottom w:val="single" w:sz="4" w:space="0" w:color="000000"/>
          <w:right w:val="single" w:sz="2" w:space="0" w:color="E5E7EB"/>
          <w:insideH w:val="single" w:sz="2" w:space="0" w:color="E5E7EB"/>
          <w:insideV w:val="single" w:sz="2" w:space="0" w:color="E5E7EB"/>
        </w:tblBorders>
        <w:shd w:val="clear" w:color="auto" w:fill="FCFAF8"/>
        <w:tblCellMar>
          <w:top w:w="15" w:type="dxa"/>
          <w:left w:w="15" w:type="dxa"/>
          <w:bottom w:w="15" w:type="dxa"/>
          <w:right w:w="15" w:type="dxa"/>
        </w:tblCellMar>
        <w:tblLook w:val="04A0" w:firstRow="1" w:lastRow="0" w:firstColumn="1" w:lastColumn="0" w:noHBand="0" w:noVBand="1"/>
      </w:tblPr>
      <w:tblGrid>
        <w:gridCol w:w="3121"/>
        <w:gridCol w:w="3090"/>
        <w:gridCol w:w="3149"/>
      </w:tblGrid>
      <w:tr w:rsidR="006F5417" w:rsidRPr="00FA2968" w14:paraId="2428D9A5" w14:textId="77777777" w:rsidTr="006E162B">
        <w:trPr>
          <w:tblHeader/>
        </w:trPr>
        <w:tc>
          <w:tcPr>
            <w:tcW w:w="0" w:type="auto"/>
            <w:shd w:val="clear" w:color="auto" w:fill="FCFAF8"/>
            <w:tcMar>
              <w:top w:w="15" w:type="dxa"/>
              <w:left w:w="15" w:type="dxa"/>
              <w:bottom w:w="160" w:type="dxa"/>
              <w:right w:w="15" w:type="dxa"/>
            </w:tcMar>
            <w:vAlign w:val="bottom"/>
            <w:hideMark/>
          </w:tcPr>
          <w:p w14:paraId="28253C94"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Process</w:t>
            </w:r>
          </w:p>
        </w:tc>
        <w:tc>
          <w:tcPr>
            <w:tcW w:w="0" w:type="auto"/>
            <w:shd w:val="clear" w:color="auto" w:fill="FCFAF8"/>
            <w:tcMar>
              <w:top w:w="15" w:type="dxa"/>
              <w:left w:w="15" w:type="dxa"/>
              <w:bottom w:w="160" w:type="dxa"/>
              <w:right w:w="15" w:type="dxa"/>
            </w:tcMar>
            <w:vAlign w:val="bottom"/>
            <w:hideMark/>
          </w:tcPr>
          <w:p w14:paraId="3791C3CC"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Climate Effect</w:t>
            </w:r>
          </w:p>
        </w:tc>
        <w:tc>
          <w:tcPr>
            <w:tcW w:w="0" w:type="auto"/>
            <w:shd w:val="clear" w:color="auto" w:fill="FCFAF8"/>
            <w:tcMar>
              <w:top w:w="15" w:type="dxa"/>
              <w:left w:w="15" w:type="dxa"/>
              <w:bottom w:w="160" w:type="dxa"/>
              <w:right w:w="15" w:type="dxa"/>
            </w:tcMar>
            <w:vAlign w:val="bottom"/>
            <w:hideMark/>
          </w:tcPr>
          <w:p w14:paraId="6E112E44"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Key References</w:t>
            </w:r>
          </w:p>
        </w:tc>
      </w:tr>
      <w:tr w:rsidR="006F5417" w:rsidRPr="00FA2968" w14:paraId="1D03E246" w14:textId="77777777" w:rsidTr="006E162B">
        <w:tc>
          <w:tcPr>
            <w:tcW w:w="0" w:type="auto"/>
            <w:tcBorders>
              <w:bottom w:val="single" w:sz="4" w:space="0" w:color="000000"/>
            </w:tcBorders>
            <w:shd w:val="clear" w:color="auto" w:fill="FCFAF8"/>
            <w:tcMar>
              <w:top w:w="160" w:type="dxa"/>
              <w:left w:w="15" w:type="dxa"/>
              <w:bottom w:w="160" w:type="dxa"/>
              <w:right w:w="15" w:type="dxa"/>
            </w:tcMar>
            <w:vAlign w:val="bottom"/>
            <w:hideMark/>
          </w:tcPr>
          <w:p w14:paraId="4E325AFE"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Surface cooling + tropospheric warming</w:t>
            </w:r>
          </w:p>
        </w:tc>
        <w:tc>
          <w:tcPr>
            <w:tcW w:w="0" w:type="auto"/>
            <w:tcBorders>
              <w:bottom w:val="single" w:sz="4" w:space="0" w:color="000000"/>
            </w:tcBorders>
            <w:shd w:val="clear" w:color="auto" w:fill="FCFAF8"/>
            <w:tcMar>
              <w:top w:w="160" w:type="dxa"/>
              <w:left w:w="15" w:type="dxa"/>
              <w:bottom w:w="160" w:type="dxa"/>
              <w:right w:w="15" w:type="dxa"/>
            </w:tcMar>
            <w:vAlign w:val="bottom"/>
            <w:hideMark/>
          </w:tcPr>
          <w:p w14:paraId="7CD9AA1F"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Increased stability; enhanced convective inhibition</w:t>
            </w:r>
          </w:p>
        </w:tc>
        <w:tc>
          <w:tcPr>
            <w:tcW w:w="0" w:type="auto"/>
            <w:tcBorders>
              <w:bottom w:val="single" w:sz="4" w:space="0" w:color="000000"/>
            </w:tcBorders>
            <w:shd w:val="clear" w:color="auto" w:fill="FCFAF8"/>
            <w:tcMar>
              <w:top w:w="160" w:type="dxa"/>
              <w:left w:w="15" w:type="dxa"/>
              <w:bottom w:w="160" w:type="dxa"/>
              <w:right w:w="15" w:type="dxa"/>
            </w:tcMar>
            <w:vAlign w:val="bottom"/>
            <w:hideMark/>
          </w:tcPr>
          <w:p w14:paraId="45605E06" w14:textId="77777777" w:rsidR="006F5417" w:rsidRPr="00FA2968" w:rsidRDefault="006F5417" w:rsidP="006E162B">
            <w:pPr>
              <w:jc w:val="both"/>
              <w:rPr>
                <w:rFonts w:ascii="Times New Roman" w:hAnsi="Times New Roman" w:cs="Times New Roman"/>
                <w:sz w:val="20"/>
                <w:szCs w:val="20"/>
              </w:rPr>
            </w:pPr>
            <w:proofErr w:type="spellStart"/>
            <w:r w:rsidRPr="00FA2968">
              <w:rPr>
                <w:rFonts w:ascii="Times New Roman" w:hAnsi="Times New Roman" w:cs="Times New Roman"/>
                <w:sz w:val="20"/>
                <w:szCs w:val="20"/>
              </w:rPr>
              <w:t>Bercos</w:t>
            </w:r>
            <w:proofErr w:type="spellEnd"/>
            <w:r w:rsidRPr="00FA2968">
              <w:rPr>
                <w:rFonts w:ascii="Times New Roman" w:hAnsi="Times New Roman" w:cs="Times New Roman"/>
                <w:sz w:val="20"/>
                <w:szCs w:val="20"/>
              </w:rPr>
              <w:t>-Hickey et al. (2020); Solmon et al. (2008)</w:t>
            </w:r>
          </w:p>
        </w:tc>
      </w:tr>
      <w:tr w:rsidR="006F5417" w:rsidRPr="00FA2968" w14:paraId="51C50B54" w14:textId="77777777" w:rsidTr="006E162B">
        <w:tc>
          <w:tcPr>
            <w:tcW w:w="0" w:type="auto"/>
            <w:tcBorders>
              <w:top w:val="single" w:sz="4" w:space="0" w:color="000000"/>
              <w:bottom w:val="single" w:sz="2" w:space="0" w:color="E5E7EB"/>
            </w:tcBorders>
            <w:shd w:val="clear" w:color="auto" w:fill="FCFAF8"/>
            <w:tcMar>
              <w:top w:w="160" w:type="dxa"/>
              <w:left w:w="15" w:type="dxa"/>
              <w:bottom w:w="160" w:type="dxa"/>
              <w:right w:w="15" w:type="dxa"/>
            </w:tcMar>
            <w:vAlign w:val="bottom"/>
            <w:hideMark/>
          </w:tcPr>
          <w:p w14:paraId="390C65F5"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Suppressed vertical motion</w:t>
            </w:r>
          </w:p>
        </w:tc>
        <w:tc>
          <w:tcPr>
            <w:tcW w:w="0" w:type="auto"/>
            <w:tcBorders>
              <w:top w:val="single" w:sz="4" w:space="0" w:color="000000"/>
              <w:bottom w:val="single" w:sz="2" w:space="0" w:color="E5E7EB"/>
            </w:tcBorders>
            <w:shd w:val="clear" w:color="auto" w:fill="FCFAF8"/>
            <w:tcMar>
              <w:top w:w="160" w:type="dxa"/>
              <w:left w:w="15" w:type="dxa"/>
              <w:bottom w:w="160" w:type="dxa"/>
              <w:right w:w="15" w:type="dxa"/>
            </w:tcMar>
            <w:vAlign w:val="bottom"/>
            <w:hideMark/>
          </w:tcPr>
          <w:p w14:paraId="2BB02945"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Reduced initiation of convective rainfall</w:t>
            </w:r>
          </w:p>
        </w:tc>
        <w:tc>
          <w:tcPr>
            <w:tcW w:w="0" w:type="auto"/>
            <w:tcBorders>
              <w:top w:val="single" w:sz="4" w:space="0" w:color="000000"/>
              <w:bottom w:val="single" w:sz="2" w:space="0" w:color="E5E7EB"/>
            </w:tcBorders>
            <w:shd w:val="clear" w:color="auto" w:fill="FCFAF8"/>
            <w:tcMar>
              <w:top w:w="160" w:type="dxa"/>
              <w:left w:w="15" w:type="dxa"/>
              <w:bottom w:w="160" w:type="dxa"/>
              <w:right w:w="15" w:type="dxa"/>
            </w:tcMar>
            <w:vAlign w:val="bottom"/>
            <w:hideMark/>
          </w:tcPr>
          <w:p w14:paraId="202BF790"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Solmon et al. (2008)</w:t>
            </w:r>
          </w:p>
        </w:tc>
      </w:tr>
      <w:tr w:rsidR="006F5417" w:rsidRPr="00FA2968" w14:paraId="482AC3AD" w14:textId="77777777" w:rsidTr="006E162B">
        <w:tc>
          <w:tcPr>
            <w:tcW w:w="0" w:type="auto"/>
            <w:tcBorders>
              <w:top w:val="single" w:sz="2" w:space="0" w:color="E5E7EB"/>
            </w:tcBorders>
            <w:shd w:val="clear" w:color="auto" w:fill="FCFAF8"/>
            <w:tcMar>
              <w:top w:w="160" w:type="dxa"/>
              <w:left w:w="15" w:type="dxa"/>
              <w:bottom w:w="160" w:type="dxa"/>
              <w:right w:w="15" w:type="dxa"/>
            </w:tcMar>
            <w:vAlign w:val="bottom"/>
            <w:hideMark/>
          </w:tcPr>
          <w:p w14:paraId="0F508251"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Cloud microphysical modification</w:t>
            </w:r>
          </w:p>
        </w:tc>
        <w:tc>
          <w:tcPr>
            <w:tcW w:w="0" w:type="auto"/>
            <w:tcBorders>
              <w:top w:val="single" w:sz="2" w:space="0" w:color="E5E7EB"/>
            </w:tcBorders>
            <w:shd w:val="clear" w:color="auto" w:fill="FCFAF8"/>
            <w:tcMar>
              <w:top w:w="160" w:type="dxa"/>
              <w:left w:w="15" w:type="dxa"/>
              <w:bottom w:w="160" w:type="dxa"/>
              <w:right w:w="15" w:type="dxa"/>
            </w:tcMar>
            <w:vAlign w:val="bottom"/>
            <w:hideMark/>
          </w:tcPr>
          <w:p w14:paraId="1EA40703"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Rainfall efficiency reduced by 8–10 %</w:t>
            </w:r>
          </w:p>
        </w:tc>
        <w:tc>
          <w:tcPr>
            <w:tcW w:w="0" w:type="auto"/>
            <w:tcBorders>
              <w:top w:val="single" w:sz="2" w:space="0" w:color="E5E7EB"/>
            </w:tcBorders>
            <w:shd w:val="clear" w:color="auto" w:fill="FCFAF8"/>
            <w:tcMar>
              <w:top w:w="160" w:type="dxa"/>
              <w:left w:w="15" w:type="dxa"/>
              <w:bottom w:w="160" w:type="dxa"/>
              <w:right w:w="15" w:type="dxa"/>
            </w:tcMar>
            <w:vAlign w:val="bottom"/>
            <w:hideMark/>
          </w:tcPr>
          <w:p w14:paraId="15ADD0AA" w14:textId="77777777" w:rsidR="006F5417" w:rsidRPr="00FA2968" w:rsidRDefault="006F5417" w:rsidP="006E162B">
            <w:pPr>
              <w:jc w:val="both"/>
              <w:rPr>
                <w:rFonts w:ascii="Times New Roman" w:hAnsi="Times New Roman" w:cs="Times New Roman"/>
                <w:sz w:val="20"/>
                <w:szCs w:val="20"/>
              </w:rPr>
            </w:pPr>
            <w:proofErr w:type="spellStart"/>
            <w:r w:rsidRPr="00FA2968">
              <w:rPr>
                <w:rFonts w:ascii="Times New Roman" w:hAnsi="Times New Roman" w:cs="Times New Roman"/>
                <w:sz w:val="20"/>
                <w:szCs w:val="20"/>
              </w:rPr>
              <w:t>N'Datchoh</w:t>
            </w:r>
            <w:proofErr w:type="spellEnd"/>
            <w:r w:rsidRPr="00FA2968">
              <w:rPr>
                <w:rFonts w:ascii="Times New Roman" w:hAnsi="Times New Roman" w:cs="Times New Roman"/>
                <w:sz w:val="20"/>
                <w:szCs w:val="20"/>
              </w:rPr>
              <w:t xml:space="preserve"> et al. (2018)</w:t>
            </w:r>
          </w:p>
        </w:tc>
      </w:tr>
      <w:tr w:rsidR="006F5417" w:rsidRPr="00FA2968" w14:paraId="5CE44A90" w14:textId="77777777" w:rsidTr="006E162B">
        <w:tc>
          <w:tcPr>
            <w:tcW w:w="0" w:type="auto"/>
            <w:shd w:val="clear" w:color="auto" w:fill="FCFAF8"/>
            <w:tcMar>
              <w:top w:w="160" w:type="dxa"/>
              <w:left w:w="15" w:type="dxa"/>
              <w:bottom w:w="160" w:type="dxa"/>
              <w:right w:w="15" w:type="dxa"/>
            </w:tcMar>
            <w:vAlign w:val="bottom"/>
            <w:hideMark/>
          </w:tcPr>
          <w:p w14:paraId="2BA1AD59"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AEJ modification &amp; moisture-transport disruption</w:t>
            </w:r>
          </w:p>
        </w:tc>
        <w:tc>
          <w:tcPr>
            <w:tcW w:w="0" w:type="auto"/>
            <w:shd w:val="clear" w:color="auto" w:fill="FCFAF8"/>
            <w:tcMar>
              <w:top w:w="160" w:type="dxa"/>
              <w:left w:w="15" w:type="dxa"/>
              <w:bottom w:w="160" w:type="dxa"/>
              <w:right w:w="15" w:type="dxa"/>
            </w:tcMar>
            <w:vAlign w:val="bottom"/>
            <w:hideMark/>
          </w:tcPr>
          <w:p w14:paraId="7483FF94"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Reduced inland monsoon penetration</w:t>
            </w:r>
          </w:p>
        </w:tc>
        <w:tc>
          <w:tcPr>
            <w:tcW w:w="0" w:type="auto"/>
            <w:shd w:val="clear" w:color="auto" w:fill="FCFAF8"/>
            <w:tcMar>
              <w:top w:w="160" w:type="dxa"/>
              <w:left w:w="15" w:type="dxa"/>
              <w:bottom w:w="160" w:type="dxa"/>
              <w:right w:w="15" w:type="dxa"/>
            </w:tcMar>
            <w:vAlign w:val="bottom"/>
            <w:hideMark/>
          </w:tcPr>
          <w:p w14:paraId="06F0BF37" w14:textId="77777777" w:rsidR="006F5417" w:rsidRPr="00FA2968" w:rsidRDefault="006F5417" w:rsidP="006E162B">
            <w:pPr>
              <w:jc w:val="both"/>
              <w:rPr>
                <w:rFonts w:ascii="Times New Roman" w:hAnsi="Times New Roman" w:cs="Times New Roman"/>
                <w:sz w:val="20"/>
                <w:szCs w:val="20"/>
              </w:rPr>
            </w:pPr>
            <w:proofErr w:type="spellStart"/>
            <w:r w:rsidRPr="00FA2968">
              <w:rPr>
                <w:rFonts w:ascii="Times New Roman" w:hAnsi="Times New Roman" w:cs="Times New Roman"/>
                <w:sz w:val="20"/>
                <w:szCs w:val="20"/>
              </w:rPr>
              <w:t>Bercos</w:t>
            </w:r>
            <w:proofErr w:type="spellEnd"/>
            <w:r w:rsidRPr="00FA2968">
              <w:rPr>
                <w:rFonts w:ascii="Times New Roman" w:hAnsi="Times New Roman" w:cs="Times New Roman"/>
                <w:sz w:val="20"/>
                <w:szCs w:val="20"/>
              </w:rPr>
              <w:t xml:space="preserve">-Hickey et al. (2020); </w:t>
            </w:r>
            <w:proofErr w:type="spellStart"/>
            <w:r w:rsidRPr="00FA2968">
              <w:rPr>
                <w:rFonts w:ascii="Times New Roman" w:hAnsi="Times New Roman" w:cs="Times New Roman"/>
                <w:sz w:val="20"/>
                <w:szCs w:val="20"/>
              </w:rPr>
              <w:t>Balkanski</w:t>
            </w:r>
            <w:proofErr w:type="spellEnd"/>
            <w:r w:rsidRPr="00FA2968">
              <w:rPr>
                <w:rFonts w:ascii="Times New Roman" w:hAnsi="Times New Roman" w:cs="Times New Roman"/>
                <w:sz w:val="20"/>
                <w:szCs w:val="20"/>
              </w:rPr>
              <w:t xml:space="preserve"> et al. (2021)</w:t>
            </w:r>
          </w:p>
        </w:tc>
      </w:tr>
      <w:tr w:rsidR="006F5417" w:rsidRPr="00FA2968" w14:paraId="2AE94883" w14:textId="77777777" w:rsidTr="006E162B">
        <w:tc>
          <w:tcPr>
            <w:tcW w:w="0" w:type="auto"/>
            <w:shd w:val="clear" w:color="auto" w:fill="FCFAF8"/>
            <w:tcMar>
              <w:top w:w="160" w:type="dxa"/>
              <w:left w:w="15" w:type="dxa"/>
              <w:bottom w:w="160" w:type="dxa"/>
              <w:right w:w="15" w:type="dxa"/>
            </w:tcMar>
            <w:vAlign w:val="bottom"/>
            <w:hideMark/>
          </w:tcPr>
          <w:p w14:paraId="3D0D6F3F"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High-dust years</w:t>
            </w:r>
          </w:p>
        </w:tc>
        <w:tc>
          <w:tcPr>
            <w:tcW w:w="0" w:type="auto"/>
            <w:shd w:val="clear" w:color="auto" w:fill="FCFAF8"/>
            <w:tcMar>
              <w:top w:w="160" w:type="dxa"/>
              <w:left w:w="15" w:type="dxa"/>
              <w:bottom w:w="160" w:type="dxa"/>
              <w:right w:w="15" w:type="dxa"/>
            </w:tcMar>
            <w:vAlign w:val="bottom"/>
            <w:hideMark/>
          </w:tcPr>
          <w:p w14:paraId="4771A42B"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Monsoon onset delayed by 1–2 weeks</w:t>
            </w:r>
          </w:p>
        </w:tc>
        <w:tc>
          <w:tcPr>
            <w:tcW w:w="0" w:type="auto"/>
            <w:shd w:val="clear" w:color="auto" w:fill="FCFAF8"/>
            <w:tcMar>
              <w:top w:w="160" w:type="dxa"/>
              <w:left w:w="15" w:type="dxa"/>
              <w:bottom w:w="160" w:type="dxa"/>
              <w:right w:w="15" w:type="dxa"/>
            </w:tcMar>
            <w:vAlign w:val="bottom"/>
            <w:hideMark/>
          </w:tcPr>
          <w:p w14:paraId="6DB3EF1E" w14:textId="77777777" w:rsidR="006F5417" w:rsidRPr="00FA2968" w:rsidRDefault="006F5417" w:rsidP="006E162B">
            <w:pPr>
              <w:jc w:val="both"/>
              <w:rPr>
                <w:rFonts w:ascii="Times New Roman" w:hAnsi="Times New Roman" w:cs="Times New Roman"/>
                <w:sz w:val="20"/>
                <w:szCs w:val="20"/>
              </w:rPr>
            </w:pPr>
            <w:proofErr w:type="spellStart"/>
            <w:r w:rsidRPr="00FA2968">
              <w:rPr>
                <w:rFonts w:ascii="Times New Roman" w:hAnsi="Times New Roman" w:cs="Times New Roman"/>
                <w:sz w:val="20"/>
                <w:szCs w:val="20"/>
              </w:rPr>
              <w:t>N'Datchoh</w:t>
            </w:r>
            <w:proofErr w:type="spellEnd"/>
            <w:r w:rsidRPr="00FA2968">
              <w:rPr>
                <w:rFonts w:ascii="Times New Roman" w:hAnsi="Times New Roman" w:cs="Times New Roman"/>
                <w:sz w:val="20"/>
                <w:szCs w:val="20"/>
              </w:rPr>
              <w:t xml:space="preserve"> et al. (2018); Nicholson (2013)</w:t>
            </w:r>
          </w:p>
        </w:tc>
      </w:tr>
      <w:tr w:rsidR="006F5417" w:rsidRPr="00FA2968" w14:paraId="7BF96CE4" w14:textId="77777777" w:rsidTr="006E162B">
        <w:tc>
          <w:tcPr>
            <w:tcW w:w="0" w:type="auto"/>
            <w:shd w:val="clear" w:color="auto" w:fill="FCFAF8"/>
            <w:tcMar>
              <w:top w:w="160" w:type="dxa"/>
              <w:left w:w="15" w:type="dxa"/>
              <w:bottom w:w="160" w:type="dxa"/>
              <w:right w:w="15" w:type="dxa"/>
            </w:tcMar>
            <w:vAlign w:val="bottom"/>
            <w:hideMark/>
          </w:tcPr>
          <w:p w14:paraId="528F91BF"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Future projection (SSP2-4.5 to SSP5-8.5)</w:t>
            </w:r>
          </w:p>
        </w:tc>
        <w:tc>
          <w:tcPr>
            <w:tcW w:w="0" w:type="auto"/>
            <w:shd w:val="clear" w:color="auto" w:fill="FCFAF8"/>
            <w:tcMar>
              <w:top w:w="160" w:type="dxa"/>
              <w:left w:w="15" w:type="dxa"/>
              <w:bottom w:w="160" w:type="dxa"/>
              <w:right w:w="15" w:type="dxa"/>
            </w:tcMar>
            <w:vAlign w:val="bottom"/>
            <w:hideMark/>
          </w:tcPr>
          <w:p w14:paraId="68D72327"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Heightened Sahelian drying risk by mid-century</w:t>
            </w:r>
          </w:p>
        </w:tc>
        <w:tc>
          <w:tcPr>
            <w:tcW w:w="0" w:type="auto"/>
            <w:shd w:val="clear" w:color="auto" w:fill="FCFAF8"/>
            <w:tcMar>
              <w:top w:w="160" w:type="dxa"/>
              <w:left w:w="15" w:type="dxa"/>
              <w:bottom w:w="160" w:type="dxa"/>
              <w:right w:w="15" w:type="dxa"/>
            </w:tcMar>
            <w:vAlign w:val="bottom"/>
            <w:hideMark/>
          </w:tcPr>
          <w:p w14:paraId="206C760C"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Wane et al. (2025); </w:t>
            </w:r>
            <w:proofErr w:type="spellStart"/>
            <w:r w:rsidRPr="00FA2968">
              <w:rPr>
                <w:rFonts w:ascii="Times New Roman" w:hAnsi="Times New Roman" w:cs="Times New Roman"/>
                <w:sz w:val="20"/>
                <w:szCs w:val="20"/>
              </w:rPr>
              <w:t>Balkanski</w:t>
            </w:r>
            <w:proofErr w:type="spellEnd"/>
            <w:r w:rsidRPr="00FA2968">
              <w:rPr>
                <w:rFonts w:ascii="Times New Roman" w:hAnsi="Times New Roman" w:cs="Times New Roman"/>
                <w:sz w:val="20"/>
                <w:szCs w:val="20"/>
              </w:rPr>
              <w:t xml:space="preserve"> et al. (2021)</w:t>
            </w:r>
          </w:p>
        </w:tc>
      </w:tr>
    </w:tbl>
    <w:p w14:paraId="2AD3726C"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3.5 Land Use, Desertification, and Dust–Climate Feedbacks</w:t>
      </w:r>
    </w:p>
    <w:p w14:paraId="0CD95C00"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The most consistent finding across the review period is a tightly coupled, self-reinforcing feedback between dust and land degradation. This is not a peripheral complication; it is central to why the regional environment is deteriorating in ways that resist easy reversal.</w:t>
      </w:r>
    </w:p>
    <w:p w14:paraId="09AB1969"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The mechanism is physically grounded. When land loses its protective vegetation through overgrazing, deforestation, crop abandonment, or conflict-forced displacement, the threshold friction velocity </w:t>
      </w:r>
      <w:r w:rsidRPr="00FA2968">
        <w:rPr>
          <w:rFonts w:ascii="Times New Roman" w:hAnsi="Times New Roman" w:cs="Times New Roman"/>
          <w:i/>
          <w:iCs/>
          <w:sz w:val="20"/>
          <w:szCs w:val="20"/>
        </w:rPr>
        <w:t>u</w:t>
      </w:r>
      <w:r w:rsidRPr="00FA2968">
        <w:rPr>
          <w:rFonts w:ascii="Times New Roman" w:hAnsi="Times New Roman" w:cs="Times New Roman"/>
          <w:sz w:val="20"/>
          <w:szCs w:val="20"/>
        </w:rPr>
        <w:t xml:space="preserve">*ₜ in Equation (12) falls, releasing fine soil particles for wind entrainment (Cowie et al., 2013; Marticorena &amp; </w:t>
      </w:r>
      <w:proofErr w:type="spellStart"/>
      <w:r w:rsidRPr="00FA2968">
        <w:rPr>
          <w:rFonts w:ascii="Times New Roman" w:hAnsi="Times New Roman" w:cs="Times New Roman"/>
          <w:sz w:val="20"/>
          <w:szCs w:val="20"/>
        </w:rPr>
        <w:t>Bergametti</w:t>
      </w:r>
      <w:proofErr w:type="spellEnd"/>
      <w:r w:rsidRPr="00FA2968">
        <w:rPr>
          <w:rFonts w:ascii="Times New Roman" w:hAnsi="Times New Roman" w:cs="Times New Roman"/>
          <w:sz w:val="20"/>
          <w:szCs w:val="20"/>
        </w:rPr>
        <w:t>, 1995). The resulting dust loading suppresses rainfall and, via the surface energy balance (Equation 16) and soil-water budget (Equation 17), reduces rooting-zone soil moisture by an estimated 15–20 % in high-exposure areas (</w:t>
      </w:r>
      <w:proofErr w:type="spellStart"/>
      <w:r w:rsidRPr="00FA2968">
        <w:rPr>
          <w:rFonts w:ascii="Times New Roman" w:hAnsi="Times New Roman" w:cs="Times New Roman"/>
          <w:sz w:val="20"/>
          <w:szCs w:val="20"/>
        </w:rPr>
        <w:t>Nwilo</w:t>
      </w:r>
      <w:proofErr w:type="spellEnd"/>
      <w:r w:rsidRPr="00FA2968">
        <w:rPr>
          <w:rFonts w:ascii="Times New Roman" w:hAnsi="Times New Roman" w:cs="Times New Roman"/>
          <w:sz w:val="20"/>
          <w:szCs w:val="20"/>
        </w:rPr>
        <w:t xml:space="preserve"> et al., 2020). Diminished soil moisture hinders revegetation, and bare ground remains exposed to the next dust event.</w:t>
      </w:r>
    </w:p>
    <w:p w14:paraId="03FA8779"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Land-cover studies confirm that degradation across the Nigerian Sahel and Lake Chad Basin has expanded dust source areas significantly since 2000 (</w:t>
      </w:r>
      <w:proofErr w:type="spellStart"/>
      <w:r w:rsidRPr="00FA2968">
        <w:rPr>
          <w:rFonts w:ascii="Times New Roman" w:hAnsi="Times New Roman" w:cs="Times New Roman"/>
          <w:sz w:val="20"/>
          <w:szCs w:val="20"/>
        </w:rPr>
        <w:t>Nwilo</w:t>
      </w:r>
      <w:proofErr w:type="spellEnd"/>
      <w:r w:rsidRPr="00FA2968">
        <w:rPr>
          <w:rFonts w:ascii="Times New Roman" w:hAnsi="Times New Roman" w:cs="Times New Roman"/>
          <w:sz w:val="20"/>
          <w:szCs w:val="20"/>
        </w:rPr>
        <w:t xml:space="preserve"> et al., 2020; Brandt et al., 2017), while Lake Chad's contraction has added an independently substantial source of fine aeolian material (Pham-Duc et al., 2022; Gao et al., 2025). Dust deposition on surviving vegetation further reduces photosynthetic activity, compounding the stress on already weakened plant communities.</w:t>
      </w:r>
    </w:p>
    <w:p w14:paraId="3D2BD485"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lastRenderedPageBreak/>
        <w:t>Conflict has emerged as an under-appreciated environmental driver. Insecurity across Borno, Yobe, and Adamawa has forced widespread farmland abandonment; that land does not remain intact but loses its vegetative cover and becomes a local dust source (</w:t>
      </w:r>
      <w:proofErr w:type="spellStart"/>
      <w:r w:rsidRPr="00FA2968">
        <w:rPr>
          <w:rFonts w:ascii="Times New Roman" w:hAnsi="Times New Roman" w:cs="Times New Roman"/>
          <w:sz w:val="20"/>
          <w:szCs w:val="20"/>
        </w:rPr>
        <w:t>Nwilo</w:t>
      </w:r>
      <w:proofErr w:type="spellEnd"/>
      <w:r w:rsidRPr="00FA2968">
        <w:rPr>
          <w:rFonts w:ascii="Times New Roman" w:hAnsi="Times New Roman" w:cs="Times New Roman"/>
          <w:sz w:val="20"/>
          <w:szCs w:val="20"/>
        </w:rPr>
        <w:t xml:space="preserve"> et al., 2020). The intertwining of insecurity, land degradation, and climate is real and measurable, and any credible response must address all three together.</w:t>
      </w:r>
    </w:p>
    <w:p w14:paraId="5584C88F"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b/>
          <w:bCs/>
          <w:sz w:val="20"/>
          <w:szCs w:val="20"/>
        </w:rPr>
        <w:t>Table 6.</w:t>
      </w:r>
      <w:r w:rsidRPr="00FA2968">
        <w:rPr>
          <w:rFonts w:ascii="Times New Roman" w:hAnsi="Times New Roman" w:cs="Times New Roman"/>
          <w:sz w:val="20"/>
          <w:szCs w:val="20"/>
        </w:rPr>
        <w:t> Dust–climate feedback pathways in northeastern Nigeria.</w:t>
      </w:r>
    </w:p>
    <w:tbl>
      <w:tblPr>
        <w:tblW w:w="9360" w:type="dxa"/>
        <w:tblBorders>
          <w:top w:val="single" w:sz="4" w:space="0" w:color="000000"/>
          <w:left w:val="single" w:sz="2" w:space="0" w:color="E5E7EB"/>
          <w:bottom w:val="single" w:sz="4" w:space="0" w:color="000000"/>
          <w:right w:val="single" w:sz="2" w:space="0" w:color="E5E7EB"/>
          <w:insideH w:val="single" w:sz="2" w:space="0" w:color="E5E7EB"/>
          <w:insideV w:val="single" w:sz="2" w:space="0" w:color="E5E7EB"/>
        </w:tblBorders>
        <w:shd w:val="clear" w:color="auto" w:fill="FCFAF8"/>
        <w:tblCellMar>
          <w:top w:w="15" w:type="dxa"/>
          <w:left w:w="15" w:type="dxa"/>
          <w:bottom w:w="15" w:type="dxa"/>
          <w:right w:w="15" w:type="dxa"/>
        </w:tblCellMar>
        <w:tblLook w:val="04A0" w:firstRow="1" w:lastRow="0" w:firstColumn="1" w:lastColumn="0" w:noHBand="0" w:noVBand="1"/>
      </w:tblPr>
      <w:tblGrid>
        <w:gridCol w:w="2726"/>
        <w:gridCol w:w="3257"/>
        <w:gridCol w:w="3377"/>
      </w:tblGrid>
      <w:tr w:rsidR="006F5417" w:rsidRPr="00FA2968" w14:paraId="7ABAB1A4" w14:textId="77777777" w:rsidTr="00CF14EC">
        <w:trPr>
          <w:tblHeader/>
        </w:trPr>
        <w:tc>
          <w:tcPr>
            <w:tcW w:w="0" w:type="auto"/>
            <w:tcBorders>
              <w:top w:val="single" w:sz="4" w:space="0" w:color="000000"/>
              <w:bottom w:val="single" w:sz="4" w:space="0" w:color="000000"/>
            </w:tcBorders>
            <w:shd w:val="clear" w:color="auto" w:fill="FCFAF8"/>
            <w:tcMar>
              <w:top w:w="15" w:type="dxa"/>
              <w:left w:w="15" w:type="dxa"/>
              <w:bottom w:w="160" w:type="dxa"/>
              <w:right w:w="15" w:type="dxa"/>
            </w:tcMar>
            <w:vAlign w:val="bottom"/>
            <w:hideMark/>
          </w:tcPr>
          <w:p w14:paraId="620EF269"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Pathway</w:t>
            </w:r>
          </w:p>
        </w:tc>
        <w:tc>
          <w:tcPr>
            <w:tcW w:w="0" w:type="auto"/>
            <w:tcBorders>
              <w:top w:val="single" w:sz="4" w:space="0" w:color="000000"/>
              <w:bottom w:val="single" w:sz="4" w:space="0" w:color="000000"/>
            </w:tcBorders>
            <w:shd w:val="clear" w:color="auto" w:fill="FCFAF8"/>
            <w:tcMar>
              <w:top w:w="15" w:type="dxa"/>
              <w:left w:w="15" w:type="dxa"/>
              <w:bottom w:w="160" w:type="dxa"/>
              <w:right w:w="15" w:type="dxa"/>
            </w:tcMar>
            <w:vAlign w:val="bottom"/>
            <w:hideMark/>
          </w:tcPr>
          <w:p w14:paraId="72768587"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Effect</w:t>
            </w:r>
          </w:p>
        </w:tc>
        <w:tc>
          <w:tcPr>
            <w:tcW w:w="0" w:type="auto"/>
            <w:tcBorders>
              <w:top w:val="single" w:sz="4" w:space="0" w:color="000000"/>
              <w:bottom w:val="single" w:sz="4" w:space="0" w:color="000000"/>
            </w:tcBorders>
            <w:shd w:val="clear" w:color="auto" w:fill="FCFAF8"/>
            <w:tcMar>
              <w:top w:w="15" w:type="dxa"/>
              <w:left w:w="15" w:type="dxa"/>
              <w:bottom w:w="160" w:type="dxa"/>
              <w:right w:w="15" w:type="dxa"/>
            </w:tcMar>
            <w:vAlign w:val="bottom"/>
            <w:hideMark/>
          </w:tcPr>
          <w:p w14:paraId="47ED6EA6"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Key References</w:t>
            </w:r>
          </w:p>
        </w:tc>
      </w:tr>
      <w:tr w:rsidR="006F5417" w:rsidRPr="00FA2968" w14:paraId="5FDAA711" w14:textId="77777777" w:rsidTr="00CF14EC">
        <w:tc>
          <w:tcPr>
            <w:tcW w:w="0" w:type="auto"/>
            <w:tcBorders>
              <w:top w:val="single" w:sz="4" w:space="0" w:color="000000"/>
            </w:tcBorders>
            <w:shd w:val="clear" w:color="auto" w:fill="FCFAF8"/>
            <w:tcMar>
              <w:top w:w="160" w:type="dxa"/>
              <w:left w:w="15" w:type="dxa"/>
              <w:bottom w:w="160" w:type="dxa"/>
              <w:right w:w="15" w:type="dxa"/>
            </w:tcMar>
            <w:vAlign w:val="bottom"/>
            <w:hideMark/>
          </w:tcPr>
          <w:p w14:paraId="673DCA86"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Land degradation → dust emission</w:t>
            </w:r>
          </w:p>
        </w:tc>
        <w:tc>
          <w:tcPr>
            <w:tcW w:w="0" w:type="auto"/>
            <w:tcBorders>
              <w:top w:val="single" w:sz="4" w:space="0" w:color="000000"/>
            </w:tcBorders>
            <w:shd w:val="clear" w:color="auto" w:fill="FCFAF8"/>
            <w:tcMar>
              <w:top w:w="160" w:type="dxa"/>
              <w:left w:w="15" w:type="dxa"/>
              <w:bottom w:w="160" w:type="dxa"/>
              <w:right w:w="15" w:type="dxa"/>
            </w:tcMar>
            <w:vAlign w:val="bottom"/>
            <w:hideMark/>
          </w:tcPr>
          <w:p w14:paraId="488F70E3"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Reduced vegetation lowers </w:t>
            </w:r>
            <w:r w:rsidRPr="00FA2968">
              <w:rPr>
                <w:rFonts w:ascii="Times New Roman" w:hAnsi="Times New Roman" w:cs="Times New Roman"/>
                <w:i/>
                <w:iCs/>
                <w:sz w:val="20"/>
                <w:szCs w:val="20"/>
              </w:rPr>
              <w:t>u</w:t>
            </w:r>
            <w:r w:rsidRPr="00FA2968">
              <w:rPr>
                <w:rFonts w:ascii="Times New Roman" w:hAnsi="Times New Roman" w:cs="Times New Roman"/>
                <w:sz w:val="20"/>
                <w:szCs w:val="20"/>
              </w:rPr>
              <w:t>*ₜ, raising emission flux</w:t>
            </w:r>
          </w:p>
        </w:tc>
        <w:tc>
          <w:tcPr>
            <w:tcW w:w="0" w:type="auto"/>
            <w:tcBorders>
              <w:top w:val="single" w:sz="4" w:space="0" w:color="000000"/>
            </w:tcBorders>
            <w:shd w:val="clear" w:color="auto" w:fill="FCFAF8"/>
            <w:tcMar>
              <w:top w:w="160" w:type="dxa"/>
              <w:left w:w="15" w:type="dxa"/>
              <w:bottom w:w="160" w:type="dxa"/>
              <w:right w:w="15" w:type="dxa"/>
            </w:tcMar>
            <w:vAlign w:val="bottom"/>
            <w:hideMark/>
          </w:tcPr>
          <w:p w14:paraId="41EA981F"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Cowie et al. (2013); Marticorena &amp; </w:t>
            </w:r>
            <w:proofErr w:type="spellStart"/>
            <w:r w:rsidRPr="00FA2968">
              <w:rPr>
                <w:rFonts w:ascii="Times New Roman" w:hAnsi="Times New Roman" w:cs="Times New Roman"/>
                <w:sz w:val="20"/>
                <w:szCs w:val="20"/>
              </w:rPr>
              <w:t>Bergametti</w:t>
            </w:r>
            <w:proofErr w:type="spellEnd"/>
            <w:r w:rsidRPr="00FA2968">
              <w:rPr>
                <w:rFonts w:ascii="Times New Roman" w:hAnsi="Times New Roman" w:cs="Times New Roman"/>
                <w:sz w:val="20"/>
                <w:szCs w:val="20"/>
              </w:rPr>
              <w:t xml:space="preserve"> (1995)</w:t>
            </w:r>
          </w:p>
        </w:tc>
      </w:tr>
      <w:tr w:rsidR="006F5417" w:rsidRPr="00FA2968" w14:paraId="375B37F6" w14:textId="77777777" w:rsidTr="00CF14EC">
        <w:tc>
          <w:tcPr>
            <w:tcW w:w="0" w:type="auto"/>
            <w:shd w:val="clear" w:color="auto" w:fill="FCFAF8"/>
            <w:tcMar>
              <w:top w:w="160" w:type="dxa"/>
              <w:left w:w="15" w:type="dxa"/>
              <w:bottom w:w="160" w:type="dxa"/>
              <w:right w:w="15" w:type="dxa"/>
            </w:tcMar>
            <w:vAlign w:val="bottom"/>
            <w:hideMark/>
          </w:tcPr>
          <w:p w14:paraId="62480DCB"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Lake Chad shrinkage → source expansion</w:t>
            </w:r>
          </w:p>
        </w:tc>
        <w:tc>
          <w:tcPr>
            <w:tcW w:w="0" w:type="auto"/>
            <w:shd w:val="clear" w:color="auto" w:fill="FCFAF8"/>
            <w:tcMar>
              <w:top w:w="160" w:type="dxa"/>
              <w:left w:w="15" w:type="dxa"/>
              <w:bottom w:w="160" w:type="dxa"/>
              <w:right w:w="15" w:type="dxa"/>
            </w:tcMar>
            <w:vAlign w:val="bottom"/>
            <w:hideMark/>
          </w:tcPr>
          <w:p w14:paraId="0145FDB1"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Exposed lacustrine sediments increase local dust</w:t>
            </w:r>
          </w:p>
        </w:tc>
        <w:tc>
          <w:tcPr>
            <w:tcW w:w="0" w:type="auto"/>
            <w:shd w:val="clear" w:color="auto" w:fill="FCFAF8"/>
            <w:tcMar>
              <w:top w:w="160" w:type="dxa"/>
              <w:left w:w="15" w:type="dxa"/>
              <w:bottom w:w="160" w:type="dxa"/>
              <w:right w:w="15" w:type="dxa"/>
            </w:tcMar>
            <w:vAlign w:val="bottom"/>
            <w:hideMark/>
          </w:tcPr>
          <w:p w14:paraId="752213B7"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Pham-Duc et al. (2020, 2022); Gao et al. (2025)</w:t>
            </w:r>
          </w:p>
        </w:tc>
      </w:tr>
      <w:tr w:rsidR="006F5417" w:rsidRPr="00FA2968" w14:paraId="30AC5278" w14:textId="77777777" w:rsidTr="00CF14EC">
        <w:tc>
          <w:tcPr>
            <w:tcW w:w="0" w:type="auto"/>
            <w:shd w:val="clear" w:color="auto" w:fill="FCFAF8"/>
            <w:tcMar>
              <w:top w:w="160" w:type="dxa"/>
              <w:left w:w="15" w:type="dxa"/>
              <w:bottom w:w="160" w:type="dxa"/>
              <w:right w:w="15" w:type="dxa"/>
            </w:tcMar>
            <w:vAlign w:val="bottom"/>
            <w:hideMark/>
          </w:tcPr>
          <w:p w14:paraId="417EADB6"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Dust → rainfall suppression</w:t>
            </w:r>
          </w:p>
        </w:tc>
        <w:tc>
          <w:tcPr>
            <w:tcW w:w="0" w:type="auto"/>
            <w:shd w:val="clear" w:color="auto" w:fill="FCFAF8"/>
            <w:tcMar>
              <w:top w:w="160" w:type="dxa"/>
              <w:left w:w="15" w:type="dxa"/>
              <w:bottom w:w="160" w:type="dxa"/>
              <w:right w:w="15" w:type="dxa"/>
            </w:tcMar>
            <w:vAlign w:val="bottom"/>
            <w:hideMark/>
          </w:tcPr>
          <w:p w14:paraId="33DAF4B0"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Enhanced stability reduces convective rainfall</w:t>
            </w:r>
          </w:p>
        </w:tc>
        <w:tc>
          <w:tcPr>
            <w:tcW w:w="0" w:type="auto"/>
            <w:shd w:val="clear" w:color="auto" w:fill="FCFAF8"/>
            <w:tcMar>
              <w:top w:w="160" w:type="dxa"/>
              <w:left w:w="15" w:type="dxa"/>
              <w:bottom w:w="160" w:type="dxa"/>
              <w:right w:w="15" w:type="dxa"/>
            </w:tcMar>
            <w:vAlign w:val="bottom"/>
            <w:hideMark/>
          </w:tcPr>
          <w:p w14:paraId="71E9C80B"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Solmon et al. (2008); </w:t>
            </w:r>
            <w:proofErr w:type="spellStart"/>
            <w:r w:rsidRPr="00FA2968">
              <w:rPr>
                <w:rFonts w:ascii="Times New Roman" w:hAnsi="Times New Roman" w:cs="Times New Roman"/>
                <w:sz w:val="20"/>
                <w:szCs w:val="20"/>
              </w:rPr>
              <w:t>N'Datchoh</w:t>
            </w:r>
            <w:proofErr w:type="spellEnd"/>
            <w:r w:rsidRPr="00FA2968">
              <w:rPr>
                <w:rFonts w:ascii="Times New Roman" w:hAnsi="Times New Roman" w:cs="Times New Roman"/>
                <w:sz w:val="20"/>
                <w:szCs w:val="20"/>
              </w:rPr>
              <w:t xml:space="preserve"> et al. (2018)</w:t>
            </w:r>
          </w:p>
        </w:tc>
      </w:tr>
      <w:tr w:rsidR="006F5417" w:rsidRPr="00FA2968" w14:paraId="52269F5E" w14:textId="77777777" w:rsidTr="00CF14EC">
        <w:tc>
          <w:tcPr>
            <w:tcW w:w="0" w:type="auto"/>
            <w:shd w:val="clear" w:color="auto" w:fill="FCFAF8"/>
            <w:tcMar>
              <w:top w:w="160" w:type="dxa"/>
              <w:left w:w="15" w:type="dxa"/>
              <w:bottom w:w="160" w:type="dxa"/>
              <w:right w:w="15" w:type="dxa"/>
            </w:tcMar>
            <w:vAlign w:val="bottom"/>
            <w:hideMark/>
          </w:tcPr>
          <w:p w14:paraId="5DE4A4D3"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Rainfall decline → soil moisture loss</w:t>
            </w:r>
          </w:p>
        </w:tc>
        <w:tc>
          <w:tcPr>
            <w:tcW w:w="0" w:type="auto"/>
            <w:shd w:val="clear" w:color="auto" w:fill="FCFAF8"/>
            <w:tcMar>
              <w:top w:w="160" w:type="dxa"/>
              <w:left w:w="15" w:type="dxa"/>
              <w:bottom w:w="160" w:type="dxa"/>
              <w:right w:w="15" w:type="dxa"/>
            </w:tcMar>
            <w:vAlign w:val="bottom"/>
            <w:hideMark/>
          </w:tcPr>
          <w:p w14:paraId="27942DB0"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Soil moisture falls by 15–20 %</w:t>
            </w:r>
          </w:p>
        </w:tc>
        <w:tc>
          <w:tcPr>
            <w:tcW w:w="0" w:type="auto"/>
            <w:shd w:val="clear" w:color="auto" w:fill="FCFAF8"/>
            <w:tcMar>
              <w:top w:w="160" w:type="dxa"/>
              <w:left w:w="15" w:type="dxa"/>
              <w:bottom w:w="160" w:type="dxa"/>
              <w:right w:w="15" w:type="dxa"/>
            </w:tcMar>
            <w:vAlign w:val="bottom"/>
            <w:hideMark/>
          </w:tcPr>
          <w:p w14:paraId="7AA97627" w14:textId="77777777" w:rsidR="006F5417" w:rsidRPr="00FA2968" w:rsidRDefault="006F5417" w:rsidP="006E162B">
            <w:pPr>
              <w:jc w:val="both"/>
              <w:rPr>
                <w:rFonts w:ascii="Times New Roman" w:hAnsi="Times New Roman" w:cs="Times New Roman"/>
                <w:sz w:val="20"/>
                <w:szCs w:val="20"/>
              </w:rPr>
            </w:pPr>
            <w:proofErr w:type="spellStart"/>
            <w:r w:rsidRPr="00FA2968">
              <w:rPr>
                <w:rFonts w:ascii="Times New Roman" w:hAnsi="Times New Roman" w:cs="Times New Roman"/>
                <w:sz w:val="20"/>
                <w:szCs w:val="20"/>
              </w:rPr>
              <w:t>Nwilo</w:t>
            </w:r>
            <w:proofErr w:type="spellEnd"/>
            <w:r w:rsidRPr="00FA2968">
              <w:rPr>
                <w:rFonts w:ascii="Times New Roman" w:hAnsi="Times New Roman" w:cs="Times New Roman"/>
                <w:sz w:val="20"/>
                <w:szCs w:val="20"/>
              </w:rPr>
              <w:t xml:space="preserve"> et al. (2020)</w:t>
            </w:r>
          </w:p>
        </w:tc>
      </w:tr>
      <w:tr w:rsidR="006F5417" w:rsidRPr="00FA2968" w14:paraId="35CD24FA" w14:textId="77777777" w:rsidTr="00CF14EC">
        <w:tc>
          <w:tcPr>
            <w:tcW w:w="0" w:type="auto"/>
            <w:shd w:val="clear" w:color="auto" w:fill="FCFAF8"/>
            <w:tcMar>
              <w:top w:w="160" w:type="dxa"/>
              <w:left w:w="15" w:type="dxa"/>
              <w:bottom w:w="160" w:type="dxa"/>
              <w:right w:w="15" w:type="dxa"/>
            </w:tcMar>
            <w:vAlign w:val="bottom"/>
            <w:hideMark/>
          </w:tcPr>
          <w:p w14:paraId="2EBCB3E3"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Soil moisture loss → vegetation failure</w:t>
            </w:r>
          </w:p>
        </w:tc>
        <w:tc>
          <w:tcPr>
            <w:tcW w:w="0" w:type="auto"/>
            <w:shd w:val="clear" w:color="auto" w:fill="FCFAF8"/>
            <w:tcMar>
              <w:top w:w="160" w:type="dxa"/>
              <w:left w:w="15" w:type="dxa"/>
              <w:bottom w:w="160" w:type="dxa"/>
              <w:right w:w="15" w:type="dxa"/>
            </w:tcMar>
            <w:vAlign w:val="bottom"/>
            <w:hideMark/>
          </w:tcPr>
          <w:p w14:paraId="184DE408"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More bare land; intensified erosion risk</w:t>
            </w:r>
          </w:p>
        </w:tc>
        <w:tc>
          <w:tcPr>
            <w:tcW w:w="0" w:type="auto"/>
            <w:shd w:val="clear" w:color="auto" w:fill="FCFAF8"/>
            <w:tcMar>
              <w:top w:w="160" w:type="dxa"/>
              <w:left w:w="15" w:type="dxa"/>
              <w:bottom w:w="160" w:type="dxa"/>
              <w:right w:w="15" w:type="dxa"/>
            </w:tcMar>
            <w:vAlign w:val="bottom"/>
            <w:hideMark/>
          </w:tcPr>
          <w:p w14:paraId="7F31D534" w14:textId="77777777" w:rsidR="006F5417" w:rsidRPr="00FA2968" w:rsidRDefault="006F5417" w:rsidP="006E162B">
            <w:pPr>
              <w:jc w:val="both"/>
              <w:rPr>
                <w:rFonts w:ascii="Times New Roman" w:hAnsi="Times New Roman" w:cs="Times New Roman"/>
                <w:sz w:val="20"/>
                <w:szCs w:val="20"/>
              </w:rPr>
            </w:pPr>
            <w:proofErr w:type="spellStart"/>
            <w:r w:rsidRPr="00FA2968">
              <w:rPr>
                <w:rFonts w:ascii="Times New Roman" w:hAnsi="Times New Roman" w:cs="Times New Roman"/>
                <w:sz w:val="20"/>
                <w:szCs w:val="20"/>
              </w:rPr>
              <w:t>Nwilo</w:t>
            </w:r>
            <w:proofErr w:type="spellEnd"/>
            <w:r w:rsidRPr="00FA2968">
              <w:rPr>
                <w:rFonts w:ascii="Times New Roman" w:hAnsi="Times New Roman" w:cs="Times New Roman"/>
                <w:sz w:val="20"/>
                <w:szCs w:val="20"/>
              </w:rPr>
              <w:t xml:space="preserve"> et al. (2020); Brandt et al. (2017)</w:t>
            </w:r>
          </w:p>
        </w:tc>
      </w:tr>
      <w:tr w:rsidR="006F5417" w:rsidRPr="00FA2968" w14:paraId="72E30A4F" w14:textId="77777777" w:rsidTr="00CF14EC">
        <w:tc>
          <w:tcPr>
            <w:tcW w:w="0" w:type="auto"/>
            <w:shd w:val="clear" w:color="auto" w:fill="FCFAF8"/>
            <w:tcMar>
              <w:top w:w="160" w:type="dxa"/>
              <w:left w:w="15" w:type="dxa"/>
              <w:bottom w:w="160" w:type="dxa"/>
              <w:right w:w="15" w:type="dxa"/>
            </w:tcMar>
            <w:vAlign w:val="bottom"/>
            <w:hideMark/>
          </w:tcPr>
          <w:p w14:paraId="1A1052AE"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Conflict → land abandonment</w:t>
            </w:r>
          </w:p>
        </w:tc>
        <w:tc>
          <w:tcPr>
            <w:tcW w:w="0" w:type="auto"/>
            <w:shd w:val="clear" w:color="auto" w:fill="FCFAF8"/>
            <w:tcMar>
              <w:top w:w="160" w:type="dxa"/>
              <w:left w:w="15" w:type="dxa"/>
              <w:bottom w:w="160" w:type="dxa"/>
              <w:right w:w="15" w:type="dxa"/>
            </w:tcMar>
            <w:vAlign w:val="bottom"/>
            <w:hideMark/>
          </w:tcPr>
          <w:p w14:paraId="7F40981A"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New dust hotspots in insecurity-affected zones</w:t>
            </w:r>
          </w:p>
        </w:tc>
        <w:tc>
          <w:tcPr>
            <w:tcW w:w="0" w:type="auto"/>
            <w:shd w:val="clear" w:color="auto" w:fill="FCFAF8"/>
            <w:tcMar>
              <w:top w:w="160" w:type="dxa"/>
              <w:left w:w="15" w:type="dxa"/>
              <w:bottom w:w="160" w:type="dxa"/>
              <w:right w:w="15" w:type="dxa"/>
            </w:tcMar>
            <w:vAlign w:val="bottom"/>
            <w:hideMark/>
          </w:tcPr>
          <w:p w14:paraId="6C1814CE" w14:textId="77777777" w:rsidR="006F5417" w:rsidRPr="00FA2968" w:rsidRDefault="006F5417" w:rsidP="006E162B">
            <w:pPr>
              <w:jc w:val="both"/>
              <w:rPr>
                <w:rFonts w:ascii="Times New Roman" w:hAnsi="Times New Roman" w:cs="Times New Roman"/>
                <w:sz w:val="20"/>
                <w:szCs w:val="20"/>
              </w:rPr>
            </w:pPr>
            <w:proofErr w:type="spellStart"/>
            <w:r w:rsidRPr="00FA2968">
              <w:rPr>
                <w:rFonts w:ascii="Times New Roman" w:hAnsi="Times New Roman" w:cs="Times New Roman"/>
                <w:sz w:val="20"/>
                <w:szCs w:val="20"/>
              </w:rPr>
              <w:t>Nwilo</w:t>
            </w:r>
            <w:proofErr w:type="spellEnd"/>
            <w:r w:rsidRPr="00FA2968">
              <w:rPr>
                <w:rFonts w:ascii="Times New Roman" w:hAnsi="Times New Roman" w:cs="Times New Roman"/>
                <w:sz w:val="20"/>
                <w:szCs w:val="20"/>
              </w:rPr>
              <w:t xml:space="preserve"> et al. (2020)</w:t>
            </w:r>
          </w:p>
        </w:tc>
      </w:tr>
    </w:tbl>
    <w:p w14:paraId="0B0F7310"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3.6 Health, Air Quality, and Socio-Economic Effects</w:t>
      </w:r>
    </w:p>
    <w:p w14:paraId="6ABDD1C0"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The atmospheric effects of dust do not remain aloft; they reach ground level in ways that affect the health and livelihoods of millions. During Harmattan, particulate-matter concentrations rise sharply, with PM₁₀ and PM</w:t>
      </w:r>
      <w:proofErr w:type="gramStart"/>
      <w:r w:rsidRPr="00FA2968">
        <w:rPr>
          <w:rFonts w:ascii="Times New Roman" w:hAnsi="Times New Roman" w:cs="Times New Roman"/>
          <w:sz w:val="20"/>
          <w:szCs w:val="20"/>
        </w:rPr>
        <w:t>₂.₅</w:t>
      </w:r>
      <w:proofErr w:type="gramEnd"/>
      <w:r w:rsidRPr="00FA2968">
        <w:rPr>
          <w:rFonts w:ascii="Times New Roman" w:hAnsi="Times New Roman" w:cs="Times New Roman"/>
          <w:sz w:val="20"/>
          <w:szCs w:val="20"/>
        </w:rPr>
        <w:t xml:space="preserve"> frequently exceeding health-protective thresholds for extended periods (Bauer et al., 2019). The clinical consequences include increased presentations of asthma, acute bronchitis, respiratory infection, and other cardiorespiratory conditions, with children, older people, and those with pre-existing illness bearing a disproportionate burden. Continental-scale assessment attributes a substantial outdoor air-pollution health burden across Africa to mineral dust specifically (Bauer et al., 2019), and the additive effect of simultaneous dust and heat-stress exposure — likely to intensify under warming — remains an important research gap.</w:t>
      </w:r>
    </w:p>
    <w:p w14:paraId="0F24A1A6"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Economically, the costs are both direct and diffuse, encompassing crop-yield losses, healthcare expenditure, reduced labour productivity, infrastructure damage, and impaired visibility. Regional agricultural assessments project significant climate-driven yield pressures across West Africa, of which dust-related rainfall suppression is one component (Sultan &amp; Gaetani, 2016). Where specific monetary loss figures are cited in policy literature, they should be treated as order-of-magnitude estimates pending region-specific economic valuation.</w:t>
      </w:r>
    </w:p>
    <w:p w14:paraId="0B5A0A31"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Gender distributes these burdens unequally. Women in northeastern Nigeria's largely agrarian communities carry primary responsibility for food production, water collection, fuel gathering, and food processing — all directly affected by dust-related climate impacts. Female-headed households face the compounding disadvantage of reduced access to irrigation, credit, improved seed, and extension services, limiting their adaptive capacity. This dimension remains thinly studied relative to its importance and warrants dedicated attention.</w:t>
      </w:r>
    </w:p>
    <w:p w14:paraId="1845A5B6"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lastRenderedPageBreak/>
        <w:t>More encouragingly, land restoration offers well-evidenced co-benefits. Agroforestry, shelterbelts, controlled grazing, and rangeland revegetation simultaneously reduce local dust emission, improve soil-moisture retention, moderate local surface temperatures, and support agricultural productivity (Brandt et al., 2017; IPCC, 2022). These benefits are deployable at scale and align with existing regional restoration commitments.</w:t>
      </w:r>
    </w:p>
    <w:p w14:paraId="42F2FB87"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3.7 Methodological Advances and the 2025 Extension</w:t>
      </w:r>
    </w:p>
    <w:p w14:paraId="7EA83DA9"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The methodological evolution of this field has been substantial. Early reliance on satellite-based AOD characterisation has given way to regional atmospheric modelling, convection-permitting dust-emission simulation, and coupled land–atmosphere analysis (Heinold et al., 2013; Laurent et al., 2008; </w:t>
      </w:r>
      <w:proofErr w:type="spellStart"/>
      <w:r w:rsidRPr="00FA2968">
        <w:rPr>
          <w:rFonts w:ascii="Times New Roman" w:hAnsi="Times New Roman" w:cs="Times New Roman"/>
          <w:sz w:val="20"/>
          <w:szCs w:val="20"/>
        </w:rPr>
        <w:t>Balkanski</w:t>
      </w:r>
      <w:proofErr w:type="spellEnd"/>
      <w:r w:rsidRPr="00FA2968">
        <w:rPr>
          <w:rFonts w:ascii="Times New Roman" w:hAnsi="Times New Roman" w:cs="Times New Roman"/>
          <w:sz w:val="20"/>
          <w:szCs w:val="20"/>
        </w:rPr>
        <w:t xml:space="preserve"> et al., 2021). The most recent literature extends this trajectory: analyses of aerosol-type anomalies and their influence on pre-monsoon precipitation trends over Nigeria (</w:t>
      </w:r>
      <w:proofErr w:type="spellStart"/>
      <w:r w:rsidRPr="00FA2968">
        <w:rPr>
          <w:rFonts w:ascii="Times New Roman" w:hAnsi="Times New Roman" w:cs="Times New Roman"/>
          <w:sz w:val="20"/>
          <w:szCs w:val="20"/>
        </w:rPr>
        <w:t>Onyejuruwa</w:t>
      </w:r>
      <w:proofErr w:type="spellEnd"/>
      <w:r w:rsidRPr="00FA2968">
        <w:rPr>
          <w:rFonts w:ascii="Times New Roman" w:hAnsi="Times New Roman" w:cs="Times New Roman"/>
          <w:sz w:val="20"/>
          <w:szCs w:val="20"/>
        </w:rPr>
        <w:t xml:space="preserve"> et al., 2025); spatiotemporal assessment of African aerosol trends and climate extremes from four decades of MERRA-2 reanalysis (</w:t>
      </w:r>
      <w:proofErr w:type="spellStart"/>
      <w:r w:rsidRPr="00FA2968">
        <w:rPr>
          <w:rFonts w:ascii="Times New Roman" w:hAnsi="Times New Roman" w:cs="Times New Roman"/>
          <w:sz w:val="20"/>
          <w:szCs w:val="20"/>
        </w:rPr>
        <w:t>Omokpariola</w:t>
      </w:r>
      <w:proofErr w:type="spellEnd"/>
      <w:r w:rsidRPr="00FA2968">
        <w:rPr>
          <w:rFonts w:ascii="Times New Roman" w:hAnsi="Times New Roman" w:cs="Times New Roman"/>
          <w:sz w:val="20"/>
          <w:szCs w:val="20"/>
        </w:rPr>
        <w:t>, 2025); evaluation of renewed drought risk in the western Sahel under current trajectories (Wane et al., 2025); and the identification of toxic dust emission from drought-exposed lake beds, a hazard of direct relevance to a shrinking Lake Chad (Gao et al., 2025).</w:t>
      </w:r>
    </w:p>
    <w:p w14:paraId="17527183"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3.8 Limitations of the Evidence Base and of This Review</w:t>
      </w:r>
    </w:p>
    <w:p w14:paraId="3E09FE0E" w14:textId="07FC94BD"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Several limitations temper the conclusions drawn here. First, and most importantly, ground-based observational coverage is severely deficient: the region is served by very few continuously operating aerosol stations, leaving satellite retrievals inadequately validated and process-level understanding constrained (Holben et al., 1998). Second, satellite AOD retrievals over bright desert surfaces carry well-known uncertainties, and Deep Blue and comparable algorithms perform variably across the strong surface-albedo gradients of the Sahel (</w:t>
      </w:r>
      <w:proofErr w:type="spellStart"/>
      <w:r w:rsidRPr="00FA2968">
        <w:rPr>
          <w:rFonts w:ascii="Times New Roman" w:hAnsi="Times New Roman" w:cs="Times New Roman"/>
          <w:sz w:val="20"/>
          <w:szCs w:val="20"/>
        </w:rPr>
        <w:t>Ginoux</w:t>
      </w:r>
      <w:proofErr w:type="spellEnd"/>
      <w:r w:rsidRPr="00FA2968">
        <w:rPr>
          <w:rFonts w:ascii="Times New Roman" w:hAnsi="Times New Roman" w:cs="Times New Roman"/>
          <w:sz w:val="20"/>
          <w:szCs w:val="20"/>
        </w:rPr>
        <w:t xml:space="preserve"> et al., 2012; </w:t>
      </w:r>
      <w:proofErr w:type="spellStart"/>
      <w:r w:rsidRPr="00FA2968">
        <w:rPr>
          <w:rFonts w:ascii="Times New Roman" w:hAnsi="Times New Roman" w:cs="Times New Roman"/>
          <w:sz w:val="20"/>
          <w:szCs w:val="20"/>
        </w:rPr>
        <w:t>Tanré</w:t>
      </w:r>
      <w:proofErr w:type="spellEnd"/>
      <w:r w:rsidRPr="00FA2968">
        <w:rPr>
          <w:rFonts w:ascii="Times New Roman" w:hAnsi="Times New Roman" w:cs="Times New Roman"/>
          <w:sz w:val="20"/>
          <w:szCs w:val="20"/>
        </w:rPr>
        <w:t xml:space="preserve"> et al., 1997). Third, attributing specific rainfall changes to dust as distinct from sea-surface-temperature variability, vegetation feedbacks, and greenhouse forcing remains methodologically difficult, and reported magnitudes should be read as indicative rather than definitive (</w:t>
      </w:r>
      <w:proofErr w:type="spellStart"/>
      <w:r w:rsidRPr="00FA2968">
        <w:rPr>
          <w:rFonts w:ascii="Times New Roman" w:hAnsi="Times New Roman" w:cs="Times New Roman"/>
          <w:sz w:val="20"/>
          <w:szCs w:val="20"/>
        </w:rPr>
        <w:t>Balkanski</w:t>
      </w:r>
      <w:proofErr w:type="spellEnd"/>
      <w:r w:rsidRPr="00FA2968">
        <w:rPr>
          <w:rFonts w:ascii="Times New Roman" w:hAnsi="Times New Roman" w:cs="Times New Roman"/>
          <w:sz w:val="20"/>
          <w:szCs w:val="20"/>
        </w:rPr>
        <w:t xml:space="preserve"> et al., 2021; Wane et al., 2025). Finally, this review itself is subject to constraints: it included only English-language, peer-reviewed sources, and may therefore be affected by language and publication bias, including a tendency for statistically significant results to be over-represented. Several quantitative figures circulating in the regional grey literature could not be independently verified and have accordingly been omitted or explicitly qualified.</w:t>
      </w:r>
    </w:p>
    <w:p w14:paraId="40BD6433" w14:textId="54306750"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4. A Conceptual Model of the Dust–Climate Feedback Loop</w:t>
      </w:r>
    </w:p>
    <w:p w14:paraId="2CA5FD55" w14:textId="3396E783" w:rsidR="006E162B" w:rsidRPr="00FA2968" w:rsidRDefault="006E162B" w:rsidP="006E162B">
      <w:pPr>
        <w:jc w:val="both"/>
        <w:rPr>
          <w:rFonts w:ascii="Times New Roman" w:hAnsi="Times New Roman" w:cs="Times New Roman"/>
          <w:sz w:val="20"/>
          <w:szCs w:val="20"/>
        </w:rPr>
      </w:pPr>
      <w:r w:rsidRPr="00FA2968">
        <w:rPr>
          <w:rFonts w:ascii="Times New Roman" w:hAnsi="Times New Roman" w:cs="Times New Roman"/>
          <w:sz w:val="20"/>
          <w:szCs w:val="20"/>
        </w:rPr>
        <w:drawing>
          <wp:inline distT="0" distB="0" distL="0" distR="0" wp14:anchorId="1BC9338C" wp14:editId="31E7444F">
            <wp:extent cx="5730755" cy="2886323"/>
            <wp:effectExtent l="0" t="0" r="3810" b="0"/>
            <wp:docPr id="3439690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593" cy="2897825"/>
                    </a:xfrm>
                    <a:prstGeom prst="rect">
                      <a:avLst/>
                    </a:prstGeom>
                    <a:noFill/>
                    <a:ln>
                      <a:noFill/>
                    </a:ln>
                  </pic:spPr>
                </pic:pic>
              </a:graphicData>
            </a:graphic>
          </wp:inline>
        </w:drawing>
      </w:r>
      <w:r w:rsidRPr="00FA2968">
        <w:rPr>
          <w:rFonts w:ascii="Times New Roman" w:hAnsi="Times New Roman" w:cs="Times New Roman"/>
          <w:sz w:val="20"/>
          <w:szCs w:val="20"/>
        </w:rPr>
        <w:t xml:space="preserve"> </w:t>
      </w:r>
    </w:p>
    <w:p w14:paraId="52DF82C3" w14:textId="3F3C6681" w:rsidR="006E162B" w:rsidRPr="00FA2968" w:rsidRDefault="006E162B" w:rsidP="006E162B">
      <w:pPr>
        <w:jc w:val="both"/>
        <w:rPr>
          <w:rFonts w:ascii="Times New Roman" w:hAnsi="Times New Roman" w:cs="Times New Roman"/>
          <w:sz w:val="20"/>
          <w:szCs w:val="20"/>
        </w:rPr>
      </w:pPr>
      <w:r w:rsidRPr="00FA2968">
        <w:rPr>
          <w:rFonts w:ascii="Times New Roman" w:hAnsi="Times New Roman" w:cs="Times New Roman"/>
          <w:sz w:val="20"/>
          <w:szCs w:val="20"/>
        </w:rPr>
        <w:t>Figure 3:</w:t>
      </w:r>
      <w:r w:rsidRPr="00FA2968">
        <w:rPr>
          <w:rFonts w:ascii="Times New Roman" w:hAnsi="Times New Roman" w:cs="Times New Roman"/>
          <w:sz w:val="20"/>
          <w:szCs w:val="20"/>
        </w:rPr>
        <w:t xml:space="preserve"> </w:t>
      </w:r>
      <w:r w:rsidRPr="00FA2968">
        <w:rPr>
          <w:rFonts w:ascii="Times New Roman" w:hAnsi="Times New Roman" w:cs="Times New Roman"/>
          <w:sz w:val="20"/>
          <w:szCs w:val="20"/>
        </w:rPr>
        <w:t>Conceptual model of the dust-climate feedback loop in northeastern Nigeria.</w:t>
      </w:r>
    </w:p>
    <w:p w14:paraId="3CB9D3DE"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lastRenderedPageBreak/>
        <w:t>Drawing the foregoing together, dust aerosols in northeastern Nigeria are best understood not as a passive hazard imported from distant deserts but as an active node in a coupled human–environment system. The core loop can be stated plainly:</w:t>
      </w:r>
    </w:p>
    <w:p w14:paraId="4001AF3C"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Land degradation → reduced threshold friction velocity (Eq. 12) → increased dust emission → higher aerosol loading → attenuated surface radiation and lower-tropospheric heating (</w:t>
      </w:r>
      <w:proofErr w:type="spellStart"/>
      <w:r w:rsidRPr="00FA2968">
        <w:rPr>
          <w:rFonts w:ascii="Times New Roman" w:hAnsi="Times New Roman" w:cs="Times New Roman"/>
          <w:sz w:val="20"/>
          <w:szCs w:val="20"/>
        </w:rPr>
        <w:t>Eqs</w:t>
      </w:r>
      <w:proofErr w:type="spellEnd"/>
      <w:r w:rsidRPr="00FA2968">
        <w:rPr>
          <w:rFonts w:ascii="Times New Roman" w:hAnsi="Times New Roman" w:cs="Times New Roman"/>
          <w:sz w:val="20"/>
          <w:szCs w:val="20"/>
        </w:rPr>
        <w:t>. 2, 6) → increased atmospheric stability (Eq. 8) → suppressed convective rainfall (Eq. 9) → reduced soil moisture (</w:t>
      </w:r>
      <w:proofErr w:type="spellStart"/>
      <w:r w:rsidRPr="00FA2968">
        <w:rPr>
          <w:rFonts w:ascii="Times New Roman" w:hAnsi="Times New Roman" w:cs="Times New Roman"/>
          <w:sz w:val="20"/>
          <w:szCs w:val="20"/>
        </w:rPr>
        <w:t>Eqs</w:t>
      </w:r>
      <w:proofErr w:type="spellEnd"/>
      <w:r w:rsidRPr="00FA2968">
        <w:rPr>
          <w:rFonts w:ascii="Times New Roman" w:hAnsi="Times New Roman" w:cs="Times New Roman"/>
          <w:sz w:val="20"/>
          <w:szCs w:val="20"/>
        </w:rPr>
        <w:t>. 16–17) → vegetation failure → further land degradation.</w:t>
      </w:r>
    </w:p>
    <w:p w14:paraId="1BAC647F"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This loop does not operate in isolation. It is amplified by Lake Chad's ongoing contraction, by the persistent insecurity that keeps farmland bare and unmanaged, and by background regional warming that desiccates soils and reduces plant cover (Pham-Duc et al., 2022; </w:t>
      </w:r>
      <w:proofErr w:type="spellStart"/>
      <w:r w:rsidRPr="00FA2968">
        <w:rPr>
          <w:rFonts w:ascii="Times New Roman" w:hAnsi="Times New Roman" w:cs="Times New Roman"/>
          <w:sz w:val="20"/>
          <w:szCs w:val="20"/>
        </w:rPr>
        <w:t>Nwilo</w:t>
      </w:r>
      <w:proofErr w:type="spellEnd"/>
      <w:r w:rsidRPr="00FA2968">
        <w:rPr>
          <w:rFonts w:ascii="Times New Roman" w:hAnsi="Times New Roman" w:cs="Times New Roman"/>
          <w:sz w:val="20"/>
          <w:szCs w:val="20"/>
        </w:rPr>
        <w:t xml:space="preserve"> et al., 2020; Wane et al., 2025). Any serious attempt to reduce climate vulnerability in the region must engage this feedback as a system rather than treating its components in isolation.</w:t>
      </w:r>
    </w:p>
    <w:p w14:paraId="1E760C08" w14:textId="5BDB8413" w:rsidR="006E162B" w:rsidRPr="00FA2968" w:rsidRDefault="006E162B" w:rsidP="006E162B">
      <w:pPr>
        <w:jc w:val="both"/>
        <w:rPr>
          <w:rFonts w:ascii="Times New Roman" w:hAnsi="Times New Roman" w:cs="Times New Roman"/>
          <w:sz w:val="20"/>
          <w:szCs w:val="20"/>
        </w:rPr>
      </w:pPr>
      <w:r w:rsidRPr="00FA2968">
        <w:rPr>
          <w:rFonts w:ascii="Times New Roman" w:hAnsi="Times New Roman" w:cs="Times New Roman"/>
          <w:sz w:val="20"/>
          <w:szCs w:val="20"/>
        </w:rPr>
        <w:drawing>
          <wp:inline distT="0" distB="0" distL="0" distR="0" wp14:anchorId="298D5E26" wp14:editId="22131EBF">
            <wp:extent cx="5731510" cy="2496710"/>
            <wp:effectExtent l="0" t="0" r="2540" b="0"/>
            <wp:docPr id="20971968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4303" cy="2506639"/>
                    </a:xfrm>
                    <a:prstGeom prst="rect">
                      <a:avLst/>
                    </a:prstGeom>
                    <a:noFill/>
                    <a:ln>
                      <a:noFill/>
                    </a:ln>
                  </pic:spPr>
                </pic:pic>
              </a:graphicData>
            </a:graphic>
          </wp:inline>
        </w:drawing>
      </w:r>
      <w:r w:rsidRPr="00FA2968">
        <w:rPr>
          <w:rFonts w:ascii="Times New Roman" w:hAnsi="Times New Roman" w:cs="Times New Roman"/>
          <w:sz w:val="20"/>
          <w:szCs w:val="20"/>
        </w:rPr>
        <w:t xml:space="preserve"> </w:t>
      </w:r>
    </w:p>
    <w:p w14:paraId="31B8630D" w14:textId="77777777" w:rsidR="006E162B" w:rsidRPr="00FA2968" w:rsidRDefault="006E162B"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 </w:t>
      </w:r>
    </w:p>
    <w:p w14:paraId="46FDB2D2" w14:textId="0CF4D5E0" w:rsidR="006F5417" w:rsidRPr="00FA2968" w:rsidRDefault="006E162B" w:rsidP="006E162B">
      <w:pPr>
        <w:jc w:val="both"/>
        <w:rPr>
          <w:rFonts w:ascii="Times New Roman" w:hAnsi="Times New Roman" w:cs="Times New Roman"/>
          <w:sz w:val="20"/>
          <w:szCs w:val="20"/>
        </w:rPr>
      </w:pPr>
      <w:r w:rsidRPr="00FA2968">
        <w:rPr>
          <w:rFonts w:ascii="Times New Roman" w:hAnsi="Times New Roman" w:cs="Times New Roman"/>
          <w:sz w:val="20"/>
          <w:szCs w:val="20"/>
        </w:rPr>
        <w:t>Figure 4: Summary of major climatic effects of dust aerosols: radiation reduction, atmospheric heating, rainfall suppression and land degradation feedback.</w:t>
      </w:r>
    </w:p>
    <w:p w14:paraId="0DC1F829"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5. Conclusion</w:t>
      </w:r>
    </w:p>
    <w:p w14:paraId="6559F683"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This review establishes that dust aerosols function as significant climate-forcing agents in northeastern Nigeria, operating through a coherent and mutually reinforcing set of physical pathways that the existing literature, viewed collectively, makes difficult to dismiss. The central insight is not any single quantitative result but the systemic character of the problem: </w:t>
      </w:r>
      <w:proofErr w:type="gramStart"/>
      <w:r w:rsidRPr="00FA2968">
        <w:rPr>
          <w:rFonts w:ascii="Times New Roman" w:hAnsi="Times New Roman" w:cs="Times New Roman"/>
          <w:sz w:val="20"/>
          <w:szCs w:val="20"/>
        </w:rPr>
        <w:t>a feedback</w:t>
      </w:r>
      <w:proofErr w:type="gramEnd"/>
      <w:r w:rsidRPr="00FA2968">
        <w:rPr>
          <w:rFonts w:ascii="Times New Roman" w:hAnsi="Times New Roman" w:cs="Times New Roman"/>
          <w:sz w:val="20"/>
          <w:szCs w:val="20"/>
        </w:rPr>
        <w:t xml:space="preserve"> in which degraded land, atmospheric dust, suppressed rainfall, and failing vegetation sustain one another.</w:t>
      </w:r>
    </w:p>
    <w:p w14:paraId="4752F394"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Two implications stand out. The first concerns vulnerability. Because the region's agriculture is overwhelmingly rain-fed and its population already among the most climate-exposed in Africa, the rainfall suppression and growing-season disruption documented here translate with unusual directness into food insecurity, ill health, and economic loss — burdens that fall most heavily on women and the displaced. The second concerns tractability. The same evidence that documents the severity of the dust–climate problem also points toward its partial solubility: the local component of dust emission is growing, and unlike the remote Saharan sources, it is amenable to land management, surface stabilisation, and restoration. That distinction — between what cannot be controlled and what can — should orient both research and policy.</w:t>
      </w:r>
    </w:p>
    <w:p w14:paraId="3577D615" w14:textId="329D31C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The path forward therefore lies less in establishing that dust matters, which this synthesis has done, than in building the observational, modelling, and institutional capacity to manage it. Where that capacity is developed at </w:t>
      </w:r>
      <w:r w:rsidRPr="00FA2968">
        <w:rPr>
          <w:rFonts w:ascii="Times New Roman" w:hAnsi="Times New Roman" w:cs="Times New Roman"/>
          <w:sz w:val="20"/>
          <w:szCs w:val="20"/>
        </w:rPr>
        <w:lastRenderedPageBreak/>
        <w:t>the right scale and informed by a systemic understanding, the trajectory of degradation described in this review is not inevitable.</w:t>
      </w:r>
    </w:p>
    <w:p w14:paraId="515CC183"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6. Recommendations</w:t>
      </w:r>
    </w:p>
    <w:p w14:paraId="6E78AF48"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The following actions, grouped by domain, follow from the synthesised evidence.</w:t>
      </w:r>
    </w:p>
    <w:p w14:paraId="26E93E31"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b/>
          <w:bCs/>
          <w:sz w:val="20"/>
          <w:szCs w:val="20"/>
        </w:rPr>
        <w:t>A. Monitoring and Early Warning</w:t>
      </w:r>
    </w:p>
    <w:p w14:paraId="5D0399F7" w14:textId="77777777" w:rsidR="006F5417" w:rsidRPr="00FA2968" w:rsidRDefault="006F5417" w:rsidP="006E162B">
      <w:pPr>
        <w:numPr>
          <w:ilvl w:val="0"/>
          <w:numId w:val="2"/>
        </w:numPr>
        <w:jc w:val="both"/>
        <w:rPr>
          <w:rFonts w:ascii="Times New Roman" w:hAnsi="Times New Roman" w:cs="Times New Roman"/>
          <w:sz w:val="20"/>
          <w:szCs w:val="20"/>
        </w:rPr>
      </w:pPr>
      <w:r w:rsidRPr="00FA2968">
        <w:rPr>
          <w:rFonts w:ascii="Times New Roman" w:hAnsi="Times New Roman" w:cs="Times New Roman"/>
          <w:sz w:val="20"/>
          <w:szCs w:val="20"/>
        </w:rPr>
        <w:t xml:space="preserve">Establish a regional dust-monitoring network across all six states, combining AERONET-standard sun photometers, low-cost validated PM sensors, radiometers, and automated weather stations at a density sufficient for satellite validation (Holben et al., 1998; </w:t>
      </w:r>
      <w:proofErr w:type="spellStart"/>
      <w:r w:rsidRPr="00FA2968">
        <w:rPr>
          <w:rFonts w:ascii="Times New Roman" w:hAnsi="Times New Roman" w:cs="Times New Roman"/>
          <w:sz w:val="20"/>
          <w:szCs w:val="20"/>
        </w:rPr>
        <w:t>Onyejuruwa</w:t>
      </w:r>
      <w:proofErr w:type="spellEnd"/>
      <w:r w:rsidRPr="00FA2968">
        <w:rPr>
          <w:rFonts w:ascii="Times New Roman" w:hAnsi="Times New Roman" w:cs="Times New Roman"/>
          <w:sz w:val="20"/>
          <w:szCs w:val="20"/>
        </w:rPr>
        <w:t xml:space="preserve"> et al., 2025).</w:t>
      </w:r>
    </w:p>
    <w:p w14:paraId="6E369376" w14:textId="77777777" w:rsidR="006F5417" w:rsidRPr="00FA2968" w:rsidRDefault="006F5417" w:rsidP="006E162B">
      <w:pPr>
        <w:numPr>
          <w:ilvl w:val="0"/>
          <w:numId w:val="2"/>
        </w:numPr>
        <w:jc w:val="both"/>
        <w:rPr>
          <w:rFonts w:ascii="Times New Roman" w:hAnsi="Times New Roman" w:cs="Times New Roman"/>
          <w:sz w:val="20"/>
          <w:szCs w:val="20"/>
        </w:rPr>
      </w:pPr>
      <w:r w:rsidRPr="00FA2968">
        <w:rPr>
          <w:rFonts w:ascii="Times New Roman" w:hAnsi="Times New Roman" w:cs="Times New Roman"/>
          <w:sz w:val="20"/>
          <w:szCs w:val="20"/>
        </w:rPr>
        <w:t>Develop an operational dust early-warning system integrated with the Nigerian Meteorological Agency, agricultural advisory services, and public-health infrastructure, providing actionable lead time ahead of severe episodes.</w:t>
      </w:r>
    </w:p>
    <w:p w14:paraId="3EC403F0"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b/>
          <w:bCs/>
          <w:sz w:val="20"/>
          <w:szCs w:val="20"/>
        </w:rPr>
        <w:t>B. Land Restoration and Surface Stabilisation</w:t>
      </w:r>
      <w:r w:rsidRPr="00FA2968">
        <w:rPr>
          <w:rFonts w:ascii="Times New Roman" w:hAnsi="Times New Roman" w:cs="Times New Roman"/>
          <w:sz w:val="20"/>
          <w:szCs w:val="20"/>
        </w:rPr>
        <w:t> 3. Implement large-scale restoration targeting the most erodible surfaces — degraded rangelands, Lake Chad margins, and conflict-abandoned farmland — using agroforestry, shelterbelts, contour bunding, controlled grazing, and drought-resistant revegetation, with explicit monitoring of dust-emission outcomes (Brandt et al., 2017; Cowie et al., 2013).</w:t>
      </w:r>
    </w:p>
    <w:p w14:paraId="00D7E196"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b/>
          <w:bCs/>
          <w:sz w:val="20"/>
          <w:szCs w:val="20"/>
        </w:rPr>
        <w:t>C. Governance and Transboundary Cooperation</w:t>
      </w:r>
      <w:r w:rsidRPr="00FA2968">
        <w:rPr>
          <w:rFonts w:ascii="Times New Roman" w:hAnsi="Times New Roman" w:cs="Times New Roman"/>
          <w:sz w:val="20"/>
          <w:szCs w:val="20"/>
        </w:rPr>
        <w:t> 4. Strengthen environmental governance in the Lake Chad Basin through the Lake Chad Basin Commission, with dedicated programmes to stabilise exposed lacustrine sediments and coordinate transboundary land and water management (Pham-Duc et al., 2022).</w:t>
      </w:r>
    </w:p>
    <w:p w14:paraId="74F5F155"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b/>
          <w:bCs/>
          <w:sz w:val="20"/>
          <w:szCs w:val="20"/>
        </w:rPr>
        <w:t>D. Scientific and Modelling Capacity</w:t>
      </w:r>
      <w:r w:rsidRPr="00FA2968">
        <w:rPr>
          <w:rFonts w:ascii="Times New Roman" w:hAnsi="Times New Roman" w:cs="Times New Roman"/>
          <w:sz w:val="20"/>
          <w:szCs w:val="20"/>
        </w:rPr>
        <w:t> 5. Advance regional climate modelling using locally calibrated dust-emission inventories and higher-resolution simulations that capture the distinctive properties of Lake Chad sediments and degraded rangeland (</w:t>
      </w:r>
      <w:proofErr w:type="spellStart"/>
      <w:r w:rsidRPr="00FA2968">
        <w:rPr>
          <w:rFonts w:ascii="Times New Roman" w:hAnsi="Times New Roman" w:cs="Times New Roman"/>
          <w:sz w:val="20"/>
          <w:szCs w:val="20"/>
        </w:rPr>
        <w:t>Balkanski</w:t>
      </w:r>
      <w:proofErr w:type="spellEnd"/>
      <w:r w:rsidRPr="00FA2968">
        <w:rPr>
          <w:rFonts w:ascii="Times New Roman" w:hAnsi="Times New Roman" w:cs="Times New Roman"/>
          <w:sz w:val="20"/>
          <w:szCs w:val="20"/>
        </w:rPr>
        <w:t xml:space="preserve"> et al., 2021; Marticorena &amp; </w:t>
      </w:r>
      <w:proofErr w:type="spellStart"/>
      <w:r w:rsidRPr="00FA2968">
        <w:rPr>
          <w:rFonts w:ascii="Times New Roman" w:hAnsi="Times New Roman" w:cs="Times New Roman"/>
          <w:sz w:val="20"/>
          <w:szCs w:val="20"/>
        </w:rPr>
        <w:t>Bergametti</w:t>
      </w:r>
      <w:proofErr w:type="spellEnd"/>
      <w:r w:rsidRPr="00FA2968">
        <w:rPr>
          <w:rFonts w:ascii="Times New Roman" w:hAnsi="Times New Roman" w:cs="Times New Roman"/>
          <w:sz w:val="20"/>
          <w:szCs w:val="20"/>
        </w:rPr>
        <w:t>, 1995). 8. Build sustained interdisciplinary research capacity at Nigerian universities, linking atmospheric physics, agronomy, epidemiology, geography, conflict studies, and policy analysis (</w:t>
      </w:r>
      <w:proofErr w:type="spellStart"/>
      <w:r w:rsidRPr="00FA2968">
        <w:rPr>
          <w:rFonts w:ascii="Times New Roman" w:hAnsi="Times New Roman" w:cs="Times New Roman"/>
          <w:sz w:val="20"/>
          <w:szCs w:val="20"/>
        </w:rPr>
        <w:t>Onyejuruwa</w:t>
      </w:r>
      <w:proofErr w:type="spellEnd"/>
      <w:r w:rsidRPr="00FA2968">
        <w:rPr>
          <w:rFonts w:ascii="Times New Roman" w:hAnsi="Times New Roman" w:cs="Times New Roman"/>
          <w:sz w:val="20"/>
          <w:szCs w:val="20"/>
        </w:rPr>
        <w:t xml:space="preserve"> et al., 2025; </w:t>
      </w:r>
      <w:proofErr w:type="spellStart"/>
      <w:r w:rsidRPr="00FA2968">
        <w:rPr>
          <w:rFonts w:ascii="Times New Roman" w:hAnsi="Times New Roman" w:cs="Times New Roman"/>
          <w:sz w:val="20"/>
          <w:szCs w:val="20"/>
        </w:rPr>
        <w:t>Omokpariola</w:t>
      </w:r>
      <w:proofErr w:type="spellEnd"/>
      <w:r w:rsidRPr="00FA2968">
        <w:rPr>
          <w:rFonts w:ascii="Times New Roman" w:hAnsi="Times New Roman" w:cs="Times New Roman"/>
          <w:sz w:val="20"/>
          <w:szCs w:val="20"/>
        </w:rPr>
        <w:t>, 2025).</w:t>
      </w:r>
    </w:p>
    <w:p w14:paraId="1A3852C7"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b/>
          <w:bCs/>
          <w:sz w:val="20"/>
          <w:szCs w:val="20"/>
        </w:rPr>
        <w:t>E. Policy Integration</w:t>
      </w:r>
      <w:r w:rsidRPr="00FA2968">
        <w:rPr>
          <w:rFonts w:ascii="Times New Roman" w:hAnsi="Times New Roman" w:cs="Times New Roman"/>
          <w:sz w:val="20"/>
          <w:szCs w:val="20"/>
        </w:rPr>
        <w:t> 6. Formally embed dust management within Nigeria's National Adaptation Plan, Nationally Determined Contribution, and Great Green Wall framework, recognising dust explicitly as a climate-forcing agent and not merely an air-quality concern (IPCC, 2022).</w:t>
      </w:r>
    </w:p>
    <w:p w14:paraId="2308BFA3" w14:textId="258113D2"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b/>
          <w:bCs/>
          <w:sz w:val="20"/>
          <w:szCs w:val="20"/>
        </w:rPr>
        <w:t>F. Equity and Inclusion</w:t>
      </w:r>
      <w:r w:rsidRPr="00FA2968">
        <w:rPr>
          <w:rFonts w:ascii="Times New Roman" w:hAnsi="Times New Roman" w:cs="Times New Roman"/>
          <w:sz w:val="20"/>
          <w:szCs w:val="20"/>
        </w:rPr>
        <w:t> 7. Design and resource gender-sensitive adaptation programmes addressing the specific vulnerabilities of women farmers, female-headed households, and displaced rural communities, who face disproportionate exposure with comparatively less access to adaptive resources (Sultan &amp; Gaetani, 2016).</w:t>
      </w:r>
    </w:p>
    <w:p w14:paraId="7ADEADC9"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Conflict of Interest</w:t>
      </w:r>
    </w:p>
    <w:p w14:paraId="4BBDE8C9"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The authors declare no conflict of interest.</w:t>
      </w:r>
    </w:p>
    <w:p w14:paraId="4F984F18"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Funding</w:t>
      </w:r>
    </w:p>
    <w:p w14:paraId="211F3106" w14:textId="1D7A83F3"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This research received no specific grant from any funding agency in the public, commercial, or not-for-profit sectors. </w:t>
      </w:r>
    </w:p>
    <w:p w14:paraId="44A87CD6"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Data Availability Statement</w:t>
      </w:r>
    </w:p>
    <w:p w14:paraId="0EC9E66D"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This paper is a review of published literature. No original experimental data were generated or analysed.</w:t>
      </w:r>
    </w:p>
    <w:p w14:paraId="72999E6A"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Author Contributions</w:t>
      </w:r>
    </w:p>
    <w:p w14:paraId="6574C19B" w14:textId="2BC73216"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b/>
          <w:bCs/>
          <w:sz w:val="20"/>
          <w:szCs w:val="20"/>
        </w:rPr>
        <w:t>John Ocheje Actor:</w:t>
      </w:r>
      <w:r w:rsidRPr="00FA2968">
        <w:rPr>
          <w:rFonts w:ascii="Times New Roman" w:hAnsi="Times New Roman" w:cs="Times New Roman"/>
          <w:sz w:val="20"/>
          <w:szCs w:val="20"/>
        </w:rPr>
        <w:t> Conceptualisation, literature search and screening, data extraction, thematic synthesis, manuscript drafting and revision. </w:t>
      </w:r>
      <w:r w:rsidRPr="00FA2968">
        <w:rPr>
          <w:rFonts w:ascii="Times New Roman" w:hAnsi="Times New Roman" w:cs="Times New Roman"/>
          <w:b/>
          <w:bCs/>
          <w:sz w:val="20"/>
          <w:szCs w:val="20"/>
        </w:rPr>
        <w:t>Abel Jacob:</w:t>
      </w:r>
      <w:r w:rsidRPr="00FA2968">
        <w:rPr>
          <w:rFonts w:ascii="Times New Roman" w:hAnsi="Times New Roman" w:cs="Times New Roman"/>
          <w:sz w:val="20"/>
          <w:szCs w:val="20"/>
        </w:rPr>
        <w:t> Supervision, critical review, and editing. </w:t>
      </w:r>
      <w:proofErr w:type="spellStart"/>
      <w:r w:rsidRPr="00FA2968">
        <w:rPr>
          <w:rFonts w:ascii="Times New Roman" w:hAnsi="Times New Roman" w:cs="Times New Roman"/>
          <w:b/>
          <w:bCs/>
          <w:sz w:val="20"/>
          <w:szCs w:val="20"/>
        </w:rPr>
        <w:t>Nafinji</w:t>
      </w:r>
      <w:proofErr w:type="spellEnd"/>
      <w:r w:rsidRPr="00FA2968">
        <w:rPr>
          <w:rFonts w:ascii="Times New Roman" w:hAnsi="Times New Roman" w:cs="Times New Roman"/>
          <w:b/>
          <w:bCs/>
          <w:sz w:val="20"/>
          <w:szCs w:val="20"/>
        </w:rPr>
        <w:t xml:space="preserve"> </w:t>
      </w:r>
      <w:proofErr w:type="spellStart"/>
      <w:r w:rsidRPr="00FA2968">
        <w:rPr>
          <w:rFonts w:ascii="Times New Roman" w:hAnsi="Times New Roman" w:cs="Times New Roman"/>
          <w:b/>
          <w:bCs/>
          <w:sz w:val="20"/>
          <w:szCs w:val="20"/>
        </w:rPr>
        <w:t>Jikini</w:t>
      </w:r>
      <w:proofErr w:type="spellEnd"/>
      <w:r w:rsidRPr="00FA2968">
        <w:rPr>
          <w:rFonts w:ascii="Times New Roman" w:hAnsi="Times New Roman" w:cs="Times New Roman"/>
          <w:b/>
          <w:bCs/>
          <w:sz w:val="20"/>
          <w:szCs w:val="20"/>
        </w:rPr>
        <w:t>:</w:t>
      </w:r>
      <w:r w:rsidRPr="00FA2968">
        <w:rPr>
          <w:rFonts w:ascii="Times New Roman" w:hAnsi="Times New Roman" w:cs="Times New Roman"/>
          <w:sz w:val="20"/>
          <w:szCs w:val="20"/>
        </w:rPr>
        <w:t> Methodological design, quality assessment, and final manuscript review.</w:t>
      </w:r>
    </w:p>
    <w:p w14:paraId="4B3439EA" w14:textId="77777777" w:rsidR="006F5417" w:rsidRPr="00FA2968" w:rsidRDefault="006F5417" w:rsidP="006E162B">
      <w:pPr>
        <w:jc w:val="both"/>
        <w:rPr>
          <w:rFonts w:ascii="Times New Roman" w:hAnsi="Times New Roman" w:cs="Times New Roman"/>
          <w:b/>
          <w:bCs/>
          <w:sz w:val="20"/>
          <w:szCs w:val="20"/>
        </w:rPr>
      </w:pPr>
      <w:r w:rsidRPr="00FA2968">
        <w:rPr>
          <w:rFonts w:ascii="Times New Roman" w:hAnsi="Times New Roman" w:cs="Times New Roman"/>
          <w:b/>
          <w:bCs/>
          <w:sz w:val="20"/>
          <w:szCs w:val="20"/>
        </w:rPr>
        <w:t>References</w:t>
      </w:r>
    </w:p>
    <w:p w14:paraId="2D9EA159" w14:textId="77777777" w:rsidR="006F5417" w:rsidRPr="00FA2968" w:rsidRDefault="006F5417" w:rsidP="006E162B">
      <w:pPr>
        <w:jc w:val="both"/>
        <w:rPr>
          <w:rFonts w:ascii="Times New Roman" w:hAnsi="Times New Roman" w:cs="Times New Roman"/>
          <w:sz w:val="20"/>
          <w:szCs w:val="20"/>
        </w:rPr>
      </w:pPr>
      <w:proofErr w:type="spellStart"/>
      <w:r w:rsidRPr="00FA2968">
        <w:rPr>
          <w:rFonts w:ascii="Times New Roman" w:hAnsi="Times New Roman" w:cs="Times New Roman"/>
          <w:sz w:val="20"/>
          <w:szCs w:val="20"/>
        </w:rPr>
        <w:lastRenderedPageBreak/>
        <w:t>Akinsanola</w:t>
      </w:r>
      <w:proofErr w:type="spellEnd"/>
      <w:r w:rsidRPr="00FA2968">
        <w:rPr>
          <w:rFonts w:ascii="Times New Roman" w:hAnsi="Times New Roman" w:cs="Times New Roman"/>
          <w:sz w:val="20"/>
          <w:szCs w:val="20"/>
        </w:rPr>
        <w:t xml:space="preserve">, A. A., &amp; Ogunjobi, K. O. (2017). Recent homogeneity analysis and long-term </w:t>
      </w:r>
      <w:proofErr w:type="spellStart"/>
      <w:r w:rsidRPr="00FA2968">
        <w:rPr>
          <w:rFonts w:ascii="Times New Roman" w:hAnsi="Times New Roman" w:cs="Times New Roman"/>
          <w:sz w:val="20"/>
          <w:szCs w:val="20"/>
        </w:rPr>
        <w:t>spatio</w:t>
      </w:r>
      <w:proofErr w:type="spellEnd"/>
      <w:r w:rsidRPr="00FA2968">
        <w:rPr>
          <w:rFonts w:ascii="Times New Roman" w:hAnsi="Times New Roman" w:cs="Times New Roman"/>
          <w:sz w:val="20"/>
          <w:szCs w:val="20"/>
        </w:rPr>
        <w:t>-temporal rainfall trends in Nigeria. </w:t>
      </w:r>
      <w:r w:rsidRPr="00FA2968">
        <w:rPr>
          <w:rFonts w:ascii="Times New Roman" w:hAnsi="Times New Roman" w:cs="Times New Roman"/>
          <w:i/>
          <w:iCs/>
          <w:sz w:val="20"/>
          <w:szCs w:val="20"/>
        </w:rPr>
        <w:t>Theoretical and Applied Climatology, 128</w:t>
      </w:r>
      <w:r w:rsidRPr="00FA2968">
        <w:rPr>
          <w:rFonts w:ascii="Times New Roman" w:hAnsi="Times New Roman" w:cs="Times New Roman"/>
          <w:sz w:val="20"/>
          <w:szCs w:val="20"/>
        </w:rPr>
        <w:t>(1–2), 275–289. </w:t>
      </w:r>
      <w:hyperlink r:id="rId10" w:tgtFrame="_blank" w:history="1">
        <w:r w:rsidRPr="00FA2968">
          <w:rPr>
            <w:rStyle w:val="Hyperlink"/>
            <w:rFonts w:ascii="Times New Roman" w:hAnsi="Times New Roman" w:cs="Times New Roman"/>
            <w:sz w:val="20"/>
            <w:szCs w:val="20"/>
          </w:rPr>
          <w:t>https://doi.org/10.1007/s00704-015-1706-9</w:t>
        </w:r>
      </w:hyperlink>
    </w:p>
    <w:p w14:paraId="39A096EB" w14:textId="77777777" w:rsidR="006F5417" w:rsidRPr="00FA2968" w:rsidRDefault="006F5417" w:rsidP="006E162B">
      <w:pPr>
        <w:jc w:val="both"/>
        <w:rPr>
          <w:rFonts w:ascii="Times New Roman" w:hAnsi="Times New Roman" w:cs="Times New Roman"/>
          <w:sz w:val="20"/>
          <w:szCs w:val="20"/>
        </w:rPr>
      </w:pPr>
      <w:proofErr w:type="spellStart"/>
      <w:r w:rsidRPr="00FA2968">
        <w:rPr>
          <w:rFonts w:ascii="Times New Roman" w:hAnsi="Times New Roman" w:cs="Times New Roman"/>
          <w:sz w:val="20"/>
          <w:szCs w:val="20"/>
        </w:rPr>
        <w:t>Anuforom</w:t>
      </w:r>
      <w:proofErr w:type="spellEnd"/>
      <w:r w:rsidRPr="00FA2968">
        <w:rPr>
          <w:rFonts w:ascii="Times New Roman" w:hAnsi="Times New Roman" w:cs="Times New Roman"/>
          <w:sz w:val="20"/>
          <w:szCs w:val="20"/>
        </w:rPr>
        <w:t xml:space="preserve">, A. C., </w:t>
      </w:r>
      <w:proofErr w:type="spellStart"/>
      <w:r w:rsidRPr="00FA2968">
        <w:rPr>
          <w:rFonts w:ascii="Times New Roman" w:hAnsi="Times New Roman" w:cs="Times New Roman"/>
          <w:sz w:val="20"/>
          <w:szCs w:val="20"/>
        </w:rPr>
        <w:t>Akeh</w:t>
      </w:r>
      <w:proofErr w:type="spellEnd"/>
      <w:r w:rsidRPr="00FA2968">
        <w:rPr>
          <w:rFonts w:ascii="Times New Roman" w:hAnsi="Times New Roman" w:cs="Times New Roman"/>
          <w:sz w:val="20"/>
          <w:szCs w:val="20"/>
        </w:rPr>
        <w:t>, L. E., Okeke, P. N., &amp; Opara, F. E. (2007). Interannual variability and long-term trends of UV-absorbing aerosols during the Harmattan season in sub-Saharan West Africa. </w:t>
      </w:r>
      <w:r w:rsidRPr="00FA2968">
        <w:rPr>
          <w:rFonts w:ascii="Times New Roman" w:hAnsi="Times New Roman" w:cs="Times New Roman"/>
          <w:i/>
          <w:iCs/>
          <w:sz w:val="20"/>
          <w:szCs w:val="20"/>
        </w:rPr>
        <w:t>Atmospheric Environment, 41</w:t>
      </w:r>
      <w:r w:rsidRPr="00FA2968">
        <w:rPr>
          <w:rFonts w:ascii="Times New Roman" w:hAnsi="Times New Roman" w:cs="Times New Roman"/>
          <w:sz w:val="20"/>
          <w:szCs w:val="20"/>
        </w:rPr>
        <w:t>(7), 1550–1559. </w:t>
      </w:r>
      <w:hyperlink r:id="rId11" w:tgtFrame="_blank" w:history="1">
        <w:r w:rsidRPr="00FA2968">
          <w:rPr>
            <w:rStyle w:val="Hyperlink"/>
            <w:rFonts w:ascii="Times New Roman" w:hAnsi="Times New Roman" w:cs="Times New Roman"/>
            <w:sz w:val="20"/>
            <w:szCs w:val="20"/>
          </w:rPr>
          <w:t>https://doi.org/10.1016/j.atmosenv.2006.10.032</w:t>
        </w:r>
      </w:hyperlink>
    </w:p>
    <w:p w14:paraId="60CA8910"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Ashpole, I., &amp; Washington, R. (2012). An automated Monte Carlo-based method for boundary detection in the Saharan dust plume in AERONET data. </w:t>
      </w:r>
      <w:r w:rsidRPr="00FA2968">
        <w:rPr>
          <w:rFonts w:ascii="Times New Roman" w:hAnsi="Times New Roman" w:cs="Times New Roman"/>
          <w:i/>
          <w:iCs/>
          <w:sz w:val="20"/>
          <w:szCs w:val="20"/>
        </w:rPr>
        <w:t>Atmospheric Measurement Techniques, 5</w:t>
      </w:r>
      <w:r w:rsidRPr="00FA2968">
        <w:rPr>
          <w:rFonts w:ascii="Times New Roman" w:hAnsi="Times New Roman" w:cs="Times New Roman"/>
          <w:sz w:val="20"/>
          <w:szCs w:val="20"/>
        </w:rPr>
        <w:t>(9), 2079–2093. </w:t>
      </w:r>
      <w:hyperlink r:id="rId12" w:tgtFrame="_blank" w:history="1">
        <w:r w:rsidRPr="00FA2968">
          <w:rPr>
            <w:rStyle w:val="Hyperlink"/>
            <w:rFonts w:ascii="Times New Roman" w:hAnsi="Times New Roman" w:cs="Times New Roman"/>
            <w:sz w:val="20"/>
            <w:szCs w:val="20"/>
          </w:rPr>
          <w:t>https://doi.org/10.5194/amt-5-2079-2012</w:t>
        </w:r>
      </w:hyperlink>
    </w:p>
    <w:p w14:paraId="54F926E5"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Balarabe, M., Abdullah, K., &amp; Nawawi, M. (2016). Long-term seasonal variation of aerosol optical properties and identification of different aerosol types based on AERONET data over sub-Sahara West Africa. </w:t>
      </w:r>
      <w:r w:rsidRPr="00FA2968">
        <w:rPr>
          <w:rFonts w:ascii="Times New Roman" w:hAnsi="Times New Roman" w:cs="Times New Roman"/>
          <w:i/>
          <w:iCs/>
          <w:sz w:val="20"/>
          <w:szCs w:val="20"/>
        </w:rPr>
        <w:t>Atmosphere, 7</w:t>
      </w:r>
      <w:r w:rsidRPr="00FA2968">
        <w:rPr>
          <w:rFonts w:ascii="Times New Roman" w:hAnsi="Times New Roman" w:cs="Times New Roman"/>
          <w:sz w:val="20"/>
          <w:szCs w:val="20"/>
        </w:rPr>
        <w:t>(10), 123. </w:t>
      </w:r>
      <w:hyperlink r:id="rId13" w:tgtFrame="_blank" w:history="1">
        <w:r w:rsidRPr="00FA2968">
          <w:rPr>
            <w:rStyle w:val="Hyperlink"/>
            <w:rFonts w:ascii="Times New Roman" w:hAnsi="Times New Roman" w:cs="Times New Roman"/>
            <w:sz w:val="20"/>
            <w:szCs w:val="20"/>
          </w:rPr>
          <w:t>https://doi.org/10.3390/atmos7100123</w:t>
        </w:r>
      </w:hyperlink>
    </w:p>
    <w:p w14:paraId="7555F13C"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Balkanski, Y., Bonnet, R., Boucher, O., Checa-Garcia, R., &amp; </w:t>
      </w:r>
      <w:proofErr w:type="spellStart"/>
      <w:r w:rsidRPr="00FA2968">
        <w:rPr>
          <w:rFonts w:ascii="Times New Roman" w:hAnsi="Times New Roman" w:cs="Times New Roman"/>
          <w:sz w:val="20"/>
          <w:szCs w:val="20"/>
        </w:rPr>
        <w:t>Servonnat</w:t>
      </w:r>
      <w:proofErr w:type="spellEnd"/>
      <w:r w:rsidRPr="00FA2968">
        <w:rPr>
          <w:rFonts w:ascii="Times New Roman" w:hAnsi="Times New Roman" w:cs="Times New Roman"/>
          <w:sz w:val="20"/>
          <w:szCs w:val="20"/>
        </w:rPr>
        <w:t>, J. (2021). Better representation of dust can improve climate models with too weak an African monsoon. </w:t>
      </w:r>
      <w:r w:rsidRPr="00FA2968">
        <w:rPr>
          <w:rFonts w:ascii="Times New Roman" w:hAnsi="Times New Roman" w:cs="Times New Roman"/>
          <w:i/>
          <w:iCs/>
          <w:sz w:val="20"/>
          <w:szCs w:val="20"/>
        </w:rPr>
        <w:t>Atmospheric Chemistry and Physics, 21</w:t>
      </w:r>
      <w:r w:rsidRPr="00FA2968">
        <w:rPr>
          <w:rFonts w:ascii="Times New Roman" w:hAnsi="Times New Roman" w:cs="Times New Roman"/>
          <w:sz w:val="20"/>
          <w:szCs w:val="20"/>
        </w:rPr>
        <w:t>, 11423–11435. </w:t>
      </w:r>
      <w:hyperlink r:id="rId14" w:tgtFrame="_blank" w:history="1">
        <w:r w:rsidRPr="00FA2968">
          <w:rPr>
            <w:rStyle w:val="Hyperlink"/>
            <w:rFonts w:ascii="Times New Roman" w:hAnsi="Times New Roman" w:cs="Times New Roman"/>
            <w:sz w:val="20"/>
            <w:szCs w:val="20"/>
          </w:rPr>
          <w:t>https://doi.org/10.5194/acp-21-11423-2021</w:t>
        </w:r>
      </w:hyperlink>
    </w:p>
    <w:p w14:paraId="7D148706"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Bauer, S. E., </w:t>
      </w:r>
      <w:proofErr w:type="spellStart"/>
      <w:r w:rsidRPr="00FA2968">
        <w:rPr>
          <w:rFonts w:ascii="Times New Roman" w:hAnsi="Times New Roman" w:cs="Times New Roman"/>
          <w:sz w:val="20"/>
          <w:szCs w:val="20"/>
        </w:rPr>
        <w:t>Im</w:t>
      </w:r>
      <w:proofErr w:type="spellEnd"/>
      <w:r w:rsidRPr="00FA2968">
        <w:rPr>
          <w:rFonts w:ascii="Times New Roman" w:hAnsi="Times New Roman" w:cs="Times New Roman"/>
          <w:sz w:val="20"/>
          <w:szCs w:val="20"/>
        </w:rPr>
        <w:t xml:space="preserve">, U., </w:t>
      </w:r>
      <w:proofErr w:type="spellStart"/>
      <w:r w:rsidRPr="00FA2968">
        <w:rPr>
          <w:rFonts w:ascii="Times New Roman" w:hAnsi="Times New Roman" w:cs="Times New Roman"/>
          <w:sz w:val="20"/>
          <w:szCs w:val="20"/>
        </w:rPr>
        <w:t>Mezuman</w:t>
      </w:r>
      <w:proofErr w:type="spellEnd"/>
      <w:r w:rsidRPr="00FA2968">
        <w:rPr>
          <w:rFonts w:ascii="Times New Roman" w:hAnsi="Times New Roman" w:cs="Times New Roman"/>
          <w:sz w:val="20"/>
          <w:szCs w:val="20"/>
        </w:rPr>
        <w:t>, K., &amp; Gao, C. Y. (2019). Desert dust, industrialization, and agricultural fires: Health impacts of outdoor air pollution in Africa. </w:t>
      </w:r>
      <w:r w:rsidRPr="00FA2968">
        <w:rPr>
          <w:rFonts w:ascii="Times New Roman" w:hAnsi="Times New Roman" w:cs="Times New Roman"/>
          <w:i/>
          <w:iCs/>
          <w:sz w:val="20"/>
          <w:szCs w:val="20"/>
        </w:rPr>
        <w:t>Journal of Geophysical Research: Atmospheres, 124</w:t>
      </w:r>
      <w:r w:rsidRPr="00FA2968">
        <w:rPr>
          <w:rFonts w:ascii="Times New Roman" w:hAnsi="Times New Roman" w:cs="Times New Roman"/>
          <w:sz w:val="20"/>
          <w:szCs w:val="20"/>
        </w:rPr>
        <w:t>, 4104–4120. </w:t>
      </w:r>
      <w:hyperlink r:id="rId15" w:tgtFrame="_blank" w:history="1">
        <w:r w:rsidRPr="00FA2968">
          <w:rPr>
            <w:rStyle w:val="Hyperlink"/>
            <w:rFonts w:ascii="Times New Roman" w:hAnsi="Times New Roman" w:cs="Times New Roman"/>
            <w:sz w:val="20"/>
            <w:szCs w:val="20"/>
          </w:rPr>
          <w:t>https://doi.org/10.1029/2018JD029336</w:t>
        </w:r>
      </w:hyperlink>
    </w:p>
    <w:p w14:paraId="178CF7AE" w14:textId="77777777" w:rsidR="006F5417" w:rsidRPr="00FA2968" w:rsidRDefault="006F5417" w:rsidP="006E162B">
      <w:pPr>
        <w:jc w:val="both"/>
        <w:rPr>
          <w:rFonts w:ascii="Times New Roman" w:hAnsi="Times New Roman" w:cs="Times New Roman"/>
          <w:sz w:val="20"/>
          <w:szCs w:val="20"/>
        </w:rPr>
      </w:pPr>
      <w:proofErr w:type="spellStart"/>
      <w:r w:rsidRPr="00FA2968">
        <w:rPr>
          <w:rFonts w:ascii="Times New Roman" w:hAnsi="Times New Roman" w:cs="Times New Roman"/>
          <w:sz w:val="20"/>
          <w:szCs w:val="20"/>
        </w:rPr>
        <w:t>Bercos</w:t>
      </w:r>
      <w:proofErr w:type="spellEnd"/>
      <w:r w:rsidRPr="00FA2968">
        <w:rPr>
          <w:rFonts w:ascii="Times New Roman" w:hAnsi="Times New Roman" w:cs="Times New Roman"/>
          <w:sz w:val="20"/>
          <w:szCs w:val="20"/>
        </w:rPr>
        <w:t>-Hickey, E., Nathan, T. R., &amp; Chen, S.-H. (2020). On the relationship between the African Easterly Jet, Saharan mineral dust aerosol, and West African precipitation. </w:t>
      </w:r>
      <w:r w:rsidRPr="00FA2968">
        <w:rPr>
          <w:rFonts w:ascii="Times New Roman" w:hAnsi="Times New Roman" w:cs="Times New Roman"/>
          <w:i/>
          <w:iCs/>
          <w:sz w:val="20"/>
          <w:szCs w:val="20"/>
        </w:rPr>
        <w:t>Journal of Climate, 33</w:t>
      </w:r>
      <w:r w:rsidRPr="00FA2968">
        <w:rPr>
          <w:rFonts w:ascii="Times New Roman" w:hAnsi="Times New Roman" w:cs="Times New Roman"/>
          <w:sz w:val="20"/>
          <w:szCs w:val="20"/>
        </w:rPr>
        <w:t>(9), 3534–3546. </w:t>
      </w:r>
      <w:hyperlink r:id="rId16" w:tgtFrame="_blank" w:history="1">
        <w:r w:rsidRPr="00FA2968">
          <w:rPr>
            <w:rStyle w:val="Hyperlink"/>
            <w:rFonts w:ascii="Times New Roman" w:hAnsi="Times New Roman" w:cs="Times New Roman"/>
            <w:sz w:val="20"/>
            <w:szCs w:val="20"/>
          </w:rPr>
          <w:t>https://doi.org/10.1175/JCLI-D-18-0661.1</w:t>
        </w:r>
      </w:hyperlink>
    </w:p>
    <w:p w14:paraId="1606837D"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Brandt, M., Rasmussen, K., </w:t>
      </w:r>
      <w:proofErr w:type="spellStart"/>
      <w:r w:rsidRPr="00FA2968">
        <w:rPr>
          <w:rFonts w:ascii="Times New Roman" w:hAnsi="Times New Roman" w:cs="Times New Roman"/>
          <w:sz w:val="20"/>
          <w:szCs w:val="20"/>
        </w:rPr>
        <w:t>Peñuelas</w:t>
      </w:r>
      <w:proofErr w:type="spellEnd"/>
      <w:r w:rsidRPr="00FA2968">
        <w:rPr>
          <w:rFonts w:ascii="Times New Roman" w:hAnsi="Times New Roman" w:cs="Times New Roman"/>
          <w:sz w:val="20"/>
          <w:szCs w:val="20"/>
        </w:rPr>
        <w:t xml:space="preserve">, J., Tian, F., </w:t>
      </w:r>
      <w:proofErr w:type="spellStart"/>
      <w:r w:rsidRPr="00FA2968">
        <w:rPr>
          <w:rFonts w:ascii="Times New Roman" w:hAnsi="Times New Roman" w:cs="Times New Roman"/>
          <w:sz w:val="20"/>
          <w:szCs w:val="20"/>
        </w:rPr>
        <w:t>Schurgers</w:t>
      </w:r>
      <w:proofErr w:type="spellEnd"/>
      <w:r w:rsidRPr="00FA2968">
        <w:rPr>
          <w:rFonts w:ascii="Times New Roman" w:hAnsi="Times New Roman" w:cs="Times New Roman"/>
          <w:sz w:val="20"/>
          <w:szCs w:val="20"/>
        </w:rPr>
        <w:t>, G., Verger, A., Mertz, O., Palmer, J. R. B., &amp; Fensholt, R. (2017). Human population growth offsets climate-driven increase in woody vegetation in sub-Saharan Africa. </w:t>
      </w:r>
      <w:r w:rsidRPr="00FA2968">
        <w:rPr>
          <w:rFonts w:ascii="Times New Roman" w:hAnsi="Times New Roman" w:cs="Times New Roman"/>
          <w:i/>
          <w:iCs/>
          <w:sz w:val="20"/>
          <w:szCs w:val="20"/>
        </w:rPr>
        <w:t>Nature Ecology &amp; Evolution, 1</w:t>
      </w:r>
      <w:r w:rsidRPr="00FA2968">
        <w:rPr>
          <w:rFonts w:ascii="Times New Roman" w:hAnsi="Times New Roman" w:cs="Times New Roman"/>
          <w:sz w:val="20"/>
          <w:szCs w:val="20"/>
        </w:rPr>
        <w:t>(4), 0081. </w:t>
      </w:r>
      <w:hyperlink r:id="rId17" w:tgtFrame="_blank" w:history="1">
        <w:r w:rsidRPr="00FA2968">
          <w:rPr>
            <w:rStyle w:val="Hyperlink"/>
            <w:rFonts w:ascii="Times New Roman" w:hAnsi="Times New Roman" w:cs="Times New Roman"/>
            <w:sz w:val="20"/>
            <w:szCs w:val="20"/>
          </w:rPr>
          <w:t>https://doi.org/10.1038/s41559-017-0081</w:t>
        </w:r>
      </w:hyperlink>
    </w:p>
    <w:p w14:paraId="12EF0B82"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Cowie, S. M., </w:t>
      </w:r>
      <w:proofErr w:type="spellStart"/>
      <w:r w:rsidRPr="00FA2968">
        <w:rPr>
          <w:rFonts w:ascii="Times New Roman" w:hAnsi="Times New Roman" w:cs="Times New Roman"/>
          <w:sz w:val="20"/>
          <w:szCs w:val="20"/>
        </w:rPr>
        <w:t>Knippertz</w:t>
      </w:r>
      <w:proofErr w:type="spellEnd"/>
      <w:r w:rsidRPr="00FA2968">
        <w:rPr>
          <w:rFonts w:ascii="Times New Roman" w:hAnsi="Times New Roman" w:cs="Times New Roman"/>
          <w:sz w:val="20"/>
          <w:szCs w:val="20"/>
        </w:rPr>
        <w:t>, P., &amp; Marsham, J. H. (2013). Are vegetation-related roughness changes the cause of the recent decrease in dust emission from the Sahel? </w:t>
      </w:r>
      <w:r w:rsidRPr="00FA2968">
        <w:rPr>
          <w:rFonts w:ascii="Times New Roman" w:hAnsi="Times New Roman" w:cs="Times New Roman"/>
          <w:i/>
          <w:iCs/>
          <w:sz w:val="20"/>
          <w:szCs w:val="20"/>
        </w:rPr>
        <w:t>Geophysical Research Letters, 40</w:t>
      </w:r>
      <w:r w:rsidRPr="00FA2968">
        <w:rPr>
          <w:rFonts w:ascii="Times New Roman" w:hAnsi="Times New Roman" w:cs="Times New Roman"/>
          <w:sz w:val="20"/>
          <w:szCs w:val="20"/>
        </w:rPr>
        <w:t>(9), 1868–1872. </w:t>
      </w:r>
      <w:hyperlink r:id="rId18" w:tgtFrame="_blank" w:history="1">
        <w:r w:rsidRPr="00FA2968">
          <w:rPr>
            <w:rStyle w:val="Hyperlink"/>
            <w:rFonts w:ascii="Times New Roman" w:hAnsi="Times New Roman" w:cs="Times New Roman"/>
            <w:sz w:val="20"/>
            <w:szCs w:val="20"/>
          </w:rPr>
          <w:t>https://doi.org/10.1002/grl.50273</w:t>
        </w:r>
      </w:hyperlink>
    </w:p>
    <w:p w14:paraId="77993D6F"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Dee, D. P., Uppala, S. M., Simmons, A. J., Berrisford, P., Poli, P., Kobayashi, S., … Bechtold, P. (2011). The ERA-Interim reanalysis: Configuration and performance of the data assimilation system. </w:t>
      </w:r>
      <w:r w:rsidRPr="00FA2968">
        <w:rPr>
          <w:rFonts w:ascii="Times New Roman" w:hAnsi="Times New Roman" w:cs="Times New Roman"/>
          <w:i/>
          <w:iCs/>
          <w:sz w:val="20"/>
          <w:szCs w:val="20"/>
        </w:rPr>
        <w:t>Quarterly Journal of the Royal Meteorological Society, 137</w:t>
      </w:r>
      <w:r w:rsidRPr="00FA2968">
        <w:rPr>
          <w:rFonts w:ascii="Times New Roman" w:hAnsi="Times New Roman" w:cs="Times New Roman"/>
          <w:sz w:val="20"/>
          <w:szCs w:val="20"/>
        </w:rPr>
        <w:t>(656), 553–597. </w:t>
      </w:r>
      <w:hyperlink r:id="rId19" w:tgtFrame="_blank" w:history="1">
        <w:r w:rsidRPr="00FA2968">
          <w:rPr>
            <w:rStyle w:val="Hyperlink"/>
            <w:rFonts w:ascii="Times New Roman" w:hAnsi="Times New Roman" w:cs="Times New Roman"/>
            <w:sz w:val="20"/>
            <w:szCs w:val="20"/>
          </w:rPr>
          <w:t>https://doi.org/10.1002/qj.828</w:t>
        </w:r>
      </w:hyperlink>
    </w:p>
    <w:p w14:paraId="4CD6C8E7" w14:textId="77777777" w:rsidR="006F5417" w:rsidRPr="00FA2968" w:rsidRDefault="006F5417" w:rsidP="006E162B">
      <w:pPr>
        <w:jc w:val="both"/>
        <w:rPr>
          <w:rFonts w:ascii="Times New Roman" w:hAnsi="Times New Roman" w:cs="Times New Roman"/>
          <w:sz w:val="20"/>
          <w:szCs w:val="20"/>
        </w:rPr>
      </w:pPr>
      <w:proofErr w:type="spellStart"/>
      <w:r w:rsidRPr="00FA2968">
        <w:rPr>
          <w:rFonts w:ascii="Times New Roman" w:hAnsi="Times New Roman" w:cs="Times New Roman"/>
          <w:sz w:val="20"/>
          <w:szCs w:val="20"/>
        </w:rPr>
        <w:t>Dunion</w:t>
      </w:r>
      <w:proofErr w:type="spellEnd"/>
      <w:r w:rsidRPr="00FA2968">
        <w:rPr>
          <w:rFonts w:ascii="Times New Roman" w:hAnsi="Times New Roman" w:cs="Times New Roman"/>
          <w:sz w:val="20"/>
          <w:szCs w:val="20"/>
        </w:rPr>
        <w:t>, J. P., &amp; Velden, C. S. (2004). The impact of the Saharan air layer on Atlantic tropical cyclone activity. </w:t>
      </w:r>
      <w:r w:rsidRPr="00FA2968">
        <w:rPr>
          <w:rFonts w:ascii="Times New Roman" w:hAnsi="Times New Roman" w:cs="Times New Roman"/>
          <w:i/>
          <w:iCs/>
          <w:sz w:val="20"/>
          <w:szCs w:val="20"/>
        </w:rPr>
        <w:t>Bulletin of the American Meteorological Society, 85</w:t>
      </w:r>
      <w:r w:rsidRPr="00FA2968">
        <w:rPr>
          <w:rFonts w:ascii="Times New Roman" w:hAnsi="Times New Roman" w:cs="Times New Roman"/>
          <w:sz w:val="20"/>
          <w:szCs w:val="20"/>
        </w:rPr>
        <w:t>(3), 353–366. </w:t>
      </w:r>
      <w:hyperlink r:id="rId20" w:tgtFrame="_blank" w:history="1">
        <w:r w:rsidRPr="00FA2968">
          <w:rPr>
            <w:rStyle w:val="Hyperlink"/>
            <w:rFonts w:ascii="Times New Roman" w:hAnsi="Times New Roman" w:cs="Times New Roman"/>
            <w:sz w:val="20"/>
            <w:szCs w:val="20"/>
          </w:rPr>
          <w:t>https://doi.org/10.1175/BAMS-85-3-353</w:t>
        </w:r>
      </w:hyperlink>
    </w:p>
    <w:p w14:paraId="66E6303D" w14:textId="77777777" w:rsidR="006F5417" w:rsidRPr="00FA2968" w:rsidRDefault="006F5417" w:rsidP="006E162B">
      <w:pPr>
        <w:jc w:val="both"/>
        <w:rPr>
          <w:rFonts w:ascii="Times New Roman" w:hAnsi="Times New Roman" w:cs="Times New Roman"/>
          <w:sz w:val="20"/>
          <w:szCs w:val="20"/>
        </w:rPr>
      </w:pPr>
      <w:proofErr w:type="spellStart"/>
      <w:r w:rsidRPr="00FA2968">
        <w:rPr>
          <w:rFonts w:ascii="Times New Roman" w:hAnsi="Times New Roman" w:cs="Times New Roman"/>
          <w:sz w:val="20"/>
          <w:szCs w:val="20"/>
        </w:rPr>
        <w:t>Engelstaedter</w:t>
      </w:r>
      <w:proofErr w:type="spellEnd"/>
      <w:r w:rsidRPr="00FA2968">
        <w:rPr>
          <w:rFonts w:ascii="Times New Roman" w:hAnsi="Times New Roman" w:cs="Times New Roman"/>
          <w:sz w:val="20"/>
          <w:szCs w:val="20"/>
        </w:rPr>
        <w:t>, S., Tegen, I., &amp; Washington, R. (2006). North African dust emissions and transport. </w:t>
      </w:r>
      <w:r w:rsidRPr="00FA2968">
        <w:rPr>
          <w:rFonts w:ascii="Times New Roman" w:hAnsi="Times New Roman" w:cs="Times New Roman"/>
          <w:i/>
          <w:iCs/>
          <w:sz w:val="20"/>
          <w:szCs w:val="20"/>
        </w:rPr>
        <w:t>Earth-Science Reviews, 79</w:t>
      </w:r>
      <w:r w:rsidRPr="00FA2968">
        <w:rPr>
          <w:rFonts w:ascii="Times New Roman" w:hAnsi="Times New Roman" w:cs="Times New Roman"/>
          <w:sz w:val="20"/>
          <w:szCs w:val="20"/>
        </w:rPr>
        <w:t>(1–2), 73–100. </w:t>
      </w:r>
      <w:hyperlink r:id="rId21" w:tgtFrame="_blank" w:history="1">
        <w:r w:rsidRPr="00FA2968">
          <w:rPr>
            <w:rStyle w:val="Hyperlink"/>
            <w:rFonts w:ascii="Times New Roman" w:hAnsi="Times New Roman" w:cs="Times New Roman"/>
            <w:sz w:val="20"/>
            <w:szCs w:val="20"/>
          </w:rPr>
          <w:t>https://doi.org/10.1016/j.earscirev.2006.06.004</w:t>
        </w:r>
      </w:hyperlink>
    </w:p>
    <w:p w14:paraId="27D58AB3"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Evan, A. T., Flamant, C., Fiedler, S., &amp; Doherty, O. (2014). An analysis of aeolian dust in climate models. </w:t>
      </w:r>
      <w:r w:rsidRPr="00FA2968">
        <w:rPr>
          <w:rFonts w:ascii="Times New Roman" w:hAnsi="Times New Roman" w:cs="Times New Roman"/>
          <w:i/>
          <w:iCs/>
          <w:sz w:val="20"/>
          <w:szCs w:val="20"/>
        </w:rPr>
        <w:t>Geophysical Research Letters, 41</w:t>
      </w:r>
      <w:r w:rsidRPr="00FA2968">
        <w:rPr>
          <w:rFonts w:ascii="Times New Roman" w:hAnsi="Times New Roman" w:cs="Times New Roman"/>
          <w:sz w:val="20"/>
          <w:szCs w:val="20"/>
        </w:rPr>
        <w:t>(16), 5996–6001. </w:t>
      </w:r>
      <w:hyperlink r:id="rId22" w:tgtFrame="_blank" w:history="1">
        <w:r w:rsidRPr="00FA2968">
          <w:rPr>
            <w:rStyle w:val="Hyperlink"/>
            <w:rFonts w:ascii="Times New Roman" w:hAnsi="Times New Roman" w:cs="Times New Roman"/>
            <w:sz w:val="20"/>
            <w:szCs w:val="20"/>
          </w:rPr>
          <w:t>https://doi.org/10.1002/2014GL060545</w:t>
        </w:r>
      </w:hyperlink>
    </w:p>
    <w:p w14:paraId="4636B624"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Evan, A. T., Flamant, C., Gaetani, M., &amp; Guichard, F. (2016). The past, present and future of African dust. </w:t>
      </w:r>
      <w:r w:rsidRPr="00FA2968">
        <w:rPr>
          <w:rFonts w:ascii="Times New Roman" w:hAnsi="Times New Roman" w:cs="Times New Roman"/>
          <w:i/>
          <w:iCs/>
          <w:sz w:val="20"/>
          <w:szCs w:val="20"/>
        </w:rPr>
        <w:t>Nature, 531</w:t>
      </w:r>
      <w:r w:rsidRPr="00FA2968">
        <w:rPr>
          <w:rFonts w:ascii="Times New Roman" w:hAnsi="Times New Roman" w:cs="Times New Roman"/>
          <w:sz w:val="20"/>
          <w:szCs w:val="20"/>
        </w:rPr>
        <w:t>(7595), 493–495. </w:t>
      </w:r>
      <w:hyperlink r:id="rId23" w:tgtFrame="_blank" w:history="1">
        <w:r w:rsidRPr="00FA2968">
          <w:rPr>
            <w:rStyle w:val="Hyperlink"/>
            <w:rFonts w:ascii="Times New Roman" w:hAnsi="Times New Roman" w:cs="Times New Roman"/>
            <w:sz w:val="20"/>
            <w:szCs w:val="20"/>
          </w:rPr>
          <w:t>https://doi.org/10.1038/nature17149</w:t>
        </w:r>
      </w:hyperlink>
    </w:p>
    <w:p w14:paraId="3BF65700"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Gao, J., Kok, J. F., Bao, Y., Wei, Y., Li, Y., Xu, C., Zhang, J., &amp; Zhang, Y. (2025). Toxic dust emission from drought-exposed lake beds — a new air pollution threat from dried lakes. </w:t>
      </w:r>
      <w:r w:rsidRPr="00FA2968">
        <w:rPr>
          <w:rFonts w:ascii="Times New Roman" w:hAnsi="Times New Roman" w:cs="Times New Roman"/>
          <w:i/>
          <w:iCs/>
          <w:sz w:val="20"/>
          <w:szCs w:val="20"/>
        </w:rPr>
        <w:t>Atmospheric Chemistry and Physics, 25</w:t>
      </w:r>
      <w:r w:rsidRPr="00FA2968">
        <w:rPr>
          <w:rFonts w:ascii="Times New Roman" w:hAnsi="Times New Roman" w:cs="Times New Roman"/>
          <w:sz w:val="20"/>
          <w:szCs w:val="20"/>
        </w:rPr>
        <w:t>, 12657–12673. </w:t>
      </w:r>
      <w:hyperlink r:id="rId24" w:tgtFrame="_blank" w:history="1">
        <w:r w:rsidRPr="00FA2968">
          <w:rPr>
            <w:rStyle w:val="Hyperlink"/>
            <w:rFonts w:ascii="Times New Roman" w:hAnsi="Times New Roman" w:cs="Times New Roman"/>
            <w:sz w:val="20"/>
            <w:szCs w:val="20"/>
          </w:rPr>
          <w:t>https://doi.org/10.5194/acp-25-12657-2025</w:t>
        </w:r>
      </w:hyperlink>
    </w:p>
    <w:p w14:paraId="74745F42"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lastRenderedPageBreak/>
        <w:t>Ginoux, P., Prospero, J. M., Gill, T. E., Hsu, N. C., &amp; Zhao, M. (2012). Global-scale attribution of anthropogenic and natural dust sources and their emission rates based on MODIS Deep Blue aerosol products. </w:t>
      </w:r>
      <w:r w:rsidRPr="00FA2968">
        <w:rPr>
          <w:rFonts w:ascii="Times New Roman" w:hAnsi="Times New Roman" w:cs="Times New Roman"/>
          <w:i/>
          <w:iCs/>
          <w:sz w:val="20"/>
          <w:szCs w:val="20"/>
        </w:rPr>
        <w:t>Reviews of Geophysics, 50</w:t>
      </w:r>
      <w:r w:rsidRPr="00FA2968">
        <w:rPr>
          <w:rFonts w:ascii="Times New Roman" w:hAnsi="Times New Roman" w:cs="Times New Roman"/>
          <w:sz w:val="20"/>
          <w:szCs w:val="20"/>
        </w:rPr>
        <w:t>(3), RG3005. </w:t>
      </w:r>
      <w:hyperlink r:id="rId25" w:tgtFrame="_blank" w:history="1">
        <w:r w:rsidRPr="00FA2968">
          <w:rPr>
            <w:rStyle w:val="Hyperlink"/>
            <w:rFonts w:ascii="Times New Roman" w:hAnsi="Times New Roman" w:cs="Times New Roman"/>
            <w:sz w:val="20"/>
            <w:szCs w:val="20"/>
          </w:rPr>
          <w:t>https://doi.org/10.1029/2012RG000388</w:t>
        </w:r>
      </w:hyperlink>
    </w:p>
    <w:p w14:paraId="2F775306"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Goudie, A. S., &amp; Middleton, N. J. (2006). </w:t>
      </w:r>
      <w:r w:rsidRPr="00FA2968">
        <w:rPr>
          <w:rFonts w:ascii="Times New Roman" w:hAnsi="Times New Roman" w:cs="Times New Roman"/>
          <w:i/>
          <w:iCs/>
          <w:sz w:val="20"/>
          <w:szCs w:val="20"/>
        </w:rPr>
        <w:t>Desert dust in the global system</w:t>
      </w:r>
      <w:r w:rsidRPr="00FA2968">
        <w:rPr>
          <w:rFonts w:ascii="Times New Roman" w:hAnsi="Times New Roman" w:cs="Times New Roman"/>
          <w:sz w:val="20"/>
          <w:szCs w:val="20"/>
        </w:rPr>
        <w:t>. Springer. </w:t>
      </w:r>
      <w:hyperlink r:id="rId26" w:tgtFrame="_blank" w:history="1">
        <w:r w:rsidRPr="00FA2968">
          <w:rPr>
            <w:rStyle w:val="Hyperlink"/>
            <w:rFonts w:ascii="Times New Roman" w:hAnsi="Times New Roman" w:cs="Times New Roman"/>
            <w:sz w:val="20"/>
            <w:szCs w:val="20"/>
          </w:rPr>
          <w:t>https://doi.org/10.1007/3-540-32355-4</w:t>
        </w:r>
      </w:hyperlink>
    </w:p>
    <w:p w14:paraId="0FB8E453"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Heinold, B., </w:t>
      </w:r>
      <w:proofErr w:type="spellStart"/>
      <w:r w:rsidRPr="00FA2968">
        <w:rPr>
          <w:rFonts w:ascii="Times New Roman" w:hAnsi="Times New Roman" w:cs="Times New Roman"/>
          <w:sz w:val="20"/>
          <w:szCs w:val="20"/>
        </w:rPr>
        <w:t>Knippertz</w:t>
      </w:r>
      <w:proofErr w:type="spellEnd"/>
      <w:r w:rsidRPr="00FA2968">
        <w:rPr>
          <w:rFonts w:ascii="Times New Roman" w:hAnsi="Times New Roman" w:cs="Times New Roman"/>
          <w:sz w:val="20"/>
          <w:szCs w:val="20"/>
        </w:rPr>
        <w:t>, P., Marsham, J. H., Fiedler, S., Dixon, N. S., Schepanski, K., Laurent, B., &amp; Tegen, I. (2013). The role of deep convection and nocturnal low-level jets for dust emission in summertime West Africa: Estimates from convection-permitting simulations. </w:t>
      </w:r>
      <w:r w:rsidRPr="00FA2968">
        <w:rPr>
          <w:rFonts w:ascii="Times New Roman" w:hAnsi="Times New Roman" w:cs="Times New Roman"/>
          <w:i/>
          <w:iCs/>
          <w:sz w:val="20"/>
          <w:szCs w:val="20"/>
        </w:rPr>
        <w:t>Journal of Geophysical Research: Atmospheres, 118</w:t>
      </w:r>
      <w:r w:rsidRPr="00FA2968">
        <w:rPr>
          <w:rFonts w:ascii="Times New Roman" w:hAnsi="Times New Roman" w:cs="Times New Roman"/>
          <w:sz w:val="20"/>
          <w:szCs w:val="20"/>
        </w:rPr>
        <w:t>(10), 4385–4400. </w:t>
      </w:r>
      <w:hyperlink r:id="rId27" w:tgtFrame="_blank" w:history="1">
        <w:r w:rsidRPr="00FA2968">
          <w:rPr>
            <w:rStyle w:val="Hyperlink"/>
            <w:rFonts w:ascii="Times New Roman" w:hAnsi="Times New Roman" w:cs="Times New Roman"/>
            <w:sz w:val="20"/>
            <w:szCs w:val="20"/>
          </w:rPr>
          <w:t>https://doi.org/10.1002/jgrd.50402</w:t>
        </w:r>
      </w:hyperlink>
    </w:p>
    <w:p w14:paraId="431C0125"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Holben, B. N., Eck, T. F., Slutsker, I., </w:t>
      </w:r>
      <w:proofErr w:type="spellStart"/>
      <w:r w:rsidRPr="00FA2968">
        <w:rPr>
          <w:rFonts w:ascii="Times New Roman" w:hAnsi="Times New Roman" w:cs="Times New Roman"/>
          <w:sz w:val="20"/>
          <w:szCs w:val="20"/>
        </w:rPr>
        <w:t>Tanré</w:t>
      </w:r>
      <w:proofErr w:type="spellEnd"/>
      <w:r w:rsidRPr="00FA2968">
        <w:rPr>
          <w:rFonts w:ascii="Times New Roman" w:hAnsi="Times New Roman" w:cs="Times New Roman"/>
          <w:sz w:val="20"/>
          <w:szCs w:val="20"/>
        </w:rPr>
        <w:t xml:space="preserve">, D., Buis, J. P., Setzer, A., … </w:t>
      </w:r>
      <w:proofErr w:type="spellStart"/>
      <w:r w:rsidRPr="00FA2968">
        <w:rPr>
          <w:rFonts w:ascii="Times New Roman" w:hAnsi="Times New Roman" w:cs="Times New Roman"/>
          <w:sz w:val="20"/>
          <w:szCs w:val="20"/>
        </w:rPr>
        <w:t>Lavenu</w:t>
      </w:r>
      <w:proofErr w:type="spellEnd"/>
      <w:r w:rsidRPr="00FA2968">
        <w:rPr>
          <w:rFonts w:ascii="Times New Roman" w:hAnsi="Times New Roman" w:cs="Times New Roman"/>
          <w:sz w:val="20"/>
          <w:szCs w:val="20"/>
        </w:rPr>
        <w:t>, F. (1998). AERONET — a federated instrument network and data archive for aerosol characterization. </w:t>
      </w:r>
      <w:r w:rsidRPr="00FA2968">
        <w:rPr>
          <w:rFonts w:ascii="Times New Roman" w:hAnsi="Times New Roman" w:cs="Times New Roman"/>
          <w:i/>
          <w:iCs/>
          <w:sz w:val="20"/>
          <w:szCs w:val="20"/>
        </w:rPr>
        <w:t>Remote Sensing of Environment, 66</w:t>
      </w:r>
      <w:r w:rsidRPr="00FA2968">
        <w:rPr>
          <w:rFonts w:ascii="Times New Roman" w:hAnsi="Times New Roman" w:cs="Times New Roman"/>
          <w:sz w:val="20"/>
          <w:szCs w:val="20"/>
        </w:rPr>
        <w:t>(1), 1–16. </w:t>
      </w:r>
      <w:hyperlink r:id="rId28" w:tgtFrame="_blank" w:history="1">
        <w:r w:rsidRPr="00FA2968">
          <w:rPr>
            <w:rStyle w:val="Hyperlink"/>
            <w:rFonts w:ascii="Times New Roman" w:hAnsi="Times New Roman" w:cs="Times New Roman"/>
            <w:sz w:val="20"/>
            <w:szCs w:val="20"/>
          </w:rPr>
          <w:t>https://doi.org/10.1016/S0034-4257(98)00031-5</w:t>
        </w:r>
      </w:hyperlink>
    </w:p>
    <w:p w14:paraId="2464BCBD"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IPCC. (2022). </w:t>
      </w:r>
      <w:r w:rsidRPr="00FA2968">
        <w:rPr>
          <w:rFonts w:ascii="Times New Roman" w:hAnsi="Times New Roman" w:cs="Times New Roman"/>
          <w:i/>
          <w:iCs/>
          <w:sz w:val="20"/>
          <w:szCs w:val="20"/>
        </w:rPr>
        <w:t>Climate change 2022: Impacts, adaptation, and vulnerability. Contribution of Working Group II to the Sixth Assessment Report of the Intergovernmental Panel on Climate Change</w:t>
      </w:r>
      <w:r w:rsidRPr="00FA2968">
        <w:rPr>
          <w:rFonts w:ascii="Times New Roman" w:hAnsi="Times New Roman" w:cs="Times New Roman"/>
          <w:sz w:val="20"/>
          <w:szCs w:val="20"/>
        </w:rPr>
        <w:t xml:space="preserve"> (H.-O. </w:t>
      </w:r>
      <w:proofErr w:type="spellStart"/>
      <w:r w:rsidRPr="00FA2968">
        <w:rPr>
          <w:rFonts w:ascii="Times New Roman" w:hAnsi="Times New Roman" w:cs="Times New Roman"/>
          <w:sz w:val="20"/>
          <w:szCs w:val="20"/>
        </w:rPr>
        <w:t>Pörtner</w:t>
      </w:r>
      <w:proofErr w:type="spellEnd"/>
      <w:r w:rsidRPr="00FA2968">
        <w:rPr>
          <w:rFonts w:ascii="Times New Roman" w:hAnsi="Times New Roman" w:cs="Times New Roman"/>
          <w:sz w:val="20"/>
          <w:szCs w:val="20"/>
        </w:rPr>
        <w:t xml:space="preserve"> et al., Eds.). Cambridge University Press. </w:t>
      </w:r>
      <w:hyperlink r:id="rId29" w:tgtFrame="_blank" w:history="1">
        <w:r w:rsidRPr="00FA2968">
          <w:rPr>
            <w:rStyle w:val="Hyperlink"/>
            <w:rFonts w:ascii="Times New Roman" w:hAnsi="Times New Roman" w:cs="Times New Roman"/>
            <w:sz w:val="20"/>
            <w:szCs w:val="20"/>
          </w:rPr>
          <w:t>https://doi.org/10.1017/9781009325844</w:t>
        </w:r>
      </w:hyperlink>
    </w:p>
    <w:p w14:paraId="47A95F66"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Klose, M., Shao, Y., Li, X., Zhang, H., Ishizuka, M., Mikami, M., &amp; Leys, J. F. (2014). Further development of a parameterization for convective turbulent dust emission and evaluation based on field observations. </w:t>
      </w:r>
      <w:r w:rsidRPr="00FA2968">
        <w:rPr>
          <w:rFonts w:ascii="Times New Roman" w:hAnsi="Times New Roman" w:cs="Times New Roman"/>
          <w:i/>
          <w:iCs/>
          <w:sz w:val="20"/>
          <w:szCs w:val="20"/>
        </w:rPr>
        <w:t>Journal of Geophysical Research: Atmospheres, 119</w:t>
      </w:r>
      <w:r w:rsidRPr="00FA2968">
        <w:rPr>
          <w:rFonts w:ascii="Times New Roman" w:hAnsi="Times New Roman" w:cs="Times New Roman"/>
          <w:sz w:val="20"/>
          <w:szCs w:val="20"/>
        </w:rPr>
        <w:t>(17), 10441–10457. </w:t>
      </w:r>
      <w:hyperlink r:id="rId30" w:tgtFrame="_blank" w:history="1">
        <w:r w:rsidRPr="00FA2968">
          <w:rPr>
            <w:rStyle w:val="Hyperlink"/>
            <w:rFonts w:ascii="Times New Roman" w:hAnsi="Times New Roman" w:cs="Times New Roman"/>
            <w:sz w:val="20"/>
            <w:szCs w:val="20"/>
          </w:rPr>
          <w:t>https://doi.org/10.1002/2014JD021688</w:t>
        </w:r>
      </w:hyperlink>
    </w:p>
    <w:p w14:paraId="47BDA37F" w14:textId="77777777" w:rsidR="006F5417" w:rsidRPr="00FA2968" w:rsidRDefault="006F5417" w:rsidP="006E162B">
      <w:pPr>
        <w:jc w:val="both"/>
        <w:rPr>
          <w:rFonts w:ascii="Times New Roman" w:hAnsi="Times New Roman" w:cs="Times New Roman"/>
          <w:sz w:val="20"/>
          <w:szCs w:val="20"/>
        </w:rPr>
      </w:pPr>
      <w:proofErr w:type="spellStart"/>
      <w:r w:rsidRPr="00FA2968">
        <w:rPr>
          <w:rFonts w:ascii="Times New Roman" w:hAnsi="Times New Roman" w:cs="Times New Roman"/>
          <w:sz w:val="20"/>
          <w:szCs w:val="20"/>
        </w:rPr>
        <w:t>Knippertz</w:t>
      </w:r>
      <w:proofErr w:type="spellEnd"/>
      <w:r w:rsidRPr="00FA2968">
        <w:rPr>
          <w:rFonts w:ascii="Times New Roman" w:hAnsi="Times New Roman" w:cs="Times New Roman"/>
          <w:sz w:val="20"/>
          <w:szCs w:val="20"/>
        </w:rPr>
        <w:t xml:space="preserve">, P., &amp; Todd, M. C. (2012). Mineral dust aerosols over the Sahara: Meteorological controls on emission and transport and implications for </w:t>
      </w:r>
      <w:proofErr w:type="spellStart"/>
      <w:r w:rsidRPr="00FA2968">
        <w:rPr>
          <w:rFonts w:ascii="Times New Roman" w:hAnsi="Times New Roman" w:cs="Times New Roman"/>
          <w:sz w:val="20"/>
          <w:szCs w:val="20"/>
        </w:rPr>
        <w:t>modeling</w:t>
      </w:r>
      <w:proofErr w:type="spellEnd"/>
      <w:r w:rsidRPr="00FA2968">
        <w:rPr>
          <w:rFonts w:ascii="Times New Roman" w:hAnsi="Times New Roman" w:cs="Times New Roman"/>
          <w:sz w:val="20"/>
          <w:szCs w:val="20"/>
        </w:rPr>
        <w:t>. </w:t>
      </w:r>
      <w:r w:rsidRPr="00FA2968">
        <w:rPr>
          <w:rFonts w:ascii="Times New Roman" w:hAnsi="Times New Roman" w:cs="Times New Roman"/>
          <w:i/>
          <w:iCs/>
          <w:sz w:val="20"/>
          <w:szCs w:val="20"/>
        </w:rPr>
        <w:t>Reviews of Geophysics, 50</w:t>
      </w:r>
      <w:r w:rsidRPr="00FA2968">
        <w:rPr>
          <w:rFonts w:ascii="Times New Roman" w:hAnsi="Times New Roman" w:cs="Times New Roman"/>
          <w:sz w:val="20"/>
          <w:szCs w:val="20"/>
        </w:rPr>
        <w:t>(1), RG1007. </w:t>
      </w:r>
      <w:hyperlink r:id="rId31" w:tgtFrame="_blank" w:history="1">
        <w:r w:rsidRPr="00FA2968">
          <w:rPr>
            <w:rStyle w:val="Hyperlink"/>
            <w:rFonts w:ascii="Times New Roman" w:hAnsi="Times New Roman" w:cs="Times New Roman"/>
            <w:sz w:val="20"/>
            <w:szCs w:val="20"/>
          </w:rPr>
          <w:t>https://doi.org/10.1029/2011RG000362</w:t>
        </w:r>
      </w:hyperlink>
    </w:p>
    <w:p w14:paraId="51361800"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Kok, J. F., Ridley, D. A., Zhou, Q., Miller, R. L., Zhao, C., Heald, C. L., Ward, D. S., Albani, S., &amp; Haustein, K. (2017). Smaller desert dust cooling effect estimated from analysis of dust size and abundance. </w:t>
      </w:r>
      <w:r w:rsidRPr="00FA2968">
        <w:rPr>
          <w:rFonts w:ascii="Times New Roman" w:hAnsi="Times New Roman" w:cs="Times New Roman"/>
          <w:i/>
          <w:iCs/>
          <w:sz w:val="20"/>
          <w:szCs w:val="20"/>
        </w:rPr>
        <w:t>Nature Geoscience, 10</w:t>
      </w:r>
      <w:r w:rsidRPr="00FA2968">
        <w:rPr>
          <w:rFonts w:ascii="Times New Roman" w:hAnsi="Times New Roman" w:cs="Times New Roman"/>
          <w:sz w:val="20"/>
          <w:szCs w:val="20"/>
        </w:rPr>
        <w:t>(4), 274–278. </w:t>
      </w:r>
      <w:hyperlink r:id="rId32" w:tgtFrame="_blank" w:history="1">
        <w:r w:rsidRPr="00FA2968">
          <w:rPr>
            <w:rStyle w:val="Hyperlink"/>
            <w:rFonts w:ascii="Times New Roman" w:hAnsi="Times New Roman" w:cs="Times New Roman"/>
            <w:sz w:val="20"/>
            <w:szCs w:val="20"/>
          </w:rPr>
          <w:t>https://doi.org/10.1038/ngeo2912</w:t>
        </w:r>
      </w:hyperlink>
    </w:p>
    <w:p w14:paraId="2343A22D"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Laurent, B., Marticorena, B., </w:t>
      </w:r>
      <w:proofErr w:type="spellStart"/>
      <w:r w:rsidRPr="00FA2968">
        <w:rPr>
          <w:rFonts w:ascii="Times New Roman" w:hAnsi="Times New Roman" w:cs="Times New Roman"/>
          <w:sz w:val="20"/>
          <w:szCs w:val="20"/>
        </w:rPr>
        <w:t>Bergametti</w:t>
      </w:r>
      <w:proofErr w:type="spellEnd"/>
      <w:r w:rsidRPr="00FA2968">
        <w:rPr>
          <w:rFonts w:ascii="Times New Roman" w:hAnsi="Times New Roman" w:cs="Times New Roman"/>
          <w:sz w:val="20"/>
          <w:szCs w:val="20"/>
        </w:rPr>
        <w:t xml:space="preserve">, G., Léon, J. F., &amp; Mahowald, N. M. (2008). </w:t>
      </w:r>
      <w:proofErr w:type="spellStart"/>
      <w:r w:rsidRPr="00FA2968">
        <w:rPr>
          <w:rFonts w:ascii="Times New Roman" w:hAnsi="Times New Roman" w:cs="Times New Roman"/>
          <w:sz w:val="20"/>
          <w:szCs w:val="20"/>
        </w:rPr>
        <w:t>Modeling</w:t>
      </w:r>
      <w:proofErr w:type="spellEnd"/>
      <w:r w:rsidRPr="00FA2968">
        <w:rPr>
          <w:rFonts w:ascii="Times New Roman" w:hAnsi="Times New Roman" w:cs="Times New Roman"/>
          <w:sz w:val="20"/>
          <w:szCs w:val="20"/>
        </w:rPr>
        <w:t xml:space="preserve"> mineral dust emissions from the </w:t>
      </w:r>
      <w:proofErr w:type="gramStart"/>
      <w:r w:rsidRPr="00FA2968">
        <w:rPr>
          <w:rFonts w:ascii="Times New Roman" w:hAnsi="Times New Roman" w:cs="Times New Roman"/>
          <w:sz w:val="20"/>
          <w:szCs w:val="20"/>
        </w:rPr>
        <w:t>Sahara desert</w:t>
      </w:r>
      <w:proofErr w:type="gramEnd"/>
      <w:r w:rsidRPr="00FA2968">
        <w:rPr>
          <w:rFonts w:ascii="Times New Roman" w:hAnsi="Times New Roman" w:cs="Times New Roman"/>
          <w:sz w:val="20"/>
          <w:szCs w:val="20"/>
        </w:rPr>
        <w:t xml:space="preserve"> using new surface properties and soil database. </w:t>
      </w:r>
      <w:r w:rsidRPr="00FA2968">
        <w:rPr>
          <w:rFonts w:ascii="Times New Roman" w:hAnsi="Times New Roman" w:cs="Times New Roman"/>
          <w:i/>
          <w:iCs/>
          <w:sz w:val="20"/>
          <w:szCs w:val="20"/>
        </w:rPr>
        <w:t>Journal of Geophysical Research: Atmospheres, 113</w:t>
      </w:r>
      <w:r w:rsidRPr="00FA2968">
        <w:rPr>
          <w:rFonts w:ascii="Times New Roman" w:hAnsi="Times New Roman" w:cs="Times New Roman"/>
          <w:sz w:val="20"/>
          <w:szCs w:val="20"/>
        </w:rPr>
        <w:t>(D14), D14218. </w:t>
      </w:r>
      <w:hyperlink r:id="rId33" w:tgtFrame="_blank" w:history="1">
        <w:r w:rsidRPr="00FA2968">
          <w:rPr>
            <w:rStyle w:val="Hyperlink"/>
            <w:rFonts w:ascii="Times New Roman" w:hAnsi="Times New Roman" w:cs="Times New Roman"/>
            <w:sz w:val="20"/>
            <w:szCs w:val="20"/>
          </w:rPr>
          <w:t>https://doi.org/10.1029/2007JD009484</w:t>
        </w:r>
      </w:hyperlink>
    </w:p>
    <w:p w14:paraId="74B15A95" w14:textId="77777777" w:rsidR="006F5417" w:rsidRPr="00FA2968" w:rsidRDefault="006F5417" w:rsidP="006E162B">
      <w:pPr>
        <w:jc w:val="both"/>
        <w:rPr>
          <w:rFonts w:ascii="Times New Roman" w:hAnsi="Times New Roman" w:cs="Times New Roman"/>
          <w:sz w:val="20"/>
          <w:szCs w:val="20"/>
        </w:rPr>
      </w:pPr>
      <w:proofErr w:type="spellStart"/>
      <w:r w:rsidRPr="00FA2968">
        <w:rPr>
          <w:rFonts w:ascii="Times New Roman" w:hAnsi="Times New Roman" w:cs="Times New Roman"/>
          <w:sz w:val="20"/>
          <w:szCs w:val="20"/>
        </w:rPr>
        <w:t>Lélé</w:t>
      </w:r>
      <w:proofErr w:type="spellEnd"/>
      <w:r w:rsidRPr="00FA2968">
        <w:rPr>
          <w:rFonts w:ascii="Times New Roman" w:hAnsi="Times New Roman" w:cs="Times New Roman"/>
          <w:sz w:val="20"/>
          <w:szCs w:val="20"/>
        </w:rPr>
        <w:t>, M. I., &amp; Lamb, P. J. (2010). Variability of the Intertropical Front (ITF) and rainfall over the West African Sudan–Sahel Zone. </w:t>
      </w:r>
      <w:r w:rsidRPr="00FA2968">
        <w:rPr>
          <w:rFonts w:ascii="Times New Roman" w:hAnsi="Times New Roman" w:cs="Times New Roman"/>
          <w:i/>
          <w:iCs/>
          <w:sz w:val="20"/>
          <w:szCs w:val="20"/>
        </w:rPr>
        <w:t>Journal of Climate, 23</w:t>
      </w:r>
      <w:r w:rsidRPr="00FA2968">
        <w:rPr>
          <w:rFonts w:ascii="Times New Roman" w:hAnsi="Times New Roman" w:cs="Times New Roman"/>
          <w:sz w:val="20"/>
          <w:szCs w:val="20"/>
        </w:rPr>
        <w:t>(14), 3984–4004. </w:t>
      </w:r>
      <w:hyperlink r:id="rId34" w:tgtFrame="_blank" w:history="1">
        <w:r w:rsidRPr="00FA2968">
          <w:rPr>
            <w:rStyle w:val="Hyperlink"/>
            <w:rFonts w:ascii="Times New Roman" w:hAnsi="Times New Roman" w:cs="Times New Roman"/>
            <w:sz w:val="20"/>
            <w:szCs w:val="20"/>
          </w:rPr>
          <w:t>https://doi.org/10.1175/2010JCLI3277.1</w:t>
        </w:r>
      </w:hyperlink>
    </w:p>
    <w:p w14:paraId="52ECF5D9"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Marticorena, B., &amp; </w:t>
      </w:r>
      <w:proofErr w:type="spellStart"/>
      <w:r w:rsidRPr="00FA2968">
        <w:rPr>
          <w:rFonts w:ascii="Times New Roman" w:hAnsi="Times New Roman" w:cs="Times New Roman"/>
          <w:sz w:val="20"/>
          <w:szCs w:val="20"/>
        </w:rPr>
        <w:t>Bergametti</w:t>
      </w:r>
      <w:proofErr w:type="spellEnd"/>
      <w:r w:rsidRPr="00FA2968">
        <w:rPr>
          <w:rFonts w:ascii="Times New Roman" w:hAnsi="Times New Roman" w:cs="Times New Roman"/>
          <w:sz w:val="20"/>
          <w:szCs w:val="20"/>
        </w:rPr>
        <w:t xml:space="preserve">, G. (1995). </w:t>
      </w:r>
      <w:proofErr w:type="spellStart"/>
      <w:r w:rsidRPr="00FA2968">
        <w:rPr>
          <w:rFonts w:ascii="Times New Roman" w:hAnsi="Times New Roman" w:cs="Times New Roman"/>
          <w:sz w:val="20"/>
          <w:szCs w:val="20"/>
        </w:rPr>
        <w:t>Modeling</w:t>
      </w:r>
      <w:proofErr w:type="spellEnd"/>
      <w:r w:rsidRPr="00FA2968">
        <w:rPr>
          <w:rFonts w:ascii="Times New Roman" w:hAnsi="Times New Roman" w:cs="Times New Roman"/>
          <w:sz w:val="20"/>
          <w:szCs w:val="20"/>
        </w:rPr>
        <w:t xml:space="preserve"> the atmospheric dust cycle: 1. Design of a soil-derived dust emission scheme. </w:t>
      </w:r>
      <w:r w:rsidRPr="00FA2968">
        <w:rPr>
          <w:rFonts w:ascii="Times New Roman" w:hAnsi="Times New Roman" w:cs="Times New Roman"/>
          <w:i/>
          <w:iCs/>
          <w:sz w:val="20"/>
          <w:szCs w:val="20"/>
        </w:rPr>
        <w:t>Journal of Geophysical Research: Atmospheres, 100</w:t>
      </w:r>
      <w:r w:rsidRPr="00FA2968">
        <w:rPr>
          <w:rFonts w:ascii="Times New Roman" w:hAnsi="Times New Roman" w:cs="Times New Roman"/>
          <w:sz w:val="20"/>
          <w:szCs w:val="20"/>
        </w:rPr>
        <w:t>(D8), 16415–16430. </w:t>
      </w:r>
      <w:hyperlink r:id="rId35" w:tgtFrame="_blank" w:history="1">
        <w:r w:rsidRPr="00FA2968">
          <w:rPr>
            <w:rStyle w:val="Hyperlink"/>
            <w:rFonts w:ascii="Times New Roman" w:hAnsi="Times New Roman" w:cs="Times New Roman"/>
            <w:sz w:val="20"/>
            <w:szCs w:val="20"/>
          </w:rPr>
          <w:t>https://doi.org/10.1029/95JD00690</w:t>
        </w:r>
      </w:hyperlink>
    </w:p>
    <w:p w14:paraId="67A05913" w14:textId="77777777" w:rsidR="006F5417" w:rsidRPr="00FA2968" w:rsidRDefault="006F5417" w:rsidP="006E162B">
      <w:pPr>
        <w:jc w:val="both"/>
        <w:rPr>
          <w:rFonts w:ascii="Times New Roman" w:hAnsi="Times New Roman" w:cs="Times New Roman"/>
          <w:sz w:val="20"/>
          <w:szCs w:val="20"/>
        </w:rPr>
      </w:pPr>
      <w:proofErr w:type="spellStart"/>
      <w:r w:rsidRPr="00FA2968">
        <w:rPr>
          <w:rFonts w:ascii="Times New Roman" w:hAnsi="Times New Roman" w:cs="Times New Roman"/>
          <w:sz w:val="20"/>
          <w:szCs w:val="20"/>
        </w:rPr>
        <w:t>Mbourou</w:t>
      </w:r>
      <w:proofErr w:type="spellEnd"/>
      <w:r w:rsidRPr="00FA2968">
        <w:rPr>
          <w:rFonts w:ascii="Times New Roman" w:hAnsi="Times New Roman" w:cs="Times New Roman"/>
          <w:sz w:val="20"/>
          <w:szCs w:val="20"/>
        </w:rPr>
        <w:t>, G. N., Bertrand, J. J., &amp; Nicholson, S. E. (1997). The diurnal and seasonal cycles of wind-borne dust over Africa north of the equator. </w:t>
      </w:r>
      <w:r w:rsidRPr="00FA2968">
        <w:rPr>
          <w:rFonts w:ascii="Times New Roman" w:hAnsi="Times New Roman" w:cs="Times New Roman"/>
          <w:i/>
          <w:iCs/>
          <w:sz w:val="20"/>
          <w:szCs w:val="20"/>
        </w:rPr>
        <w:t>Journal of Applied Meteorology, 36</w:t>
      </w:r>
      <w:r w:rsidRPr="00FA2968">
        <w:rPr>
          <w:rFonts w:ascii="Times New Roman" w:hAnsi="Times New Roman" w:cs="Times New Roman"/>
          <w:sz w:val="20"/>
          <w:szCs w:val="20"/>
        </w:rPr>
        <w:t>(7), 868–882. </w:t>
      </w:r>
      <w:hyperlink r:id="rId36" w:tgtFrame="_blank" w:history="1">
        <w:r w:rsidRPr="00FA2968">
          <w:rPr>
            <w:rStyle w:val="Hyperlink"/>
            <w:rFonts w:ascii="Times New Roman" w:hAnsi="Times New Roman" w:cs="Times New Roman"/>
            <w:sz w:val="20"/>
            <w:szCs w:val="20"/>
          </w:rPr>
          <w:t>https://doi.org/10.1175/1520-0450(1997)036</w:t>
        </w:r>
      </w:hyperlink>
      <w:r w:rsidRPr="00FA2968">
        <w:rPr>
          <w:rFonts w:ascii="Times New Roman" w:hAnsi="Times New Roman" w:cs="Times New Roman"/>
          <w:sz w:val="20"/>
          <w:szCs w:val="20"/>
        </w:rPr>
        <w:t>&lt;</w:t>
      </w:r>
      <w:proofErr w:type="gramStart"/>
      <w:r w:rsidRPr="00FA2968">
        <w:rPr>
          <w:rFonts w:ascii="Times New Roman" w:hAnsi="Times New Roman" w:cs="Times New Roman"/>
          <w:sz w:val="20"/>
          <w:szCs w:val="20"/>
        </w:rPr>
        <w:t>0868:TDASCO</w:t>
      </w:r>
      <w:proofErr w:type="gramEnd"/>
      <w:r w:rsidRPr="00FA2968">
        <w:rPr>
          <w:rFonts w:ascii="Times New Roman" w:hAnsi="Times New Roman" w:cs="Times New Roman"/>
          <w:sz w:val="20"/>
          <w:szCs w:val="20"/>
        </w:rPr>
        <w:t>&gt;2.0.CO;2</w:t>
      </w:r>
    </w:p>
    <w:p w14:paraId="0D86268A" w14:textId="77777777" w:rsidR="006F5417" w:rsidRPr="00FA2968" w:rsidRDefault="006F5417" w:rsidP="006E162B">
      <w:pPr>
        <w:jc w:val="both"/>
        <w:rPr>
          <w:rFonts w:ascii="Times New Roman" w:hAnsi="Times New Roman" w:cs="Times New Roman"/>
          <w:sz w:val="20"/>
          <w:szCs w:val="20"/>
        </w:rPr>
      </w:pPr>
      <w:proofErr w:type="spellStart"/>
      <w:r w:rsidRPr="00FA2968">
        <w:rPr>
          <w:rFonts w:ascii="Times New Roman" w:hAnsi="Times New Roman" w:cs="Times New Roman"/>
          <w:sz w:val="20"/>
          <w:szCs w:val="20"/>
        </w:rPr>
        <w:t>N'Datchoh</w:t>
      </w:r>
      <w:proofErr w:type="spellEnd"/>
      <w:r w:rsidRPr="00FA2968">
        <w:rPr>
          <w:rFonts w:ascii="Times New Roman" w:hAnsi="Times New Roman" w:cs="Times New Roman"/>
          <w:sz w:val="20"/>
          <w:szCs w:val="20"/>
        </w:rPr>
        <w:t>, E. T., Konaré, A., Diedhiou, A., Diawara, A., Quansah, E., &amp; Assamoi, P. (2018). Dust induced changes on the West African summer monsoon features. </w:t>
      </w:r>
      <w:r w:rsidRPr="00FA2968">
        <w:rPr>
          <w:rFonts w:ascii="Times New Roman" w:hAnsi="Times New Roman" w:cs="Times New Roman"/>
          <w:i/>
          <w:iCs/>
          <w:sz w:val="20"/>
          <w:szCs w:val="20"/>
        </w:rPr>
        <w:t>International Journal of Climatology, 38</w:t>
      </w:r>
      <w:r w:rsidRPr="00FA2968">
        <w:rPr>
          <w:rFonts w:ascii="Times New Roman" w:hAnsi="Times New Roman" w:cs="Times New Roman"/>
          <w:sz w:val="20"/>
          <w:szCs w:val="20"/>
        </w:rPr>
        <w:t>(1), 452–466. </w:t>
      </w:r>
      <w:hyperlink r:id="rId37" w:tgtFrame="_blank" w:history="1">
        <w:r w:rsidRPr="00FA2968">
          <w:rPr>
            <w:rStyle w:val="Hyperlink"/>
            <w:rFonts w:ascii="Times New Roman" w:hAnsi="Times New Roman" w:cs="Times New Roman"/>
            <w:sz w:val="20"/>
            <w:szCs w:val="20"/>
          </w:rPr>
          <w:t>https://doi.org/10.1002/joc.5187</w:t>
        </w:r>
      </w:hyperlink>
    </w:p>
    <w:p w14:paraId="6E81408A"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Nicholson, S. E. (2013). The West African Sahel: A review of recent studies on the rainfall regime and its interannual variability. </w:t>
      </w:r>
      <w:r w:rsidRPr="00FA2968">
        <w:rPr>
          <w:rFonts w:ascii="Times New Roman" w:hAnsi="Times New Roman" w:cs="Times New Roman"/>
          <w:i/>
          <w:iCs/>
          <w:sz w:val="20"/>
          <w:szCs w:val="20"/>
        </w:rPr>
        <w:t>ISRN Meteorology, 2013</w:t>
      </w:r>
      <w:r w:rsidRPr="00FA2968">
        <w:rPr>
          <w:rFonts w:ascii="Times New Roman" w:hAnsi="Times New Roman" w:cs="Times New Roman"/>
          <w:sz w:val="20"/>
          <w:szCs w:val="20"/>
        </w:rPr>
        <w:t>, 453521. </w:t>
      </w:r>
      <w:hyperlink r:id="rId38" w:tgtFrame="_blank" w:history="1">
        <w:r w:rsidRPr="00FA2968">
          <w:rPr>
            <w:rStyle w:val="Hyperlink"/>
            <w:rFonts w:ascii="Times New Roman" w:hAnsi="Times New Roman" w:cs="Times New Roman"/>
            <w:sz w:val="20"/>
            <w:szCs w:val="20"/>
          </w:rPr>
          <w:t>https://doi.org/10.1155/2013/453521</w:t>
        </w:r>
      </w:hyperlink>
    </w:p>
    <w:p w14:paraId="6F95E81D" w14:textId="77777777" w:rsidR="006F5417" w:rsidRPr="00FA2968" w:rsidRDefault="006F5417" w:rsidP="006E162B">
      <w:pPr>
        <w:jc w:val="both"/>
        <w:rPr>
          <w:rFonts w:ascii="Times New Roman" w:hAnsi="Times New Roman" w:cs="Times New Roman"/>
          <w:sz w:val="20"/>
          <w:szCs w:val="20"/>
        </w:rPr>
      </w:pPr>
      <w:proofErr w:type="spellStart"/>
      <w:r w:rsidRPr="00FA2968">
        <w:rPr>
          <w:rFonts w:ascii="Times New Roman" w:hAnsi="Times New Roman" w:cs="Times New Roman"/>
          <w:sz w:val="20"/>
          <w:szCs w:val="20"/>
        </w:rPr>
        <w:t>Nwilo</w:t>
      </w:r>
      <w:proofErr w:type="spellEnd"/>
      <w:r w:rsidRPr="00FA2968">
        <w:rPr>
          <w:rFonts w:ascii="Times New Roman" w:hAnsi="Times New Roman" w:cs="Times New Roman"/>
          <w:sz w:val="20"/>
          <w:szCs w:val="20"/>
        </w:rPr>
        <w:t>, P. C., Olayinka, D. N., Okolie, C. J., Emmanuel, E. I., Orji, M. J., &amp; Daramola, O. E. (2020). Impacts of land cover changes on desertification in northern Nigeria and implications on the Lake Chad Basin. </w:t>
      </w:r>
      <w:r w:rsidRPr="00FA2968">
        <w:rPr>
          <w:rFonts w:ascii="Times New Roman" w:hAnsi="Times New Roman" w:cs="Times New Roman"/>
          <w:i/>
          <w:iCs/>
          <w:sz w:val="20"/>
          <w:szCs w:val="20"/>
        </w:rPr>
        <w:t>Journal of Arid Environments, 181</w:t>
      </w:r>
      <w:r w:rsidRPr="00FA2968">
        <w:rPr>
          <w:rFonts w:ascii="Times New Roman" w:hAnsi="Times New Roman" w:cs="Times New Roman"/>
          <w:sz w:val="20"/>
          <w:szCs w:val="20"/>
        </w:rPr>
        <w:t>, 104190. </w:t>
      </w:r>
      <w:hyperlink r:id="rId39" w:tgtFrame="_blank" w:history="1">
        <w:r w:rsidRPr="00FA2968">
          <w:rPr>
            <w:rStyle w:val="Hyperlink"/>
            <w:rFonts w:ascii="Times New Roman" w:hAnsi="Times New Roman" w:cs="Times New Roman"/>
            <w:sz w:val="20"/>
            <w:szCs w:val="20"/>
          </w:rPr>
          <w:t>https://doi.org/10.1016/j.jaridenv.2020.104190</w:t>
        </w:r>
      </w:hyperlink>
    </w:p>
    <w:p w14:paraId="64F695A5"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lastRenderedPageBreak/>
        <w:t>Ogunjobi, K. O., Kim, Y. J., He, Z., &amp; Kim, K. W. (2004). Aerosol optical depth during Harmattan season in West Africa. </w:t>
      </w:r>
      <w:r w:rsidRPr="00FA2968">
        <w:rPr>
          <w:rFonts w:ascii="Times New Roman" w:hAnsi="Times New Roman" w:cs="Times New Roman"/>
          <w:i/>
          <w:iCs/>
          <w:sz w:val="20"/>
          <w:szCs w:val="20"/>
        </w:rPr>
        <w:t>Journal of Geophysical Research: Atmospheres, 109</w:t>
      </w:r>
      <w:r w:rsidRPr="00FA2968">
        <w:rPr>
          <w:rFonts w:ascii="Times New Roman" w:hAnsi="Times New Roman" w:cs="Times New Roman"/>
          <w:sz w:val="20"/>
          <w:szCs w:val="20"/>
        </w:rPr>
        <w:t>(D16), D16S09. </w:t>
      </w:r>
      <w:hyperlink r:id="rId40" w:tgtFrame="_blank" w:history="1">
        <w:r w:rsidRPr="00FA2968">
          <w:rPr>
            <w:rStyle w:val="Hyperlink"/>
            <w:rFonts w:ascii="Times New Roman" w:hAnsi="Times New Roman" w:cs="Times New Roman"/>
            <w:sz w:val="20"/>
            <w:szCs w:val="20"/>
          </w:rPr>
          <w:t>https://doi.org/10.1029/2003JD004291</w:t>
        </w:r>
      </w:hyperlink>
    </w:p>
    <w:p w14:paraId="62D7D78C" w14:textId="77777777" w:rsidR="006F5417" w:rsidRPr="00FA2968" w:rsidRDefault="006F5417" w:rsidP="006E162B">
      <w:pPr>
        <w:jc w:val="both"/>
        <w:rPr>
          <w:rFonts w:ascii="Times New Roman" w:hAnsi="Times New Roman" w:cs="Times New Roman"/>
          <w:sz w:val="20"/>
          <w:szCs w:val="20"/>
        </w:rPr>
      </w:pPr>
      <w:proofErr w:type="spellStart"/>
      <w:r w:rsidRPr="00FA2968">
        <w:rPr>
          <w:rFonts w:ascii="Times New Roman" w:hAnsi="Times New Roman" w:cs="Times New Roman"/>
          <w:sz w:val="20"/>
          <w:szCs w:val="20"/>
        </w:rPr>
        <w:t>Omokpariola</w:t>
      </w:r>
      <w:proofErr w:type="spellEnd"/>
      <w:r w:rsidRPr="00FA2968">
        <w:rPr>
          <w:rFonts w:ascii="Times New Roman" w:hAnsi="Times New Roman" w:cs="Times New Roman"/>
          <w:sz w:val="20"/>
          <w:szCs w:val="20"/>
        </w:rPr>
        <w:t>, D. O. (2025). Spatiotemporal analysis of atmospheric aerosols in African environments using MERRA-2 data (1980–2024): Impacts on climate extremes. </w:t>
      </w:r>
      <w:proofErr w:type="spellStart"/>
      <w:r w:rsidRPr="00FA2968">
        <w:rPr>
          <w:rFonts w:ascii="Times New Roman" w:hAnsi="Times New Roman" w:cs="Times New Roman"/>
          <w:i/>
          <w:iCs/>
          <w:sz w:val="20"/>
          <w:szCs w:val="20"/>
        </w:rPr>
        <w:t>iScience</w:t>
      </w:r>
      <w:proofErr w:type="spellEnd"/>
      <w:r w:rsidRPr="00FA2968">
        <w:rPr>
          <w:rFonts w:ascii="Times New Roman" w:hAnsi="Times New Roman" w:cs="Times New Roman"/>
          <w:i/>
          <w:iCs/>
          <w:sz w:val="20"/>
          <w:szCs w:val="20"/>
        </w:rPr>
        <w:t>, 28</w:t>
      </w:r>
      <w:r w:rsidRPr="00FA2968">
        <w:rPr>
          <w:rFonts w:ascii="Times New Roman" w:hAnsi="Times New Roman" w:cs="Times New Roman"/>
          <w:sz w:val="20"/>
          <w:szCs w:val="20"/>
        </w:rPr>
        <w:t>, 112995. </w:t>
      </w:r>
      <w:hyperlink r:id="rId41" w:tgtFrame="_blank" w:history="1">
        <w:r w:rsidRPr="00FA2968">
          <w:rPr>
            <w:rStyle w:val="Hyperlink"/>
            <w:rFonts w:ascii="Times New Roman" w:hAnsi="Times New Roman" w:cs="Times New Roman"/>
            <w:sz w:val="20"/>
            <w:szCs w:val="20"/>
          </w:rPr>
          <w:t>https://doi.org/10.1016/j.isci.2025.112995</w:t>
        </w:r>
      </w:hyperlink>
    </w:p>
    <w:p w14:paraId="0D74F253" w14:textId="77777777" w:rsidR="006F5417" w:rsidRPr="00FA2968" w:rsidRDefault="006F5417" w:rsidP="006E162B">
      <w:pPr>
        <w:jc w:val="both"/>
        <w:rPr>
          <w:rFonts w:ascii="Times New Roman" w:hAnsi="Times New Roman" w:cs="Times New Roman"/>
          <w:sz w:val="20"/>
          <w:szCs w:val="20"/>
        </w:rPr>
      </w:pPr>
      <w:proofErr w:type="spellStart"/>
      <w:r w:rsidRPr="00FA2968">
        <w:rPr>
          <w:rFonts w:ascii="Times New Roman" w:hAnsi="Times New Roman" w:cs="Times New Roman"/>
          <w:sz w:val="20"/>
          <w:szCs w:val="20"/>
        </w:rPr>
        <w:t>Onyejuruwa</w:t>
      </w:r>
      <w:proofErr w:type="spellEnd"/>
      <w:r w:rsidRPr="00FA2968">
        <w:rPr>
          <w:rFonts w:ascii="Times New Roman" w:hAnsi="Times New Roman" w:cs="Times New Roman"/>
          <w:sz w:val="20"/>
          <w:szCs w:val="20"/>
        </w:rPr>
        <w:t>, A., Hu, Z., Afolayan, S. A., Emmanuel, O. O., Muhammad, A., &amp; Owolabi, A. (2025). Aerosol-types anomalies and their role in shaping pre-monsoon precipitation trends over Nigeria. </w:t>
      </w:r>
      <w:r w:rsidRPr="00FA2968">
        <w:rPr>
          <w:rFonts w:ascii="Times New Roman" w:hAnsi="Times New Roman" w:cs="Times New Roman"/>
          <w:i/>
          <w:iCs/>
          <w:sz w:val="20"/>
          <w:szCs w:val="20"/>
        </w:rPr>
        <w:t>Earth Systems and Environment</w:t>
      </w:r>
      <w:r w:rsidRPr="00FA2968">
        <w:rPr>
          <w:rFonts w:ascii="Times New Roman" w:hAnsi="Times New Roman" w:cs="Times New Roman"/>
          <w:sz w:val="20"/>
          <w:szCs w:val="20"/>
        </w:rPr>
        <w:t>. </w:t>
      </w:r>
      <w:hyperlink r:id="rId42" w:tgtFrame="_blank" w:history="1">
        <w:r w:rsidRPr="00FA2968">
          <w:rPr>
            <w:rStyle w:val="Hyperlink"/>
            <w:rFonts w:ascii="Times New Roman" w:hAnsi="Times New Roman" w:cs="Times New Roman"/>
            <w:sz w:val="20"/>
            <w:szCs w:val="20"/>
          </w:rPr>
          <w:t>https://doi.org/10.1007/s41748-025-00759-z</w:t>
        </w:r>
      </w:hyperlink>
    </w:p>
    <w:p w14:paraId="5A81132C"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Ozer, P., </w:t>
      </w:r>
      <w:proofErr w:type="spellStart"/>
      <w:r w:rsidRPr="00FA2968">
        <w:rPr>
          <w:rFonts w:ascii="Times New Roman" w:hAnsi="Times New Roman" w:cs="Times New Roman"/>
          <w:sz w:val="20"/>
          <w:szCs w:val="20"/>
        </w:rPr>
        <w:t>Laghdaf</w:t>
      </w:r>
      <w:proofErr w:type="spellEnd"/>
      <w:r w:rsidRPr="00FA2968">
        <w:rPr>
          <w:rFonts w:ascii="Times New Roman" w:hAnsi="Times New Roman" w:cs="Times New Roman"/>
          <w:sz w:val="20"/>
          <w:szCs w:val="20"/>
        </w:rPr>
        <w:t xml:space="preserve">, M. B. O. M., </w:t>
      </w:r>
      <w:proofErr w:type="spellStart"/>
      <w:r w:rsidRPr="00FA2968">
        <w:rPr>
          <w:rFonts w:ascii="Times New Roman" w:hAnsi="Times New Roman" w:cs="Times New Roman"/>
          <w:sz w:val="20"/>
          <w:szCs w:val="20"/>
        </w:rPr>
        <w:t>Lemine</w:t>
      </w:r>
      <w:proofErr w:type="spellEnd"/>
      <w:r w:rsidRPr="00FA2968">
        <w:rPr>
          <w:rFonts w:ascii="Times New Roman" w:hAnsi="Times New Roman" w:cs="Times New Roman"/>
          <w:sz w:val="20"/>
          <w:szCs w:val="20"/>
        </w:rPr>
        <w:t xml:space="preserve">, S. O. M., &amp; </w:t>
      </w:r>
      <w:proofErr w:type="spellStart"/>
      <w:r w:rsidRPr="00FA2968">
        <w:rPr>
          <w:rFonts w:ascii="Times New Roman" w:hAnsi="Times New Roman" w:cs="Times New Roman"/>
          <w:sz w:val="20"/>
          <w:szCs w:val="20"/>
        </w:rPr>
        <w:t>Gassani</w:t>
      </w:r>
      <w:proofErr w:type="spellEnd"/>
      <w:r w:rsidRPr="00FA2968">
        <w:rPr>
          <w:rFonts w:ascii="Times New Roman" w:hAnsi="Times New Roman" w:cs="Times New Roman"/>
          <w:sz w:val="20"/>
          <w:szCs w:val="20"/>
        </w:rPr>
        <w:t>, J. (2007). Estimation of air quality degradation due to Saharan dust at Nouakchott, Mauritania, from horizontal visibility data. </w:t>
      </w:r>
      <w:r w:rsidRPr="00FA2968">
        <w:rPr>
          <w:rFonts w:ascii="Times New Roman" w:hAnsi="Times New Roman" w:cs="Times New Roman"/>
          <w:i/>
          <w:iCs/>
          <w:sz w:val="20"/>
          <w:szCs w:val="20"/>
        </w:rPr>
        <w:t>Water, Air, and Soil Pollution, 178</w:t>
      </w:r>
      <w:r w:rsidRPr="00FA2968">
        <w:rPr>
          <w:rFonts w:ascii="Times New Roman" w:hAnsi="Times New Roman" w:cs="Times New Roman"/>
          <w:sz w:val="20"/>
          <w:szCs w:val="20"/>
        </w:rPr>
        <w:t>(1–4), 79–87. </w:t>
      </w:r>
      <w:hyperlink r:id="rId43" w:tgtFrame="_blank" w:history="1">
        <w:r w:rsidRPr="00FA2968">
          <w:rPr>
            <w:rStyle w:val="Hyperlink"/>
            <w:rFonts w:ascii="Times New Roman" w:hAnsi="Times New Roman" w:cs="Times New Roman"/>
            <w:sz w:val="20"/>
            <w:szCs w:val="20"/>
          </w:rPr>
          <w:t>https://doi.org/10.1007/s11270-006-9152-9</w:t>
        </w:r>
      </w:hyperlink>
    </w:p>
    <w:p w14:paraId="24C96198" w14:textId="77777777" w:rsidR="006F5417" w:rsidRPr="00FA2968" w:rsidRDefault="006F5417" w:rsidP="006E162B">
      <w:pPr>
        <w:jc w:val="both"/>
        <w:rPr>
          <w:rFonts w:ascii="Times New Roman" w:hAnsi="Times New Roman" w:cs="Times New Roman"/>
          <w:sz w:val="20"/>
          <w:szCs w:val="20"/>
        </w:rPr>
      </w:pPr>
      <w:proofErr w:type="spellStart"/>
      <w:r w:rsidRPr="00FA2968">
        <w:rPr>
          <w:rFonts w:ascii="Times New Roman" w:hAnsi="Times New Roman" w:cs="Times New Roman"/>
          <w:sz w:val="20"/>
          <w:szCs w:val="20"/>
        </w:rPr>
        <w:t>Panthou</w:t>
      </w:r>
      <w:proofErr w:type="spellEnd"/>
      <w:r w:rsidRPr="00FA2968">
        <w:rPr>
          <w:rFonts w:ascii="Times New Roman" w:hAnsi="Times New Roman" w:cs="Times New Roman"/>
          <w:sz w:val="20"/>
          <w:szCs w:val="20"/>
        </w:rPr>
        <w:t xml:space="preserve">, G., Lebel, T., </w:t>
      </w:r>
      <w:proofErr w:type="spellStart"/>
      <w:r w:rsidRPr="00FA2968">
        <w:rPr>
          <w:rFonts w:ascii="Times New Roman" w:hAnsi="Times New Roman" w:cs="Times New Roman"/>
          <w:sz w:val="20"/>
          <w:szCs w:val="20"/>
        </w:rPr>
        <w:t>Vischel</w:t>
      </w:r>
      <w:proofErr w:type="spellEnd"/>
      <w:r w:rsidRPr="00FA2968">
        <w:rPr>
          <w:rFonts w:ascii="Times New Roman" w:hAnsi="Times New Roman" w:cs="Times New Roman"/>
          <w:sz w:val="20"/>
          <w:szCs w:val="20"/>
        </w:rPr>
        <w:t xml:space="preserve">, T., Quantin, G., </w:t>
      </w:r>
      <w:proofErr w:type="spellStart"/>
      <w:r w:rsidRPr="00FA2968">
        <w:rPr>
          <w:rFonts w:ascii="Times New Roman" w:hAnsi="Times New Roman" w:cs="Times New Roman"/>
          <w:sz w:val="20"/>
          <w:szCs w:val="20"/>
        </w:rPr>
        <w:t>Sané</w:t>
      </w:r>
      <w:proofErr w:type="spellEnd"/>
      <w:r w:rsidRPr="00FA2968">
        <w:rPr>
          <w:rFonts w:ascii="Times New Roman" w:hAnsi="Times New Roman" w:cs="Times New Roman"/>
          <w:sz w:val="20"/>
          <w:szCs w:val="20"/>
        </w:rPr>
        <w:t xml:space="preserve">, Y., Ba, A., Ndiaye, O., Diongue-Niang, A., &amp; </w:t>
      </w:r>
      <w:proofErr w:type="spellStart"/>
      <w:r w:rsidRPr="00FA2968">
        <w:rPr>
          <w:rFonts w:ascii="Times New Roman" w:hAnsi="Times New Roman" w:cs="Times New Roman"/>
          <w:sz w:val="20"/>
          <w:szCs w:val="20"/>
        </w:rPr>
        <w:t>Diopkané</w:t>
      </w:r>
      <w:proofErr w:type="spellEnd"/>
      <w:r w:rsidRPr="00FA2968">
        <w:rPr>
          <w:rFonts w:ascii="Times New Roman" w:hAnsi="Times New Roman" w:cs="Times New Roman"/>
          <w:sz w:val="20"/>
          <w:szCs w:val="20"/>
        </w:rPr>
        <w:t>, M. (2018). Rainfall intensification in tropical semi-arid regions: The Sahelian case. </w:t>
      </w:r>
      <w:r w:rsidRPr="00FA2968">
        <w:rPr>
          <w:rFonts w:ascii="Times New Roman" w:hAnsi="Times New Roman" w:cs="Times New Roman"/>
          <w:i/>
          <w:iCs/>
          <w:sz w:val="20"/>
          <w:szCs w:val="20"/>
        </w:rPr>
        <w:t>Environmental Research Letters, 13</w:t>
      </w:r>
      <w:r w:rsidRPr="00FA2968">
        <w:rPr>
          <w:rFonts w:ascii="Times New Roman" w:hAnsi="Times New Roman" w:cs="Times New Roman"/>
          <w:sz w:val="20"/>
          <w:szCs w:val="20"/>
        </w:rPr>
        <w:t>(6), 064013. </w:t>
      </w:r>
      <w:hyperlink r:id="rId44" w:tgtFrame="_blank" w:history="1">
        <w:r w:rsidRPr="00FA2968">
          <w:rPr>
            <w:rStyle w:val="Hyperlink"/>
            <w:rFonts w:ascii="Times New Roman" w:hAnsi="Times New Roman" w:cs="Times New Roman"/>
            <w:sz w:val="20"/>
            <w:szCs w:val="20"/>
          </w:rPr>
          <w:t>https://doi.org/10.1088/1748-9326/aac334</w:t>
        </w:r>
      </w:hyperlink>
    </w:p>
    <w:p w14:paraId="5CB1B931"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Pham-Duc, B., </w:t>
      </w:r>
      <w:proofErr w:type="spellStart"/>
      <w:r w:rsidRPr="00FA2968">
        <w:rPr>
          <w:rFonts w:ascii="Times New Roman" w:hAnsi="Times New Roman" w:cs="Times New Roman"/>
          <w:sz w:val="20"/>
          <w:szCs w:val="20"/>
        </w:rPr>
        <w:t>Frappart</w:t>
      </w:r>
      <w:proofErr w:type="spellEnd"/>
      <w:r w:rsidRPr="00FA2968">
        <w:rPr>
          <w:rFonts w:ascii="Times New Roman" w:hAnsi="Times New Roman" w:cs="Times New Roman"/>
          <w:sz w:val="20"/>
          <w:szCs w:val="20"/>
        </w:rPr>
        <w:t>, F., Tran-Anh, Q., Yan, X., Sylvestre, F., Bouchez, C., &amp; Papa, F. (2022). How shrinkage of Lake Chad affects the local climate. </w:t>
      </w:r>
      <w:r w:rsidRPr="00FA2968">
        <w:rPr>
          <w:rFonts w:ascii="Times New Roman" w:hAnsi="Times New Roman" w:cs="Times New Roman"/>
          <w:i/>
          <w:iCs/>
          <w:sz w:val="20"/>
          <w:szCs w:val="20"/>
        </w:rPr>
        <w:t>Climate Dynamics, 60</w:t>
      </w:r>
      <w:r w:rsidRPr="00FA2968">
        <w:rPr>
          <w:rFonts w:ascii="Times New Roman" w:hAnsi="Times New Roman" w:cs="Times New Roman"/>
          <w:sz w:val="20"/>
          <w:szCs w:val="20"/>
        </w:rPr>
        <w:t>, 3905–3924. </w:t>
      </w:r>
      <w:hyperlink r:id="rId45" w:tgtFrame="_blank" w:history="1">
        <w:r w:rsidRPr="00FA2968">
          <w:rPr>
            <w:rStyle w:val="Hyperlink"/>
            <w:rFonts w:ascii="Times New Roman" w:hAnsi="Times New Roman" w:cs="Times New Roman"/>
            <w:sz w:val="20"/>
            <w:szCs w:val="20"/>
          </w:rPr>
          <w:t>https://doi.org/10.1007/s00382-022-06597-3</w:t>
        </w:r>
      </w:hyperlink>
    </w:p>
    <w:p w14:paraId="291A76C0"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Pham-Duc, B., Sylvestre, F., Papa, F., </w:t>
      </w:r>
      <w:proofErr w:type="spellStart"/>
      <w:r w:rsidRPr="00FA2968">
        <w:rPr>
          <w:rFonts w:ascii="Times New Roman" w:hAnsi="Times New Roman" w:cs="Times New Roman"/>
          <w:sz w:val="20"/>
          <w:szCs w:val="20"/>
        </w:rPr>
        <w:t>Frappart</w:t>
      </w:r>
      <w:proofErr w:type="spellEnd"/>
      <w:r w:rsidRPr="00FA2968">
        <w:rPr>
          <w:rFonts w:ascii="Times New Roman" w:hAnsi="Times New Roman" w:cs="Times New Roman"/>
          <w:sz w:val="20"/>
          <w:szCs w:val="20"/>
        </w:rPr>
        <w:t xml:space="preserve">, F., Bouchez, C., &amp; </w:t>
      </w:r>
      <w:proofErr w:type="spellStart"/>
      <w:r w:rsidRPr="00FA2968">
        <w:rPr>
          <w:rFonts w:ascii="Times New Roman" w:hAnsi="Times New Roman" w:cs="Times New Roman"/>
          <w:sz w:val="20"/>
          <w:szCs w:val="20"/>
        </w:rPr>
        <w:t>Crétaux</w:t>
      </w:r>
      <w:proofErr w:type="spellEnd"/>
      <w:r w:rsidRPr="00FA2968">
        <w:rPr>
          <w:rFonts w:ascii="Times New Roman" w:hAnsi="Times New Roman" w:cs="Times New Roman"/>
          <w:sz w:val="20"/>
          <w:szCs w:val="20"/>
        </w:rPr>
        <w:t>, J.-F. (2020). The Lake Chad hydrology under current climate change. </w:t>
      </w:r>
      <w:r w:rsidRPr="00FA2968">
        <w:rPr>
          <w:rFonts w:ascii="Times New Roman" w:hAnsi="Times New Roman" w:cs="Times New Roman"/>
          <w:i/>
          <w:iCs/>
          <w:sz w:val="20"/>
          <w:szCs w:val="20"/>
        </w:rPr>
        <w:t>Scientific Reports, 10</w:t>
      </w:r>
      <w:r w:rsidRPr="00FA2968">
        <w:rPr>
          <w:rFonts w:ascii="Times New Roman" w:hAnsi="Times New Roman" w:cs="Times New Roman"/>
          <w:sz w:val="20"/>
          <w:szCs w:val="20"/>
        </w:rPr>
        <w:t>, 5498. </w:t>
      </w:r>
      <w:hyperlink r:id="rId46" w:tgtFrame="_blank" w:history="1">
        <w:r w:rsidRPr="00FA2968">
          <w:rPr>
            <w:rStyle w:val="Hyperlink"/>
            <w:rFonts w:ascii="Times New Roman" w:hAnsi="Times New Roman" w:cs="Times New Roman"/>
            <w:sz w:val="20"/>
            <w:szCs w:val="20"/>
          </w:rPr>
          <w:t>https://doi.org/10.1038/s41598-020-62417-w</w:t>
        </w:r>
      </w:hyperlink>
    </w:p>
    <w:p w14:paraId="774A7771"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Prospero, J. M., Ginoux, P., Torres, O., Nicholson, S. E., &amp; Gill, T. E. (2002). Environmental characterization of global sources of atmospheric soil dust identified with the NIMBUS 7 Total Ozone Mapping Spectrometer (TOMS) absorbing aerosol product. </w:t>
      </w:r>
      <w:r w:rsidRPr="00FA2968">
        <w:rPr>
          <w:rFonts w:ascii="Times New Roman" w:hAnsi="Times New Roman" w:cs="Times New Roman"/>
          <w:i/>
          <w:iCs/>
          <w:sz w:val="20"/>
          <w:szCs w:val="20"/>
        </w:rPr>
        <w:t>Reviews of Geophysics, 40</w:t>
      </w:r>
      <w:r w:rsidRPr="00FA2968">
        <w:rPr>
          <w:rFonts w:ascii="Times New Roman" w:hAnsi="Times New Roman" w:cs="Times New Roman"/>
          <w:sz w:val="20"/>
          <w:szCs w:val="20"/>
        </w:rPr>
        <w:t>(1), 1002. </w:t>
      </w:r>
      <w:hyperlink r:id="rId47" w:tgtFrame="_blank" w:history="1">
        <w:r w:rsidRPr="00FA2968">
          <w:rPr>
            <w:rStyle w:val="Hyperlink"/>
            <w:rFonts w:ascii="Times New Roman" w:hAnsi="Times New Roman" w:cs="Times New Roman"/>
            <w:sz w:val="20"/>
            <w:szCs w:val="20"/>
          </w:rPr>
          <w:t>https://doi.org/10.1029/2000RG000095</w:t>
        </w:r>
      </w:hyperlink>
    </w:p>
    <w:p w14:paraId="7ED52621"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Quansah, E., Schmitt, C., &amp; </w:t>
      </w:r>
      <w:proofErr w:type="spellStart"/>
      <w:r w:rsidRPr="00FA2968">
        <w:rPr>
          <w:rFonts w:ascii="Times New Roman" w:hAnsi="Times New Roman" w:cs="Times New Roman"/>
          <w:sz w:val="20"/>
          <w:szCs w:val="20"/>
        </w:rPr>
        <w:t>Rappenglueck</w:t>
      </w:r>
      <w:proofErr w:type="spellEnd"/>
      <w:r w:rsidRPr="00FA2968">
        <w:rPr>
          <w:rFonts w:ascii="Times New Roman" w:hAnsi="Times New Roman" w:cs="Times New Roman"/>
          <w:sz w:val="20"/>
          <w:szCs w:val="20"/>
        </w:rPr>
        <w:t>, B. (2012). Empirical and dynamical investigations of Harmattan dust over the south coast of West Africa. </w:t>
      </w:r>
      <w:r w:rsidRPr="00FA2968">
        <w:rPr>
          <w:rFonts w:ascii="Times New Roman" w:hAnsi="Times New Roman" w:cs="Times New Roman"/>
          <w:i/>
          <w:iCs/>
          <w:sz w:val="20"/>
          <w:szCs w:val="20"/>
        </w:rPr>
        <w:t>Journal of Geophysical Research: Atmospheres, 117</w:t>
      </w:r>
      <w:r w:rsidRPr="00FA2968">
        <w:rPr>
          <w:rFonts w:ascii="Times New Roman" w:hAnsi="Times New Roman" w:cs="Times New Roman"/>
          <w:sz w:val="20"/>
          <w:szCs w:val="20"/>
        </w:rPr>
        <w:t>(D11), D11205. </w:t>
      </w:r>
      <w:hyperlink r:id="rId48" w:tgtFrame="_blank" w:history="1">
        <w:r w:rsidRPr="00FA2968">
          <w:rPr>
            <w:rStyle w:val="Hyperlink"/>
            <w:rFonts w:ascii="Times New Roman" w:hAnsi="Times New Roman" w:cs="Times New Roman"/>
            <w:sz w:val="20"/>
            <w:szCs w:val="20"/>
          </w:rPr>
          <w:t>https://doi.org/10.1029/2011JD016923</w:t>
        </w:r>
      </w:hyperlink>
    </w:p>
    <w:p w14:paraId="5224B866" w14:textId="77777777" w:rsidR="006F5417" w:rsidRPr="00FA2968" w:rsidRDefault="006F5417" w:rsidP="006E162B">
      <w:pPr>
        <w:jc w:val="both"/>
        <w:rPr>
          <w:rFonts w:ascii="Times New Roman" w:hAnsi="Times New Roman" w:cs="Times New Roman"/>
          <w:sz w:val="20"/>
          <w:szCs w:val="20"/>
        </w:rPr>
      </w:pPr>
      <w:proofErr w:type="spellStart"/>
      <w:r w:rsidRPr="00FA2968">
        <w:rPr>
          <w:rFonts w:ascii="Times New Roman" w:hAnsi="Times New Roman" w:cs="Times New Roman"/>
          <w:sz w:val="20"/>
          <w:szCs w:val="20"/>
        </w:rPr>
        <w:t>Rashki</w:t>
      </w:r>
      <w:proofErr w:type="spellEnd"/>
      <w:r w:rsidRPr="00FA2968">
        <w:rPr>
          <w:rFonts w:ascii="Times New Roman" w:hAnsi="Times New Roman" w:cs="Times New Roman"/>
          <w:sz w:val="20"/>
          <w:szCs w:val="20"/>
        </w:rPr>
        <w:t xml:space="preserve">, A., </w:t>
      </w:r>
      <w:proofErr w:type="spellStart"/>
      <w:r w:rsidRPr="00FA2968">
        <w:rPr>
          <w:rFonts w:ascii="Times New Roman" w:hAnsi="Times New Roman" w:cs="Times New Roman"/>
          <w:sz w:val="20"/>
          <w:szCs w:val="20"/>
        </w:rPr>
        <w:t>Kaskaoutis</w:t>
      </w:r>
      <w:proofErr w:type="spellEnd"/>
      <w:r w:rsidRPr="00FA2968">
        <w:rPr>
          <w:rFonts w:ascii="Times New Roman" w:hAnsi="Times New Roman" w:cs="Times New Roman"/>
          <w:sz w:val="20"/>
          <w:szCs w:val="20"/>
        </w:rPr>
        <w:t>, D. G., Goudie, A. S., &amp; Kahn, R. A. (2013). Dryness of ephemeral lakes and consequences for dust activity: The case of the Hamoun drainage basin, southeastern Iran. </w:t>
      </w:r>
      <w:r w:rsidRPr="00FA2968">
        <w:rPr>
          <w:rFonts w:ascii="Times New Roman" w:hAnsi="Times New Roman" w:cs="Times New Roman"/>
          <w:i/>
          <w:iCs/>
          <w:sz w:val="20"/>
          <w:szCs w:val="20"/>
        </w:rPr>
        <w:t>Science of the Total Environment, 463–464</w:t>
      </w:r>
      <w:r w:rsidRPr="00FA2968">
        <w:rPr>
          <w:rFonts w:ascii="Times New Roman" w:hAnsi="Times New Roman" w:cs="Times New Roman"/>
          <w:sz w:val="20"/>
          <w:szCs w:val="20"/>
        </w:rPr>
        <w:t>, 552–564. </w:t>
      </w:r>
      <w:hyperlink r:id="rId49" w:tgtFrame="_blank" w:history="1">
        <w:r w:rsidRPr="00FA2968">
          <w:rPr>
            <w:rStyle w:val="Hyperlink"/>
            <w:rFonts w:ascii="Times New Roman" w:hAnsi="Times New Roman" w:cs="Times New Roman"/>
            <w:sz w:val="20"/>
            <w:szCs w:val="20"/>
          </w:rPr>
          <w:t>https://doi.org/10.1016/j.scitotenv.2013.06.045</w:t>
        </w:r>
      </w:hyperlink>
    </w:p>
    <w:p w14:paraId="65C2F6FF" w14:textId="77777777" w:rsidR="006F5417" w:rsidRPr="00FA2968" w:rsidRDefault="006F5417" w:rsidP="006E162B">
      <w:pPr>
        <w:jc w:val="both"/>
        <w:rPr>
          <w:rFonts w:ascii="Times New Roman" w:hAnsi="Times New Roman" w:cs="Times New Roman"/>
          <w:sz w:val="20"/>
          <w:szCs w:val="20"/>
        </w:rPr>
      </w:pPr>
      <w:proofErr w:type="spellStart"/>
      <w:r w:rsidRPr="00FA2968">
        <w:rPr>
          <w:rFonts w:ascii="Times New Roman" w:hAnsi="Times New Roman" w:cs="Times New Roman"/>
          <w:sz w:val="20"/>
          <w:szCs w:val="20"/>
        </w:rPr>
        <w:t>Salack</w:t>
      </w:r>
      <w:proofErr w:type="spellEnd"/>
      <w:r w:rsidRPr="00FA2968">
        <w:rPr>
          <w:rFonts w:ascii="Times New Roman" w:hAnsi="Times New Roman" w:cs="Times New Roman"/>
          <w:sz w:val="20"/>
          <w:szCs w:val="20"/>
        </w:rPr>
        <w:t xml:space="preserve">, S., Klein, C., Giannini, A., Sarr, B., </w:t>
      </w:r>
      <w:proofErr w:type="spellStart"/>
      <w:r w:rsidRPr="00FA2968">
        <w:rPr>
          <w:rFonts w:ascii="Times New Roman" w:hAnsi="Times New Roman" w:cs="Times New Roman"/>
          <w:sz w:val="20"/>
          <w:szCs w:val="20"/>
        </w:rPr>
        <w:t>Worou</w:t>
      </w:r>
      <w:proofErr w:type="spellEnd"/>
      <w:r w:rsidRPr="00FA2968">
        <w:rPr>
          <w:rFonts w:ascii="Times New Roman" w:hAnsi="Times New Roman" w:cs="Times New Roman"/>
          <w:sz w:val="20"/>
          <w:szCs w:val="20"/>
        </w:rPr>
        <w:t xml:space="preserve">, O. N., Belko, N., </w:t>
      </w:r>
      <w:proofErr w:type="spellStart"/>
      <w:r w:rsidRPr="00FA2968">
        <w:rPr>
          <w:rFonts w:ascii="Times New Roman" w:hAnsi="Times New Roman" w:cs="Times New Roman"/>
          <w:sz w:val="20"/>
          <w:szCs w:val="20"/>
        </w:rPr>
        <w:t>Bliefernicht</w:t>
      </w:r>
      <w:proofErr w:type="spellEnd"/>
      <w:r w:rsidRPr="00FA2968">
        <w:rPr>
          <w:rFonts w:ascii="Times New Roman" w:hAnsi="Times New Roman" w:cs="Times New Roman"/>
          <w:sz w:val="20"/>
          <w:szCs w:val="20"/>
        </w:rPr>
        <w:t>, J., &amp; Kunstmann, H. (2016). Global warming-induced hybrid rainy seasons in the Sahel. </w:t>
      </w:r>
      <w:r w:rsidRPr="00FA2968">
        <w:rPr>
          <w:rFonts w:ascii="Times New Roman" w:hAnsi="Times New Roman" w:cs="Times New Roman"/>
          <w:i/>
          <w:iCs/>
          <w:sz w:val="20"/>
          <w:szCs w:val="20"/>
        </w:rPr>
        <w:t>Environmental Research Letters, 11</w:t>
      </w:r>
      <w:r w:rsidRPr="00FA2968">
        <w:rPr>
          <w:rFonts w:ascii="Times New Roman" w:hAnsi="Times New Roman" w:cs="Times New Roman"/>
          <w:sz w:val="20"/>
          <w:szCs w:val="20"/>
        </w:rPr>
        <w:t>, 104008. </w:t>
      </w:r>
      <w:hyperlink r:id="rId50" w:tgtFrame="_blank" w:history="1">
        <w:r w:rsidRPr="00FA2968">
          <w:rPr>
            <w:rStyle w:val="Hyperlink"/>
            <w:rFonts w:ascii="Times New Roman" w:hAnsi="Times New Roman" w:cs="Times New Roman"/>
            <w:sz w:val="20"/>
            <w:szCs w:val="20"/>
          </w:rPr>
          <w:t>https://doi.org/10.1088/1748-9326/11/10/104008</w:t>
        </w:r>
      </w:hyperlink>
    </w:p>
    <w:p w14:paraId="038A7B98"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Slingo, A., </w:t>
      </w:r>
      <w:proofErr w:type="spellStart"/>
      <w:r w:rsidRPr="00FA2968">
        <w:rPr>
          <w:rFonts w:ascii="Times New Roman" w:hAnsi="Times New Roman" w:cs="Times New Roman"/>
          <w:sz w:val="20"/>
          <w:szCs w:val="20"/>
        </w:rPr>
        <w:t>Bharmal</w:t>
      </w:r>
      <w:proofErr w:type="spellEnd"/>
      <w:r w:rsidRPr="00FA2968">
        <w:rPr>
          <w:rFonts w:ascii="Times New Roman" w:hAnsi="Times New Roman" w:cs="Times New Roman"/>
          <w:sz w:val="20"/>
          <w:szCs w:val="20"/>
        </w:rPr>
        <w:t>, N. A., Robinson, G. J., Settle, J. J., Allan, R. P., White, H. E., … Lamb, P. J. (2006). Overview of observations from the RADAGAST experiment in Niamey, Niger: Meteorology and thermodynamic variables. </w:t>
      </w:r>
      <w:r w:rsidRPr="00FA2968">
        <w:rPr>
          <w:rFonts w:ascii="Times New Roman" w:hAnsi="Times New Roman" w:cs="Times New Roman"/>
          <w:i/>
          <w:iCs/>
          <w:sz w:val="20"/>
          <w:szCs w:val="20"/>
        </w:rPr>
        <w:t>Journal of Geophysical Research: Atmospheres, 111</w:t>
      </w:r>
      <w:r w:rsidRPr="00FA2968">
        <w:rPr>
          <w:rFonts w:ascii="Times New Roman" w:hAnsi="Times New Roman" w:cs="Times New Roman"/>
          <w:sz w:val="20"/>
          <w:szCs w:val="20"/>
        </w:rPr>
        <w:t>(D24), D24S01. </w:t>
      </w:r>
      <w:hyperlink r:id="rId51" w:tgtFrame="_blank" w:history="1">
        <w:r w:rsidRPr="00FA2968">
          <w:rPr>
            <w:rStyle w:val="Hyperlink"/>
            <w:rFonts w:ascii="Times New Roman" w:hAnsi="Times New Roman" w:cs="Times New Roman"/>
            <w:sz w:val="20"/>
            <w:szCs w:val="20"/>
          </w:rPr>
          <w:t>https://doi.org/10.1029/2006JD007509</w:t>
        </w:r>
      </w:hyperlink>
    </w:p>
    <w:p w14:paraId="72B4195B"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Solmon, F., Mallet, M., </w:t>
      </w:r>
      <w:proofErr w:type="spellStart"/>
      <w:r w:rsidRPr="00FA2968">
        <w:rPr>
          <w:rFonts w:ascii="Times New Roman" w:hAnsi="Times New Roman" w:cs="Times New Roman"/>
          <w:sz w:val="20"/>
          <w:szCs w:val="20"/>
        </w:rPr>
        <w:t>Elguindi</w:t>
      </w:r>
      <w:proofErr w:type="spellEnd"/>
      <w:r w:rsidRPr="00FA2968">
        <w:rPr>
          <w:rFonts w:ascii="Times New Roman" w:hAnsi="Times New Roman" w:cs="Times New Roman"/>
          <w:sz w:val="20"/>
          <w:szCs w:val="20"/>
        </w:rPr>
        <w:t>, N., Giorgi, F., Zakey, A., &amp; Konaré, A. (2008). Dust aerosol impact on regional precipitation over western Africa: Mechanisms and sensitivity to absorption properties. </w:t>
      </w:r>
      <w:r w:rsidRPr="00FA2968">
        <w:rPr>
          <w:rFonts w:ascii="Times New Roman" w:hAnsi="Times New Roman" w:cs="Times New Roman"/>
          <w:i/>
          <w:iCs/>
          <w:sz w:val="20"/>
          <w:szCs w:val="20"/>
        </w:rPr>
        <w:t>Geophysical Research Letters, 35</w:t>
      </w:r>
      <w:r w:rsidRPr="00FA2968">
        <w:rPr>
          <w:rFonts w:ascii="Times New Roman" w:hAnsi="Times New Roman" w:cs="Times New Roman"/>
          <w:sz w:val="20"/>
          <w:szCs w:val="20"/>
        </w:rPr>
        <w:t>, L24705. </w:t>
      </w:r>
      <w:hyperlink r:id="rId52" w:tgtFrame="_blank" w:history="1">
        <w:r w:rsidRPr="00FA2968">
          <w:rPr>
            <w:rStyle w:val="Hyperlink"/>
            <w:rFonts w:ascii="Times New Roman" w:hAnsi="Times New Roman" w:cs="Times New Roman"/>
            <w:sz w:val="20"/>
            <w:szCs w:val="20"/>
          </w:rPr>
          <w:t>https://doi.org/10.1029/2008GL035900</w:t>
        </w:r>
      </w:hyperlink>
    </w:p>
    <w:p w14:paraId="023DBF88"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Sultan, B., &amp; Gaetani, M. (2016). Agriculture in West Africa in the twenty-first century: Climate change and impacts scenarios, and potential for adaptation. </w:t>
      </w:r>
      <w:r w:rsidRPr="00FA2968">
        <w:rPr>
          <w:rFonts w:ascii="Times New Roman" w:hAnsi="Times New Roman" w:cs="Times New Roman"/>
          <w:i/>
          <w:iCs/>
          <w:sz w:val="20"/>
          <w:szCs w:val="20"/>
        </w:rPr>
        <w:t>Frontiers in Plant Science, 7</w:t>
      </w:r>
      <w:r w:rsidRPr="00FA2968">
        <w:rPr>
          <w:rFonts w:ascii="Times New Roman" w:hAnsi="Times New Roman" w:cs="Times New Roman"/>
          <w:sz w:val="20"/>
          <w:szCs w:val="20"/>
        </w:rPr>
        <w:t>, 1262. </w:t>
      </w:r>
      <w:hyperlink r:id="rId53" w:tgtFrame="_blank" w:history="1">
        <w:r w:rsidRPr="00FA2968">
          <w:rPr>
            <w:rStyle w:val="Hyperlink"/>
            <w:rFonts w:ascii="Times New Roman" w:hAnsi="Times New Roman" w:cs="Times New Roman"/>
            <w:sz w:val="20"/>
            <w:szCs w:val="20"/>
          </w:rPr>
          <w:t>https://doi.org/10.3389/fpls.2016.01262</w:t>
        </w:r>
      </w:hyperlink>
    </w:p>
    <w:p w14:paraId="15E98778" w14:textId="77777777" w:rsidR="006F5417" w:rsidRPr="00FA2968" w:rsidRDefault="006F5417" w:rsidP="006E162B">
      <w:pPr>
        <w:jc w:val="both"/>
        <w:rPr>
          <w:rFonts w:ascii="Times New Roman" w:hAnsi="Times New Roman" w:cs="Times New Roman"/>
          <w:sz w:val="20"/>
          <w:szCs w:val="20"/>
        </w:rPr>
      </w:pPr>
      <w:proofErr w:type="spellStart"/>
      <w:r w:rsidRPr="00FA2968">
        <w:rPr>
          <w:rFonts w:ascii="Times New Roman" w:hAnsi="Times New Roman" w:cs="Times New Roman"/>
          <w:sz w:val="20"/>
          <w:szCs w:val="20"/>
        </w:rPr>
        <w:lastRenderedPageBreak/>
        <w:t>Tanré</w:t>
      </w:r>
      <w:proofErr w:type="spellEnd"/>
      <w:r w:rsidRPr="00FA2968">
        <w:rPr>
          <w:rFonts w:ascii="Times New Roman" w:hAnsi="Times New Roman" w:cs="Times New Roman"/>
          <w:sz w:val="20"/>
          <w:szCs w:val="20"/>
        </w:rPr>
        <w:t>, D., Kaufman, Y. J., Herman, M., &amp; Mattoo, S. (1997). Remote sensing of aerosol properties over oceans using the MODIS/EOS spectral radiances. </w:t>
      </w:r>
      <w:r w:rsidRPr="00FA2968">
        <w:rPr>
          <w:rFonts w:ascii="Times New Roman" w:hAnsi="Times New Roman" w:cs="Times New Roman"/>
          <w:i/>
          <w:iCs/>
          <w:sz w:val="20"/>
          <w:szCs w:val="20"/>
        </w:rPr>
        <w:t>Journal of Geophysical Research: Atmospheres, 102</w:t>
      </w:r>
      <w:r w:rsidRPr="00FA2968">
        <w:rPr>
          <w:rFonts w:ascii="Times New Roman" w:hAnsi="Times New Roman" w:cs="Times New Roman"/>
          <w:sz w:val="20"/>
          <w:szCs w:val="20"/>
        </w:rPr>
        <w:t>(D14), 16971–16988. </w:t>
      </w:r>
      <w:hyperlink r:id="rId54" w:tgtFrame="_blank" w:history="1">
        <w:r w:rsidRPr="00FA2968">
          <w:rPr>
            <w:rStyle w:val="Hyperlink"/>
            <w:rFonts w:ascii="Times New Roman" w:hAnsi="Times New Roman" w:cs="Times New Roman"/>
            <w:sz w:val="20"/>
            <w:szCs w:val="20"/>
          </w:rPr>
          <w:t>https://doi.org/10.1029/96JD03437</w:t>
        </w:r>
      </w:hyperlink>
    </w:p>
    <w:p w14:paraId="3AFECFE0"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Todd, M. C., Washington, R., Martins, J. V., Dubovik, O., Lizcano, G., M'Bainayel, S., &amp; </w:t>
      </w:r>
      <w:proofErr w:type="spellStart"/>
      <w:r w:rsidRPr="00FA2968">
        <w:rPr>
          <w:rFonts w:ascii="Times New Roman" w:hAnsi="Times New Roman" w:cs="Times New Roman"/>
          <w:sz w:val="20"/>
          <w:szCs w:val="20"/>
        </w:rPr>
        <w:t>Engelstaedter</w:t>
      </w:r>
      <w:proofErr w:type="spellEnd"/>
      <w:r w:rsidRPr="00FA2968">
        <w:rPr>
          <w:rFonts w:ascii="Times New Roman" w:hAnsi="Times New Roman" w:cs="Times New Roman"/>
          <w:sz w:val="20"/>
          <w:szCs w:val="20"/>
        </w:rPr>
        <w:t xml:space="preserve">, S. (2007). Mineral dust emission from the </w:t>
      </w:r>
      <w:proofErr w:type="spellStart"/>
      <w:r w:rsidRPr="00FA2968">
        <w:rPr>
          <w:rFonts w:ascii="Times New Roman" w:hAnsi="Times New Roman" w:cs="Times New Roman"/>
          <w:sz w:val="20"/>
          <w:szCs w:val="20"/>
        </w:rPr>
        <w:t>Bodélé</w:t>
      </w:r>
      <w:proofErr w:type="spellEnd"/>
      <w:r w:rsidRPr="00FA2968">
        <w:rPr>
          <w:rFonts w:ascii="Times New Roman" w:hAnsi="Times New Roman" w:cs="Times New Roman"/>
          <w:sz w:val="20"/>
          <w:szCs w:val="20"/>
        </w:rPr>
        <w:t xml:space="preserve"> Depression, northern Chad, during </w:t>
      </w:r>
      <w:proofErr w:type="spellStart"/>
      <w:r w:rsidRPr="00FA2968">
        <w:rPr>
          <w:rFonts w:ascii="Times New Roman" w:hAnsi="Times New Roman" w:cs="Times New Roman"/>
          <w:sz w:val="20"/>
          <w:szCs w:val="20"/>
        </w:rPr>
        <w:t>BoDEx</w:t>
      </w:r>
      <w:proofErr w:type="spellEnd"/>
      <w:r w:rsidRPr="00FA2968">
        <w:rPr>
          <w:rFonts w:ascii="Times New Roman" w:hAnsi="Times New Roman" w:cs="Times New Roman"/>
          <w:sz w:val="20"/>
          <w:szCs w:val="20"/>
        </w:rPr>
        <w:t xml:space="preserve"> 2005. </w:t>
      </w:r>
      <w:r w:rsidRPr="00FA2968">
        <w:rPr>
          <w:rFonts w:ascii="Times New Roman" w:hAnsi="Times New Roman" w:cs="Times New Roman"/>
          <w:i/>
          <w:iCs/>
          <w:sz w:val="20"/>
          <w:szCs w:val="20"/>
        </w:rPr>
        <w:t>Journal of Geophysical Research: Atmospheres, 112</w:t>
      </w:r>
      <w:r w:rsidRPr="00FA2968">
        <w:rPr>
          <w:rFonts w:ascii="Times New Roman" w:hAnsi="Times New Roman" w:cs="Times New Roman"/>
          <w:sz w:val="20"/>
          <w:szCs w:val="20"/>
        </w:rPr>
        <w:t>(D6), D06207. </w:t>
      </w:r>
      <w:hyperlink r:id="rId55" w:tgtFrame="_blank" w:history="1">
        <w:r w:rsidRPr="00FA2968">
          <w:rPr>
            <w:rStyle w:val="Hyperlink"/>
            <w:rFonts w:ascii="Times New Roman" w:hAnsi="Times New Roman" w:cs="Times New Roman"/>
            <w:sz w:val="20"/>
            <w:szCs w:val="20"/>
          </w:rPr>
          <w:t>https://doi.org/10.1029/2006JD007170</w:t>
        </w:r>
      </w:hyperlink>
    </w:p>
    <w:p w14:paraId="5C79A794"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Wane, D., Bader, J., Reason, C. J. C., &amp; Fink, A. H. (2025). An imminent return to drought in the western Sahel? </w:t>
      </w:r>
      <w:r w:rsidRPr="00FA2968">
        <w:rPr>
          <w:rFonts w:ascii="Times New Roman" w:hAnsi="Times New Roman" w:cs="Times New Roman"/>
          <w:i/>
          <w:iCs/>
          <w:sz w:val="20"/>
          <w:szCs w:val="20"/>
        </w:rPr>
        <w:t>Science Advances, 11</w:t>
      </w:r>
      <w:r w:rsidRPr="00FA2968">
        <w:rPr>
          <w:rFonts w:ascii="Times New Roman" w:hAnsi="Times New Roman" w:cs="Times New Roman"/>
          <w:sz w:val="20"/>
          <w:szCs w:val="20"/>
        </w:rPr>
        <w:t>, eadu5415. </w:t>
      </w:r>
      <w:hyperlink r:id="rId56" w:tgtFrame="_blank" w:history="1">
        <w:r w:rsidRPr="00FA2968">
          <w:rPr>
            <w:rStyle w:val="Hyperlink"/>
            <w:rFonts w:ascii="Times New Roman" w:hAnsi="Times New Roman" w:cs="Times New Roman"/>
            <w:sz w:val="20"/>
            <w:szCs w:val="20"/>
          </w:rPr>
          <w:t>https://doi.org/10.1126/sciadv.adu5415</w:t>
        </w:r>
      </w:hyperlink>
    </w:p>
    <w:p w14:paraId="421EC57D"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Washington, R., &amp; Todd, M. C. (2005). Atmospheric controls on mineral dust emission from the </w:t>
      </w:r>
      <w:proofErr w:type="spellStart"/>
      <w:r w:rsidRPr="00FA2968">
        <w:rPr>
          <w:rFonts w:ascii="Times New Roman" w:hAnsi="Times New Roman" w:cs="Times New Roman"/>
          <w:sz w:val="20"/>
          <w:szCs w:val="20"/>
        </w:rPr>
        <w:t>Bodélé</w:t>
      </w:r>
      <w:proofErr w:type="spellEnd"/>
      <w:r w:rsidRPr="00FA2968">
        <w:rPr>
          <w:rFonts w:ascii="Times New Roman" w:hAnsi="Times New Roman" w:cs="Times New Roman"/>
          <w:sz w:val="20"/>
          <w:szCs w:val="20"/>
        </w:rPr>
        <w:t xml:space="preserve"> Depression, Chad: The role of the </w:t>
      </w:r>
      <w:proofErr w:type="gramStart"/>
      <w:r w:rsidRPr="00FA2968">
        <w:rPr>
          <w:rFonts w:ascii="Times New Roman" w:hAnsi="Times New Roman" w:cs="Times New Roman"/>
          <w:sz w:val="20"/>
          <w:szCs w:val="20"/>
        </w:rPr>
        <w:t>low level</w:t>
      </w:r>
      <w:proofErr w:type="gramEnd"/>
      <w:r w:rsidRPr="00FA2968">
        <w:rPr>
          <w:rFonts w:ascii="Times New Roman" w:hAnsi="Times New Roman" w:cs="Times New Roman"/>
          <w:sz w:val="20"/>
          <w:szCs w:val="20"/>
        </w:rPr>
        <w:t xml:space="preserve"> jet. </w:t>
      </w:r>
      <w:r w:rsidRPr="00FA2968">
        <w:rPr>
          <w:rFonts w:ascii="Times New Roman" w:hAnsi="Times New Roman" w:cs="Times New Roman"/>
          <w:i/>
          <w:iCs/>
          <w:sz w:val="20"/>
          <w:szCs w:val="20"/>
        </w:rPr>
        <w:t>Geophysical Research Letters, 32</w:t>
      </w:r>
      <w:r w:rsidRPr="00FA2968">
        <w:rPr>
          <w:rFonts w:ascii="Times New Roman" w:hAnsi="Times New Roman" w:cs="Times New Roman"/>
          <w:sz w:val="20"/>
          <w:szCs w:val="20"/>
        </w:rPr>
        <w:t>(17), L17701. </w:t>
      </w:r>
      <w:hyperlink r:id="rId57" w:tgtFrame="_blank" w:history="1">
        <w:r w:rsidRPr="00FA2968">
          <w:rPr>
            <w:rStyle w:val="Hyperlink"/>
            <w:rFonts w:ascii="Times New Roman" w:hAnsi="Times New Roman" w:cs="Times New Roman"/>
            <w:sz w:val="20"/>
            <w:szCs w:val="20"/>
          </w:rPr>
          <w:t>https://doi.org/10.1029/2005GL023597</w:t>
        </w:r>
      </w:hyperlink>
    </w:p>
    <w:p w14:paraId="318B1564"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 xml:space="preserve">Washington, R., Todd, M. C., </w:t>
      </w:r>
      <w:proofErr w:type="spellStart"/>
      <w:r w:rsidRPr="00FA2968">
        <w:rPr>
          <w:rFonts w:ascii="Times New Roman" w:hAnsi="Times New Roman" w:cs="Times New Roman"/>
          <w:sz w:val="20"/>
          <w:szCs w:val="20"/>
        </w:rPr>
        <w:t>Engelstaedter</w:t>
      </w:r>
      <w:proofErr w:type="spellEnd"/>
      <w:r w:rsidRPr="00FA2968">
        <w:rPr>
          <w:rFonts w:ascii="Times New Roman" w:hAnsi="Times New Roman" w:cs="Times New Roman"/>
          <w:sz w:val="20"/>
          <w:szCs w:val="20"/>
        </w:rPr>
        <w:t xml:space="preserve">, S., </w:t>
      </w:r>
      <w:proofErr w:type="spellStart"/>
      <w:r w:rsidRPr="00FA2968">
        <w:rPr>
          <w:rFonts w:ascii="Times New Roman" w:hAnsi="Times New Roman" w:cs="Times New Roman"/>
          <w:sz w:val="20"/>
          <w:szCs w:val="20"/>
        </w:rPr>
        <w:t>M'Bainayel</w:t>
      </w:r>
      <w:proofErr w:type="spellEnd"/>
      <w:r w:rsidRPr="00FA2968">
        <w:rPr>
          <w:rFonts w:ascii="Times New Roman" w:hAnsi="Times New Roman" w:cs="Times New Roman"/>
          <w:sz w:val="20"/>
          <w:szCs w:val="20"/>
        </w:rPr>
        <w:t xml:space="preserve">, S., &amp; Mitchell, F. (2006). Dust and the low-level circulation over the </w:t>
      </w:r>
      <w:proofErr w:type="spellStart"/>
      <w:r w:rsidRPr="00FA2968">
        <w:rPr>
          <w:rFonts w:ascii="Times New Roman" w:hAnsi="Times New Roman" w:cs="Times New Roman"/>
          <w:sz w:val="20"/>
          <w:szCs w:val="20"/>
        </w:rPr>
        <w:t>Bodélé</w:t>
      </w:r>
      <w:proofErr w:type="spellEnd"/>
      <w:r w:rsidRPr="00FA2968">
        <w:rPr>
          <w:rFonts w:ascii="Times New Roman" w:hAnsi="Times New Roman" w:cs="Times New Roman"/>
          <w:sz w:val="20"/>
          <w:szCs w:val="20"/>
        </w:rPr>
        <w:t xml:space="preserve"> Depression, Chad: Observations from </w:t>
      </w:r>
      <w:proofErr w:type="spellStart"/>
      <w:r w:rsidRPr="00FA2968">
        <w:rPr>
          <w:rFonts w:ascii="Times New Roman" w:hAnsi="Times New Roman" w:cs="Times New Roman"/>
          <w:sz w:val="20"/>
          <w:szCs w:val="20"/>
        </w:rPr>
        <w:t>BoDEx</w:t>
      </w:r>
      <w:proofErr w:type="spellEnd"/>
      <w:r w:rsidRPr="00FA2968">
        <w:rPr>
          <w:rFonts w:ascii="Times New Roman" w:hAnsi="Times New Roman" w:cs="Times New Roman"/>
          <w:sz w:val="20"/>
          <w:szCs w:val="20"/>
        </w:rPr>
        <w:t xml:space="preserve"> 2005. </w:t>
      </w:r>
      <w:r w:rsidRPr="00FA2968">
        <w:rPr>
          <w:rFonts w:ascii="Times New Roman" w:hAnsi="Times New Roman" w:cs="Times New Roman"/>
          <w:i/>
          <w:iCs/>
          <w:sz w:val="20"/>
          <w:szCs w:val="20"/>
        </w:rPr>
        <w:t>Journal of Geophysical Research: Atmospheres, 111</w:t>
      </w:r>
      <w:r w:rsidRPr="00FA2968">
        <w:rPr>
          <w:rFonts w:ascii="Times New Roman" w:hAnsi="Times New Roman" w:cs="Times New Roman"/>
          <w:sz w:val="20"/>
          <w:szCs w:val="20"/>
        </w:rPr>
        <w:t>(D3), D03201. </w:t>
      </w:r>
      <w:hyperlink r:id="rId58" w:tgtFrame="_blank" w:history="1">
        <w:r w:rsidRPr="00FA2968">
          <w:rPr>
            <w:rStyle w:val="Hyperlink"/>
            <w:rFonts w:ascii="Times New Roman" w:hAnsi="Times New Roman" w:cs="Times New Roman"/>
            <w:sz w:val="20"/>
            <w:szCs w:val="20"/>
          </w:rPr>
          <w:t>https://doi.org/10.1029/2005JD006502</w:t>
        </w:r>
      </w:hyperlink>
    </w:p>
    <w:p w14:paraId="3FC07405" w14:textId="77777777" w:rsidR="006F5417" w:rsidRPr="00FA2968" w:rsidRDefault="006F5417" w:rsidP="006E162B">
      <w:pPr>
        <w:jc w:val="both"/>
        <w:rPr>
          <w:rFonts w:ascii="Times New Roman" w:hAnsi="Times New Roman" w:cs="Times New Roman"/>
          <w:sz w:val="20"/>
          <w:szCs w:val="20"/>
        </w:rPr>
      </w:pPr>
      <w:r w:rsidRPr="00FA2968">
        <w:rPr>
          <w:rFonts w:ascii="Times New Roman" w:hAnsi="Times New Roman" w:cs="Times New Roman"/>
          <w:sz w:val="20"/>
          <w:szCs w:val="20"/>
        </w:rPr>
        <w:t>Yeo, K., Ouattara, C. D., Coppola, E., &amp; Giorgi, F. (2025). Trend of North African dust storms and potential link to climate change. </w:t>
      </w:r>
      <w:r w:rsidRPr="00FA2968">
        <w:rPr>
          <w:rFonts w:ascii="Times New Roman" w:hAnsi="Times New Roman" w:cs="Times New Roman"/>
          <w:i/>
          <w:iCs/>
          <w:sz w:val="20"/>
          <w:szCs w:val="20"/>
        </w:rPr>
        <w:t>Journal of Geophysical Research: Atmospheres</w:t>
      </w:r>
      <w:r w:rsidRPr="00FA2968">
        <w:rPr>
          <w:rFonts w:ascii="Times New Roman" w:hAnsi="Times New Roman" w:cs="Times New Roman"/>
          <w:sz w:val="20"/>
          <w:szCs w:val="20"/>
        </w:rPr>
        <w:t>. </w:t>
      </w:r>
      <w:hyperlink r:id="rId59" w:tgtFrame="_blank" w:history="1">
        <w:r w:rsidRPr="00FA2968">
          <w:rPr>
            <w:rStyle w:val="Hyperlink"/>
            <w:rFonts w:ascii="Times New Roman" w:hAnsi="Times New Roman" w:cs="Times New Roman"/>
            <w:sz w:val="20"/>
            <w:szCs w:val="20"/>
          </w:rPr>
          <w:t>https://doi.org/10.1029/2025JD043630</w:t>
        </w:r>
      </w:hyperlink>
    </w:p>
    <w:p w14:paraId="0475332F" w14:textId="77777777" w:rsidR="006F5417" w:rsidRPr="00FA2968" w:rsidRDefault="006F5417" w:rsidP="006E162B">
      <w:pPr>
        <w:jc w:val="both"/>
        <w:rPr>
          <w:rFonts w:ascii="Times New Roman" w:hAnsi="Times New Roman" w:cs="Times New Roman"/>
          <w:sz w:val="20"/>
          <w:szCs w:val="20"/>
        </w:rPr>
      </w:pPr>
    </w:p>
    <w:sectPr w:rsidR="006F5417" w:rsidRPr="00FA296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85E92"/>
    <w:multiLevelType w:val="multilevel"/>
    <w:tmpl w:val="A456F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CC4F6C"/>
    <w:multiLevelType w:val="multilevel"/>
    <w:tmpl w:val="4538E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9B59BF"/>
    <w:multiLevelType w:val="multilevel"/>
    <w:tmpl w:val="86BEA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1B11A7"/>
    <w:multiLevelType w:val="multilevel"/>
    <w:tmpl w:val="BE2AE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1B2559"/>
    <w:multiLevelType w:val="multilevel"/>
    <w:tmpl w:val="DF2EA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14758B"/>
    <w:multiLevelType w:val="multilevel"/>
    <w:tmpl w:val="67963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805AA1"/>
    <w:multiLevelType w:val="multilevel"/>
    <w:tmpl w:val="2B00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173CE0"/>
    <w:multiLevelType w:val="multilevel"/>
    <w:tmpl w:val="2AE6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78F39DF"/>
    <w:multiLevelType w:val="multilevel"/>
    <w:tmpl w:val="A6BE4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F05AD4"/>
    <w:multiLevelType w:val="multilevel"/>
    <w:tmpl w:val="78BE7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5148C0"/>
    <w:multiLevelType w:val="multilevel"/>
    <w:tmpl w:val="82E4E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FF1494"/>
    <w:multiLevelType w:val="multilevel"/>
    <w:tmpl w:val="475CE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4C246D"/>
    <w:multiLevelType w:val="multilevel"/>
    <w:tmpl w:val="5310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A401B68"/>
    <w:multiLevelType w:val="multilevel"/>
    <w:tmpl w:val="201AD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E587226"/>
    <w:multiLevelType w:val="multilevel"/>
    <w:tmpl w:val="E0D25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1633291"/>
    <w:multiLevelType w:val="multilevel"/>
    <w:tmpl w:val="698A3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1E107F"/>
    <w:multiLevelType w:val="multilevel"/>
    <w:tmpl w:val="37F2D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F715C93"/>
    <w:multiLevelType w:val="multilevel"/>
    <w:tmpl w:val="8C366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56389847">
    <w:abstractNumId w:val="8"/>
  </w:num>
  <w:num w:numId="2" w16cid:durableId="609509981">
    <w:abstractNumId w:val="11"/>
  </w:num>
  <w:num w:numId="3" w16cid:durableId="416750746">
    <w:abstractNumId w:val="14"/>
  </w:num>
  <w:num w:numId="4" w16cid:durableId="200018284">
    <w:abstractNumId w:val="3"/>
  </w:num>
  <w:num w:numId="5" w16cid:durableId="729229880">
    <w:abstractNumId w:val="7"/>
  </w:num>
  <w:num w:numId="6" w16cid:durableId="1431319625">
    <w:abstractNumId w:val="17"/>
  </w:num>
  <w:num w:numId="7" w16cid:durableId="1045908587">
    <w:abstractNumId w:val="1"/>
  </w:num>
  <w:num w:numId="8" w16cid:durableId="1422481839">
    <w:abstractNumId w:val="4"/>
  </w:num>
  <w:num w:numId="9" w16cid:durableId="457262286">
    <w:abstractNumId w:val="6"/>
  </w:num>
  <w:num w:numId="10" w16cid:durableId="2082947668">
    <w:abstractNumId w:val="10"/>
  </w:num>
  <w:num w:numId="11" w16cid:durableId="1236669560">
    <w:abstractNumId w:val="13"/>
  </w:num>
  <w:num w:numId="12" w16cid:durableId="1107430262">
    <w:abstractNumId w:val="9"/>
  </w:num>
  <w:num w:numId="13" w16cid:durableId="1860045350">
    <w:abstractNumId w:val="0"/>
  </w:num>
  <w:num w:numId="14" w16cid:durableId="885995497">
    <w:abstractNumId w:val="12"/>
  </w:num>
  <w:num w:numId="15" w16cid:durableId="790709565">
    <w:abstractNumId w:val="5"/>
  </w:num>
  <w:num w:numId="16" w16cid:durableId="93596279">
    <w:abstractNumId w:val="16"/>
  </w:num>
  <w:num w:numId="17" w16cid:durableId="2120296267">
    <w:abstractNumId w:val="15"/>
  </w:num>
  <w:num w:numId="18" w16cid:durableId="12811051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417"/>
    <w:rsid w:val="00310036"/>
    <w:rsid w:val="0034051F"/>
    <w:rsid w:val="006E162B"/>
    <w:rsid w:val="006F5417"/>
    <w:rsid w:val="008E6E20"/>
    <w:rsid w:val="00CF14EC"/>
    <w:rsid w:val="00F71A10"/>
    <w:rsid w:val="00FA29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AF683"/>
  <w15:chartTrackingRefBased/>
  <w15:docId w15:val="{6B5A0091-6CA4-49C4-95F4-BB8FF166C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54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F54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F54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F54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F54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F54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54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54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54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54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F54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F54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F54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F54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F54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54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54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5417"/>
    <w:rPr>
      <w:rFonts w:eastAsiaTheme="majorEastAsia" w:cstheme="majorBidi"/>
      <w:color w:val="272727" w:themeColor="text1" w:themeTint="D8"/>
    </w:rPr>
  </w:style>
  <w:style w:type="paragraph" w:styleId="Title">
    <w:name w:val="Title"/>
    <w:basedOn w:val="Normal"/>
    <w:next w:val="Normal"/>
    <w:link w:val="TitleChar"/>
    <w:uiPriority w:val="10"/>
    <w:qFormat/>
    <w:rsid w:val="006F54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54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54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54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5417"/>
    <w:pPr>
      <w:spacing w:before="160"/>
      <w:jc w:val="center"/>
    </w:pPr>
    <w:rPr>
      <w:i/>
      <w:iCs/>
      <w:color w:val="404040" w:themeColor="text1" w:themeTint="BF"/>
    </w:rPr>
  </w:style>
  <w:style w:type="character" w:customStyle="1" w:styleId="QuoteChar">
    <w:name w:val="Quote Char"/>
    <w:basedOn w:val="DefaultParagraphFont"/>
    <w:link w:val="Quote"/>
    <w:uiPriority w:val="29"/>
    <w:rsid w:val="006F5417"/>
    <w:rPr>
      <w:i/>
      <w:iCs/>
      <w:color w:val="404040" w:themeColor="text1" w:themeTint="BF"/>
    </w:rPr>
  </w:style>
  <w:style w:type="paragraph" w:styleId="ListParagraph">
    <w:name w:val="List Paragraph"/>
    <w:basedOn w:val="Normal"/>
    <w:uiPriority w:val="34"/>
    <w:qFormat/>
    <w:rsid w:val="006F5417"/>
    <w:pPr>
      <w:ind w:left="720"/>
      <w:contextualSpacing/>
    </w:pPr>
  </w:style>
  <w:style w:type="character" w:styleId="IntenseEmphasis">
    <w:name w:val="Intense Emphasis"/>
    <w:basedOn w:val="DefaultParagraphFont"/>
    <w:uiPriority w:val="21"/>
    <w:qFormat/>
    <w:rsid w:val="006F5417"/>
    <w:rPr>
      <w:i/>
      <w:iCs/>
      <w:color w:val="2F5496" w:themeColor="accent1" w:themeShade="BF"/>
    </w:rPr>
  </w:style>
  <w:style w:type="paragraph" w:styleId="IntenseQuote">
    <w:name w:val="Intense Quote"/>
    <w:basedOn w:val="Normal"/>
    <w:next w:val="Normal"/>
    <w:link w:val="IntenseQuoteChar"/>
    <w:uiPriority w:val="30"/>
    <w:qFormat/>
    <w:rsid w:val="006F54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F5417"/>
    <w:rPr>
      <w:i/>
      <w:iCs/>
      <w:color w:val="2F5496" w:themeColor="accent1" w:themeShade="BF"/>
    </w:rPr>
  </w:style>
  <w:style w:type="character" w:styleId="IntenseReference">
    <w:name w:val="Intense Reference"/>
    <w:basedOn w:val="DefaultParagraphFont"/>
    <w:uiPriority w:val="32"/>
    <w:qFormat/>
    <w:rsid w:val="006F5417"/>
    <w:rPr>
      <w:b/>
      <w:bCs/>
      <w:smallCaps/>
      <w:color w:val="2F5496" w:themeColor="accent1" w:themeShade="BF"/>
      <w:spacing w:val="5"/>
    </w:rPr>
  </w:style>
  <w:style w:type="character" w:styleId="Hyperlink">
    <w:name w:val="Hyperlink"/>
    <w:basedOn w:val="DefaultParagraphFont"/>
    <w:uiPriority w:val="99"/>
    <w:unhideWhenUsed/>
    <w:rsid w:val="006F5417"/>
    <w:rPr>
      <w:color w:val="0563C1" w:themeColor="hyperlink"/>
      <w:u w:val="single"/>
    </w:rPr>
  </w:style>
  <w:style w:type="character" w:styleId="UnresolvedMention">
    <w:name w:val="Unresolved Mention"/>
    <w:basedOn w:val="DefaultParagraphFont"/>
    <w:uiPriority w:val="99"/>
    <w:semiHidden/>
    <w:unhideWhenUsed/>
    <w:rsid w:val="006F54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atmos7100123" TargetMode="External"/><Relationship Id="rId18" Type="http://schemas.openxmlformats.org/officeDocument/2006/relationships/hyperlink" Target="https://doi.org/10.1002/grl.50273" TargetMode="External"/><Relationship Id="rId26" Type="http://schemas.openxmlformats.org/officeDocument/2006/relationships/hyperlink" Target="https://doi.org/10.1007/3-540-32355-4" TargetMode="External"/><Relationship Id="rId39" Type="http://schemas.openxmlformats.org/officeDocument/2006/relationships/hyperlink" Target="https://doi.org/10.1016/j.jaridenv.2020.104190" TargetMode="External"/><Relationship Id="rId21" Type="http://schemas.openxmlformats.org/officeDocument/2006/relationships/hyperlink" Target="https://doi.org/10.1016/j.earscirev.2006.06.004" TargetMode="External"/><Relationship Id="rId34" Type="http://schemas.openxmlformats.org/officeDocument/2006/relationships/hyperlink" Target="https://doi.org/10.1175/2010JCLI3277.1" TargetMode="External"/><Relationship Id="rId42" Type="http://schemas.openxmlformats.org/officeDocument/2006/relationships/hyperlink" Target="https://doi.org/10.1007/s41748-025-00759-z" TargetMode="External"/><Relationship Id="rId47" Type="http://schemas.openxmlformats.org/officeDocument/2006/relationships/hyperlink" Target="https://doi.org/10.1029/2000RG000095" TargetMode="External"/><Relationship Id="rId50" Type="http://schemas.openxmlformats.org/officeDocument/2006/relationships/hyperlink" Target="https://doi.org/10.1088/1748-9326/11/10/104008" TargetMode="External"/><Relationship Id="rId55" Type="http://schemas.openxmlformats.org/officeDocument/2006/relationships/hyperlink" Target="https://doi.org/10.1029/2006JD007170"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doi.org/10.1175/JCLI-D-18-0661.1" TargetMode="External"/><Relationship Id="rId29" Type="http://schemas.openxmlformats.org/officeDocument/2006/relationships/hyperlink" Target="https://doi.org/10.1017/9781009325844" TargetMode="External"/><Relationship Id="rId11" Type="http://schemas.openxmlformats.org/officeDocument/2006/relationships/hyperlink" Target="https://doi.org/10.1016/j.atmosenv.2006.10.032" TargetMode="External"/><Relationship Id="rId24" Type="http://schemas.openxmlformats.org/officeDocument/2006/relationships/hyperlink" Target="https://doi.org/10.5194/acp-25-12657-2025" TargetMode="External"/><Relationship Id="rId32" Type="http://schemas.openxmlformats.org/officeDocument/2006/relationships/hyperlink" Target="https://doi.org/10.1038/ngeo2912" TargetMode="External"/><Relationship Id="rId37" Type="http://schemas.openxmlformats.org/officeDocument/2006/relationships/hyperlink" Target="https://doi.org/10.1002/joc.5187" TargetMode="External"/><Relationship Id="rId40" Type="http://schemas.openxmlformats.org/officeDocument/2006/relationships/hyperlink" Target="https://doi.org/10.1029/2003JD004291" TargetMode="External"/><Relationship Id="rId45" Type="http://schemas.openxmlformats.org/officeDocument/2006/relationships/hyperlink" Target="https://doi.org/10.1007/s00382-022-06597-3" TargetMode="External"/><Relationship Id="rId53" Type="http://schemas.openxmlformats.org/officeDocument/2006/relationships/hyperlink" Target="https://doi.org/10.3389/fpls.2016.01262" TargetMode="External"/><Relationship Id="rId58" Type="http://schemas.openxmlformats.org/officeDocument/2006/relationships/hyperlink" Target="https://doi.org/10.1029/2005JD006502" TargetMode="External"/><Relationship Id="rId5" Type="http://schemas.openxmlformats.org/officeDocument/2006/relationships/hyperlink" Target="mailto:johnocheje@gmail.com" TargetMode="External"/><Relationship Id="rId61" Type="http://schemas.openxmlformats.org/officeDocument/2006/relationships/theme" Target="theme/theme1.xml"/><Relationship Id="rId19" Type="http://schemas.openxmlformats.org/officeDocument/2006/relationships/hyperlink" Target="https://doi.org/10.1002/qj.828" TargetMode="External"/><Relationship Id="rId14" Type="http://schemas.openxmlformats.org/officeDocument/2006/relationships/hyperlink" Target="https://doi.org/10.5194/acp-21-11423-2021" TargetMode="External"/><Relationship Id="rId22" Type="http://schemas.openxmlformats.org/officeDocument/2006/relationships/hyperlink" Target="https://doi.org/10.1002/2014GL060545" TargetMode="External"/><Relationship Id="rId27" Type="http://schemas.openxmlformats.org/officeDocument/2006/relationships/hyperlink" Target="https://doi.org/10.1002/jgrd.50402" TargetMode="External"/><Relationship Id="rId30" Type="http://schemas.openxmlformats.org/officeDocument/2006/relationships/hyperlink" Target="https://doi.org/10.1002/2014JD021688" TargetMode="External"/><Relationship Id="rId35" Type="http://schemas.openxmlformats.org/officeDocument/2006/relationships/hyperlink" Target="https://doi.org/10.1029/95JD00690" TargetMode="External"/><Relationship Id="rId43" Type="http://schemas.openxmlformats.org/officeDocument/2006/relationships/hyperlink" Target="https://doi.org/10.1007/s11270-006-9152-9" TargetMode="External"/><Relationship Id="rId48" Type="http://schemas.openxmlformats.org/officeDocument/2006/relationships/hyperlink" Target="https://doi.org/10.1029/2011JD016923" TargetMode="External"/><Relationship Id="rId56" Type="http://schemas.openxmlformats.org/officeDocument/2006/relationships/hyperlink" Target="https://doi.org/10.1126/sciadv.adu5415" TargetMode="External"/><Relationship Id="rId8" Type="http://schemas.openxmlformats.org/officeDocument/2006/relationships/image" Target="media/image3.png"/><Relationship Id="rId51" Type="http://schemas.openxmlformats.org/officeDocument/2006/relationships/hyperlink" Target="https://doi.org/10.1029/2006JD007509" TargetMode="External"/><Relationship Id="rId3" Type="http://schemas.openxmlformats.org/officeDocument/2006/relationships/settings" Target="settings.xml"/><Relationship Id="rId12" Type="http://schemas.openxmlformats.org/officeDocument/2006/relationships/hyperlink" Target="https://doi.org/10.5194/amt-5-2079-2012" TargetMode="External"/><Relationship Id="rId17" Type="http://schemas.openxmlformats.org/officeDocument/2006/relationships/hyperlink" Target="https://doi.org/10.1038/s41559-017-0081" TargetMode="External"/><Relationship Id="rId25" Type="http://schemas.openxmlformats.org/officeDocument/2006/relationships/hyperlink" Target="https://doi.org/10.1029/2012RG000388" TargetMode="External"/><Relationship Id="rId33" Type="http://schemas.openxmlformats.org/officeDocument/2006/relationships/hyperlink" Target="https://doi.org/10.1029/2007JD009484" TargetMode="External"/><Relationship Id="rId38" Type="http://schemas.openxmlformats.org/officeDocument/2006/relationships/hyperlink" Target="https://doi.org/10.1155/2013/453521" TargetMode="External"/><Relationship Id="rId46" Type="http://schemas.openxmlformats.org/officeDocument/2006/relationships/hyperlink" Target="https://doi.org/10.1038/s41598-020-62417-w" TargetMode="External"/><Relationship Id="rId59" Type="http://schemas.openxmlformats.org/officeDocument/2006/relationships/hyperlink" Target="https://doi.org/10.1029/2025JD043630" TargetMode="External"/><Relationship Id="rId20" Type="http://schemas.openxmlformats.org/officeDocument/2006/relationships/hyperlink" Target="https://doi.org/10.1175/BAMS-85-3-353" TargetMode="External"/><Relationship Id="rId41" Type="http://schemas.openxmlformats.org/officeDocument/2006/relationships/hyperlink" Target="https://doi.org/10.1016/j.isci.2025.112995" TargetMode="External"/><Relationship Id="rId54" Type="http://schemas.openxmlformats.org/officeDocument/2006/relationships/hyperlink" Target="https://doi.org/10.1029/96JD03437"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doi.org/10.1029/2018JD029336" TargetMode="External"/><Relationship Id="rId23" Type="http://schemas.openxmlformats.org/officeDocument/2006/relationships/hyperlink" Target="https://doi.org/10.1038/nature17149" TargetMode="External"/><Relationship Id="rId28" Type="http://schemas.openxmlformats.org/officeDocument/2006/relationships/hyperlink" Target="https://doi.org/10.1016/S0034-4257(98)00031-5" TargetMode="External"/><Relationship Id="rId36" Type="http://schemas.openxmlformats.org/officeDocument/2006/relationships/hyperlink" Target="https://doi.org/10.1175/1520-0450(1997)036" TargetMode="External"/><Relationship Id="rId49" Type="http://schemas.openxmlformats.org/officeDocument/2006/relationships/hyperlink" Target="https://doi.org/10.1016/j.scitotenv.2013.06.045" TargetMode="External"/><Relationship Id="rId57" Type="http://schemas.openxmlformats.org/officeDocument/2006/relationships/hyperlink" Target="https://doi.org/10.1029/2005GL023597" TargetMode="External"/><Relationship Id="rId10" Type="http://schemas.openxmlformats.org/officeDocument/2006/relationships/hyperlink" Target="https://doi.org/10.1007/s00704-015-1706-9" TargetMode="External"/><Relationship Id="rId31" Type="http://schemas.openxmlformats.org/officeDocument/2006/relationships/hyperlink" Target="https://doi.org/10.1029/2011RG000362" TargetMode="External"/><Relationship Id="rId44" Type="http://schemas.openxmlformats.org/officeDocument/2006/relationships/hyperlink" Target="https://doi.org/10.1088/1748-9326/aac334" TargetMode="External"/><Relationship Id="rId52" Type="http://schemas.openxmlformats.org/officeDocument/2006/relationships/hyperlink" Target="https://doi.org/10.1029/2008GL035900"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22</Pages>
  <Words>9340</Words>
  <Characters>53238</Characters>
  <Application>Microsoft Office Word</Application>
  <DocSecurity>0</DocSecurity>
  <Lines>443</Lines>
  <Paragraphs>124</Paragraphs>
  <ScaleCrop>false</ScaleCrop>
  <Company/>
  <LinksUpToDate>false</LinksUpToDate>
  <CharactersWithSpaces>62454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ocheje</dc:creator>
  <cp:keywords/>
  <dc:description/>
  <cp:lastModifiedBy>john ocheje</cp:lastModifiedBy>
  <cp:revision>5</cp:revision>
  <dcterms:created xsi:type="dcterms:W3CDTF">2026-06-05T23:06:00Z</dcterms:created>
  <dcterms:modified xsi:type="dcterms:W3CDTF">2026-06-06T00:21:00Z</dcterms:modified>
</cp:coreProperties>
</file>