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75" w:rsidRPr="000F7575" w:rsidRDefault="000F7575" w:rsidP="000F7575">
      <w:pPr>
        <w:spacing w:line="360" w:lineRule="auto"/>
        <w:jc w:val="both"/>
        <w:rPr>
          <w:rFonts w:ascii="Arial" w:hAnsi="Arial" w:cs="Arial"/>
          <w:sz w:val="24"/>
          <w:szCs w:val="24"/>
        </w:rPr>
      </w:pPr>
      <w:r w:rsidRPr="006D0C6D">
        <w:rPr>
          <w:rFonts w:ascii="Arial" w:hAnsi="Arial" w:cs="Arial"/>
          <w:b/>
          <w:sz w:val="24"/>
          <w:szCs w:val="24"/>
        </w:rPr>
        <w:t>Title:</w:t>
      </w:r>
      <w:r w:rsidRPr="000F7575">
        <w:rPr>
          <w:rFonts w:ascii="Arial" w:hAnsi="Arial" w:cs="Arial"/>
          <w:sz w:val="24"/>
          <w:szCs w:val="24"/>
        </w:rPr>
        <w:t xml:space="preserve"> </w:t>
      </w:r>
      <w:bookmarkStart w:id="0" w:name="_GoBack"/>
      <w:r w:rsidRPr="000F7575">
        <w:rPr>
          <w:rFonts w:ascii="Arial" w:hAnsi="Arial" w:cs="Arial"/>
          <w:sz w:val="24"/>
          <w:szCs w:val="24"/>
        </w:rPr>
        <w:t>Supercritical Fluid Extraction in the Food Industry: A Comprehensive Review of T</w:t>
      </w:r>
      <w:r w:rsidR="006D0C6D">
        <w:rPr>
          <w:rFonts w:ascii="Arial" w:hAnsi="Arial" w:cs="Arial"/>
          <w:sz w:val="24"/>
          <w:szCs w:val="24"/>
        </w:rPr>
        <w:t xml:space="preserve">echnical Advancements, Expanded </w:t>
      </w:r>
      <w:r w:rsidRPr="000F7575">
        <w:rPr>
          <w:rFonts w:ascii="Arial" w:hAnsi="Arial" w:cs="Arial"/>
          <w:sz w:val="24"/>
          <w:szCs w:val="24"/>
        </w:rPr>
        <w:t>Applications, and</w:t>
      </w:r>
      <w:r w:rsidR="00716D59">
        <w:rPr>
          <w:rFonts w:ascii="Arial" w:hAnsi="Arial" w:cs="Arial"/>
          <w:sz w:val="24"/>
          <w:szCs w:val="24"/>
        </w:rPr>
        <w:t xml:space="preserve"> Future Trajectories </w:t>
      </w:r>
    </w:p>
    <w:bookmarkEnd w:id="0"/>
    <w:p w:rsidR="000F7575" w:rsidRPr="000F7575" w:rsidRDefault="000F7575" w:rsidP="000F7575">
      <w:pPr>
        <w:spacing w:line="360" w:lineRule="auto"/>
        <w:jc w:val="both"/>
        <w:rPr>
          <w:rFonts w:ascii="Arial" w:hAnsi="Arial" w:cs="Arial"/>
          <w:sz w:val="24"/>
          <w:szCs w:val="24"/>
        </w:rPr>
      </w:pPr>
      <w:r w:rsidRPr="006D0C6D">
        <w:rPr>
          <w:rFonts w:ascii="Arial" w:hAnsi="Arial" w:cs="Arial"/>
          <w:b/>
          <w:sz w:val="24"/>
          <w:szCs w:val="24"/>
        </w:rPr>
        <w:t>Author:</w:t>
      </w:r>
      <w:r w:rsidRPr="000F7575">
        <w:rPr>
          <w:rFonts w:ascii="Arial" w:hAnsi="Arial" w:cs="Arial"/>
          <w:sz w:val="24"/>
          <w:szCs w:val="24"/>
        </w:rPr>
        <w:t xml:space="preserve"> Abera Berhanu</w:t>
      </w:r>
    </w:p>
    <w:p w:rsidR="000F7575" w:rsidRPr="000F7575" w:rsidRDefault="000F7575" w:rsidP="000F7575">
      <w:pPr>
        <w:spacing w:line="360" w:lineRule="auto"/>
        <w:jc w:val="both"/>
        <w:rPr>
          <w:rFonts w:ascii="Arial" w:hAnsi="Arial" w:cs="Arial"/>
          <w:sz w:val="24"/>
          <w:szCs w:val="24"/>
        </w:rPr>
      </w:pPr>
      <w:r w:rsidRPr="006D0C6D">
        <w:rPr>
          <w:rFonts w:ascii="Arial" w:hAnsi="Arial" w:cs="Arial"/>
          <w:b/>
          <w:sz w:val="24"/>
          <w:szCs w:val="24"/>
        </w:rPr>
        <w:t>Affiliation:</w:t>
      </w:r>
      <w:r w:rsidRPr="000F7575">
        <w:rPr>
          <w:rFonts w:ascii="Arial" w:hAnsi="Arial" w:cs="Arial"/>
          <w:sz w:val="24"/>
          <w:szCs w:val="24"/>
        </w:rPr>
        <w:t xml:space="preserve"> Department of Food Science and Technology, Arsi University, Asella, Ethiopia</w:t>
      </w:r>
    </w:p>
    <w:p w:rsidR="000F7575" w:rsidRPr="006D0C6D" w:rsidRDefault="000F7575" w:rsidP="006D0C6D">
      <w:pPr>
        <w:pStyle w:val="Heading2"/>
      </w:pPr>
      <w:r w:rsidRPr="006D0C6D">
        <w:t xml:space="preserve"> Abstract</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The paradigm shift towards sustainable and "green" processing in the food industry has propelled Supercritical Fluid Extraction (SFE), particularly using carbon dioxide (SC-CO</w:t>
      </w:r>
      <w:r w:rsidRPr="000F7575">
        <w:rPr>
          <w:rFonts w:ascii="Cambria Math" w:hAnsi="Cambria Math" w:cs="Cambria Math"/>
          <w:sz w:val="24"/>
          <w:szCs w:val="24"/>
        </w:rPr>
        <w:t>₂</w:t>
      </w:r>
      <w:r w:rsidRPr="000F7575">
        <w:rPr>
          <w:rFonts w:ascii="Arial" w:hAnsi="Arial" w:cs="Arial"/>
          <w:sz w:val="24"/>
          <w:szCs w:val="24"/>
        </w:rPr>
        <w:t xml:space="preserve">), from a niche technique to a cornerstone technology. This comprehensive review critically synthesizes research from 2010 to 2025, moving beyond foundational principles to dissect the engineering and economic drivers of its industrial adoption. We detail how advanced co-solvent engineering enables the highly selective recovery of a broad spectrum of bioactive compounds, from non-polar lipids to polar polyphenols. A significant focus is placed on the valorization of agri-food by-products as a key economic driver, transforming waste </w:t>
      </w:r>
      <w:r w:rsidRPr="000F7575">
        <w:rPr>
          <w:rFonts w:ascii="Arial" w:hAnsi="Arial" w:cs="Arial"/>
          <w:sz w:val="24"/>
          <w:szCs w:val="24"/>
        </w:rPr>
        <w:lastRenderedPageBreak/>
        <w:t>streams like tomato pomace and rapeseed distillate into high-value ingredients. Furthermore, we explore the critical role of Process Intensification (PI) through continuous systems and advanced thermodynamic modeling in mitigating high capital costs. The review also expands the horizon of SC-CO</w:t>
      </w:r>
      <w:r w:rsidRPr="000F7575">
        <w:rPr>
          <w:rFonts w:ascii="Cambria Math" w:hAnsi="Cambria Math" w:cs="Cambria Math"/>
          <w:sz w:val="24"/>
          <w:szCs w:val="24"/>
        </w:rPr>
        <w:t>₂</w:t>
      </w:r>
      <w:r w:rsidRPr="000F7575">
        <w:rPr>
          <w:rFonts w:ascii="Arial" w:hAnsi="Arial" w:cs="Arial"/>
          <w:sz w:val="24"/>
          <w:szCs w:val="24"/>
        </w:rPr>
        <w:t xml:space="preserve"> applications beyond extraction, covering its emerging roles in non-thermal preservation and high-purity fractionation via Supercritical Fluid Chromatography (SFC). Finally, we discuss future trajectories, emphasizing the need for integrated, predictive process design to fully realize SFE's potential in creating a circular and sustainable bio-economy for the global food industry.</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Keywords: Supercritical Fluid Extraction, SC-CO</w:t>
      </w:r>
      <w:r w:rsidRPr="000F7575">
        <w:rPr>
          <w:rFonts w:ascii="Cambria Math" w:hAnsi="Cambria Math" w:cs="Cambria Math"/>
          <w:sz w:val="24"/>
          <w:szCs w:val="24"/>
        </w:rPr>
        <w:t>₂</w:t>
      </w:r>
      <w:r w:rsidRPr="000F7575">
        <w:rPr>
          <w:rFonts w:ascii="Arial" w:hAnsi="Arial" w:cs="Arial"/>
          <w:sz w:val="24"/>
          <w:szCs w:val="24"/>
        </w:rPr>
        <w:t>, Green Technology, Process Intensification, Bioactive Compounds, Agri-food Valorization, Phase Equilibrium, Non-thermal Processing, Supercritical Fluid Chromatography</w:t>
      </w:r>
    </w:p>
    <w:p w:rsidR="000F7575" w:rsidRDefault="000F7575" w:rsidP="000F7575">
      <w:pPr>
        <w:spacing w:line="360" w:lineRule="auto"/>
        <w:jc w:val="both"/>
        <w:rPr>
          <w:rFonts w:ascii="Arial" w:hAnsi="Arial" w:cs="Arial"/>
          <w:sz w:val="24"/>
          <w:szCs w:val="24"/>
        </w:rPr>
      </w:pPr>
    </w:p>
    <w:p w:rsidR="003620D5" w:rsidRDefault="003620D5" w:rsidP="000F7575">
      <w:pPr>
        <w:spacing w:line="360" w:lineRule="auto"/>
        <w:jc w:val="both"/>
        <w:rPr>
          <w:rFonts w:ascii="Arial" w:hAnsi="Arial" w:cs="Arial"/>
          <w:sz w:val="24"/>
          <w:szCs w:val="24"/>
        </w:rPr>
      </w:pPr>
    </w:p>
    <w:p w:rsidR="003620D5" w:rsidRPr="000F7575" w:rsidRDefault="003620D5" w:rsidP="000F7575">
      <w:pPr>
        <w:spacing w:line="360" w:lineRule="auto"/>
        <w:jc w:val="both"/>
        <w:rPr>
          <w:rFonts w:ascii="Arial" w:hAnsi="Arial" w:cs="Arial"/>
          <w:sz w:val="24"/>
          <w:szCs w:val="24"/>
        </w:rPr>
      </w:pPr>
    </w:p>
    <w:p w:rsidR="000F7575" w:rsidRPr="000F7575" w:rsidRDefault="000F7575" w:rsidP="000F7575">
      <w:pPr>
        <w:spacing w:line="360" w:lineRule="auto"/>
        <w:jc w:val="both"/>
        <w:rPr>
          <w:rFonts w:ascii="Arial" w:hAnsi="Arial" w:cs="Arial"/>
          <w:sz w:val="24"/>
          <w:szCs w:val="24"/>
        </w:rPr>
      </w:pPr>
    </w:p>
    <w:p w:rsidR="000F7575" w:rsidRPr="000F7575" w:rsidRDefault="000F7575" w:rsidP="000F7575">
      <w:pPr>
        <w:spacing w:line="360" w:lineRule="auto"/>
        <w:jc w:val="both"/>
        <w:rPr>
          <w:rStyle w:val="Hyperlink"/>
        </w:rPr>
      </w:pPr>
      <w:r w:rsidRPr="000F7575">
        <w:rPr>
          <w:rStyle w:val="Hyperlink"/>
        </w:rPr>
        <w:lastRenderedPageBreak/>
        <w:t>1. Introduction</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The escalating consumer demand for natural, functional, and clean-label food ingredients has fundamentally reshaped extraction paradigms within the food industry. Plant matrices are rich re</w:t>
      </w:r>
      <w:r w:rsidR="007C1459">
        <w:rPr>
          <w:rFonts w:ascii="Arial" w:hAnsi="Arial" w:cs="Arial"/>
          <w:sz w:val="24"/>
          <w:szCs w:val="24"/>
        </w:rPr>
        <w:t xml:space="preserve">servoirs of bioactive compounds </w:t>
      </w:r>
      <w:r w:rsidRPr="000F7575">
        <w:rPr>
          <w:rFonts w:ascii="Arial" w:hAnsi="Arial" w:cs="Arial"/>
          <w:sz w:val="24"/>
          <w:szCs w:val="24"/>
        </w:rPr>
        <w:t xml:space="preserve">such as phenolics, </w:t>
      </w:r>
      <w:r w:rsidR="00BA21CF">
        <w:rPr>
          <w:rFonts w:ascii="Arial" w:hAnsi="Arial" w:cs="Arial"/>
          <w:sz w:val="24"/>
          <w:szCs w:val="24"/>
        </w:rPr>
        <w:t xml:space="preserve">carotenoids, and essential oils </w:t>
      </w:r>
      <w:r w:rsidRPr="000F7575">
        <w:rPr>
          <w:rFonts w:ascii="Arial" w:hAnsi="Arial" w:cs="Arial"/>
          <w:sz w:val="24"/>
          <w:szCs w:val="24"/>
        </w:rPr>
        <w:t>renowned for their antioxidant, anti-inflammatory, and antimicrobial properties (</w:t>
      </w:r>
      <w:proofErr w:type="spellStart"/>
      <w:r w:rsidRPr="000F7575">
        <w:rPr>
          <w:rFonts w:ascii="Arial" w:hAnsi="Arial" w:cs="Arial"/>
          <w:sz w:val="24"/>
          <w:szCs w:val="24"/>
        </w:rPr>
        <w:t>Aman</w:t>
      </w:r>
      <w:proofErr w:type="spellEnd"/>
      <w:r w:rsidRPr="000F7575">
        <w:rPr>
          <w:rFonts w:ascii="Arial" w:hAnsi="Arial" w:cs="Arial"/>
          <w:sz w:val="24"/>
          <w:szCs w:val="24"/>
        </w:rPr>
        <w:t xml:space="preserve"> </w:t>
      </w:r>
      <w:proofErr w:type="spellStart"/>
      <w:r w:rsidRPr="000F7575">
        <w:rPr>
          <w:rFonts w:ascii="Arial" w:hAnsi="Arial" w:cs="Arial"/>
          <w:sz w:val="24"/>
          <w:szCs w:val="24"/>
        </w:rPr>
        <w:t>Mohammadi</w:t>
      </w:r>
      <w:proofErr w:type="spellEnd"/>
      <w:r w:rsidRPr="000F7575">
        <w:rPr>
          <w:rFonts w:ascii="Arial" w:hAnsi="Arial" w:cs="Arial"/>
          <w:sz w:val="24"/>
          <w:szCs w:val="24"/>
        </w:rPr>
        <w:t xml:space="preserve"> et al., 2024). However, conventional extraction methods, including </w:t>
      </w:r>
      <w:proofErr w:type="spellStart"/>
      <w:r w:rsidRPr="000F7575">
        <w:rPr>
          <w:rFonts w:ascii="Arial" w:hAnsi="Arial" w:cs="Arial"/>
          <w:sz w:val="24"/>
          <w:szCs w:val="24"/>
        </w:rPr>
        <w:t>Soxhlet</w:t>
      </w:r>
      <w:proofErr w:type="spellEnd"/>
      <w:r w:rsidRPr="000F7575">
        <w:rPr>
          <w:rFonts w:ascii="Arial" w:hAnsi="Arial" w:cs="Arial"/>
          <w:sz w:val="24"/>
          <w:szCs w:val="24"/>
        </w:rPr>
        <w:t xml:space="preserve"> and </w:t>
      </w:r>
      <w:proofErr w:type="spellStart"/>
      <w:r w:rsidRPr="000F7575">
        <w:rPr>
          <w:rFonts w:ascii="Arial" w:hAnsi="Arial" w:cs="Arial"/>
          <w:sz w:val="24"/>
          <w:szCs w:val="24"/>
        </w:rPr>
        <w:t>hydrodistillation</w:t>
      </w:r>
      <w:proofErr w:type="spellEnd"/>
      <w:r w:rsidRPr="000F7575">
        <w:rPr>
          <w:rFonts w:ascii="Arial" w:hAnsi="Arial" w:cs="Arial"/>
          <w:sz w:val="24"/>
          <w:szCs w:val="24"/>
        </w:rPr>
        <w:t>, are increasingly untenable due to their reliance on large volumes of toxic organic solvents, high energy consumption, and the risk of thermal degradation for sensitive bioactives (</w:t>
      </w:r>
      <w:proofErr w:type="spellStart"/>
      <w:r w:rsidRPr="000F7575">
        <w:rPr>
          <w:rFonts w:ascii="Arial" w:hAnsi="Arial" w:cs="Arial"/>
          <w:sz w:val="24"/>
          <w:szCs w:val="24"/>
        </w:rPr>
        <w:t>Khaw</w:t>
      </w:r>
      <w:proofErr w:type="spellEnd"/>
      <w:r w:rsidRPr="000F7575">
        <w:rPr>
          <w:rFonts w:ascii="Arial" w:hAnsi="Arial" w:cs="Arial"/>
          <w:sz w:val="24"/>
          <w:szCs w:val="24"/>
        </w:rPr>
        <w:t xml:space="preserve"> et al., 2017).</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In this context, Supercritical Fluid Extraction (SFE) has emerged as a preeminent sustainable technology. SFE utilizes a fluid above its critical temperature (T_c) and pressure (P_c), where it exhibits a unique combination of liquid-like solvating power and gas-like diffusivity and viscosity (</w:t>
      </w:r>
      <w:proofErr w:type="spellStart"/>
      <w:r w:rsidRPr="000F7575">
        <w:rPr>
          <w:rFonts w:ascii="Arial" w:hAnsi="Arial" w:cs="Arial"/>
          <w:sz w:val="24"/>
          <w:szCs w:val="24"/>
        </w:rPr>
        <w:t>Herrero</w:t>
      </w:r>
      <w:proofErr w:type="spellEnd"/>
      <w:r w:rsidRPr="000F7575">
        <w:rPr>
          <w:rFonts w:ascii="Arial" w:hAnsi="Arial" w:cs="Arial"/>
          <w:sz w:val="24"/>
          <w:szCs w:val="24"/>
        </w:rPr>
        <w:t xml:space="preserve"> et al., 2010). Carbon dioxide (CO</w:t>
      </w:r>
      <w:r w:rsidRPr="000F7575">
        <w:rPr>
          <w:rFonts w:ascii="Cambria Math" w:hAnsi="Cambria Math" w:cs="Cambria Math"/>
          <w:sz w:val="24"/>
          <w:szCs w:val="24"/>
        </w:rPr>
        <w:t>₂</w:t>
      </w:r>
      <w:r w:rsidRPr="000F7575">
        <w:rPr>
          <w:rFonts w:ascii="Arial" w:hAnsi="Arial" w:cs="Arial"/>
          <w:sz w:val="24"/>
          <w:szCs w:val="24"/>
        </w:rPr>
        <w:t xml:space="preserve">) is the solvent of choice for over 90% of food-related SFE applications, owing to its </w:t>
      </w:r>
      <w:r w:rsidRPr="000F7575">
        <w:rPr>
          <w:rFonts w:ascii="Arial" w:hAnsi="Arial" w:cs="Arial"/>
          <w:sz w:val="24"/>
          <w:szCs w:val="24"/>
        </w:rPr>
        <w:lastRenderedPageBreak/>
        <w:t xml:space="preserve">mild critical point (T_c = 31.1 °C, P_c = 73.8 bar), non-toxicity, non-flammability, and GRAS (Generally Recognized as Safe) status (de </w:t>
      </w:r>
      <w:proofErr w:type="spellStart"/>
      <w:r w:rsidRPr="000F7575">
        <w:rPr>
          <w:rFonts w:ascii="Arial" w:hAnsi="Arial" w:cs="Arial"/>
          <w:sz w:val="24"/>
          <w:szCs w:val="24"/>
        </w:rPr>
        <w:t>Melo</w:t>
      </w:r>
      <w:proofErr w:type="spellEnd"/>
      <w:r w:rsidRPr="000F7575">
        <w:rPr>
          <w:rFonts w:ascii="Arial" w:hAnsi="Arial" w:cs="Arial"/>
          <w:sz w:val="24"/>
          <w:szCs w:val="24"/>
        </w:rPr>
        <w:t xml:space="preserve"> et al., 2014).</w:t>
      </w:r>
    </w:p>
    <w:p w:rsidR="000F7575" w:rsidRDefault="000F7575" w:rsidP="000F7575">
      <w:pPr>
        <w:spacing w:line="360" w:lineRule="auto"/>
        <w:jc w:val="both"/>
        <w:rPr>
          <w:rFonts w:ascii="Arial" w:hAnsi="Arial" w:cs="Arial"/>
          <w:sz w:val="24"/>
          <w:szCs w:val="24"/>
        </w:rPr>
      </w:pPr>
      <w:r w:rsidRPr="000F7575">
        <w:rPr>
          <w:rFonts w:ascii="Arial" w:hAnsi="Arial" w:cs="Arial"/>
          <w:sz w:val="24"/>
          <w:szCs w:val="24"/>
        </w:rPr>
        <w:t>While the fundamental advantages of SFE are well-established, the period from 2010 to 2025 has witnessed its maturation from a promising alternative to a robust industrial platform. This evolution is characterized by significant advancements in selectivity control, process economics through waste valorization, and the expansion of its application scope. This review provides a critical and in-depth analysis of these developments, offering a state-of-the-art perspective on the principles, technical advancements, economic viability, and future directions of SFE in the modern food industry.</w:t>
      </w:r>
    </w:p>
    <w:p w:rsidR="000F7575" w:rsidRPr="000F7575" w:rsidRDefault="000F7575" w:rsidP="000F7575">
      <w:pPr>
        <w:spacing w:line="360" w:lineRule="auto"/>
        <w:jc w:val="both"/>
        <w:rPr>
          <w:rStyle w:val="Hyperlink"/>
        </w:rPr>
      </w:pPr>
      <w:r w:rsidRPr="000F7575">
        <w:rPr>
          <w:rStyle w:val="Hyperlink"/>
        </w:rPr>
        <w:t xml:space="preserve"> 2. Foundational Principles and Tunable Solvation</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The efficacy of SFE is rooted in the tunable physicochemical properties of a supercritical fluid. In this state, the fluid's density—and thus its solvating power—can be precisely and continuously modulated through simple adjustments in pressure and temperature (</w:t>
      </w:r>
      <w:proofErr w:type="spellStart"/>
      <w:r w:rsidRPr="000F7575">
        <w:rPr>
          <w:rFonts w:ascii="Arial" w:hAnsi="Arial" w:cs="Arial"/>
          <w:sz w:val="24"/>
          <w:szCs w:val="24"/>
        </w:rPr>
        <w:t>Herrero</w:t>
      </w:r>
      <w:proofErr w:type="spellEnd"/>
      <w:r w:rsidRPr="000F7575">
        <w:rPr>
          <w:rFonts w:ascii="Arial" w:hAnsi="Arial" w:cs="Arial"/>
          <w:sz w:val="24"/>
          <w:szCs w:val="24"/>
        </w:rPr>
        <w:t xml:space="preserve"> et </w:t>
      </w:r>
      <w:r w:rsidRPr="000F7575">
        <w:rPr>
          <w:rFonts w:ascii="Arial" w:hAnsi="Arial" w:cs="Arial"/>
          <w:sz w:val="24"/>
          <w:szCs w:val="24"/>
        </w:rPr>
        <w:lastRenderedPageBreak/>
        <w:t>al., 2010). This tunability facilitates unparalleled selectivity, allowing for the targeted extraction of specific compounds from complex plant matrices.</w:t>
      </w:r>
    </w:p>
    <w:p w:rsidR="003620D5" w:rsidRDefault="000F7575" w:rsidP="003620D5">
      <w:pPr>
        <w:spacing w:line="360" w:lineRule="auto"/>
        <w:jc w:val="both"/>
        <w:rPr>
          <w:rFonts w:ascii="Arial" w:hAnsi="Arial" w:cs="Arial"/>
          <w:sz w:val="24"/>
          <w:szCs w:val="24"/>
        </w:rPr>
      </w:pPr>
      <w:r w:rsidRPr="000F7575">
        <w:rPr>
          <w:rFonts w:ascii="Arial" w:hAnsi="Arial" w:cs="Arial"/>
          <w:sz w:val="24"/>
          <w:szCs w:val="24"/>
        </w:rPr>
        <w:t>The primary limitation of pure SC-CO</w:t>
      </w:r>
      <w:r w:rsidRPr="000F7575">
        <w:rPr>
          <w:rFonts w:ascii="Cambria Math" w:hAnsi="Cambria Math" w:cs="Cambria Math"/>
          <w:sz w:val="24"/>
          <w:szCs w:val="24"/>
        </w:rPr>
        <w:t>₂</w:t>
      </w:r>
      <w:r w:rsidRPr="000F7575">
        <w:rPr>
          <w:rFonts w:ascii="Arial" w:hAnsi="Arial" w:cs="Arial"/>
          <w:sz w:val="24"/>
          <w:szCs w:val="24"/>
        </w:rPr>
        <w:t xml:space="preserve"> is its inherent non-polarity, which restricts its efficacy to lipophilic compounds. This challenge has been systematically addressed through co-solvent engineering. The addition of small, typically 1–10% (w/w), amounts of a GRAS-classified polar modifier, such as ethanol, dramatically alters the polarity of the supercritical phase (</w:t>
      </w:r>
      <w:proofErr w:type="spellStart"/>
      <w:r w:rsidRPr="000F7575">
        <w:rPr>
          <w:rFonts w:ascii="Arial" w:hAnsi="Arial" w:cs="Arial"/>
          <w:sz w:val="24"/>
          <w:szCs w:val="24"/>
        </w:rPr>
        <w:t>Reverchon</w:t>
      </w:r>
      <w:proofErr w:type="spellEnd"/>
      <w:r w:rsidRPr="000F7575">
        <w:rPr>
          <w:rFonts w:ascii="Arial" w:hAnsi="Arial" w:cs="Arial"/>
          <w:sz w:val="24"/>
          <w:szCs w:val="24"/>
        </w:rPr>
        <w:t xml:space="preserve"> &amp; De Marco, 2006). This not only enhances the yield of polar molecules like polyphenols but also enables sophisticated fractionation schemes, where different compound classes can be sequentially recovered from a single feedstock by manipulating solvent streng</w:t>
      </w:r>
      <w:r w:rsidR="003620D5">
        <w:rPr>
          <w:rFonts w:ascii="Arial" w:hAnsi="Arial" w:cs="Arial"/>
          <w:sz w:val="24"/>
          <w:szCs w:val="24"/>
        </w:rPr>
        <w:t>th (</w:t>
      </w:r>
      <w:proofErr w:type="spellStart"/>
      <w:r w:rsidR="003620D5">
        <w:rPr>
          <w:rFonts w:ascii="Arial" w:hAnsi="Arial" w:cs="Arial"/>
          <w:sz w:val="24"/>
          <w:szCs w:val="24"/>
        </w:rPr>
        <w:t>Jafarian</w:t>
      </w:r>
      <w:proofErr w:type="spellEnd"/>
      <w:r w:rsidR="003620D5">
        <w:rPr>
          <w:rFonts w:ascii="Arial" w:hAnsi="Arial" w:cs="Arial"/>
          <w:sz w:val="24"/>
          <w:szCs w:val="24"/>
        </w:rPr>
        <w:t xml:space="preserve"> </w:t>
      </w:r>
      <w:proofErr w:type="spellStart"/>
      <w:proofErr w:type="gramStart"/>
      <w:r w:rsidR="003620D5">
        <w:rPr>
          <w:rFonts w:ascii="Arial" w:hAnsi="Arial" w:cs="Arial"/>
          <w:sz w:val="24"/>
          <w:szCs w:val="24"/>
        </w:rPr>
        <w:t>Asl</w:t>
      </w:r>
      <w:proofErr w:type="spellEnd"/>
      <w:r w:rsidR="003620D5">
        <w:rPr>
          <w:rFonts w:ascii="Arial" w:hAnsi="Arial" w:cs="Arial"/>
          <w:sz w:val="24"/>
          <w:szCs w:val="24"/>
        </w:rPr>
        <w:t xml:space="preserve"> et al</w:t>
      </w:r>
      <w:proofErr w:type="gramEnd"/>
      <w:r w:rsidR="003620D5">
        <w:rPr>
          <w:rFonts w:ascii="Arial" w:hAnsi="Arial" w:cs="Arial"/>
          <w:sz w:val="24"/>
          <w:szCs w:val="24"/>
        </w:rPr>
        <w:t>., 2020).</w:t>
      </w:r>
    </w:p>
    <w:p w:rsidR="000F7575" w:rsidRPr="003620D5" w:rsidRDefault="003620D5" w:rsidP="003620D5">
      <w:pPr>
        <w:pStyle w:val="Heading1"/>
        <w:tabs>
          <w:tab w:val="left" w:pos="180"/>
          <w:tab w:val="left" w:pos="360"/>
          <w:tab w:val="left" w:pos="630"/>
        </w:tabs>
        <w:jc w:val="both"/>
        <w:rPr>
          <w:rStyle w:val="Hyperlink"/>
          <w:rFonts w:eastAsia="Calibri"/>
          <w:b/>
          <w:iCs w:val="0"/>
          <w:color w:val="auto"/>
          <w:sz w:val="24"/>
          <w:szCs w:val="24"/>
          <w:shd w:val="clear" w:color="auto" w:fill="auto"/>
        </w:rPr>
      </w:pPr>
      <w:r w:rsidRPr="003620D5">
        <w:rPr>
          <w:sz w:val="24"/>
          <w:szCs w:val="24"/>
        </w:rPr>
        <w:t>3.</w:t>
      </w:r>
      <w:r w:rsidRPr="003620D5">
        <w:rPr>
          <w:b w:val="0"/>
          <w:sz w:val="24"/>
          <w:szCs w:val="24"/>
        </w:rPr>
        <w:t xml:space="preserve"> </w:t>
      </w:r>
      <w:r w:rsidR="000F7575" w:rsidRPr="003620D5">
        <w:rPr>
          <w:rStyle w:val="Hyperlink"/>
          <w:b/>
          <w:sz w:val="24"/>
          <w:szCs w:val="24"/>
        </w:rPr>
        <w:t>Technical and Engineering Advances: Enhancing Selectivity and Scalability</w:t>
      </w:r>
    </w:p>
    <w:p w:rsidR="000F7575" w:rsidRPr="000F7575" w:rsidRDefault="000F7575" w:rsidP="006D0C6D">
      <w:pPr>
        <w:pStyle w:val="Heading2"/>
        <w:spacing w:before="0"/>
      </w:pPr>
      <w:r w:rsidRPr="000F7575">
        <w:t xml:space="preserve"> 3.1. Advanced Co-solvent Systems and Selectivity</w:t>
      </w:r>
    </w:p>
    <w:p w:rsidR="000F7575" w:rsidRDefault="000F7575" w:rsidP="000F7575">
      <w:pPr>
        <w:spacing w:line="360" w:lineRule="auto"/>
        <w:jc w:val="both"/>
        <w:rPr>
          <w:rFonts w:ascii="Arial" w:hAnsi="Arial" w:cs="Arial"/>
          <w:sz w:val="24"/>
          <w:szCs w:val="24"/>
        </w:rPr>
      </w:pPr>
      <w:r w:rsidRPr="000F7575">
        <w:rPr>
          <w:rFonts w:ascii="Arial" w:hAnsi="Arial" w:cs="Arial"/>
          <w:sz w:val="24"/>
          <w:szCs w:val="24"/>
        </w:rPr>
        <w:t xml:space="preserve">Recent research has moved beyond simple ethanol addition to optimize </w:t>
      </w:r>
      <w:r w:rsidRPr="000F7575">
        <w:rPr>
          <w:rFonts w:ascii="Arial" w:hAnsi="Arial" w:cs="Arial"/>
          <w:sz w:val="24"/>
          <w:szCs w:val="24"/>
        </w:rPr>
        <w:lastRenderedPageBreak/>
        <w:t xml:space="preserve">mixed co-solvent systems (e.g., ethanol-water) for specific plant matrices (Processes, 2023, 28(14), 5485). This allows for a more nuanced control over extract composition, targeting specific sub-classes of bioactives. The intensification of flavonoid extraction, for instance, has been a major focus, with studies demonstrating that optimized co-solvent protocols can achieve superior selectivity and yield compared to conventional solid-liquid extraction (Food and </w:t>
      </w:r>
      <w:proofErr w:type="spellStart"/>
      <w:r w:rsidRPr="000F7575">
        <w:rPr>
          <w:rFonts w:ascii="Arial" w:hAnsi="Arial" w:cs="Arial"/>
          <w:sz w:val="24"/>
          <w:szCs w:val="24"/>
        </w:rPr>
        <w:t>Bioproducts</w:t>
      </w:r>
      <w:proofErr w:type="spellEnd"/>
      <w:r w:rsidRPr="000F7575">
        <w:rPr>
          <w:rFonts w:ascii="Arial" w:hAnsi="Arial" w:cs="Arial"/>
          <w:sz w:val="24"/>
          <w:szCs w:val="24"/>
        </w:rPr>
        <w:t xml:space="preserve"> Processing, 2022, 132, 337–352).</w:t>
      </w:r>
    </w:p>
    <w:p w:rsidR="007C1459" w:rsidRPr="006D0C6D" w:rsidRDefault="007C1459" w:rsidP="006D0C6D">
      <w:pPr>
        <w:pStyle w:val="Heading2"/>
      </w:pPr>
      <w:r w:rsidRPr="006D0C6D">
        <w:rPr>
          <w:rStyle w:val="Hyperlink"/>
          <w:rFonts w:asciiTheme="majorHAnsi" w:hAnsiTheme="majorHAnsi" w:cstheme="majorBidi"/>
          <w:b/>
          <w:bCs/>
          <w:iCs w:val="0"/>
          <w:color w:val="000000" w:themeColor="text1"/>
          <w:szCs w:val="24"/>
          <w:shd w:val="clear" w:color="auto" w:fill="auto"/>
        </w:rPr>
        <w:t>3.2. Thermodynamic Modeling and Phase Equilibrium</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Reliable industrial scale-up is contingent upon a profound understanding of high-pressure phase behavior. Research has provided crucial data on complex systems, such as the Type IV phase behavior exhibited by CO</w:t>
      </w:r>
      <w:r w:rsidRPr="000F7575">
        <w:rPr>
          <w:rFonts w:ascii="Cambria Math" w:hAnsi="Cambria Math" w:cs="Cambria Math"/>
          <w:sz w:val="24"/>
          <w:szCs w:val="24"/>
        </w:rPr>
        <w:t>₂</w:t>
      </w:r>
      <w:r w:rsidRPr="000F7575">
        <w:rPr>
          <w:rFonts w:ascii="Arial" w:hAnsi="Arial" w:cs="Arial"/>
          <w:sz w:val="24"/>
          <w:szCs w:val="24"/>
        </w:rPr>
        <w:t>-triglyceride mixtures, which is characterized by liquid-liquid-vapor equilibrium regions (Brunner, 2014). Accurate modeling of this behavior using advanced Equations of State (</w:t>
      </w:r>
      <w:proofErr w:type="spellStart"/>
      <w:r w:rsidRPr="000F7575">
        <w:rPr>
          <w:rFonts w:ascii="Arial" w:hAnsi="Arial" w:cs="Arial"/>
          <w:sz w:val="24"/>
          <w:szCs w:val="24"/>
        </w:rPr>
        <w:t>EoS</w:t>
      </w:r>
      <w:proofErr w:type="spellEnd"/>
      <w:r w:rsidRPr="000F7575">
        <w:rPr>
          <w:rFonts w:ascii="Arial" w:hAnsi="Arial" w:cs="Arial"/>
          <w:sz w:val="24"/>
          <w:szCs w:val="24"/>
        </w:rPr>
        <w:t>) is essential for designing efficient separation vessels and optimizing CO</w:t>
      </w:r>
      <w:r w:rsidRPr="000F7575">
        <w:rPr>
          <w:rFonts w:ascii="Cambria Math" w:hAnsi="Cambria Math" w:cs="Cambria Math"/>
          <w:sz w:val="24"/>
          <w:szCs w:val="24"/>
        </w:rPr>
        <w:t>₂</w:t>
      </w:r>
      <w:r w:rsidRPr="000F7575">
        <w:rPr>
          <w:rFonts w:ascii="Arial" w:hAnsi="Arial" w:cs="Arial"/>
          <w:sz w:val="24"/>
          <w:szCs w:val="24"/>
        </w:rPr>
        <w:t xml:space="preserve"> recycling, thereby reducing operational costs (</w:t>
      </w:r>
      <w:proofErr w:type="spellStart"/>
      <w:r w:rsidRPr="000F7575">
        <w:rPr>
          <w:rFonts w:ascii="Arial" w:hAnsi="Arial" w:cs="Arial"/>
          <w:sz w:val="24"/>
          <w:szCs w:val="24"/>
        </w:rPr>
        <w:t>Alinejad</w:t>
      </w:r>
      <w:proofErr w:type="spellEnd"/>
      <w:r w:rsidRPr="000F7575">
        <w:rPr>
          <w:rFonts w:ascii="Arial" w:hAnsi="Arial" w:cs="Arial"/>
          <w:sz w:val="24"/>
          <w:szCs w:val="24"/>
        </w:rPr>
        <w:t xml:space="preserve"> &amp; </w:t>
      </w:r>
      <w:proofErr w:type="spellStart"/>
      <w:r w:rsidRPr="000F7575">
        <w:rPr>
          <w:rFonts w:ascii="Arial" w:hAnsi="Arial" w:cs="Arial"/>
          <w:sz w:val="24"/>
          <w:szCs w:val="24"/>
        </w:rPr>
        <w:lastRenderedPageBreak/>
        <w:t>Shokrollahi</w:t>
      </w:r>
      <w:proofErr w:type="spellEnd"/>
      <w:r w:rsidRPr="000F7575">
        <w:rPr>
          <w:rFonts w:ascii="Arial" w:hAnsi="Arial" w:cs="Arial"/>
          <w:sz w:val="24"/>
          <w:szCs w:val="24"/>
        </w:rPr>
        <w:t>, 2016). These predictive models are reducing the empiricism traditionally associated with SFE process design.</w:t>
      </w:r>
    </w:p>
    <w:p w:rsidR="000F7575" w:rsidRPr="000F7575" w:rsidRDefault="000F7575" w:rsidP="007C1459">
      <w:pPr>
        <w:pStyle w:val="Heading2"/>
      </w:pPr>
      <w:r w:rsidRPr="000F7575">
        <w:t xml:space="preserve"> 3.3. Process Intensification (PI) for Economic Viability</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The high capital expenditure (CAPEX) associated with high-pressure equipment remains a barrier. Process Intensification (PI) strategies are directly addressing this challenge. The development of continuous-flow SFE systems represents a paradigm shift, offering enhanced mass and heat transfer, reduced reactor volumes, and lower capital investment compared to batch processes (Frontiers in Chemical Engineering, 2022, 4, 966451). These systems are inherently safer and more efficient, paving the way for more compact and cost-effective industrial plants (International Journal of Pharmaceutical Chemistry and Analysis, 2022, 9(3), 1-4).</w:t>
      </w:r>
    </w:p>
    <w:p w:rsidR="000F7575" w:rsidRPr="003620D5" w:rsidRDefault="000F7575" w:rsidP="003620D5">
      <w:pPr>
        <w:tabs>
          <w:tab w:val="left" w:pos="360"/>
          <w:tab w:val="left" w:pos="630"/>
          <w:tab w:val="left" w:pos="990"/>
          <w:tab w:val="left" w:pos="1260"/>
        </w:tabs>
        <w:spacing w:line="360" w:lineRule="auto"/>
        <w:rPr>
          <w:rStyle w:val="Hyperlink"/>
          <w:sz w:val="24"/>
        </w:rPr>
      </w:pPr>
      <w:r w:rsidRPr="000F7575">
        <w:rPr>
          <w:rStyle w:val="Hyperlink"/>
        </w:rPr>
        <w:t xml:space="preserve"> </w:t>
      </w:r>
      <w:r w:rsidR="003620D5">
        <w:rPr>
          <w:rStyle w:val="Hyperlink"/>
        </w:rPr>
        <w:t>4.</w:t>
      </w:r>
      <w:r w:rsidR="003620D5" w:rsidRPr="000F7575">
        <w:rPr>
          <w:rStyle w:val="Hyperlink"/>
        </w:rPr>
        <w:t xml:space="preserve"> Economic</w:t>
      </w:r>
      <w:r w:rsidRPr="000F7575">
        <w:rPr>
          <w:rStyle w:val="Hyperlink"/>
        </w:rPr>
        <w:t xml:space="preserve"> Drivers: </w:t>
      </w:r>
      <w:r w:rsidRPr="003620D5">
        <w:rPr>
          <w:rStyle w:val="Hyperlink"/>
          <w:sz w:val="24"/>
        </w:rPr>
        <w:t>Valorization of Agri-Food By-Products</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 xml:space="preserve">The economic argument for SFE is powerfully bolstered by its application in the circular bioeconomy, transforming </w:t>
      </w:r>
      <w:r w:rsidRPr="000F7575">
        <w:rPr>
          <w:rFonts w:ascii="Arial" w:hAnsi="Arial" w:cs="Arial"/>
          <w:sz w:val="24"/>
          <w:szCs w:val="24"/>
        </w:rPr>
        <w:lastRenderedPageBreak/>
        <w:t>low-cost agri-food waste into high-value ingredients.</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Lipid-Soluble Antioxidants from Waste Streams: A benchmark example is the extraction of tocopherols and phytosterols from deodorizer distillates of vegetable oils (e.g., rapeseed). SFE achieves purities up to three times higher than conventional methods, preserving the bioactivity of these sensitive compounds that are often degraded by harsh organic solvents or high heat (</w:t>
      </w:r>
      <w:proofErr w:type="spellStart"/>
      <w:r w:rsidRPr="000F7575">
        <w:rPr>
          <w:rFonts w:ascii="Arial" w:hAnsi="Arial" w:cs="Arial"/>
          <w:sz w:val="24"/>
          <w:szCs w:val="24"/>
        </w:rPr>
        <w:t>Jafarian</w:t>
      </w:r>
      <w:proofErr w:type="spellEnd"/>
      <w:r w:rsidRPr="000F7575">
        <w:rPr>
          <w:rFonts w:ascii="Arial" w:hAnsi="Arial" w:cs="Arial"/>
          <w:sz w:val="24"/>
          <w:szCs w:val="24"/>
        </w:rPr>
        <w:t xml:space="preserve"> </w:t>
      </w:r>
      <w:proofErr w:type="spellStart"/>
      <w:proofErr w:type="gramStart"/>
      <w:r w:rsidRPr="000F7575">
        <w:rPr>
          <w:rFonts w:ascii="Arial" w:hAnsi="Arial" w:cs="Arial"/>
          <w:sz w:val="24"/>
          <w:szCs w:val="24"/>
        </w:rPr>
        <w:t>Asl</w:t>
      </w:r>
      <w:proofErr w:type="spellEnd"/>
      <w:r w:rsidRPr="000F7575">
        <w:rPr>
          <w:rFonts w:ascii="Arial" w:hAnsi="Arial" w:cs="Arial"/>
          <w:sz w:val="24"/>
          <w:szCs w:val="24"/>
        </w:rPr>
        <w:t xml:space="preserve"> et al</w:t>
      </w:r>
      <w:proofErr w:type="gramEnd"/>
      <w:r w:rsidRPr="000F7575">
        <w:rPr>
          <w:rFonts w:ascii="Arial" w:hAnsi="Arial" w:cs="Arial"/>
          <w:sz w:val="24"/>
          <w:szCs w:val="24"/>
        </w:rPr>
        <w:t>., 2020; Antioxidants, 2023, 2(2), 5).</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 xml:space="preserve">   Carotenoid Recovery: The extraction of lycopene from tomato processing waste (</w:t>
      </w:r>
      <w:proofErr w:type="spellStart"/>
      <w:r w:rsidRPr="000F7575">
        <w:rPr>
          <w:rFonts w:ascii="Arial" w:hAnsi="Arial" w:cs="Arial"/>
          <w:sz w:val="24"/>
          <w:szCs w:val="24"/>
        </w:rPr>
        <w:t>Baysal</w:t>
      </w:r>
      <w:proofErr w:type="spellEnd"/>
      <w:r w:rsidRPr="000F7575">
        <w:rPr>
          <w:rFonts w:ascii="Arial" w:hAnsi="Arial" w:cs="Arial"/>
          <w:sz w:val="24"/>
          <w:szCs w:val="24"/>
        </w:rPr>
        <w:t xml:space="preserve"> et al., 2000) and astaxanthin from microalgae (Mendes-Pinto et al., 2005) remains a commercially successful application. Comparative studies on microalgae like </w:t>
      </w:r>
      <w:proofErr w:type="spellStart"/>
      <w:r w:rsidRPr="000F7575">
        <w:rPr>
          <w:rFonts w:ascii="Arial" w:hAnsi="Arial" w:cs="Arial"/>
          <w:sz w:val="24"/>
          <w:szCs w:val="24"/>
        </w:rPr>
        <w:t>Scenedesmus</w:t>
      </w:r>
      <w:proofErr w:type="spellEnd"/>
      <w:r w:rsidRPr="000F7575">
        <w:rPr>
          <w:rFonts w:ascii="Arial" w:hAnsi="Arial" w:cs="Arial"/>
          <w:sz w:val="24"/>
          <w:szCs w:val="24"/>
        </w:rPr>
        <w:t xml:space="preserve"> </w:t>
      </w:r>
      <w:proofErr w:type="spellStart"/>
      <w:r w:rsidRPr="000F7575">
        <w:rPr>
          <w:rFonts w:ascii="Arial" w:hAnsi="Arial" w:cs="Arial"/>
          <w:sz w:val="24"/>
          <w:szCs w:val="24"/>
        </w:rPr>
        <w:t>obliquus</w:t>
      </w:r>
      <w:proofErr w:type="spellEnd"/>
      <w:r w:rsidRPr="000F7575">
        <w:rPr>
          <w:rFonts w:ascii="Arial" w:hAnsi="Arial" w:cs="Arial"/>
          <w:sz w:val="24"/>
          <w:szCs w:val="24"/>
        </w:rPr>
        <w:t xml:space="preserve"> confirm that SFE yields extracts with superior antioxidant capacity and selectivity, even when total yield is comparable to organic solvent extraction (Processes, 2023, 10(5), 290).</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 xml:space="preserve">   Phenolic Compounds from Pomace: SFE with ethanol co-solvent is highly effective for valorizing grape pomace </w:t>
      </w:r>
      <w:r w:rsidRPr="000F7575">
        <w:rPr>
          <w:rFonts w:ascii="Arial" w:hAnsi="Arial" w:cs="Arial"/>
          <w:sz w:val="24"/>
          <w:szCs w:val="24"/>
        </w:rPr>
        <w:lastRenderedPageBreak/>
        <w:t xml:space="preserve">(Casas et al., 2010) and olive pomace (Le </w:t>
      </w:r>
      <w:proofErr w:type="spellStart"/>
      <w:r w:rsidRPr="000F7575">
        <w:rPr>
          <w:rFonts w:ascii="Arial" w:hAnsi="Arial" w:cs="Arial"/>
          <w:sz w:val="24"/>
          <w:szCs w:val="24"/>
        </w:rPr>
        <w:t>Floch</w:t>
      </w:r>
      <w:proofErr w:type="spellEnd"/>
      <w:r w:rsidRPr="000F7575">
        <w:rPr>
          <w:rFonts w:ascii="Arial" w:hAnsi="Arial" w:cs="Arial"/>
          <w:sz w:val="24"/>
          <w:szCs w:val="24"/>
        </w:rPr>
        <w:t xml:space="preserve"> et al., 1998), recovering potent antioxidants and contributing to waste reduction.</w:t>
      </w:r>
    </w:p>
    <w:p w:rsidR="000F7575" w:rsidRPr="000F7575" w:rsidRDefault="000F7575" w:rsidP="007C1459">
      <w:pPr>
        <w:pStyle w:val="Heading1"/>
        <w:spacing w:after="240"/>
        <w:rPr>
          <w:rStyle w:val="Hyperlink"/>
        </w:rPr>
      </w:pPr>
      <w:r w:rsidRPr="000F7575">
        <w:rPr>
          <w:rStyle w:val="Hyperlink"/>
        </w:rPr>
        <w:t xml:space="preserve"> </w:t>
      </w:r>
      <w:r>
        <w:rPr>
          <w:rStyle w:val="Hyperlink"/>
        </w:rPr>
        <w:t xml:space="preserve">5. </w:t>
      </w:r>
      <w:r w:rsidRPr="000F7575">
        <w:rPr>
          <w:rStyle w:val="Hyperlink"/>
        </w:rPr>
        <w:t>Applications beyond Conventional Extraction</w:t>
      </w:r>
    </w:p>
    <w:p w:rsidR="000F7575" w:rsidRPr="000F7575" w:rsidRDefault="000F7575" w:rsidP="007C1459">
      <w:pPr>
        <w:spacing w:before="240" w:after="240" w:line="360" w:lineRule="auto"/>
        <w:jc w:val="both"/>
        <w:rPr>
          <w:rFonts w:ascii="Arial" w:hAnsi="Arial" w:cs="Arial"/>
          <w:sz w:val="24"/>
          <w:szCs w:val="24"/>
        </w:rPr>
      </w:pPr>
      <w:r w:rsidRPr="000F7575">
        <w:rPr>
          <w:rFonts w:ascii="Arial" w:hAnsi="Arial" w:cs="Arial"/>
          <w:sz w:val="24"/>
          <w:szCs w:val="24"/>
        </w:rPr>
        <w:t>The utility of SC-CO</w:t>
      </w:r>
      <w:r w:rsidRPr="000F7575">
        <w:rPr>
          <w:rFonts w:ascii="Cambria Math" w:hAnsi="Cambria Math" w:cs="Cambria Math"/>
          <w:sz w:val="24"/>
          <w:szCs w:val="24"/>
        </w:rPr>
        <w:t>₂</w:t>
      </w:r>
      <w:r w:rsidRPr="000F7575">
        <w:rPr>
          <w:rFonts w:ascii="Arial" w:hAnsi="Arial" w:cs="Arial"/>
          <w:sz w:val="24"/>
          <w:szCs w:val="24"/>
        </w:rPr>
        <w:t xml:space="preserve"> has broadened significantly, establishing its role in integrated food processing chains.</w:t>
      </w:r>
    </w:p>
    <w:p w:rsidR="000F7575" w:rsidRPr="000F7575" w:rsidRDefault="000F7575" w:rsidP="007C1459">
      <w:pPr>
        <w:pStyle w:val="Heading2"/>
        <w:spacing w:before="240"/>
      </w:pPr>
      <w:r w:rsidRPr="000F7575">
        <w:t xml:space="preserve"> 5.1. Non-Thermal Preservation (Supercritical Pasteurization)</w:t>
      </w:r>
    </w:p>
    <w:p w:rsidR="000F7575" w:rsidRPr="000F7575" w:rsidRDefault="000F7575" w:rsidP="007C1459">
      <w:pPr>
        <w:spacing w:before="240" w:line="360" w:lineRule="auto"/>
        <w:jc w:val="both"/>
        <w:rPr>
          <w:rFonts w:ascii="Arial" w:hAnsi="Arial" w:cs="Arial"/>
          <w:sz w:val="24"/>
          <w:szCs w:val="24"/>
        </w:rPr>
      </w:pPr>
      <w:r w:rsidRPr="000F7575">
        <w:rPr>
          <w:rFonts w:ascii="Arial" w:hAnsi="Arial" w:cs="Arial"/>
          <w:sz w:val="24"/>
          <w:szCs w:val="24"/>
        </w:rPr>
        <w:t>SC-CO</w:t>
      </w:r>
      <w:r w:rsidRPr="000F7575">
        <w:rPr>
          <w:rFonts w:ascii="Cambria Math" w:hAnsi="Cambria Math" w:cs="Cambria Math"/>
          <w:sz w:val="24"/>
          <w:szCs w:val="24"/>
        </w:rPr>
        <w:t>₂</w:t>
      </w:r>
      <w:r w:rsidRPr="000F7575">
        <w:rPr>
          <w:rFonts w:ascii="Arial" w:hAnsi="Arial" w:cs="Arial"/>
          <w:sz w:val="24"/>
          <w:szCs w:val="24"/>
        </w:rPr>
        <w:t xml:space="preserve"> is an effective non-thermal technology for microbial inactivation in spices, liquid foods, and enzyme preparations (Fermentation, 2024, 13(9), 2988). The germicidal mechanism involves the rapid diffusion of CO</w:t>
      </w:r>
      <w:r w:rsidRPr="000F7575">
        <w:rPr>
          <w:rFonts w:ascii="Cambria Math" w:hAnsi="Cambria Math" w:cs="Cambria Math"/>
          <w:sz w:val="24"/>
          <w:szCs w:val="24"/>
        </w:rPr>
        <w:t>₂</w:t>
      </w:r>
      <w:r w:rsidRPr="000F7575">
        <w:rPr>
          <w:rFonts w:ascii="Arial" w:hAnsi="Arial" w:cs="Arial"/>
          <w:sz w:val="24"/>
          <w:szCs w:val="24"/>
        </w:rPr>
        <w:t xml:space="preserve"> into microbial cells, leading to intracellular acidification, enzymatic inhibition, and disruption of cell membranes and key enzymes, all achieved at low temperatures that preserve product quality (</w:t>
      </w:r>
      <w:proofErr w:type="spellStart"/>
      <w:r w:rsidRPr="000F7575">
        <w:rPr>
          <w:rFonts w:ascii="Arial" w:hAnsi="Arial" w:cs="Arial"/>
          <w:sz w:val="24"/>
          <w:szCs w:val="24"/>
        </w:rPr>
        <w:t>Donsì</w:t>
      </w:r>
      <w:proofErr w:type="spellEnd"/>
      <w:r w:rsidRPr="000F7575">
        <w:rPr>
          <w:rFonts w:ascii="Arial" w:hAnsi="Arial" w:cs="Arial"/>
          <w:sz w:val="24"/>
          <w:szCs w:val="24"/>
        </w:rPr>
        <w:t xml:space="preserve"> et al., 2010; Frontiers in Nutrition, 2021, 8, 657090).</w:t>
      </w:r>
    </w:p>
    <w:p w:rsidR="000F7575" w:rsidRPr="000F7575" w:rsidRDefault="000F7575" w:rsidP="007C1459">
      <w:pPr>
        <w:pStyle w:val="Heading2"/>
      </w:pPr>
      <w:r w:rsidRPr="000F7575">
        <w:lastRenderedPageBreak/>
        <w:t xml:space="preserve"> 5.2. High-Purity Fractionation via Supercritical Fluid Chromatography (SFC)</w:t>
      </w:r>
    </w:p>
    <w:p w:rsidR="000F7575" w:rsidRDefault="000F7575" w:rsidP="007C1459">
      <w:pPr>
        <w:spacing w:after="240" w:line="360" w:lineRule="auto"/>
        <w:jc w:val="both"/>
        <w:rPr>
          <w:rFonts w:ascii="Arial" w:hAnsi="Arial" w:cs="Arial"/>
          <w:sz w:val="24"/>
          <w:szCs w:val="24"/>
        </w:rPr>
      </w:pPr>
      <w:r w:rsidRPr="000F7575">
        <w:rPr>
          <w:rFonts w:ascii="Arial" w:hAnsi="Arial" w:cs="Arial"/>
          <w:sz w:val="24"/>
          <w:szCs w:val="24"/>
        </w:rPr>
        <w:t>The properties that make SC-CO</w:t>
      </w:r>
      <w:r w:rsidRPr="000F7575">
        <w:rPr>
          <w:rFonts w:ascii="Cambria Math" w:hAnsi="Cambria Math" w:cs="Cambria Math"/>
          <w:sz w:val="24"/>
          <w:szCs w:val="24"/>
        </w:rPr>
        <w:t>₂</w:t>
      </w:r>
      <w:r w:rsidRPr="000F7575">
        <w:rPr>
          <w:rFonts w:ascii="Arial" w:hAnsi="Arial" w:cs="Arial"/>
          <w:sz w:val="24"/>
          <w:szCs w:val="24"/>
        </w:rPr>
        <w:t xml:space="preserve"> an excellent solvent also make it an ideal mobile phase for preparative chromatography. SFC is increasingly employed for the final ultra-purification of high-value compounds, such as the separation of individual omega-3 fatty acids (EPA and DHA) or specific carotenoids. The low viscosity and high diffusivity of SC-CO</w:t>
      </w:r>
      <w:r w:rsidRPr="000F7575">
        <w:rPr>
          <w:rFonts w:ascii="Cambria Math" w:hAnsi="Cambria Math" w:cs="Cambria Math"/>
          <w:sz w:val="24"/>
          <w:szCs w:val="24"/>
        </w:rPr>
        <w:t>₂</w:t>
      </w:r>
      <w:r w:rsidRPr="000F7575">
        <w:rPr>
          <w:rFonts w:ascii="Arial" w:hAnsi="Arial" w:cs="Arial"/>
          <w:sz w:val="24"/>
          <w:szCs w:val="24"/>
        </w:rPr>
        <w:t xml:space="preserve"> enable faster separation and higher throughput than traditional liquid chromatography, making it particularly suitable for industrial-scale purification (</w:t>
      </w:r>
      <w:proofErr w:type="spellStart"/>
      <w:r w:rsidRPr="000F7575">
        <w:rPr>
          <w:rFonts w:ascii="Arial" w:hAnsi="Arial" w:cs="Arial"/>
          <w:sz w:val="24"/>
          <w:szCs w:val="24"/>
        </w:rPr>
        <w:t>Moura</w:t>
      </w:r>
      <w:proofErr w:type="spellEnd"/>
      <w:r w:rsidRPr="000F7575">
        <w:rPr>
          <w:rFonts w:ascii="Arial" w:hAnsi="Arial" w:cs="Arial"/>
          <w:sz w:val="24"/>
          <w:szCs w:val="24"/>
        </w:rPr>
        <w:t xml:space="preserve"> et al., 2014).</w:t>
      </w:r>
    </w:p>
    <w:p w:rsidR="000F7575" w:rsidRPr="007C1459" w:rsidRDefault="000F7575" w:rsidP="000F7575">
      <w:pPr>
        <w:spacing w:line="360" w:lineRule="auto"/>
        <w:jc w:val="both"/>
        <w:rPr>
          <w:rStyle w:val="Hyperlink"/>
        </w:rPr>
      </w:pPr>
      <w:r w:rsidRPr="007C1459">
        <w:rPr>
          <w:rStyle w:val="Hyperlink"/>
        </w:rPr>
        <w:t xml:space="preserve"> 6. Challenges and Integrated Future Perspectives</w:t>
      </w:r>
    </w:p>
    <w:p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Despite its advancements, challenges persist. High initial CAPEX and the need for specialized expertise for process optimization remain hurdles for smaller enterprises. The future of SFE lies in addressing these through integrated approaches:</w:t>
      </w:r>
    </w:p>
    <w:p w:rsidR="000F7575" w:rsidRPr="000F7575" w:rsidRDefault="003620D5" w:rsidP="003620D5">
      <w:pPr>
        <w:tabs>
          <w:tab w:val="left" w:pos="360"/>
          <w:tab w:val="left" w:pos="630"/>
        </w:tabs>
        <w:spacing w:line="360" w:lineRule="auto"/>
        <w:jc w:val="both"/>
        <w:rPr>
          <w:rFonts w:ascii="Arial" w:hAnsi="Arial" w:cs="Arial"/>
          <w:sz w:val="24"/>
          <w:szCs w:val="24"/>
        </w:rPr>
      </w:pPr>
      <w:r>
        <w:rPr>
          <w:rFonts w:ascii="Arial" w:hAnsi="Arial" w:cs="Arial"/>
          <w:sz w:val="24"/>
          <w:szCs w:val="24"/>
        </w:rPr>
        <w:t>1.</w:t>
      </w:r>
      <w:r w:rsidR="000F7575" w:rsidRPr="000F7575">
        <w:rPr>
          <w:rFonts w:ascii="Arial" w:hAnsi="Arial" w:cs="Arial"/>
          <w:sz w:val="24"/>
          <w:szCs w:val="24"/>
        </w:rPr>
        <w:t xml:space="preserve">Development of Universal Thermodynamic Models: Creating </w:t>
      </w:r>
      <w:r w:rsidR="000F7575" w:rsidRPr="000F7575">
        <w:rPr>
          <w:rFonts w:ascii="Arial" w:hAnsi="Arial" w:cs="Arial"/>
          <w:sz w:val="24"/>
          <w:szCs w:val="24"/>
        </w:rPr>
        <w:lastRenderedPageBreak/>
        <w:t>predictive models for complex multi-component systems will streamline scale-up and reduce development time and cost.</w:t>
      </w:r>
    </w:p>
    <w:p w:rsidR="000F7575" w:rsidRPr="000F7575" w:rsidRDefault="003620D5" w:rsidP="003620D5">
      <w:pPr>
        <w:tabs>
          <w:tab w:val="left" w:pos="270"/>
          <w:tab w:val="left" w:pos="450"/>
        </w:tabs>
        <w:spacing w:line="360" w:lineRule="auto"/>
        <w:jc w:val="both"/>
        <w:rPr>
          <w:rFonts w:ascii="Arial" w:hAnsi="Arial" w:cs="Arial"/>
          <w:sz w:val="24"/>
          <w:szCs w:val="24"/>
        </w:rPr>
      </w:pPr>
      <w:r>
        <w:rPr>
          <w:rFonts w:ascii="Arial" w:hAnsi="Arial" w:cs="Arial"/>
          <w:sz w:val="24"/>
          <w:szCs w:val="24"/>
        </w:rPr>
        <w:t>2.</w:t>
      </w:r>
      <w:r w:rsidRPr="000F7575">
        <w:rPr>
          <w:rFonts w:ascii="Arial" w:hAnsi="Arial" w:cs="Arial"/>
          <w:sz w:val="24"/>
          <w:szCs w:val="24"/>
        </w:rPr>
        <w:t xml:space="preserve"> Hybrid</w:t>
      </w:r>
      <w:r w:rsidR="000F7575" w:rsidRPr="000F7575">
        <w:rPr>
          <w:rFonts w:ascii="Arial" w:hAnsi="Arial" w:cs="Arial"/>
          <w:sz w:val="24"/>
          <w:szCs w:val="24"/>
        </w:rPr>
        <w:t xml:space="preserve"> Process Integration: Combin</w:t>
      </w:r>
      <w:r w:rsidR="009437AD">
        <w:rPr>
          <w:rFonts w:ascii="Arial" w:hAnsi="Arial" w:cs="Arial"/>
          <w:sz w:val="24"/>
          <w:szCs w:val="24"/>
        </w:rPr>
        <w:t xml:space="preserve">ing SFE with other technologies </w:t>
      </w:r>
      <w:r w:rsidR="000F7575" w:rsidRPr="000F7575">
        <w:rPr>
          <w:rFonts w:ascii="Arial" w:hAnsi="Arial" w:cs="Arial"/>
          <w:sz w:val="24"/>
          <w:szCs w:val="24"/>
        </w:rPr>
        <w:t>such as ultrasound for pre-treatment to enhance mass transfer, or direct coupling w</w:t>
      </w:r>
      <w:r w:rsidR="006D0C6D">
        <w:rPr>
          <w:rFonts w:ascii="Arial" w:hAnsi="Arial" w:cs="Arial"/>
          <w:sz w:val="24"/>
          <w:szCs w:val="24"/>
        </w:rPr>
        <w:t xml:space="preserve">ith SFC for online purification </w:t>
      </w:r>
      <w:r w:rsidR="000F7575" w:rsidRPr="000F7575">
        <w:rPr>
          <w:rFonts w:ascii="Arial" w:hAnsi="Arial" w:cs="Arial"/>
          <w:sz w:val="24"/>
          <w:szCs w:val="24"/>
        </w:rPr>
        <w:t>will lead to fully intensified, closed-loop manufacturing systems.</w:t>
      </w:r>
      <w:r w:rsidR="000F7575" w:rsidRPr="000F7575">
        <w:rPr>
          <w:rFonts w:ascii="Arial" w:hAnsi="Arial" w:cs="Arial"/>
          <w:sz w:val="24"/>
          <w:szCs w:val="24"/>
        </w:rPr>
        <w:cr/>
        <w:t xml:space="preserve">3.  Exploration of Novel </w:t>
      </w:r>
      <w:r w:rsidR="006D0C6D" w:rsidRPr="000F7575">
        <w:rPr>
          <w:rFonts w:ascii="Arial" w:hAnsi="Arial" w:cs="Arial"/>
          <w:sz w:val="24"/>
          <w:szCs w:val="24"/>
        </w:rPr>
        <w:t>Feedstock</w:t>
      </w:r>
      <w:r w:rsidR="006D0C6D">
        <w:rPr>
          <w:rFonts w:ascii="Arial" w:hAnsi="Arial" w:cs="Arial"/>
          <w:sz w:val="24"/>
          <w:szCs w:val="24"/>
        </w:rPr>
        <w:t>s</w:t>
      </w:r>
      <w:r w:rsidR="000F7575" w:rsidRPr="000F7575">
        <w:rPr>
          <w:rFonts w:ascii="Arial" w:hAnsi="Arial" w:cs="Arial"/>
          <w:sz w:val="24"/>
          <w:szCs w:val="24"/>
        </w:rPr>
        <w:t>: Continued research into valorizing underutilized and novel agri-food by-products will further strengthen the economic and environmental case for SFE.</w:t>
      </w:r>
    </w:p>
    <w:p w:rsidR="000F7575" w:rsidRPr="007C1459" w:rsidRDefault="000F7575" w:rsidP="000F7575">
      <w:pPr>
        <w:spacing w:line="360" w:lineRule="auto"/>
        <w:jc w:val="both"/>
        <w:rPr>
          <w:rStyle w:val="Hyperlink"/>
        </w:rPr>
      </w:pPr>
      <w:r w:rsidRPr="007C1459">
        <w:rPr>
          <w:rStyle w:val="Hyperlink"/>
        </w:rPr>
        <w:t xml:space="preserve"> 7. Conclusion</w:t>
      </w:r>
    </w:p>
    <w:p w:rsidR="000F7575" w:rsidRPr="000F7575" w:rsidRDefault="000F7575" w:rsidP="000F7575">
      <w:pPr>
        <w:pStyle w:val="NoSpacing"/>
        <w:spacing w:line="360" w:lineRule="auto"/>
        <w:jc w:val="both"/>
        <w:rPr>
          <w:rFonts w:ascii="Arial" w:hAnsi="Arial" w:cs="Arial"/>
          <w:sz w:val="24"/>
          <w:szCs w:val="24"/>
        </w:rPr>
      </w:pPr>
      <w:r w:rsidRPr="000F7575">
        <w:rPr>
          <w:rFonts w:ascii="Arial" w:hAnsi="Arial" w:cs="Arial"/>
          <w:sz w:val="24"/>
          <w:szCs w:val="24"/>
        </w:rPr>
        <w:t>Supercritical Fluid Extraction with CO</w:t>
      </w:r>
      <w:r w:rsidRPr="000F7575">
        <w:rPr>
          <w:rFonts w:ascii="Cambria Math" w:hAnsi="Cambria Math" w:cs="Cambria Math"/>
          <w:sz w:val="24"/>
          <w:szCs w:val="24"/>
        </w:rPr>
        <w:t>₂</w:t>
      </w:r>
      <w:r w:rsidRPr="000F7575">
        <w:rPr>
          <w:rFonts w:ascii="Arial" w:hAnsi="Arial" w:cs="Arial"/>
          <w:sz w:val="24"/>
          <w:szCs w:val="24"/>
        </w:rPr>
        <w:t xml:space="preserve"> has unequivocally established itself as a mature, versatile, and indispensable platform technology for the food industry. The period from 2010 to 2025 has been marked by critical advancements in co-solvent engineering, process intensification, and waste valorization, which have collectively enhanced its technical performance and economic feasibility. Its role has expanded beyond mere </w:t>
      </w:r>
      <w:r w:rsidRPr="000F7575">
        <w:rPr>
          <w:rFonts w:ascii="Arial" w:hAnsi="Arial" w:cs="Arial"/>
          <w:sz w:val="24"/>
          <w:szCs w:val="24"/>
        </w:rPr>
        <w:lastRenderedPageBreak/>
        <w:t>extraction to encompass preservation and high-purity fractionation. As the global demand for safe, natural, and sustainably produced ingredients continues to grow, SFE, particularly when integrated into a circular bio</w:t>
      </w:r>
      <w:r w:rsidR="006D0C6D">
        <w:rPr>
          <w:rFonts w:ascii="Arial" w:hAnsi="Arial" w:cs="Arial"/>
          <w:sz w:val="24"/>
          <w:szCs w:val="24"/>
        </w:rPr>
        <w:t>-</w:t>
      </w:r>
      <w:r w:rsidRPr="000F7575">
        <w:rPr>
          <w:rFonts w:ascii="Arial" w:hAnsi="Arial" w:cs="Arial"/>
          <w:sz w:val="24"/>
          <w:szCs w:val="24"/>
        </w:rPr>
        <w:t>economy framework, is poised to remain at the forefront of innovation in food science and technology, driving the creation of a more sustainable and health-conscious food supply chain.</w:t>
      </w:r>
    </w:p>
    <w:p w:rsidR="000F7575" w:rsidRPr="006D0C6D" w:rsidRDefault="000F7575" w:rsidP="006D0C6D">
      <w:pPr>
        <w:pStyle w:val="NoSpacing"/>
        <w:spacing w:after="240"/>
        <w:rPr>
          <w:b/>
        </w:rPr>
      </w:pPr>
      <w:r w:rsidRPr="006D0C6D">
        <w:rPr>
          <w:b/>
        </w:rPr>
        <w:t xml:space="preserve"> References</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Alinejad</w:t>
      </w:r>
      <w:proofErr w:type="spellEnd"/>
      <w:r w:rsidRPr="006D0C6D">
        <w:rPr>
          <w:rFonts w:ascii="Arial" w:hAnsi="Arial" w:cs="Arial"/>
          <w:sz w:val="24"/>
          <w:szCs w:val="24"/>
        </w:rPr>
        <w:t xml:space="preserve">, S., &amp; </w:t>
      </w:r>
      <w:proofErr w:type="spellStart"/>
      <w:r w:rsidRPr="006D0C6D">
        <w:rPr>
          <w:rFonts w:ascii="Arial" w:hAnsi="Arial" w:cs="Arial"/>
          <w:sz w:val="24"/>
          <w:szCs w:val="24"/>
        </w:rPr>
        <w:t>Shokrollahi</w:t>
      </w:r>
      <w:proofErr w:type="spellEnd"/>
      <w:r w:rsidRPr="006D0C6D">
        <w:rPr>
          <w:rFonts w:ascii="Arial" w:hAnsi="Arial" w:cs="Arial"/>
          <w:sz w:val="24"/>
          <w:szCs w:val="24"/>
        </w:rPr>
        <w:t>, A. (2016). Modeling and optimization of supercritical fluid extraction of bioactive compounds: A review. The Journal of Supercritical Fluids, 108, 1-13.</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Aman</w:t>
      </w:r>
      <w:proofErr w:type="spellEnd"/>
      <w:r w:rsidRPr="006D0C6D">
        <w:rPr>
          <w:rFonts w:ascii="Arial" w:hAnsi="Arial" w:cs="Arial"/>
          <w:sz w:val="24"/>
          <w:szCs w:val="24"/>
        </w:rPr>
        <w:t xml:space="preserve"> </w:t>
      </w:r>
      <w:proofErr w:type="spellStart"/>
      <w:r w:rsidRPr="006D0C6D">
        <w:rPr>
          <w:rFonts w:ascii="Arial" w:hAnsi="Arial" w:cs="Arial"/>
          <w:sz w:val="24"/>
          <w:szCs w:val="24"/>
        </w:rPr>
        <w:t>Mohammadi</w:t>
      </w:r>
      <w:proofErr w:type="spellEnd"/>
      <w:r w:rsidRPr="006D0C6D">
        <w:rPr>
          <w:rFonts w:ascii="Arial" w:hAnsi="Arial" w:cs="Arial"/>
          <w:sz w:val="24"/>
          <w:szCs w:val="24"/>
        </w:rPr>
        <w:t xml:space="preserve">, M., </w:t>
      </w:r>
      <w:proofErr w:type="spellStart"/>
      <w:r w:rsidRPr="006D0C6D">
        <w:rPr>
          <w:rFonts w:ascii="Arial" w:hAnsi="Arial" w:cs="Arial"/>
          <w:sz w:val="24"/>
          <w:szCs w:val="24"/>
        </w:rPr>
        <w:t>Safavizadeh</w:t>
      </w:r>
      <w:proofErr w:type="spellEnd"/>
      <w:r w:rsidRPr="006D0C6D">
        <w:rPr>
          <w:rFonts w:ascii="Arial" w:hAnsi="Arial" w:cs="Arial"/>
          <w:sz w:val="24"/>
          <w:szCs w:val="24"/>
        </w:rPr>
        <w:t xml:space="preserve">, V., </w:t>
      </w:r>
      <w:proofErr w:type="spellStart"/>
      <w:r w:rsidRPr="006D0C6D">
        <w:rPr>
          <w:rFonts w:ascii="Arial" w:hAnsi="Arial" w:cs="Arial"/>
          <w:sz w:val="24"/>
          <w:szCs w:val="24"/>
        </w:rPr>
        <w:t>Yousefi</w:t>
      </w:r>
      <w:proofErr w:type="spellEnd"/>
      <w:r w:rsidRPr="006D0C6D">
        <w:rPr>
          <w:rFonts w:ascii="Arial" w:hAnsi="Arial" w:cs="Arial"/>
          <w:sz w:val="24"/>
          <w:szCs w:val="24"/>
        </w:rPr>
        <w:t xml:space="preserve">, M., &amp; </w:t>
      </w:r>
      <w:proofErr w:type="spellStart"/>
      <w:r w:rsidRPr="006D0C6D">
        <w:rPr>
          <w:rFonts w:ascii="Arial" w:hAnsi="Arial" w:cs="Arial"/>
          <w:sz w:val="24"/>
          <w:szCs w:val="24"/>
        </w:rPr>
        <w:t>Hosseini</w:t>
      </w:r>
      <w:proofErr w:type="spellEnd"/>
      <w:r w:rsidRPr="006D0C6D">
        <w:rPr>
          <w:rFonts w:ascii="Arial" w:hAnsi="Arial" w:cs="Arial"/>
          <w:sz w:val="24"/>
          <w:szCs w:val="24"/>
        </w:rPr>
        <w:t>, S. M. (2024). A short review of supercritical fluid extraction of plant extracts. Available at SSRN 4792437.</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Antioxidants. (2023). Application of Supercritical Fluid Extraction (SFE) of Tocopherols and Carotenoids (Hydrophobic Antioxidants) Compared to Non-SFE Methods. Antioxidants, 2(2), 5.</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Baysal</w:t>
      </w:r>
      <w:proofErr w:type="spellEnd"/>
      <w:r w:rsidRPr="006D0C6D">
        <w:rPr>
          <w:rFonts w:ascii="Arial" w:hAnsi="Arial" w:cs="Arial"/>
          <w:sz w:val="24"/>
          <w:szCs w:val="24"/>
        </w:rPr>
        <w:t xml:space="preserve">, T., </w:t>
      </w:r>
      <w:proofErr w:type="spellStart"/>
      <w:r w:rsidRPr="006D0C6D">
        <w:rPr>
          <w:rFonts w:ascii="Arial" w:hAnsi="Arial" w:cs="Arial"/>
          <w:sz w:val="24"/>
          <w:szCs w:val="24"/>
        </w:rPr>
        <w:t>Ersus</w:t>
      </w:r>
      <w:proofErr w:type="spellEnd"/>
      <w:r w:rsidRPr="006D0C6D">
        <w:rPr>
          <w:rFonts w:ascii="Arial" w:hAnsi="Arial" w:cs="Arial"/>
          <w:sz w:val="24"/>
          <w:szCs w:val="24"/>
        </w:rPr>
        <w:t xml:space="preserve">, S., &amp; </w:t>
      </w:r>
      <w:proofErr w:type="spellStart"/>
      <w:r w:rsidRPr="006D0C6D">
        <w:rPr>
          <w:rFonts w:ascii="Arial" w:hAnsi="Arial" w:cs="Arial"/>
          <w:sz w:val="24"/>
          <w:szCs w:val="24"/>
        </w:rPr>
        <w:t>Starmans</w:t>
      </w:r>
      <w:proofErr w:type="spellEnd"/>
      <w:r w:rsidRPr="006D0C6D">
        <w:rPr>
          <w:rFonts w:ascii="Arial" w:hAnsi="Arial" w:cs="Arial"/>
          <w:sz w:val="24"/>
          <w:szCs w:val="24"/>
        </w:rPr>
        <w:t xml:space="preserve">, D. A. J. (2000). Supercritical CO2 </w:t>
      </w:r>
      <w:r w:rsidRPr="006D0C6D">
        <w:rPr>
          <w:rFonts w:ascii="Arial" w:hAnsi="Arial" w:cs="Arial"/>
          <w:sz w:val="24"/>
          <w:szCs w:val="24"/>
        </w:rPr>
        <w:lastRenderedPageBreak/>
        <w:t>extraction of lycopene from tomato processing wastes. The Journal of Supercritical Fluids, 17(1), 61-68.</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Brunner, G. (2014). High Pressure Technology in the Food Industry. In: Green Extraction of Natural Products (pp. 377-400). Wiley-VCH.</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Casas, L., </w:t>
      </w:r>
      <w:proofErr w:type="spellStart"/>
      <w:r w:rsidRPr="006D0C6D">
        <w:rPr>
          <w:rFonts w:ascii="Arial" w:hAnsi="Arial" w:cs="Arial"/>
          <w:sz w:val="24"/>
          <w:szCs w:val="24"/>
        </w:rPr>
        <w:t>Mantell</w:t>
      </w:r>
      <w:proofErr w:type="spellEnd"/>
      <w:r w:rsidRPr="006D0C6D">
        <w:rPr>
          <w:rFonts w:ascii="Arial" w:hAnsi="Arial" w:cs="Arial"/>
          <w:sz w:val="24"/>
          <w:szCs w:val="24"/>
        </w:rPr>
        <w:t xml:space="preserve">, C., Rodríguez, M., de la Ossa, E. J. M., &amp; </w:t>
      </w:r>
      <w:proofErr w:type="spellStart"/>
      <w:r w:rsidRPr="006D0C6D">
        <w:rPr>
          <w:rFonts w:ascii="Arial" w:hAnsi="Arial" w:cs="Arial"/>
          <w:sz w:val="24"/>
          <w:szCs w:val="24"/>
        </w:rPr>
        <w:t>Roldán</w:t>
      </w:r>
      <w:proofErr w:type="spellEnd"/>
      <w:r w:rsidRPr="006D0C6D">
        <w:rPr>
          <w:rFonts w:ascii="Arial" w:hAnsi="Arial" w:cs="Arial"/>
          <w:sz w:val="24"/>
          <w:szCs w:val="24"/>
        </w:rPr>
        <w:t xml:space="preserve">, A. (2010). Supercritical fluid extraction of functional compounds from grape by-products. Food and </w:t>
      </w:r>
      <w:proofErr w:type="spellStart"/>
      <w:r w:rsidRPr="006D0C6D">
        <w:rPr>
          <w:rFonts w:ascii="Arial" w:hAnsi="Arial" w:cs="Arial"/>
          <w:sz w:val="24"/>
          <w:szCs w:val="24"/>
        </w:rPr>
        <w:t>Bioproducts</w:t>
      </w:r>
      <w:proofErr w:type="spellEnd"/>
      <w:r w:rsidRPr="006D0C6D">
        <w:rPr>
          <w:rFonts w:ascii="Arial" w:hAnsi="Arial" w:cs="Arial"/>
          <w:sz w:val="24"/>
          <w:szCs w:val="24"/>
        </w:rPr>
        <w:t xml:space="preserve"> Processing, 88(2-3), 101-106.</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gramStart"/>
      <w:r w:rsidRPr="006D0C6D">
        <w:rPr>
          <w:rFonts w:ascii="Arial" w:hAnsi="Arial" w:cs="Arial"/>
          <w:sz w:val="24"/>
          <w:szCs w:val="24"/>
        </w:rPr>
        <w:t>de</w:t>
      </w:r>
      <w:proofErr w:type="gramEnd"/>
      <w:r w:rsidRPr="006D0C6D">
        <w:rPr>
          <w:rFonts w:ascii="Arial" w:hAnsi="Arial" w:cs="Arial"/>
          <w:sz w:val="24"/>
          <w:szCs w:val="24"/>
        </w:rPr>
        <w:t xml:space="preserve"> </w:t>
      </w:r>
      <w:proofErr w:type="spellStart"/>
      <w:r w:rsidRPr="006D0C6D">
        <w:rPr>
          <w:rFonts w:ascii="Arial" w:hAnsi="Arial" w:cs="Arial"/>
          <w:sz w:val="24"/>
          <w:szCs w:val="24"/>
        </w:rPr>
        <w:t>Melo</w:t>
      </w:r>
      <w:proofErr w:type="spellEnd"/>
      <w:r w:rsidRPr="006D0C6D">
        <w:rPr>
          <w:rFonts w:ascii="Arial" w:hAnsi="Arial" w:cs="Arial"/>
          <w:sz w:val="24"/>
          <w:szCs w:val="24"/>
        </w:rPr>
        <w:t>, M. M. R., Silvestre, A. J. D., &amp; Silva, C. M. (2014). Supercritical fluid extraction of vegetable matrices: Applications, trends and future perspectives of a convincing green technology. The Journal of Supercritical Fluids, 96, 95-122.</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Donsì</w:t>
      </w:r>
      <w:proofErr w:type="spellEnd"/>
      <w:r w:rsidRPr="006D0C6D">
        <w:rPr>
          <w:rFonts w:ascii="Arial" w:hAnsi="Arial" w:cs="Arial"/>
          <w:sz w:val="24"/>
          <w:szCs w:val="24"/>
        </w:rPr>
        <w:t xml:space="preserve">, F., Ferrari, G., &amp; </w:t>
      </w:r>
      <w:proofErr w:type="spellStart"/>
      <w:r w:rsidRPr="006D0C6D">
        <w:rPr>
          <w:rFonts w:ascii="Arial" w:hAnsi="Arial" w:cs="Arial"/>
          <w:sz w:val="24"/>
          <w:szCs w:val="24"/>
        </w:rPr>
        <w:t>Lenza</w:t>
      </w:r>
      <w:proofErr w:type="spellEnd"/>
      <w:r w:rsidRPr="006D0C6D">
        <w:rPr>
          <w:rFonts w:ascii="Arial" w:hAnsi="Arial" w:cs="Arial"/>
          <w:sz w:val="24"/>
          <w:szCs w:val="24"/>
        </w:rPr>
        <w:t>, E. (2010). Non-thermal inactivation of microorganisms by high-pressure CO</w:t>
      </w:r>
      <w:r w:rsidRPr="006D0C6D">
        <w:rPr>
          <w:rFonts w:ascii="Cambria Math" w:hAnsi="Cambria Math" w:cs="Cambria Math"/>
          <w:sz w:val="24"/>
          <w:szCs w:val="24"/>
        </w:rPr>
        <w:t>₂</w:t>
      </w:r>
      <w:r w:rsidRPr="006D0C6D">
        <w:rPr>
          <w:rFonts w:ascii="Arial" w:hAnsi="Arial" w:cs="Arial"/>
          <w:sz w:val="24"/>
          <w:szCs w:val="24"/>
        </w:rPr>
        <w:t>: Mechanisms and opportunities. Journal of Food Engineering, 96(3), 273–281.</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Fermentation. (2024). Non-Thermal Technologies in Food Fermentation: Mechanisms, Benefits, and Industrial Perspectives for Sustainable </w:t>
      </w:r>
      <w:r w:rsidRPr="006D0C6D">
        <w:rPr>
          <w:rFonts w:ascii="Arial" w:hAnsi="Arial" w:cs="Arial"/>
          <w:sz w:val="24"/>
          <w:szCs w:val="24"/>
        </w:rPr>
        <w:lastRenderedPageBreak/>
        <w:t>Development. Fermentation, 13(9), 2988.</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Food and </w:t>
      </w:r>
      <w:proofErr w:type="spellStart"/>
      <w:r w:rsidRPr="006D0C6D">
        <w:rPr>
          <w:rFonts w:ascii="Arial" w:hAnsi="Arial" w:cs="Arial"/>
          <w:sz w:val="24"/>
          <w:szCs w:val="24"/>
        </w:rPr>
        <w:t>Bioproducts</w:t>
      </w:r>
      <w:proofErr w:type="spellEnd"/>
      <w:r w:rsidRPr="006D0C6D">
        <w:rPr>
          <w:rFonts w:ascii="Arial" w:hAnsi="Arial" w:cs="Arial"/>
          <w:sz w:val="24"/>
          <w:szCs w:val="24"/>
        </w:rPr>
        <w:t xml:space="preserve"> Processing. (2022). Intensification of supercritical fluid in the extraction of flavonoids: A comprehensive review. Food and </w:t>
      </w:r>
      <w:proofErr w:type="spellStart"/>
      <w:r w:rsidRPr="006D0C6D">
        <w:rPr>
          <w:rFonts w:ascii="Arial" w:hAnsi="Arial" w:cs="Arial"/>
          <w:sz w:val="24"/>
          <w:szCs w:val="24"/>
        </w:rPr>
        <w:t>Bioproducts</w:t>
      </w:r>
      <w:proofErr w:type="spellEnd"/>
      <w:r w:rsidRPr="006D0C6D">
        <w:rPr>
          <w:rFonts w:ascii="Arial" w:hAnsi="Arial" w:cs="Arial"/>
          <w:sz w:val="24"/>
          <w:szCs w:val="24"/>
        </w:rPr>
        <w:t xml:space="preserve"> Processing, 132, 337–352.</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Frontiers in Chemical Engineering. (2022). Process intensification in continuous flow organic synthesis with enabling and hybrid technologies. Frontiers in Chemical Engineering, 4, 966451.</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Frontiers in Nutrition. (2021). Non-thermal Technologies for Food Processing. Frontiers in Nutrition, 8, 657090.</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Herrero</w:t>
      </w:r>
      <w:proofErr w:type="spellEnd"/>
      <w:r w:rsidRPr="006D0C6D">
        <w:rPr>
          <w:rFonts w:ascii="Arial" w:hAnsi="Arial" w:cs="Arial"/>
          <w:sz w:val="24"/>
          <w:szCs w:val="24"/>
        </w:rPr>
        <w:t xml:space="preserve">, M., </w:t>
      </w:r>
      <w:proofErr w:type="spellStart"/>
      <w:r w:rsidRPr="006D0C6D">
        <w:rPr>
          <w:rFonts w:ascii="Arial" w:hAnsi="Arial" w:cs="Arial"/>
          <w:sz w:val="24"/>
          <w:szCs w:val="24"/>
        </w:rPr>
        <w:t>Mendiola</w:t>
      </w:r>
      <w:proofErr w:type="spellEnd"/>
      <w:r w:rsidRPr="006D0C6D">
        <w:rPr>
          <w:rFonts w:ascii="Arial" w:hAnsi="Arial" w:cs="Arial"/>
          <w:sz w:val="24"/>
          <w:szCs w:val="24"/>
        </w:rPr>
        <w:t xml:space="preserve">, J. A., </w:t>
      </w:r>
      <w:proofErr w:type="spellStart"/>
      <w:r w:rsidRPr="006D0C6D">
        <w:rPr>
          <w:rFonts w:ascii="Arial" w:hAnsi="Arial" w:cs="Arial"/>
          <w:sz w:val="24"/>
          <w:szCs w:val="24"/>
        </w:rPr>
        <w:t>Cifuentes</w:t>
      </w:r>
      <w:proofErr w:type="spellEnd"/>
      <w:r w:rsidRPr="006D0C6D">
        <w:rPr>
          <w:rFonts w:ascii="Arial" w:hAnsi="Arial" w:cs="Arial"/>
          <w:sz w:val="24"/>
          <w:szCs w:val="24"/>
        </w:rPr>
        <w:t>, A., &amp; Ibáñez, E. (2010). Supercritical fluid extraction: a green technology for the 21st century. Journal of Chromatography A, 1217(16), 2495-2511.</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International Journal of Pharmaceutical Chemistry and Analysis. (2022). Process Intensification and Flow Chemistry: Streamlining Sustainable Solutions. International Journal of </w:t>
      </w:r>
      <w:r w:rsidRPr="006D0C6D">
        <w:rPr>
          <w:rFonts w:ascii="Arial" w:hAnsi="Arial" w:cs="Arial"/>
          <w:sz w:val="24"/>
          <w:szCs w:val="24"/>
        </w:rPr>
        <w:lastRenderedPageBreak/>
        <w:t>Pharmaceutical Chemistry and Analysis, 9(3), 1-4.</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Jafarian</w:t>
      </w:r>
      <w:proofErr w:type="spellEnd"/>
      <w:r w:rsidRPr="006D0C6D">
        <w:rPr>
          <w:rFonts w:ascii="Arial" w:hAnsi="Arial" w:cs="Arial"/>
          <w:sz w:val="24"/>
          <w:szCs w:val="24"/>
        </w:rPr>
        <w:t xml:space="preserve"> </w:t>
      </w:r>
      <w:proofErr w:type="spellStart"/>
      <w:proofErr w:type="gramStart"/>
      <w:r w:rsidRPr="006D0C6D">
        <w:rPr>
          <w:rFonts w:ascii="Arial" w:hAnsi="Arial" w:cs="Arial"/>
          <w:sz w:val="24"/>
          <w:szCs w:val="24"/>
        </w:rPr>
        <w:t>Asl</w:t>
      </w:r>
      <w:proofErr w:type="spellEnd"/>
      <w:proofErr w:type="gramEnd"/>
      <w:r w:rsidRPr="006D0C6D">
        <w:rPr>
          <w:rFonts w:ascii="Arial" w:hAnsi="Arial" w:cs="Arial"/>
          <w:sz w:val="24"/>
          <w:szCs w:val="24"/>
        </w:rPr>
        <w:t xml:space="preserve">, S., </w:t>
      </w:r>
      <w:proofErr w:type="spellStart"/>
      <w:r w:rsidRPr="006D0C6D">
        <w:rPr>
          <w:rFonts w:ascii="Arial" w:hAnsi="Arial" w:cs="Arial"/>
          <w:sz w:val="24"/>
          <w:szCs w:val="24"/>
        </w:rPr>
        <w:t>Sarlak</w:t>
      </w:r>
      <w:proofErr w:type="spellEnd"/>
      <w:r w:rsidRPr="006D0C6D">
        <w:rPr>
          <w:rFonts w:ascii="Arial" w:hAnsi="Arial" w:cs="Arial"/>
          <w:sz w:val="24"/>
          <w:szCs w:val="24"/>
        </w:rPr>
        <w:t xml:space="preserve">, M., &amp; </w:t>
      </w:r>
      <w:proofErr w:type="spellStart"/>
      <w:r w:rsidRPr="006D0C6D">
        <w:rPr>
          <w:rFonts w:ascii="Arial" w:hAnsi="Arial" w:cs="Arial"/>
          <w:sz w:val="24"/>
          <w:szCs w:val="24"/>
        </w:rPr>
        <w:t>Kazemeini</w:t>
      </w:r>
      <w:proofErr w:type="spellEnd"/>
      <w:r w:rsidRPr="006D0C6D">
        <w:rPr>
          <w:rFonts w:ascii="Arial" w:hAnsi="Arial" w:cs="Arial"/>
          <w:sz w:val="24"/>
          <w:szCs w:val="24"/>
        </w:rPr>
        <w:t>, M. (2020). Extraction of phytosterols and tocopherols from Rapeseed oil waste by supercritical CO</w:t>
      </w:r>
      <w:r w:rsidRPr="006D0C6D">
        <w:rPr>
          <w:rFonts w:ascii="Cambria Math" w:hAnsi="Cambria Math" w:cs="Cambria Math"/>
          <w:sz w:val="24"/>
          <w:szCs w:val="24"/>
        </w:rPr>
        <w:t>₂</w:t>
      </w:r>
      <w:r w:rsidRPr="006D0C6D">
        <w:rPr>
          <w:rFonts w:ascii="Arial" w:hAnsi="Arial" w:cs="Arial"/>
          <w:sz w:val="24"/>
          <w:szCs w:val="24"/>
        </w:rPr>
        <w:t xml:space="preserve"> plus co-solvent: A comparison with conventional solvent extraction. The Journal of Supercritical Fluids, 159, 104764.</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Khaw</w:t>
      </w:r>
      <w:proofErr w:type="spellEnd"/>
      <w:r w:rsidRPr="006D0C6D">
        <w:rPr>
          <w:rFonts w:ascii="Arial" w:hAnsi="Arial" w:cs="Arial"/>
          <w:sz w:val="24"/>
          <w:szCs w:val="24"/>
        </w:rPr>
        <w:t xml:space="preserve">, K. Y., </w:t>
      </w:r>
      <w:proofErr w:type="spellStart"/>
      <w:r w:rsidRPr="006D0C6D">
        <w:rPr>
          <w:rFonts w:ascii="Arial" w:hAnsi="Arial" w:cs="Arial"/>
          <w:sz w:val="24"/>
          <w:szCs w:val="24"/>
        </w:rPr>
        <w:t>Parat</w:t>
      </w:r>
      <w:proofErr w:type="spellEnd"/>
      <w:r w:rsidRPr="006D0C6D">
        <w:rPr>
          <w:rFonts w:ascii="Arial" w:hAnsi="Arial" w:cs="Arial"/>
          <w:sz w:val="24"/>
          <w:szCs w:val="24"/>
        </w:rPr>
        <w:t>, M. O., Shaw, P. N., &amp; Falconer, J. R. (2017). Solvent supercritical fluid technologies to extract bioactive compounds from natural sources: A review. Molecules, 22(7), 1186.</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Le </w:t>
      </w:r>
      <w:proofErr w:type="spellStart"/>
      <w:r w:rsidRPr="006D0C6D">
        <w:rPr>
          <w:rFonts w:ascii="Arial" w:hAnsi="Arial" w:cs="Arial"/>
          <w:sz w:val="24"/>
          <w:szCs w:val="24"/>
        </w:rPr>
        <w:t>Floch</w:t>
      </w:r>
      <w:proofErr w:type="spellEnd"/>
      <w:r w:rsidRPr="006D0C6D">
        <w:rPr>
          <w:rFonts w:ascii="Arial" w:hAnsi="Arial" w:cs="Arial"/>
          <w:sz w:val="24"/>
          <w:szCs w:val="24"/>
        </w:rPr>
        <w:t xml:space="preserve">, F., </w:t>
      </w:r>
      <w:proofErr w:type="spellStart"/>
      <w:r w:rsidRPr="006D0C6D">
        <w:rPr>
          <w:rFonts w:ascii="Arial" w:hAnsi="Arial" w:cs="Arial"/>
          <w:sz w:val="24"/>
          <w:szCs w:val="24"/>
        </w:rPr>
        <w:t>Tena</w:t>
      </w:r>
      <w:proofErr w:type="spellEnd"/>
      <w:r w:rsidRPr="006D0C6D">
        <w:rPr>
          <w:rFonts w:ascii="Arial" w:hAnsi="Arial" w:cs="Arial"/>
          <w:sz w:val="24"/>
          <w:szCs w:val="24"/>
        </w:rPr>
        <w:t xml:space="preserve">, M. T., Rios, A., &amp; </w:t>
      </w:r>
      <w:proofErr w:type="spellStart"/>
      <w:r w:rsidRPr="006D0C6D">
        <w:rPr>
          <w:rFonts w:ascii="Arial" w:hAnsi="Arial" w:cs="Arial"/>
          <w:sz w:val="24"/>
          <w:szCs w:val="24"/>
        </w:rPr>
        <w:t>Valcarcel</w:t>
      </w:r>
      <w:proofErr w:type="spellEnd"/>
      <w:r w:rsidRPr="006D0C6D">
        <w:rPr>
          <w:rFonts w:ascii="Arial" w:hAnsi="Arial" w:cs="Arial"/>
          <w:sz w:val="24"/>
          <w:szCs w:val="24"/>
        </w:rPr>
        <w:t xml:space="preserve">, M. (1998). Supercritical fluid extraction of phenol compounds from olive leaves. </w:t>
      </w:r>
      <w:proofErr w:type="spellStart"/>
      <w:r w:rsidRPr="006D0C6D">
        <w:rPr>
          <w:rFonts w:ascii="Arial" w:hAnsi="Arial" w:cs="Arial"/>
          <w:sz w:val="24"/>
          <w:szCs w:val="24"/>
        </w:rPr>
        <w:t>Talanta</w:t>
      </w:r>
      <w:proofErr w:type="spellEnd"/>
      <w:r w:rsidRPr="006D0C6D">
        <w:rPr>
          <w:rFonts w:ascii="Arial" w:hAnsi="Arial" w:cs="Arial"/>
          <w:sz w:val="24"/>
          <w:szCs w:val="24"/>
        </w:rPr>
        <w:t>, 46(5), 1123-1130.</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Mendes-Pinto, M. M., </w:t>
      </w:r>
      <w:proofErr w:type="spellStart"/>
      <w:r w:rsidRPr="006D0C6D">
        <w:rPr>
          <w:rFonts w:ascii="Arial" w:hAnsi="Arial" w:cs="Arial"/>
          <w:sz w:val="24"/>
          <w:szCs w:val="24"/>
        </w:rPr>
        <w:t>Cerveira</w:t>
      </w:r>
      <w:proofErr w:type="spellEnd"/>
      <w:r w:rsidRPr="006D0C6D">
        <w:rPr>
          <w:rFonts w:ascii="Arial" w:hAnsi="Arial" w:cs="Arial"/>
          <w:sz w:val="24"/>
          <w:szCs w:val="24"/>
        </w:rPr>
        <w:t>, M. A., &amp; Reis, A. (2005). Supercritical CO2 extraction of carotenoids and other lipids from Chlorella vulgaris. Food Research International, 38(8-9), 929-935.</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Moura</w:t>
      </w:r>
      <w:proofErr w:type="spellEnd"/>
      <w:r w:rsidRPr="006D0C6D">
        <w:rPr>
          <w:rFonts w:ascii="Arial" w:hAnsi="Arial" w:cs="Arial"/>
          <w:sz w:val="24"/>
          <w:szCs w:val="24"/>
        </w:rPr>
        <w:t xml:space="preserve">, T., Cabral, J. M. S., &amp; Reis, R. L. (2014). Supercritical Fluid Chromatography: An important tool for separation of lipids. Separation </w:t>
      </w:r>
      <w:r w:rsidRPr="006D0C6D">
        <w:rPr>
          <w:rFonts w:ascii="Arial" w:hAnsi="Arial" w:cs="Arial"/>
          <w:sz w:val="24"/>
          <w:szCs w:val="24"/>
        </w:rPr>
        <w:lastRenderedPageBreak/>
        <w:t>and Purification Technology, 133, 424-436.</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Processes. (2023). Comparative Study of Conventional, Microwave-Assisted and Supercritical Fluid Extraction of Bioactive Compounds from Microalgae: The Case of </w:t>
      </w:r>
      <w:proofErr w:type="spellStart"/>
      <w:r w:rsidRPr="006D0C6D">
        <w:rPr>
          <w:rFonts w:ascii="Arial" w:hAnsi="Arial" w:cs="Arial"/>
          <w:sz w:val="24"/>
          <w:szCs w:val="24"/>
        </w:rPr>
        <w:t>Scenedesmus</w:t>
      </w:r>
      <w:proofErr w:type="spellEnd"/>
      <w:r w:rsidRPr="006D0C6D">
        <w:rPr>
          <w:rFonts w:ascii="Arial" w:hAnsi="Arial" w:cs="Arial"/>
          <w:sz w:val="24"/>
          <w:szCs w:val="24"/>
        </w:rPr>
        <w:t xml:space="preserve"> </w:t>
      </w:r>
      <w:proofErr w:type="spellStart"/>
      <w:r w:rsidRPr="006D0C6D">
        <w:rPr>
          <w:rFonts w:ascii="Arial" w:hAnsi="Arial" w:cs="Arial"/>
          <w:sz w:val="24"/>
          <w:szCs w:val="24"/>
        </w:rPr>
        <w:t>obliquus</w:t>
      </w:r>
      <w:proofErr w:type="spellEnd"/>
      <w:r w:rsidRPr="006D0C6D">
        <w:rPr>
          <w:rFonts w:ascii="Arial" w:hAnsi="Arial" w:cs="Arial"/>
          <w:sz w:val="24"/>
          <w:szCs w:val="24"/>
        </w:rPr>
        <w:t>. Processes, 10(5), 290.</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Processes. (2023). Supercritical Fluid Extraction (SFE) of Polar Compounds from Camellia </w:t>
      </w:r>
      <w:proofErr w:type="spellStart"/>
      <w:r w:rsidRPr="006D0C6D">
        <w:rPr>
          <w:rFonts w:ascii="Arial" w:hAnsi="Arial" w:cs="Arial"/>
          <w:sz w:val="24"/>
          <w:szCs w:val="24"/>
        </w:rPr>
        <w:t>sinensis</w:t>
      </w:r>
      <w:proofErr w:type="spellEnd"/>
      <w:r w:rsidRPr="006D0C6D">
        <w:rPr>
          <w:rFonts w:ascii="Arial" w:hAnsi="Arial" w:cs="Arial"/>
          <w:sz w:val="24"/>
          <w:szCs w:val="24"/>
        </w:rPr>
        <w:t xml:space="preserve"> Leaves: Use of Ethanol/Water as a Green Polarity Modifier. Processes, 28(14), 5485.</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Reverchon</w:t>
      </w:r>
      <w:proofErr w:type="spellEnd"/>
      <w:r w:rsidRPr="006D0C6D">
        <w:rPr>
          <w:rFonts w:ascii="Arial" w:hAnsi="Arial" w:cs="Arial"/>
          <w:sz w:val="24"/>
          <w:szCs w:val="24"/>
        </w:rPr>
        <w:t>, E., &amp; De Marco, I. (2006). Supercritical fluid extraction and fractionation of natural matter. The Journal of Supercritical Fluids, 38(2), 146-166.</w:t>
      </w:r>
    </w:p>
    <w:p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proofErr w:type="spellStart"/>
      <w:r w:rsidRPr="006D0C6D">
        <w:rPr>
          <w:rFonts w:ascii="Arial" w:hAnsi="Arial" w:cs="Arial"/>
          <w:sz w:val="24"/>
          <w:szCs w:val="24"/>
        </w:rPr>
        <w:t>Zaidul</w:t>
      </w:r>
      <w:proofErr w:type="spellEnd"/>
      <w:r w:rsidRPr="006D0C6D">
        <w:rPr>
          <w:rFonts w:ascii="Arial" w:hAnsi="Arial" w:cs="Arial"/>
          <w:sz w:val="24"/>
          <w:szCs w:val="24"/>
        </w:rPr>
        <w:t xml:space="preserve">, I. S. M., </w:t>
      </w:r>
      <w:proofErr w:type="spellStart"/>
      <w:r w:rsidRPr="006D0C6D">
        <w:rPr>
          <w:rFonts w:ascii="Arial" w:hAnsi="Arial" w:cs="Arial"/>
          <w:sz w:val="24"/>
          <w:szCs w:val="24"/>
        </w:rPr>
        <w:t>Norulaini</w:t>
      </w:r>
      <w:proofErr w:type="spellEnd"/>
      <w:r w:rsidRPr="006D0C6D">
        <w:rPr>
          <w:rFonts w:ascii="Arial" w:hAnsi="Arial" w:cs="Arial"/>
          <w:sz w:val="24"/>
          <w:szCs w:val="24"/>
        </w:rPr>
        <w:t>, N. A. N., Omar, A. K. M., &amp; Smith, R. L. (2007). Supercritical carbon dioxide (SC-CO2) extraction of rice bran oil: A review. Journal of Food Engineering, 79(3), 1011-1019.</w:t>
      </w:r>
    </w:p>
    <w:sectPr w:rsidR="000F7575" w:rsidRPr="006D0C6D" w:rsidSect="003620D5">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08C" w:rsidRDefault="00BC208C" w:rsidP="009437AD">
      <w:pPr>
        <w:spacing w:after="0" w:line="240" w:lineRule="auto"/>
      </w:pPr>
      <w:r>
        <w:separator/>
      </w:r>
    </w:p>
  </w:endnote>
  <w:endnote w:type="continuationSeparator" w:id="0">
    <w:p w:rsidR="00BC208C" w:rsidRDefault="00BC208C" w:rsidP="0094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663483"/>
      <w:docPartObj>
        <w:docPartGallery w:val="Page Numbers (Bottom of Page)"/>
        <w:docPartUnique/>
      </w:docPartObj>
    </w:sdtPr>
    <w:sdtEndPr>
      <w:rPr>
        <w:color w:val="808080" w:themeColor="background1" w:themeShade="80"/>
        <w:spacing w:val="60"/>
      </w:rPr>
    </w:sdtEndPr>
    <w:sdtContent>
      <w:p w:rsidR="009437AD" w:rsidRDefault="009437A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31AAD" w:rsidRPr="00C31AAD">
          <w:rPr>
            <w:b/>
            <w:bCs/>
            <w:noProof/>
          </w:rPr>
          <w:t>1</w:t>
        </w:r>
        <w:r>
          <w:rPr>
            <w:b/>
            <w:bCs/>
            <w:noProof/>
          </w:rPr>
          <w:fldChar w:fldCharType="end"/>
        </w:r>
        <w:r>
          <w:rPr>
            <w:b/>
            <w:bCs/>
          </w:rPr>
          <w:t xml:space="preserve"> | </w:t>
        </w:r>
        <w:r>
          <w:rPr>
            <w:color w:val="808080" w:themeColor="background1" w:themeShade="80"/>
            <w:spacing w:val="60"/>
          </w:rPr>
          <w:t>Page</w:t>
        </w:r>
      </w:p>
    </w:sdtContent>
  </w:sdt>
  <w:p w:rsidR="009437AD" w:rsidRDefault="00943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08C" w:rsidRDefault="00BC208C" w:rsidP="009437AD">
      <w:pPr>
        <w:spacing w:after="0" w:line="240" w:lineRule="auto"/>
      </w:pPr>
      <w:r>
        <w:separator/>
      </w:r>
    </w:p>
  </w:footnote>
  <w:footnote w:type="continuationSeparator" w:id="0">
    <w:p w:rsidR="00BC208C" w:rsidRDefault="00BC208C" w:rsidP="009437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86F14"/>
    <w:multiLevelType w:val="hybridMultilevel"/>
    <w:tmpl w:val="D012D61E"/>
    <w:lvl w:ilvl="0" w:tplc="5C2A54C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B225AF"/>
    <w:multiLevelType w:val="hybridMultilevel"/>
    <w:tmpl w:val="E110A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75"/>
    <w:rsid w:val="000F7575"/>
    <w:rsid w:val="00142FE7"/>
    <w:rsid w:val="00163576"/>
    <w:rsid w:val="00174D97"/>
    <w:rsid w:val="003620D5"/>
    <w:rsid w:val="005542A0"/>
    <w:rsid w:val="006D0C6D"/>
    <w:rsid w:val="00716D59"/>
    <w:rsid w:val="007C1459"/>
    <w:rsid w:val="009437AD"/>
    <w:rsid w:val="00AD6675"/>
    <w:rsid w:val="00BA21CF"/>
    <w:rsid w:val="00BC208C"/>
    <w:rsid w:val="00C3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554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6D0C6D"/>
    <w:pPr>
      <w:keepNext/>
      <w:keepLines/>
      <w:spacing w:before="200" w:after="240" w:line="240" w:lineRule="auto"/>
      <w:outlineLvl w:val="1"/>
    </w:pPr>
    <w:rPr>
      <w:rFonts w:asciiTheme="majorHAnsi" w:eastAsiaTheme="majorEastAsia" w:hAnsiTheme="majorHAnsi" w:cstheme="majorBidi"/>
      <w:b/>
      <w:bCs/>
      <w:color w:val="000000" w:themeColor="text1"/>
      <w:sz w:val="28"/>
      <w:szCs w:val="24"/>
    </w:rPr>
  </w:style>
  <w:style w:type="paragraph" w:styleId="Heading7">
    <w:name w:val="heading 7"/>
    <w:basedOn w:val="Normal"/>
    <w:next w:val="Normal"/>
    <w:link w:val="Heading7Char"/>
    <w:uiPriority w:val="9"/>
    <w:semiHidden/>
    <w:unhideWhenUsed/>
    <w:qFormat/>
    <w:rsid w:val="005542A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5542A0"/>
    <w:rPr>
      <w:rFonts w:asciiTheme="majorHAnsi" w:eastAsiaTheme="majorEastAsia" w:hAnsiTheme="majorHAnsi" w:cstheme="majorBidi"/>
      <w:i/>
      <w:iCs/>
      <w:color w:val="404040" w:themeColor="text1" w:themeTint="BF"/>
    </w:rPr>
  </w:style>
  <w:style w:type="character" w:styleId="Hyperlink">
    <w:name w:val="Hyperlink"/>
    <w:aliases w:val="Style 1"/>
    <w:basedOn w:val="DefaultParagraphFont"/>
    <w:uiPriority w:val="99"/>
    <w:unhideWhenUsed/>
    <w:qFormat/>
    <w:rsid w:val="005542A0"/>
    <w:rPr>
      <w:rFonts w:ascii="Arial" w:eastAsiaTheme="majorEastAsia" w:hAnsi="Arial" w:cs="Arial"/>
      <w:b/>
      <w:bCs/>
      <w:iCs/>
      <w:color w:val="00B0F0"/>
      <w:sz w:val="28"/>
      <w:szCs w:val="38"/>
      <w:u w:val="none"/>
      <w:shd w:val="clear" w:color="auto" w:fill="FFFFFF" w:themeFill="background1"/>
    </w:rPr>
  </w:style>
  <w:style w:type="paragraph" w:styleId="NoSpacing">
    <w:name w:val="No Spacing"/>
    <w:link w:val="NoSpacingChar"/>
    <w:uiPriority w:val="1"/>
    <w:qFormat/>
    <w:rsid w:val="006D0C6D"/>
    <w:pPr>
      <w:spacing w:after="0" w:line="240" w:lineRule="auto"/>
    </w:pPr>
    <w:rPr>
      <w:rFonts w:eastAsia="Times New Roman" w:cs="Times New Roman"/>
      <w:sz w:val="28"/>
    </w:rPr>
  </w:style>
  <w:style w:type="character" w:customStyle="1" w:styleId="NoSpacingChar">
    <w:name w:val="No Spacing Char"/>
    <w:basedOn w:val="DefaultParagraphFont"/>
    <w:link w:val="NoSpacing"/>
    <w:uiPriority w:val="1"/>
    <w:rsid w:val="006D0C6D"/>
    <w:rPr>
      <w:rFonts w:eastAsia="Times New Roman" w:cs="Times New Roman"/>
      <w:sz w:val="28"/>
    </w:rPr>
  </w:style>
  <w:style w:type="paragraph" w:styleId="ListParagraph">
    <w:name w:val="List Paragraph"/>
    <w:basedOn w:val="Normal"/>
    <w:uiPriority w:val="34"/>
    <w:qFormat/>
    <w:rsid w:val="005542A0"/>
    <w:pPr>
      <w:ind w:left="720"/>
      <w:contextualSpacing/>
    </w:pPr>
  </w:style>
  <w:style w:type="paragraph" w:styleId="Quote">
    <w:name w:val="Quote"/>
    <w:basedOn w:val="Normal"/>
    <w:next w:val="Normal"/>
    <w:link w:val="QuoteChar"/>
    <w:uiPriority w:val="29"/>
    <w:qFormat/>
    <w:rsid w:val="005542A0"/>
    <w:pPr>
      <w:spacing w:before="480" w:after="280"/>
      <w:jc w:val="both"/>
    </w:pPr>
    <w:rPr>
      <w:rFonts w:ascii="Arial" w:eastAsia="Arial" w:hAnsi="Arial" w:cs="Arial"/>
      <w:b/>
    </w:rPr>
  </w:style>
  <w:style w:type="character" w:customStyle="1" w:styleId="QuoteChar">
    <w:name w:val="Quote Char"/>
    <w:basedOn w:val="DefaultParagraphFont"/>
    <w:link w:val="Quote"/>
    <w:uiPriority w:val="29"/>
    <w:rsid w:val="005542A0"/>
    <w:rPr>
      <w:rFonts w:ascii="Arial" w:eastAsia="Arial" w:hAnsi="Arial" w:cs="Arial"/>
      <w:b/>
    </w:rPr>
  </w:style>
  <w:style w:type="character" w:styleId="BookTitle">
    <w:name w:val="Book Title"/>
    <w:basedOn w:val="DefaultParagraphFont"/>
    <w:uiPriority w:val="33"/>
    <w:qFormat/>
    <w:rsid w:val="005542A0"/>
    <w:rPr>
      <w:b/>
      <w:bCs/>
      <w:smallCaps/>
      <w:spacing w:val="5"/>
    </w:rPr>
  </w:style>
  <w:style w:type="character" w:customStyle="1" w:styleId="Heading1Char">
    <w:name w:val="Heading 1 Char"/>
    <w:basedOn w:val="DefaultParagraphFont"/>
    <w:link w:val="Heading1"/>
    <w:uiPriority w:val="9"/>
    <w:rsid w:val="005542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542A0"/>
    <w:pPr>
      <w:outlineLvl w:val="9"/>
    </w:pPr>
    <w:rPr>
      <w:lang w:eastAsia="ja-JP"/>
    </w:rPr>
  </w:style>
  <w:style w:type="character" w:styleId="Strong">
    <w:name w:val="Strong"/>
    <w:basedOn w:val="DefaultParagraphFont"/>
    <w:uiPriority w:val="22"/>
    <w:qFormat/>
    <w:rsid w:val="000F7575"/>
  </w:style>
  <w:style w:type="character" w:styleId="IntenseEmphasis">
    <w:name w:val="Intense Emphasis"/>
    <w:basedOn w:val="DefaultParagraphFont"/>
    <w:uiPriority w:val="21"/>
    <w:qFormat/>
    <w:rsid w:val="000F7575"/>
    <w:rPr>
      <w:b/>
      <w:bCs/>
      <w:i/>
      <w:iCs/>
      <w:color w:val="4F81BD" w:themeColor="accent1"/>
    </w:rPr>
  </w:style>
  <w:style w:type="character" w:customStyle="1" w:styleId="Heading2Char">
    <w:name w:val="Heading 2 Char"/>
    <w:basedOn w:val="DefaultParagraphFont"/>
    <w:link w:val="Heading2"/>
    <w:uiPriority w:val="9"/>
    <w:rsid w:val="006D0C6D"/>
    <w:rPr>
      <w:rFonts w:asciiTheme="majorHAnsi" w:eastAsiaTheme="majorEastAsia" w:hAnsiTheme="majorHAnsi" w:cstheme="majorBidi"/>
      <w:b/>
      <w:bCs/>
      <w:color w:val="000000" w:themeColor="text1"/>
      <w:sz w:val="28"/>
      <w:szCs w:val="24"/>
    </w:rPr>
  </w:style>
  <w:style w:type="table" w:styleId="ColorfulGrid-Accent2">
    <w:name w:val="Colorful Grid Accent 2"/>
    <w:basedOn w:val="TableNormal"/>
    <w:uiPriority w:val="73"/>
    <w:rsid w:val="007C145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Header">
    <w:name w:val="header"/>
    <w:basedOn w:val="Normal"/>
    <w:link w:val="HeaderChar"/>
    <w:uiPriority w:val="99"/>
    <w:unhideWhenUsed/>
    <w:rsid w:val="0094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7AD"/>
  </w:style>
  <w:style w:type="paragraph" w:styleId="Footer">
    <w:name w:val="footer"/>
    <w:basedOn w:val="Normal"/>
    <w:link w:val="FooterChar"/>
    <w:uiPriority w:val="99"/>
    <w:unhideWhenUsed/>
    <w:rsid w:val="0094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554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6D0C6D"/>
    <w:pPr>
      <w:keepNext/>
      <w:keepLines/>
      <w:spacing w:before="200" w:after="240" w:line="240" w:lineRule="auto"/>
      <w:outlineLvl w:val="1"/>
    </w:pPr>
    <w:rPr>
      <w:rFonts w:asciiTheme="majorHAnsi" w:eastAsiaTheme="majorEastAsia" w:hAnsiTheme="majorHAnsi" w:cstheme="majorBidi"/>
      <w:b/>
      <w:bCs/>
      <w:color w:val="000000" w:themeColor="text1"/>
      <w:sz w:val="28"/>
      <w:szCs w:val="24"/>
    </w:rPr>
  </w:style>
  <w:style w:type="paragraph" w:styleId="Heading7">
    <w:name w:val="heading 7"/>
    <w:basedOn w:val="Normal"/>
    <w:next w:val="Normal"/>
    <w:link w:val="Heading7Char"/>
    <w:uiPriority w:val="9"/>
    <w:semiHidden/>
    <w:unhideWhenUsed/>
    <w:qFormat/>
    <w:rsid w:val="005542A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5542A0"/>
    <w:rPr>
      <w:rFonts w:asciiTheme="majorHAnsi" w:eastAsiaTheme="majorEastAsia" w:hAnsiTheme="majorHAnsi" w:cstheme="majorBidi"/>
      <w:i/>
      <w:iCs/>
      <w:color w:val="404040" w:themeColor="text1" w:themeTint="BF"/>
    </w:rPr>
  </w:style>
  <w:style w:type="character" w:styleId="Hyperlink">
    <w:name w:val="Hyperlink"/>
    <w:aliases w:val="Style 1"/>
    <w:basedOn w:val="DefaultParagraphFont"/>
    <w:uiPriority w:val="99"/>
    <w:unhideWhenUsed/>
    <w:qFormat/>
    <w:rsid w:val="005542A0"/>
    <w:rPr>
      <w:rFonts w:ascii="Arial" w:eastAsiaTheme="majorEastAsia" w:hAnsi="Arial" w:cs="Arial"/>
      <w:b/>
      <w:bCs/>
      <w:iCs/>
      <w:color w:val="00B0F0"/>
      <w:sz w:val="28"/>
      <w:szCs w:val="38"/>
      <w:u w:val="none"/>
      <w:shd w:val="clear" w:color="auto" w:fill="FFFFFF" w:themeFill="background1"/>
    </w:rPr>
  </w:style>
  <w:style w:type="paragraph" w:styleId="NoSpacing">
    <w:name w:val="No Spacing"/>
    <w:link w:val="NoSpacingChar"/>
    <w:uiPriority w:val="1"/>
    <w:qFormat/>
    <w:rsid w:val="006D0C6D"/>
    <w:pPr>
      <w:spacing w:after="0" w:line="240" w:lineRule="auto"/>
    </w:pPr>
    <w:rPr>
      <w:rFonts w:eastAsia="Times New Roman" w:cs="Times New Roman"/>
      <w:sz w:val="28"/>
    </w:rPr>
  </w:style>
  <w:style w:type="character" w:customStyle="1" w:styleId="NoSpacingChar">
    <w:name w:val="No Spacing Char"/>
    <w:basedOn w:val="DefaultParagraphFont"/>
    <w:link w:val="NoSpacing"/>
    <w:uiPriority w:val="1"/>
    <w:rsid w:val="006D0C6D"/>
    <w:rPr>
      <w:rFonts w:eastAsia="Times New Roman" w:cs="Times New Roman"/>
      <w:sz w:val="28"/>
    </w:rPr>
  </w:style>
  <w:style w:type="paragraph" w:styleId="ListParagraph">
    <w:name w:val="List Paragraph"/>
    <w:basedOn w:val="Normal"/>
    <w:uiPriority w:val="34"/>
    <w:qFormat/>
    <w:rsid w:val="005542A0"/>
    <w:pPr>
      <w:ind w:left="720"/>
      <w:contextualSpacing/>
    </w:pPr>
  </w:style>
  <w:style w:type="paragraph" w:styleId="Quote">
    <w:name w:val="Quote"/>
    <w:basedOn w:val="Normal"/>
    <w:next w:val="Normal"/>
    <w:link w:val="QuoteChar"/>
    <w:uiPriority w:val="29"/>
    <w:qFormat/>
    <w:rsid w:val="005542A0"/>
    <w:pPr>
      <w:spacing w:before="480" w:after="280"/>
      <w:jc w:val="both"/>
    </w:pPr>
    <w:rPr>
      <w:rFonts w:ascii="Arial" w:eastAsia="Arial" w:hAnsi="Arial" w:cs="Arial"/>
      <w:b/>
    </w:rPr>
  </w:style>
  <w:style w:type="character" w:customStyle="1" w:styleId="QuoteChar">
    <w:name w:val="Quote Char"/>
    <w:basedOn w:val="DefaultParagraphFont"/>
    <w:link w:val="Quote"/>
    <w:uiPriority w:val="29"/>
    <w:rsid w:val="005542A0"/>
    <w:rPr>
      <w:rFonts w:ascii="Arial" w:eastAsia="Arial" w:hAnsi="Arial" w:cs="Arial"/>
      <w:b/>
    </w:rPr>
  </w:style>
  <w:style w:type="character" w:styleId="BookTitle">
    <w:name w:val="Book Title"/>
    <w:basedOn w:val="DefaultParagraphFont"/>
    <w:uiPriority w:val="33"/>
    <w:qFormat/>
    <w:rsid w:val="005542A0"/>
    <w:rPr>
      <w:b/>
      <w:bCs/>
      <w:smallCaps/>
      <w:spacing w:val="5"/>
    </w:rPr>
  </w:style>
  <w:style w:type="character" w:customStyle="1" w:styleId="Heading1Char">
    <w:name w:val="Heading 1 Char"/>
    <w:basedOn w:val="DefaultParagraphFont"/>
    <w:link w:val="Heading1"/>
    <w:uiPriority w:val="9"/>
    <w:rsid w:val="005542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542A0"/>
    <w:pPr>
      <w:outlineLvl w:val="9"/>
    </w:pPr>
    <w:rPr>
      <w:lang w:eastAsia="ja-JP"/>
    </w:rPr>
  </w:style>
  <w:style w:type="character" w:styleId="Strong">
    <w:name w:val="Strong"/>
    <w:basedOn w:val="DefaultParagraphFont"/>
    <w:uiPriority w:val="22"/>
    <w:qFormat/>
    <w:rsid w:val="000F7575"/>
  </w:style>
  <w:style w:type="character" w:styleId="IntenseEmphasis">
    <w:name w:val="Intense Emphasis"/>
    <w:basedOn w:val="DefaultParagraphFont"/>
    <w:uiPriority w:val="21"/>
    <w:qFormat/>
    <w:rsid w:val="000F7575"/>
    <w:rPr>
      <w:b/>
      <w:bCs/>
      <w:i/>
      <w:iCs/>
      <w:color w:val="4F81BD" w:themeColor="accent1"/>
    </w:rPr>
  </w:style>
  <w:style w:type="character" w:customStyle="1" w:styleId="Heading2Char">
    <w:name w:val="Heading 2 Char"/>
    <w:basedOn w:val="DefaultParagraphFont"/>
    <w:link w:val="Heading2"/>
    <w:uiPriority w:val="9"/>
    <w:rsid w:val="006D0C6D"/>
    <w:rPr>
      <w:rFonts w:asciiTheme="majorHAnsi" w:eastAsiaTheme="majorEastAsia" w:hAnsiTheme="majorHAnsi" w:cstheme="majorBidi"/>
      <w:b/>
      <w:bCs/>
      <w:color w:val="000000" w:themeColor="text1"/>
      <w:sz w:val="28"/>
      <w:szCs w:val="24"/>
    </w:rPr>
  </w:style>
  <w:style w:type="table" w:styleId="ColorfulGrid-Accent2">
    <w:name w:val="Colorful Grid Accent 2"/>
    <w:basedOn w:val="TableNormal"/>
    <w:uiPriority w:val="73"/>
    <w:rsid w:val="007C145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Header">
    <w:name w:val="header"/>
    <w:basedOn w:val="Normal"/>
    <w:link w:val="HeaderChar"/>
    <w:uiPriority w:val="99"/>
    <w:unhideWhenUsed/>
    <w:rsid w:val="0094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7AD"/>
  </w:style>
  <w:style w:type="paragraph" w:styleId="Footer">
    <w:name w:val="footer"/>
    <w:basedOn w:val="Normal"/>
    <w:link w:val="FooterChar"/>
    <w:uiPriority w:val="99"/>
    <w:unhideWhenUsed/>
    <w:rsid w:val="0094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2049</Words>
  <Characters>13669</Characters>
  <Application>Microsoft Office Word</Application>
  <DocSecurity>0</DocSecurity>
  <Lines>231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8</cp:revision>
  <cp:lastPrinted>2025-10-26T12:48:00Z</cp:lastPrinted>
  <dcterms:created xsi:type="dcterms:W3CDTF">2025-10-26T10:19:00Z</dcterms:created>
  <dcterms:modified xsi:type="dcterms:W3CDTF">2025-10-26T14:57:00Z</dcterms:modified>
</cp:coreProperties>
</file>