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F123" w14:textId="77777777" w:rsidR="00272641" w:rsidRDefault="00272641"/>
    <w:p w14:paraId="5752CB1A" w14:textId="77777777" w:rsidR="0040201F" w:rsidRPr="0040201F" w:rsidRDefault="0040201F" w:rsidP="0040201F">
      <w:pPr>
        <w:rPr>
          <w:b/>
          <w:bCs/>
        </w:rPr>
      </w:pPr>
      <w:r w:rsidRPr="0040201F">
        <w:rPr>
          <w:b/>
          <w:bCs/>
        </w:rPr>
        <w:t>RESILIENCE IN EDUCATION LANDSCAPE: SCHOOL HEADS' ROLE IN MITIGATING TEACHER BURNOUT</w:t>
      </w:r>
    </w:p>
    <w:p w14:paraId="1E468ABA" w14:textId="77777777" w:rsidR="0040201F" w:rsidRPr="0040201F" w:rsidRDefault="0040201F" w:rsidP="0040201F">
      <w:proofErr w:type="spellStart"/>
      <w:r w:rsidRPr="0040201F">
        <w:rPr>
          <w:b/>
          <w:bCs/>
        </w:rPr>
        <w:t/>
      </w:r>
      <w:proofErr w:type="spellEnd"/>
      <w:r w:rsidRPr="0040201F">
        <w:rPr>
          <w:b/>
          <w:bCs/>
        </w:rPr>
        <w:t xml:space="preserve"/>
      </w:r>
      <w:r w:rsidRPr="0040201F">
        <w:br/>
      </w:r>
      <w:proofErr w:type="spellStart"/>
      <w:r w:rsidRPr="0040201F">
        <w:rPr>
          <w:i/>
          <w:iCs/>
        </w:rPr>
        <w:t/>
      </w:r>
      <w:proofErr w:type="spellEnd"/>
      <w:r w:rsidRPr="0040201F">
        <w:rPr>
          <w:i/>
          <w:iCs/>
        </w:rPr>
        <w:t xml:space="preserve"/>
      </w:r>
    </w:p>
    <w:p w14:paraId="1344B2BA" w14:textId="77777777" w:rsidR="0040201F" w:rsidRPr="0040201F" w:rsidRDefault="0040201F" w:rsidP="0040201F">
      <w:r w:rsidRPr="0040201F">
        <w:rPr>
          <w:b/>
          <w:bCs/>
        </w:rPr>
        <w:t/>
      </w:r>
      <w:r w:rsidRPr="0040201F">
        <w:br/>
      </w:r>
      <w:r w:rsidRPr="0040201F">
        <w:rPr>
          <w:i/>
          <w:iCs/>
        </w:rPr>
        <w:t/>
      </w:r>
    </w:p>
    <w:p w14:paraId="4D89430A" w14:textId="77777777" w:rsidR="0040201F" w:rsidRPr="0040201F" w:rsidRDefault="0040201F" w:rsidP="0040201F">
      <w:r w:rsidRPr="0040201F">
        <w:pict w14:anchorId="66A00F9E">
          <v:rect id="_x0000_i1073" style="width:0;height:.75pt" o:hralign="center" o:hrstd="t" o:hr="t" fillcolor="#a0a0a0" stroked="f"/>
        </w:pict>
      </w:r>
    </w:p>
    <w:p w14:paraId="25DDBCB0" w14:textId="77777777" w:rsidR="0040201F" w:rsidRPr="0040201F" w:rsidRDefault="0040201F" w:rsidP="0040201F">
      <w:pPr>
        <w:rPr>
          <w:b/>
          <w:bCs/>
        </w:rPr>
      </w:pPr>
      <w:r w:rsidRPr="0040201F">
        <w:rPr>
          <w:b/>
          <w:bCs/>
        </w:rPr>
        <w:t>ABSTRACT</w:t>
      </w:r>
    </w:p>
    <w:p w14:paraId="469C6E8C" w14:textId="77777777" w:rsidR="0040201F" w:rsidRPr="0040201F" w:rsidRDefault="0040201F" w:rsidP="0040201F">
      <w:r w:rsidRPr="0040201F">
        <w:t xml:space="preserve">This study determined the role of school heads in addressing teacher burnout in </w:t>
      </w:r>
      <w:proofErr w:type="spellStart"/>
      <w:r w:rsidRPr="0040201F">
        <w:t>Cantilan</w:t>
      </w:r>
      <w:proofErr w:type="spellEnd"/>
      <w:r w:rsidRPr="0040201F">
        <w:t xml:space="preserve"> District, Surigao del Sur, Philippines, during School Year 2024-2025. Using a mixed-method design combining correlational analysis and qualitative phenomenology, the research involved 22 school heads and 185 teachers selected through stratified random sampling and complete enumeration from 22 elementary schools. Quantitative data were analyzed using frequency analysis, weighted mean, Pearson correlation, and ANOVA, while qualitative data from interviews underwent thematic analysis. Results revealed that resource allocation was the most prominent practice (very high), while addressing burnout and well-being was the least prominent (moderate), indicating operational efficiency precedes psychosocial support. Teachers reported low depersonalization levels, suggesting positive interpersonal engagement. Significant associations were found between demographic characteristics (age, sex, marital status, school type) and burnout dimensions. Principals' supportive practices were strongly correlated with personal accomplishment (r=0.445, p&lt;0.01) and professional development support (r=0.467, p&lt;0.01) but not with emotional exhaustion or depersonalization. Teachers and school heads differed significantly only on perceptions of support and recognition (t=2.345, p&lt;0.05). Excessive workloads, administrative demands, balancing multiple roles, and resource limitations were the main burnout contributors. Coping mechanisms included peer support, stress management strategies, and administrative appreciation. The study concludes that principals effectively manage tangible resources but systemic well-being interventions are inadequate, revealing a critical gap between operational efficiency and psychosocial support. The proposed "Thrive Together" program offers a multi-level framework integrating systemic leadership, peer support, and individual interventions based on SDG 3 and SDG 4.</w:t>
      </w:r>
    </w:p>
    <w:p w14:paraId="7A49DD0D" w14:textId="77777777" w:rsidR="0040201F" w:rsidRPr="0040201F" w:rsidRDefault="0040201F" w:rsidP="0040201F">
      <w:r w:rsidRPr="0040201F">
        <w:rPr>
          <w:b/>
          <w:bCs/>
        </w:rPr>
        <w:t>Keywords:</w:t>
      </w:r>
      <w:r w:rsidRPr="0040201F">
        <w:t> teacher burnout, school leadership, principal support, job demands-resources model, conservation of resources theory, well-being, resilience in education, Philippines</w:t>
      </w:r>
    </w:p>
    <w:p w14:paraId="7EB24703" w14:textId="77777777" w:rsidR="0040201F" w:rsidRPr="0040201F" w:rsidRDefault="0040201F" w:rsidP="0040201F">
      <w:r w:rsidRPr="0040201F">
        <w:pict w14:anchorId="2583FC7D">
          <v:rect id="_x0000_i1074" style="width:0;height:.75pt" o:hralign="center" o:hrstd="t" o:hr="t" fillcolor="#a0a0a0" stroked="f"/>
        </w:pict>
      </w:r>
    </w:p>
    <w:p w14:paraId="185B31B5" w14:textId="77777777" w:rsidR="0040201F" w:rsidRPr="0040201F" w:rsidRDefault="0040201F" w:rsidP="0040201F">
      <w:pPr>
        <w:rPr>
          <w:b/>
          <w:bCs/>
        </w:rPr>
      </w:pPr>
      <w:r w:rsidRPr="0040201F">
        <w:rPr>
          <w:b/>
          <w:bCs/>
        </w:rPr>
        <w:lastRenderedPageBreak/>
        <w:t>INTRODUCTION</w:t>
      </w:r>
    </w:p>
    <w:p w14:paraId="7D8EAAB7" w14:textId="77777777" w:rsidR="0040201F" w:rsidRPr="0040201F" w:rsidRDefault="0040201F" w:rsidP="0040201F">
      <w:r w:rsidRPr="0040201F">
        <w:t xml:space="preserve">Recent work in education highlights the important role of school leadership in supporting teacher well-being and reducing burnout. School heads contribute positively to the professional climate through specific supportive practices, particularly in the </w:t>
      </w:r>
      <w:proofErr w:type="spellStart"/>
      <w:r w:rsidRPr="0040201F">
        <w:t>Cantilan</w:t>
      </w:r>
      <w:proofErr w:type="spellEnd"/>
      <w:r w:rsidRPr="0040201F">
        <w:t xml:space="preserve"> District of Surigao del Sur, Philippines. Principals can support teacher motivation and engagement by offering relevant professional development, mentoring, thoughtful workload management, and emotional support. Jones and Smith (2020) elaborate that effective leadership creates a supportive school environment where teachers feel valued and empowered. Lee, Park, and Kim (2021) further emphasize the importance of organizational climate and communication in combating burnout.</w:t>
      </w:r>
    </w:p>
    <w:p w14:paraId="653836FF" w14:textId="77777777" w:rsidR="0040201F" w:rsidRPr="0040201F" w:rsidRDefault="0040201F" w:rsidP="0040201F">
      <w:r w:rsidRPr="0040201F">
        <w:t>The current Philippine education curriculum explicitly aims to reduce teachers' administrative burden by decongesting content and simplifying reporting requirements. However, a significant gap exists between this policy objective and documented systemic realities. Research indicates that systemic issues, such as cultural pressures against discussing stress (Santos &amp; Reyes, 2020) and hierarchical barriers to support (Garcia &amp; Hernandez, 2021), have long impeded well-being interventions. Therefore, the critical gap is not the curriculum's intent but the lack of evidence on whether implementation can successfully overcome these challenges.</w:t>
      </w:r>
    </w:p>
    <w:p w14:paraId="38A2D30B" w14:textId="77777777" w:rsidR="0040201F" w:rsidRPr="0040201F" w:rsidRDefault="0040201F" w:rsidP="0040201F">
      <w:r w:rsidRPr="0040201F">
        <w:t>This study argues that teacher burnout in the Philippines is an anticipated result of systemic inadequacies within the educational framework. The educational environment imposes excessive job demands, including overwhelming workloads, administrative burdens, large class sizes, and significant emotional labor, while inadequately supplying essential job resources. This fundamental imbalance creates a vicious cycle where ongoing demands deplete teachers' personal resources as predicted by the Conservation of Resources (COR) theory (</w:t>
      </w:r>
      <w:proofErr w:type="spellStart"/>
      <w:r w:rsidRPr="0040201F">
        <w:t>Hobfoll</w:t>
      </w:r>
      <w:proofErr w:type="spellEnd"/>
      <w:r w:rsidRPr="0040201F">
        <w:t>, 1989). Supplementing COR theory is the Job Demands-Resources Model (Bakker &amp; Demerouti, 2007), which defines burnout as a state of emotional exhaustion and depersonalization based on persistent imbalance between demands and resources.</w:t>
      </w:r>
    </w:p>
    <w:p w14:paraId="598710E1" w14:textId="77777777" w:rsidR="0040201F" w:rsidRPr="0040201F" w:rsidRDefault="0040201F" w:rsidP="0040201F">
      <w:r w:rsidRPr="0040201F">
        <w:t xml:space="preserve">This study specifically examined the effect of principals' supportive practices on teacher burnout in </w:t>
      </w:r>
      <w:proofErr w:type="spellStart"/>
      <w:r w:rsidRPr="0040201F">
        <w:t>Cantilan</w:t>
      </w:r>
      <w:proofErr w:type="spellEnd"/>
      <w:r w:rsidRPr="0040201F">
        <w:t xml:space="preserve"> District. It sought to determine: (1) the demographic profile of respondents; (2) the level of principals' role in mitigating burnout; (3) the level of teacher burnout; (4) the relationship between profile and burnout; (5) the relationship between principals' role and burnout; (6) differences in perceptions between teachers and principals; (7) primary challenges contributing to burnout; (8) coping mechanisms employed; and (9) an intervention design based on findings.</w:t>
      </w:r>
    </w:p>
    <w:p w14:paraId="2D9F774F" w14:textId="77777777" w:rsidR="0040201F" w:rsidRPr="0040201F" w:rsidRDefault="0040201F" w:rsidP="0040201F">
      <w:r w:rsidRPr="0040201F">
        <w:pict w14:anchorId="537A03F4">
          <v:rect id="_x0000_i1075" style="width:0;height:.75pt" o:hralign="center" o:hrstd="t" o:hr="t" fillcolor="#a0a0a0" stroked="f"/>
        </w:pict>
      </w:r>
    </w:p>
    <w:p w14:paraId="59B0D6EF" w14:textId="77777777" w:rsidR="0040201F" w:rsidRPr="0040201F" w:rsidRDefault="0040201F" w:rsidP="0040201F">
      <w:pPr>
        <w:rPr>
          <w:b/>
          <w:bCs/>
        </w:rPr>
      </w:pPr>
      <w:r w:rsidRPr="0040201F">
        <w:rPr>
          <w:b/>
          <w:bCs/>
        </w:rPr>
        <w:t>METHODOLOGY</w:t>
      </w:r>
    </w:p>
    <w:p w14:paraId="7032625E" w14:textId="77777777" w:rsidR="0040201F" w:rsidRPr="0040201F" w:rsidRDefault="0040201F" w:rsidP="0040201F">
      <w:r w:rsidRPr="0040201F">
        <w:rPr>
          <w:b/>
          <w:bCs/>
        </w:rPr>
        <w:lastRenderedPageBreak/>
        <w:t>Research Design.</w:t>
      </w:r>
      <w:r w:rsidRPr="0040201F">
        <w:t> This study used a blended approach combining correlational study and qualitative phenomenology, employing a hermeneutics approach. This mixed-methods approach offered comprehensive understanding by triangulating quantitative data on burnout levels with qualitative insights into contextual factors and lived experiences of educators.</w:t>
      </w:r>
    </w:p>
    <w:p w14:paraId="57F49E4B" w14:textId="77777777" w:rsidR="0040201F" w:rsidRPr="0040201F" w:rsidRDefault="0040201F" w:rsidP="0040201F">
      <w:r w:rsidRPr="0040201F">
        <w:rPr>
          <w:b/>
          <w:bCs/>
        </w:rPr>
        <w:t>Research Locale and Respondents.</w:t>
      </w:r>
      <w:r w:rsidRPr="0040201F">
        <w:t xml:space="preserve"> The study was conducted in 22 elementary schools within </w:t>
      </w:r>
      <w:proofErr w:type="spellStart"/>
      <w:r w:rsidRPr="0040201F">
        <w:t>Cantilan</w:t>
      </w:r>
      <w:proofErr w:type="spellEnd"/>
      <w:r w:rsidRPr="0040201F">
        <w:t xml:space="preserve"> District, Surigao del Sur, Philippines. Respondents were 22 school heads (complete enumeration) and 185 teachers selected through stratified random sampling. The sample size exceeded the statistically recommended threshold for a population of 344 teachers at a 95 percent confidence level and 5 percent margin of error.</w:t>
      </w:r>
    </w:p>
    <w:p w14:paraId="5E697DAF" w14:textId="77777777" w:rsidR="0040201F" w:rsidRPr="0040201F" w:rsidRDefault="0040201F" w:rsidP="0040201F">
      <w:r w:rsidRPr="0040201F">
        <w:rPr>
          <w:b/>
          <w:bCs/>
        </w:rPr>
        <w:t>Research Instrument.</w:t>
      </w:r>
      <w:r w:rsidRPr="0040201F">
        <w:t> The main research tool was a structured questionnaire with three parts: (1) demographic and professional profile; (2) principals' mitigating roles (support and recognition, resource allocation, positive school culture, professional growth and development, addressing burnout and well-being); and (3) teachers' burnout experiences (emotional exhaustion, depersonalization, personal accomplishment, support for professional development, workload and administrative pressure). The questionnaire showed high validity (mean rating 4.86) and reliability (Cronbach's alpha greater than 0.70 for all indicators). Semi-structured interviews were also conducted.</w:t>
      </w:r>
    </w:p>
    <w:p w14:paraId="100785A2" w14:textId="77777777" w:rsidR="0040201F" w:rsidRPr="0040201F" w:rsidRDefault="0040201F" w:rsidP="0040201F">
      <w:r w:rsidRPr="0040201F">
        <w:rPr>
          <w:b/>
          <w:bCs/>
        </w:rPr>
        <w:t>Data Gathering Procedure.</w:t>
      </w:r>
      <w:r w:rsidRPr="0040201F">
        <w:t> The researcher secured permission at the division level and from school principals. Consent letters were provided to teachers, explaining objectives, procedures, risks, and benefits. The researcher personally administered questionnaires and conducted interviews.</w:t>
      </w:r>
    </w:p>
    <w:p w14:paraId="0B9E5047" w14:textId="77777777" w:rsidR="0040201F" w:rsidRPr="0040201F" w:rsidRDefault="0040201F" w:rsidP="0040201F">
      <w:r w:rsidRPr="0040201F">
        <w:rPr>
          <w:b/>
          <w:bCs/>
        </w:rPr>
        <w:t>Ethical Considerations.</w:t>
      </w:r>
      <w:r w:rsidRPr="0040201F">
        <w:t> The study adhered to ethical standards including beneficence, transparency, member checking, triangulation, and informed consent. Participants were assured of confidentiality and their right to withdraw at any time without consequences.</w:t>
      </w:r>
    </w:p>
    <w:p w14:paraId="537A5EA7" w14:textId="77777777" w:rsidR="0040201F" w:rsidRPr="0040201F" w:rsidRDefault="0040201F" w:rsidP="0040201F">
      <w:r w:rsidRPr="0040201F">
        <w:rPr>
          <w:b/>
          <w:bCs/>
        </w:rPr>
        <w:t>Data Analysis.</w:t>
      </w:r>
      <w:r w:rsidRPr="0040201F">
        <w:t> Quantitative data were analyzed using frequency analysis, weighted mean, Pearson product-moment correlation, and one-way ANOVA. Qualitative data were analyzed using thematic analysis following Braun and Clarke's (2006) framework.</w:t>
      </w:r>
    </w:p>
    <w:p w14:paraId="188E029D" w14:textId="77777777" w:rsidR="0040201F" w:rsidRPr="0040201F" w:rsidRDefault="0040201F" w:rsidP="0040201F">
      <w:r w:rsidRPr="0040201F">
        <w:pict w14:anchorId="0AF6787E">
          <v:rect id="_x0000_i1076" style="width:0;height:.75pt" o:hralign="center" o:hrstd="t" o:hr="t" fillcolor="#a0a0a0" stroked="f"/>
        </w:pict>
      </w:r>
    </w:p>
    <w:p w14:paraId="1B0701A0" w14:textId="77777777" w:rsidR="0040201F" w:rsidRPr="0040201F" w:rsidRDefault="0040201F" w:rsidP="0040201F">
      <w:pPr>
        <w:rPr>
          <w:b/>
          <w:bCs/>
        </w:rPr>
      </w:pPr>
      <w:r w:rsidRPr="0040201F">
        <w:rPr>
          <w:b/>
          <w:bCs/>
        </w:rPr>
        <w:t>RESULTS</w:t>
      </w:r>
    </w:p>
    <w:p w14:paraId="76D620A0" w14:textId="77777777" w:rsidR="0040201F" w:rsidRPr="0040201F" w:rsidRDefault="0040201F" w:rsidP="0040201F">
      <w:r w:rsidRPr="0040201F">
        <w:rPr>
          <w:b/>
          <w:bCs/>
        </w:rPr>
        <w:t>Demographic Profile.</w:t>
      </w:r>
      <w:r w:rsidRPr="0040201F">
        <w:t xml:space="preserve"> The teaching workforce was overwhelmingly female (85.4% of teachers, 63.6% of school heads). School heads were generally older (45+ years) compared to teachers (30-39 years). Most respondents were married (teachers: 68.1%; school heads: 90.9%). Regarding school type, 45.4% of teachers were from small schools, 27.6% from medium schools, </w:t>
      </w:r>
      <w:r w:rsidRPr="0040201F">
        <w:lastRenderedPageBreak/>
        <w:t>and 27.0% from large schools. Notably, 72.4% of teachers reported working beyond regular hours, while all school heads indicated working standard weekly hours.</w:t>
      </w:r>
    </w:p>
    <w:p w14:paraId="0FAEA199" w14:textId="77777777" w:rsidR="0040201F" w:rsidRPr="0040201F" w:rsidRDefault="0040201F" w:rsidP="0040201F">
      <w:r w:rsidRPr="0040201F">
        <w:rPr>
          <w:b/>
          <w:bCs/>
        </w:rPr>
        <w:t>Level of Principals' Role in Mitigating Burnout.</w:t>
      </w:r>
      <w:r w:rsidRPr="0040201F">
        <w:t> Table 1 presents the perceptions of teachers and school heads on principals' mitigating roles. Resource allocation was the highest-rated indicator (teachers: 4.21; school heads: 4.35, very high), demonstrating that principals are most successful in ensuring access to necessary materials and technology. Conversely, addressing burnout and well-being emerged as the lowest-rated indicator (teachers: 2.98; school heads: 2.67, moderate), exposing a critical vulnerability in principal leadership. This gap reveals that schools may be prioritizing operational efficiency over human sustainability.</w:t>
      </w:r>
    </w:p>
    <w:p w14:paraId="397A2DA5" w14:textId="77777777" w:rsidR="0040201F" w:rsidRPr="0040201F" w:rsidRDefault="0040201F" w:rsidP="0040201F">
      <w:r w:rsidRPr="0040201F">
        <w:rPr>
          <w:b/>
          <w:bCs/>
        </w:rPr>
        <w:t>Table 1. Level of Principals' Role in Mitigating Burnout</w:t>
      </w:r>
    </w:p>
    <w:tbl>
      <w:tblPr>
        <w:tblW w:w="0" w:type="auto"/>
        <w:tblCellMar>
          <w:top w:w="15" w:type="dxa"/>
          <w:left w:w="15" w:type="dxa"/>
          <w:bottom w:w="15" w:type="dxa"/>
          <w:right w:w="15" w:type="dxa"/>
        </w:tblCellMar>
        <w:tblLook w:val="04A0" w:firstRow="1" w:lastRow="0" w:firstColumn="1" w:lastColumn="0" w:noHBand="0" w:noVBand="1"/>
      </w:tblPr>
      <w:tblGrid>
        <w:gridCol w:w="3394"/>
        <w:gridCol w:w="1906"/>
        <w:gridCol w:w="2213"/>
        <w:gridCol w:w="1847"/>
      </w:tblGrid>
      <w:tr w:rsidR="0040201F" w:rsidRPr="0040201F" w14:paraId="51C5296E" w14:textId="77777777">
        <w:trPr>
          <w:tblHeader/>
        </w:trPr>
        <w:tc>
          <w:tcPr>
            <w:tcW w:w="0" w:type="auto"/>
            <w:tcBorders>
              <w:top w:val="nil"/>
            </w:tcBorders>
            <w:tcMar>
              <w:top w:w="150" w:type="dxa"/>
              <w:left w:w="0" w:type="dxa"/>
              <w:bottom w:w="150" w:type="dxa"/>
              <w:right w:w="240" w:type="dxa"/>
            </w:tcMar>
            <w:vAlign w:val="center"/>
            <w:hideMark/>
          </w:tcPr>
          <w:p w14:paraId="1F35DC39" w14:textId="77777777" w:rsidR="0040201F" w:rsidRPr="0040201F" w:rsidRDefault="0040201F" w:rsidP="0040201F">
            <w:r w:rsidRPr="0040201F">
              <w:t>Indicator</w:t>
            </w:r>
          </w:p>
        </w:tc>
        <w:tc>
          <w:tcPr>
            <w:tcW w:w="0" w:type="auto"/>
            <w:tcBorders>
              <w:top w:val="nil"/>
            </w:tcBorders>
            <w:tcMar>
              <w:top w:w="150" w:type="dxa"/>
              <w:left w:w="240" w:type="dxa"/>
              <w:bottom w:w="150" w:type="dxa"/>
              <w:right w:w="240" w:type="dxa"/>
            </w:tcMar>
            <w:vAlign w:val="center"/>
            <w:hideMark/>
          </w:tcPr>
          <w:p w14:paraId="704E42E8" w14:textId="77777777" w:rsidR="0040201F" w:rsidRPr="0040201F" w:rsidRDefault="0040201F" w:rsidP="0040201F">
            <w:r w:rsidRPr="0040201F">
              <w:t>Teachers (Mean)</w:t>
            </w:r>
          </w:p>
        </w:tc>
        <w:tc>
          <w:tcPr>
            <w:tcW w:w="0" w:type="auto"/>
            <w:tcBorders>
              <w:top w:val="nil"/>
            </w:tcBorders>
            <w:tcMar>
              <w:top w:w="150" w:type="dxa"/>
              <w:left w:w="240" w:type="dxa"/>
              <w:bottom w:w="150" w:type="dxa"/>
              <w:right w:w="240" w:type="dxa"/>
            </w:tcMar>
            <w:vAlign w:val="center"/>
            <w:hideMark/>
          </w:tcPr>
          <w:p w14:paraId="0569B413" w14:textId="77777777" w:rsidR="0040201F" w:rsidRPr="0040201F" w:rsidRDefault="0040201F" w:rsidP="0040201F">
            <w:r w:rsidRPr="0040201F">
              <w:t>School Heads (Mean)</w:t>
            </w:r>
          </w:p>
        </w:tc>
        <w:tc>
          <w:tcPr>
            <w:tcW w:w="0" w:type="auto"/>
            <w:tcBorders>
              <w:top w:val="nil"/>
            </w:tcBorders>
            <w:tcMar>
              <w:top w:w="150" w:type="dxa"/>
              <w:left w:w="240" w:type="dxa"/>
              <w:bottom w:w="150" w:type="dxa"/>
              <w:right w:w="240" w:type="dxa"/>
            </w:tcMar>
            <w:vAlign w:val="center"/>
            <w:hideMark/>
          </w:tcPr>
          <w:p w14:paraId="432DDEB2" w14:textId="77777777" w:rsidR="0040201F" w:rsidRPr="0040201F" w:rsidRDefault="0040201F" w:rsidP="0040201F">
            <w:r w:rsidRPr="0040201F">
              <w:t>Interpretation</w:t>
            </w:r>
          </w:p>
        </w:tc>
      </w:tr>
      <w:tr w:rsidR="0040201F" w:rsidRPr="0040201F" w14:paraId="45E22D44" w14:textId="77777777">
        <w:tc>
          <w:tcPr>
            <w:tcW w:w="0" w:type="auto"/>
            <w:tcMar>
              <w:top w:w="150" w:type="dxa"/>
              <w:left w:w="0" w:type="dxa"/>
              <w:bottom w:w="150" w:type="dxa"/>
              <w:right w:w="240" w:type="dxa"/>
            </w:tcMar>
            <w:vAlign w:val="center"/>
            <w:hideMark/>
          </w:tcPr>
          <w:p w14:paraId="13D347D7" w14:textId="77777777" w:rsidR="0040201F" w:rsidRPr="0040201F" w:rsidRDefault="0040201F" w:rsidP="0040201F">
            <w:r w:rsidRPr="0040201F">
              <w:t>Support and Recognition</w:t>
            </w:r>
          </w:p>
        </w:tc>
        <w:tc>
          <w:tcPr>
            <w:tcW w:w="0" w:type="auto"/>
            <w:tcMar>
              <w:top w:w="150" w:type="dxa"/>
              <w:left w:w="240" w:type="dxa"/>
              <w:bottom w:w="150" w:type="dxa"/>
              <w:right w:w="240" w:type="dxa"/>
            </w:tcMar>
            <w:vAlign w:val="center"/>
            <w:hideMark/>
          </w:tcPr>
          <w:p w14:paraId="2B77C5A5" w14:textId="77777777" w:rsidR="0040201F" w:rsidRPr="0040201F" w:rsidRDefault="0040201F" w:rsidP="0040201F">
            <w:r w:rsidRPr="0040201F">
              <w:t>3.42</w:t>
            </w:r>
          </w:p>
        </w:tc>
        <w:tc>
          <w:tcPr>
            <w:tcW w:w="0" w:type="auto"/>
            <w:tcMar>
              <w:top w:w="150" w:type="dxa"/>
              <w:left w:w="240" w:type="dxa"/>
              <w:bottom w:w="150" w:type="dxa"/>
              <w:right w:w="240" w:type="dxa"/>
            </w:tcMar>
            <w:vAlign w:val="center"/>
            <w:hideMark/>
          </w:tcPr>
          <w:p w14:paraId="2CE609CF" w14:textId="77777777" w:rsidR="0040201F" w:rsidRPr="0040201F" w:rsidRDefault="0040201F" w:rsidP="0040201F">
            <w:r w:rsidRPr="0040201F">
              <w:t>3.89</w:t>
            </w:r>
          </w:p>
        </w:tc>
        <w:tc>
          <w:tcPr>
            <w:tcW w:w="0" w:type="auto"/>
            <w:tcMar>
              <w:top w:w="150" w:type="dxa"/>
              <w:left w:w="240" w:type="dxa"/>
              <w:bottom w:w="150" w:type="dxa"/>
              <w:right w:w="0" w:type="dxa"/>
            </w:tcMar>
            <w:vAlign w:val="center"/>
            <w:hideMark/>
          </w:tcPr>
          <w:p w14:paraId="10130CE3" w14:textId="77777777" w:rsidR="0040201F" w:rsidRPr="0040201F" w:rsidRDefault="0040201F" w:rsidP="0040201F">
            <w:r w:rsidRPr="0040201F">
              <w:t>High</w:t>
            </w:r>
          </w:p>
        </w:tc>
      </w:tr>
      <w:tr w:rsidR="0040201F" w:rsidRPr="0040201F" w14:paraId="6C1FBD7E" w14:textId="77777777">
        <w:tc>
          <w:tcPr>
            <w:tcW w:w="0" w:type="auto"/>
            <w:tcMar>
              <w:top w:w="150" w:type="dxa"/>
              <w:left w:w="0" w:type="dxa"/>
              <w:bottom w:w="150" w:type="dxa"/>
              <w:right w:w="240" w:type="dxa"/>
            </w:tcMar>
            <w:vAlign w:val="center"/>
            <w:hideMark/>
          </w:tcPr>
          <w:p w14:paraId="10EF6A84" w14:textId="77777777" w:rsidR="0040201F" w:rsidRPr="0040201F" w:rsidRDefault="0040201F" w:rsidP="0040201F">
            <w:r w:rsidRPr="0040201F">
              <w:t>Resource Allocation</w:t>
            </w:r>
          </w:p>
        </w:tc>
        <w:tc>
          <w:tcPr>
            <w:tcW w:w="0" w:type="auto"/>
            <w:tcMar>
              <w:top w:w="150" w:type="dxa"/>
              <w:left w:w="240" w:type="dxa"/>
              <w:bottom w:w="150" w:type="dxa"/>
              <w:right w:w="240" w:type="dxa"/>
            </w:tcMar>
            <w:vAlign w:val="center"/>
            <w:hideMark/>
          </w:tcPr>
          <w:p w14:paraId="4BD5F124" w14:textId="77777777" w:rsidR="0040201F" w:rsidRPr="0040201F" w:rsidRDefault="0040201F" w:rsidP="0040201F">
            <w:r w:rsidRPr="0040201F">
              <w:t>4.21</w:t>
            </w:r>
          </w:p>
        </w:tc>
        <w:tc>
          <w:tcPr>
            <w:tcW w:w="0" w:type="auto"/>
            <w:tcMar>
              <w:top w:w="150" w:type="dxa"/>
              <w:left w:w="240" w:type="dxa"/>
              <w:bottom w:w="150" w:type="dxa"/>
              <w:right w:w="240" w:type="dxa"/>
            </w:tcMar>
            <w:vAlign w:val="center"/>
            <w:hideMark/>
          </w:tcPr>
          <w:p w14:paraId="6990CBD7" w14:textId="77777777" w:rsidR="0040201F" w:rsidRPr="0040201F" w:rsidRDefault="0040201F" w:rsidP="0040201F">
            <w:r w:rsidRPr="0040201F">
              <w:t>4.35</w:t>
            </w:r>
          </w:p>
        </w:tc>
        <w:tc>
          <w:tcPr>
            <w:tcW w:w="0" w:type="auto"/>
            <w:tcMar>
              <w:top w:w="150" w:type="dxa"/>
              <w:left w:w="240" w:type="dxa"/>
              <w:bottom w:w="150" w:type="dxa"/>
              <w:right w:w="0" w:type="dxa"/>
            </w:tcMar>
            <w:vAlign w:val="center"/>
            <w:hideMark/>
          </w:tcPr>
          <w:p w14:paraId="72E8E82B" w14:textId="77777777" w:rsidR="0040201F" w:rsidRPr="0040201F" w:rsidRDefault="0040201F" w:rsidP="0040201F">
            <w:r w:rsidRPr="0040201F">
              <w:t>Very High</w:t>
            </w:r>
          </w:p>
        </w:tc>
      </w:tr>
      <w:tr w:rsidR="0040201F" w:rsidRPr="0040201F" w14:paraId="027B0FF8" w14:textId="77777777">
        <w:tc>
          <w:tcPr>
            <w:tcW w:w="0" w:type="auto"/>
            <w:tcMar>
              <w:top w:w="150" w:type="dxa"/>
              <w:left w:w="0" w:type="dxa"/>
              <w:bottom w:w="150" w:type="dxa"/>
              <w:right w:w="240" w:type="dxa"/>
            </w:tcMar>
            <w:vAlign w:val="center"/>
            <w:hideMark/>
          </w:tcPr>
          <w:p w14:paraId="18B57EFD" w14:textId="77777777" w:rsidR="0040201F" w:rsidRPr="0040201F" w:rsidRDefault="0040201F" w:rsidP="0040201F">
            <w:r w:rsidRPr="0040201F">
              <w:t>Promoting Positive School Culture</w:t>
            </w:r>
          </w:p>
        </w:tc>
        <w:tc>
          <w:tcPr>
            <w:tcW w:w="0" w:type="auto"/>
            <w:tcMar>
              <w:top w:w="150" w:type="dxa"/>
              <w:left w:w="240" w:type="dxa"/>
              <w:bottom w:w="150" w:type="dxa"/>
              <w:right w:w="240" w:type="dxa"/>
            </w:tcMar>
            <w:vAlign w:val="center"/>
            <w:hideMark/>
          </w:tcPr>
          <w:p w14:paraId="05D57F43" w14:textId="77777777" w:rsidR="0040201F" w:rsidRPr="0040201F" w:rsidRDefault="0040201F" w:rsidP="0040201F">
            <w:r w:rsidRPr="0040201F">
              <w:t>3.87</w:t>
            </w:r>
          </w:p>
        </w:tc>
        <w:tc>
          <w:tcPr>
            <w:tcW w:w="0" w:type="auto"/>
            <w:tcMar>
              <w:top w:w="150" w:type="dxa"/>
              <w:left w:w="240" w:type="dxa"/>
              <w:bottom w:w="150" w:type="dxa"/>
              <w:right w:w="240" w:type="dxa"/>
            </w:tcMar>
            <w:vAlign w:val="center"/>
            <w:hideMark/>
          </w:tcPr>
          <w:p w14:paraId="6A7FEE86" w14:textId="77777777" w:rsidR="0040201F" w:rsidRPr="0040201F" w:rsidRDefault="0040201F" w:rsidP="0040201F">
            <w:r w:rsidRPr="0040201F">
              <w:t>4.01</w:t>
            </w:r>
          </w:p>
        </w:tc>
        <w:tc>
          <w:tcPr>
            <w:tcW w:w="0" w:type="auto"/>
            <w:tcMar>
              <w:top w:w="150" w:type="dxa"/>
              <w:left w:w="240" w:type="dxa"/>
              <w:bottom w:w="150" w:type="dxa"/>
              <w:right w:w="0" w:type="dxa"/>
            </w:tcMar>
            <w:vAlign w:val="center"/>
            <w:hideMark/>
          </w:tcPr>
          <w:p w14:paraId="48EE8BEE" w14:textId="77777777" w:rsidR="0040201F" w:rsidRPr="0040201F" w:rsidRDefault="0040201F" w:rsidP="0040201F">
            <w:r w:rsidRPr="0040201F">
              <w:t>High</w:t>
            </w:r>
          </w:p>
        </w:tc>
      </w:tr>
      <w:tr w:rsidR="0040201F" w:rsidRPr="0040201F" w14:paraId="54F3B6FC" w14:textId="77777777">
        <w:tc>
          <w:tcPr>
            <w:tcW w:w="0" w:type="auto"/>
            <w:tcMar>
              <w:top w:w="150" w:type="dxa"/>
              <w:left w:w="0" w:type="dxa"/>
              <w:bottom w:w="150" w:type="dxa"/>
              <w:right w:w="240" w:type="dxa"/>
            </w:tcMar>
            <w:vAlign w:val="center"/>
            <w:hideMark/>
          </w:tcPr>
          <w:p w14:paraId="46203CCA" w14:textId="77777777" w:rsidR="0040201F" w:rsidRPr="0040201F" w:rsidRDefault="0040201F" w:rsidP="0040201F">
            <w:r w:rsidRPr="0040201F">
              <w:t>Professional Growth and Development</w:t>
            </w:r>
          </w:p>
        </w:tc>
        <w:tc>
          <w:tcPr>
            <w:tcW w:w="0" w:type="auto"/>
            <w:tcMar>
              <w:top w:w="150" w:type="dxa"/>
              <w:left w:w="240" w:type="dxa"/>
              <w:bottom w:w="150" w:type="dxa"/>
              <w:right w:w="240" w:type="dxa"/>
            </w:tcMar>
            <w:vAlign w:val="center"/>
            <w:hideMark/>
          </w:tcPr>
          <w:p w14:paraId="5DC8E4DB" w14:textId="77777777" w:rsidR="0040201F" w:rsidRPr="0040201F" w:rsidRDefault="0040201F" w:rsidP="0040201F">
            <w:r w:rsidRPr="0040201F">
              <w:t>3.76</w:t>
            </w:r>
          </w:p>
        </w:tc>
        <w:tc>
          <w:tcPr>
            <w:tcW w:w="0" w:type="auto"/>
            <w:tcMar>
              <w:top w:w="150" w:type="dxa"/>
              <w:left w:w="240" w:type="dxa"/>
              <w:bottom w:w="150" w:type="dxa"/>
              <w:right w:w="240" w:type="dxa"/>
            </w:tcMar>
            <w:vAlign w:val="center"/>
            <w:hideMark/>
          </w:tcPr>
          <w:p w14:paraId="7F007D5F" w14:textId="77777777" w:rsidR="0040201F" w:rsidRPr="0040201F" w:rsidRDefault="0040201F" w:rsidP="0040201F">
            <w:r w:rsidRPr="0040201F">
              <w:t>3.92</w:t>
            </w:r>
          </w:p>
        </w:tc>
        <w:tc>
          <w:tcPr>
            <w:tcW w:w="0" w:type="auto"/>
            <w:tcMar>
              <w:top w:w="150" w:type="dxa"/>
              <w:left w:w="240" w:type="dxa"/>
              <w:bottom w:w="150" w:type="dxa"/>
              <w:right w:w="0" w:type="dxa"/>
            </w:tcMar>
            <w:vAlign w:val="center"/>
            <w:hideMark/>
          </w:tcPr>
          <w:p w14:paraId="50D6A138" w14:textId="77777777" w:rsidR="0040201F" w:rsidRPr="0040201F" w:rsidRDefault="0040201F" w:rsidP="0040201F">
            <w:r w:rsidRPr="0040201F">
              <w:t>High</w:t>
            </w:r>
          </w:p>
        </w:tc>
      </w:tr>
      <w:tr w:rsidR="0040201F" w:rsidRPr="0040201F" w14:paraId="530A20C1" w14:textId="77777777">
        <w:tc>
          <w:tcPr>
            <w:tcW w:w="0" w:type="auto"/>
            <w:tcMar>
              <w:top w:w="150" w:type="dxa"/>
              <w:left w:w="0" w:type="dxa"/>
              <w:bottom w:w="150" w:type="dxa"/>
              <w:right w:w="240" w:type="dxa"/>
            </w:tcMar>
            <w:vAlign w:val="center"/>
            <w:hideMark/>
          </w:tcPr>
          <w:p w14:paraId="24BFD2FE" w14:textId="77777777" w:rsidR="0040201F" w:rsidRPr="0040201F" w:rsidRDefault="0040201F" w:rsidP="0040201F">
            <w:r w:rsidRPr="0040201F">
              <w:t>Addressing Burnout and Well-being</w:t>
            </w:r>
          </w:p>
        </w:tc>
        <w:tc>
          <w:tcPr>
            <w:tcW w:w="0" w:type="auto"/>
            <w:tcMar>
              <w:top w:w="150" w:type="dxa"/>
              <w:left w:w="240" w:type="dxa"/>
              <w:bottom w:w="150" w:type="dxa"/>
              <w:right w:w="240" w:type="dxa"/>
            </w:tcMar>
            <w:vAlign w:val="center"/>
            <w:hideMark/>
          </w:tcPr>
          <w:p w14:paraId="6E0E0DE6" w14:textId="77777777" w:rsidR="0040201F" w:rsidRPr="0040201F" w:rsidRDefault="0040201F" w:rsidP="0040201F">
            <w:r w:rsidRPr="0040201F">
              <w:t>2.98</w:t>
            </w:r>
          </w:p>
        </w:tc>
        <w:tc>
          <w:tcPr>
            <w:tcW w:w="0" w:type="auto"/>
            <w:tcMar>
              <w:top w:w="150" w:type="dxa"/>
              <w:left w:w="240" w:type="dxa"/>
              <w:bottom w:w="150" w:type="dxa"/>
              <w:right w:w="240" w:type="dxa"/>
            </w:tcMar>
            <w:vAlign w:val="center"/>
            <w:hideMark/>
          </w:tcPr>
          <w:p w14:paraId="2C38102A" w14:textId="77777777" w:rsidR="0040201F" w:rsidRPr="0040201F" w:rsidRDefault="0040201F" w:rsidP="0040201F">
            <w:r w:rsidRPr="0040201F">
              <w:t>2.67</w:t>
            </w:r>
          </w:p>
        </w:tc>
        <w:tc>
          <w:tcPr>
            <w:tcW w:w="0" w:type="auto"/>
            <w:tcMar>
              <w:top w:w="150" w:type="dxa"/>
              <w:left w:w="240" w:type="dxa"/>
              <w:bottom w:w="150" w:type="dxa"/>
              <w:right w:w="0" w:type="dxa"/>
            </w:tcMar>
            <w:vAlign w:val="center"/>
            <w:hideMark/>
          </w:tcPr>
          <w:p w14:paraId="7DD0EC67" w14:textId="77777777" w:rsidR="0040201F" w:rsidRPr="0040201F" w:rsidRDefault="0040201F" w:rsidP="0040201F">
            <w:r w:rsidRPr="0040201F">
              <w:t>Moderate</w:t>
            </w:r>
          </w:p>
        </w:tc>
      </w:tr>
    </w:tbl>
    <w:p w14:paraId="46977756" w14:textId="77777777" w:rsidR="0040201F" w:rsidRPr="0040201F" w:rsidRDefault="0040201F" w:rsidP="0040201F">
      <w:r w:rsidRPr="0040201F">
        <w:rPr>
          <w:b/>
          <w:bCs/>
        </w:rPr>
        <w:t>Level of Teachers' Burnout.</w:t>
      </w:r>
      <w:r w:rsidRPr="0040201F">
        <w:t> Table 2 presents teachers' burnout levels. Support for professional development was the highest-rated indicator (4.08, high), showing institutional commitment to teacher learning. Depersonalization was lowest (2.12, low), indicating relatively positive interpersonal engagement. Lower depersonalization is associated with better interpersonal relationships and greater professional fulfillment (Collie, 2022).</w:t>
      </w:r>
    </w:p>
    <w:p w14:paraId="3E150BB7" w14:textId="77777777" w:rsidR="0040201F" w:rsidRDefault="0040201F" w:rsidP="0040201F">
      <w:pPr>
        <w:rPr>
          <w:b/>
          <w:bCs/>
        </w:rPr>
      </w:pPr>
    </w:p>
    <w:p w14:paraId="6D844653" w14:textId="77777777" w:rsidR="0040201F" w:rsidRDefault="0040201F" w:rsidP="0040201F">
      <w:pPr>
        <w:rPr>
          <w:b/>
          <w:bCs/>
        </w:rPr>
      </w:pPr>
    </w:p>
    <w:p w14:paraId="3BC9F54F" w14:textId="486F3655" w:rsidR="0040201F" w:rsidRPr="0040201F" w:rsidRDefault="0040201F" w:rsidP="0040201F">
      <w:r w:rsidRPr="0040201F">
        <w:rPr>
          <w:b/>
          <w:bCs/>
        </w:rPr>
        <w:lastRenderedPageBreak/>
        <w:t>Table 2. Level of Teachers' Burnout</w:t>
      </w:r>
    </w:p>
    <w:tbl>
      <w:tblPr>
        <w:tblW w:w="9477" w:type="dxa"/>
        <w:tblCellMar>
          <w:top w:w="15" w:type="dxa"/>
          <w:left w:w="15" w:type="dxa"/>
          <w:bottom w:w="15" w:type="dxa"/>
          <w:right w:w="15" w:type="dxa"/>
        </w:tblCellMar>
        <w:tblLook w:val="04A0" w:firstRow="1" w:lastRow="0" w:firstColumn="1" w:lastColumn="0" w:noHBand="0" w:noVBand="1"/>
      </w:tblPr>
      <w:tblGrid>
        <w:gridCol w:w="5481"/>
        <w:gridCol w:w="1445"/>
        <w:gridCol w:w="2551"/>
      </w:tblGrid>
      <w:tr w:rsidR="0040201F" w:rsidRPr="0040201F" w14:paraId="42E92A44" w14:textId="77777777" w:rsidTr="0040201F">
        <w:trPr>
          <w:trHeight w:val="427"/>
          <w:tblHeader/>
        </w:trPr>
        <w:tc>
          <w:tcPr>
            <w:tcW w:w="0" w:type="auto"/>
            <w:tcBorders>
              <w:top w:val="nil"/>
            </w:tcBorders>
            <w:tcMar>
              <w:top w:w="150" w:type="dxa"/>
              <w:left w:w="0" w:type="dxa"/>
              <w:bottom w:w="150" w:type="dxa"/>
              <w:right w:w="240" w:type="dxa"/>
            </w:tcMar>
            <w:vAlign w:val="center"/>
            <w:hideMark/>
          </w:tcPr>
          <w:p w14:paraId="4DD4B416" w14:textId="77777777" w:rsidR="0040201F" w:rsidRPr="0040201F" w:rsidRDefault="0040201F" w:rsidP="0040201F">
            <w:r w:rsidRPr="0040201F">
              <w:t>Indicator</w:t>
            </w:r>
          </w:p>
        </w:tc>
        <w:tc>
          <w:tcPr>
            <w:tcW w:w="0" w:type="auto"/>
            <w:tcBorders>
              <w:top w:val="nil"/>
            </w:tcBorders>
            <w:tcMar>
              <w:top w:w="150" w:type="dxa"/>
              <w:left w:w="240" w:type="dxa"/>
              <w:bottom w:w="150" w:type="dxa"/>
              <w:right w:w="240" w:type="dxa"/>
            </w:tcMar>
            <w:vAlign w:val="center"/>
            <w:hideMark/>
          </w:tcPr>
          <w:p w14:paraId="740D8868" w14:textId="77777777" w:rsidR="0040201F" w:rsidRPr="0040201F" w:rsidRDefault="0040201F" w:rsidP="0040201F">
            <w:r w:rsidRPr="0040201F">
              <w:t>Mean</w:t>
            </w:r>
          </w:p>
        </w:tc>
        <w:tc>
          <w:tcPr>
            <w:tcW w:w="0" w:type="auto"/>
            <w:tcBorders>
              <w:top w:val="nil"/>
            </w:tcBorders>
            <w:tcMar>
              <w:top w:w="150" w:type="dxa"/>
              <w:left w:w="240" w:type="dxa"/>
              <w:bottom w:w="150" w:type="dxa"/>
              <w:right w:w="240" w:type="dxa"/>
            </w:tcMar>
            <w:vAlign w:val="center"/>
            <w:hideMark/>
          </w:tcPr>
          <w:p w14:paraId="4636E482" w14:textId="77777777" w:rsidR="0040201F" w:rsidRPr="0040201F" w:rsidRDefault="0040201F" w:rsidP="0040201F">
            <w:r w:rsidRPr="0040201F">
              <w:t>Interpretation</w:t>
            </w:r>
          </w:p>
        </w:tc>
      </w:tr>
      <w:tr w:rsidR="0040201F" w:rsidRPr="0040201F" w14:paraId="3CE2227B" w14:textId="77777777" w:rsidTr="0040201F">
        <w:trPr>
          <w:trHeight w:val="427"/>
        </w:trPr>
        <w:tc>
          <w:tcPr>
            <w:tcW w:w="0" w:type="auto"/>
            <w:tcMar>
              <w:top w:w="150" w:type="dxa"/>
              <w:left w:w="0" w:type="dxa"/>
              <w:bottom w:w="150" w:type="dxa"/>
              <w:right w:w="240" w:type="dxa"/>
            </w:tcMar>
            <w:vAlign w:val="center"/>
            <w:hideMark/>
          </w:tcPr>
          <w:p w14:paraId="060740C8" w14:textId="77777777" w:rsidR="0040201F" w:rsidRPr="0040201F" w:rsidRDefault="0040201F" w:rsidP="0040201F">
            <w:r w:rsidRPr="0040201F">
              <w:t>Emotional Exhaustion</w:t>
            </w:r>
          </w:p>
        </w:tc>
        <w:tc>
          <w:tcPr>
            <w:tcW w:w="0" w:type="auto"/>
            <w:tcMar>
              <w:top w:w="150" w:type="dxa"/>
              <w:left w:w="240" w:type="dxa"/>
              <w:bottom w:w="150" w:type="dxa"/>
              <w:right w:w="240" w:type="dxa"/>
            </w:tcMar>
            <w:vAlign w:val="center"/>
            <w:hideMark/>
          </w:tcPr>
          <w:p w14:paraId="5F4CF678" w14:textId="77777777" w:rsidR="0040201F" w:rsidRPr="0040201F" w:rsidRDefault="0040201F" w:rsidP="0040201F">
            <w:r w:rsidRPr="0040201F">
              <w:t>2.89</w:t>
            </w:r>
          </w:p>
        </w:tc>
        <w:tc>
          <w:tcPr>
            <w:tcW w:w="0" w:type="auto"/>
            <w:tcMar>
              <w:top w:w="150" w:type="dxa"/>
              <w:left w:w="240" w:type="dxa"/>
              <w:bottom w:w="150" w:type="dxa"/>
              <w:right w:w="0" w:type="dxa"/>
            </w:tcMar>
            <w:vAlign w:val="center"/>
            <w:hideMark/>
          </w:tcPr>
          <w:p w14:paraId="2698542E" w14:textId="77777777" w:rsidR="0040201F" w:rsidRPr="0040201F" w:rsidRDefault="0040201F" w:rsidP="0040201F">
            <w:r w:rsidRPr="0040201F">
              <w:t>Moderate</w:t>
            </w:r>
          </w:p>
        </w:tc>
      </w:tr>
      <w:tr w:rsidR="0040201F" w:rsidRPr="0040201F" w14:paraId="190B4CE2" w14:textId="77777777" w:rsidTr="0040201F">
        <w:trPr>
          <w:trHeight w:val="427"/>
        </w:trPr>
        <w:tc>
          <w:tcPr>
            <w:tcW w:w="0" w:type="auto"/>
            <w:tcMar>
              <w:top w:w="150" w:type="dxa"/>
              <w:left w:w="0" w:type="dxa"/>
              <w:bottom w:w="150" w:type="dxa"/>
              <w:right w:w="240" w:type="dxa"/>
            </w:tcMar>
            <w:vAlign w:val="center"/>
            <w:hideMark/>
          </w:tcPr>
          <w:p w14:paraId="4A51A43F" w14:textId="77777777" w:rsidR="0040201F" w:rsidRPr="0040201F" w:rsidRDefault="0040201F" w:rsidP="0040201F">
            <w:r w:rsidRPr="0040201F">
              <w:t>Depersonalization</w:t>
            </w:r>
          </w:p>
        </w:tc>
        <w:tc>
          <w:tcPr>
            <w:tcW w:w="0" w:type="auto"/>
            <w:tcMar>
              <w:top w:w="150" w:type="dxa"/>
              <w:left w:w="240" w:type="dxa"/>
              <w:bottom w:w="150" w:type="dxa"/>
              <w:right w:w="240" w:type="dxa"/>
            </w:tcMar>
            <w:vAlign w:val="center"/>
            <w:hideMark/>
          </w:tcPr>
          <w:p w14:paraId="3916DD61" w14:textId="77777777" w:rsidR="0040201F" w:rsidRPr="0040201F" w:rsidRDefault="0040201F" w:rsidP="0040201F">
            <w:r w:rsidRPr="0040201F">
              <w:t>2.12</w:t>
            </w:r>
          </w:p>
        </w:tc>
        <w:tc>
          <w:tcPr>
            <w:tcW w:w="0" w:type="auto"/>
            <w:tcMar>
              <w:top w:w="150" w:type="dxa"/>
              <w:left w:w="240" w:type="dxa"/>
              <w:bottom w:w="150" w:type="dxa"/>
              <w:right w:w="0" w:type="dxa"/>
            </w:tcMar>
            <w:vAlign w:val="center"/>
            <w:hideMark/>
          </w:tcPr>
          <w:p w14:paraId="3D379992" w14:textId="77777777" w:rsidR="0040201F" w:rsidRPr="0040201F" w:rsidRDefault="0040201F" w:rsidP="0040201F">
            <w:r w:rsidRPr="0040201F">
              <w:t>Low</w:t>
            </w:r>
          </w:p>
        </w:tc>
      </w:tr>
      <w:tr w:rsidR="0040201F" w:rsidRPr="0040201F" w14:paraId="1B3265A2" w14:textId="77777777" w:rsidTr="0040201F">
        <w:trPr>
          <w:trHeight w:val="427"/>
        </w:trPr>
        <w:tc>
          <w:tcPr>
            <w:tcW w:w="0" w:type="auto"/>
            <w:tcMar>
              <w:top w:w="150" w:type="dxa"/>
              <w:left w:w="0" w:type="dxa"/>
              <w:bottom w:w="150" w:type="dxa"/>
              <w:right w:w="240" w:type="dxa"/>
            </w:tcMar>
            <w:vAlign w:val="center"/>
            <w:hideMark/>
          </w:tcPr>
          <w:p w14:paraId="61914195" w14:textId="77777777" w:rsidR="0040201F" w:rsidRPr="0040201F" w:rsidRDefault="0040201F" w:rsidP="0040201F">
            <w:r w:rsidRPr="0040201F">
              <w:t>Personal Accomplishment</w:t>
            </w:r>
          </w:p>
        </w:tc>
        <w:tc>
          <w:tcPr>
            <w:tcW w:w="0" w:type="auto"/>
            <w:tcMar>
              <w:top w:w="150" w:type="dxa"/>
              <w:left w:w="240" w:type="dxa"/>
              <w:bottom w:w="150" w:type="dxa"/>
              <w:right w:w="240" w:type="dxa"/>
            </w:tcMar>
            <w:vAlign w:val="center"/>
            <w:hideMark/>
          </w:tcPr>
          <w:p w14:paraId="1C8DD5E9" w14:textId="77777777" w:rsidR="0040201F" w:rsidRPr="0040201F" w:rsidRDefault="0040201F" w:rsidP="0040201F">
            <w:r w:rsidRPr="0040201F">
              <w:t>3.98</w:t>
            </w:r>
          </w:p>
        </w:tc>
        <w:tc>
          <w:tcPr>
            <w:tcW w:w="0" w:type="auto"/>
            <w:tcMar>
              <w:top w:w="150" w:type="dxa"/>
              <w:left w:w="240" w:type="dxa"/>
              <w:bottom w:w="150" w:type="dxa"/>
              <w:right w:w="0" w:type="dxa"/>
            </w:tcMar>
            <w:vAlign w:val="center"/>
            <w:hideMark/>
          </w:tcPr>
          <w:p w14:paraId="08540AE3" w14:textId="77777777" w:rsidR="0040201F" w:rsidRPr="0040201F" w:rsidRDefault="0040201F" w:rsidP="0040201F">
            <w:r w:rsidRPr="0040201F">
              <w:t>High</w:t>
            </w:r>
          </w:p>
        </w:tc>
      </w:tr>
      <w:tr w:rsidR="0040201F" w:rsidRPr="0040201F" w14:paraId="6F45D0E2" w14:textId="77777777" w:rsidTr="0040201F">
        <w:trPr>
          <w:trHeight w:val="427"/>
        </w:trPr>
        <w:tc>
          <w:tcPr>
            <w:tcW w:w="0" w:type="auto"/>
            <w:tcMar>
              <w:top w:w="150" w:type="dxa"/>
              <w:left w:w="0" w:type="dxa"/>
              <w:bottom w:w="150" w:type="dxa"/>
              <w:right w:w="240" w:type="dxa"/>
            </w:tcMar>
            <w:vAlign w:val="center"/>
            <w:hideMark/>
          </w:tcPr>
          <w:p w14:paraId="7771B00B" w14:textId="77777777" w:rsidR="0040201F" w:rsidRPr="0040201F" w:rsidRDefault="0040201F" w:rsidP="0040201F">
            <w:r w:rsidRPr="0040201F">
              <w:t>Support for Professional Development</w:t>
            </w:r>
          </w:p>
        </w:tc>
        <w:tc>
          <w:tcPr>
            <w:tcW w:w="0" w:type="auto"/>
            <w:tcMar>
              <w:top w:w="150" w:type="dxa"/>
              <w:left w:w="240" w:type="dxa"/>
              <w:bottom w:w="150" w:type="dxa"/>
              <w:right w:w="240" w:type="dxa"/>
            </w:tcMar>
            <w:vAlign w:val="center"/>
            <w:hideMark/>
          </w:tcPr>
          <w:p w14:paraId="5F7B9F0A" w14:textId="77777777" w:rsidR="0040201F" w:rsidRPr="0040201F" w:rsidRDefault="0040201F" w:rsidP="0040201F">
            <w:r w:rsidRPr="0040201F">
              <w:t>4.08</w:t>
            </w:r>
          </w:p>
        </w:tc>
        <w:tc>
          <w:tcPr>
            <w:tcW w:w="0" w:type="auto"/>
            <w:tcMar>
              <w:top w:w="150" w:type="dxa"/>
              <w:left w:w="240" w:type="dxa"/>
              <w:bottom w:w="150" w:type="dxa"/>
              <w:right w:w="0" w:type="dxa"/>
            </w:tcMar>
            <w:vAlign w:val="center"/>
            <w:hideMark/>
          </w:tcPr>
          <w:p w14:paraId="24912504" w14:textId="77777777" w:rsidR="0040201F" w:rsidRPr="0040201F" w:rsidRDefault="0040201F" w:rsidP="0040201F">
            <w:r w:rsidRPr="0040201F">
              <w:t>High</w:t>
            </w:r>
          </w:p>
        </w:tc>
      </w:tr>
      <w:tr w:rsidR="0040201F" w:rsidRPr="0040201F" w14:paraId="07AA6241" w14:textId="77777777" w:rsidTr="0040201F">
        <w:trPr>
          <w:trHeight w:val="427"/>
        </w:trPr>
        <w:tc>
          <w:tcPr>
            <w:tcW w:w="0" w:type="auto"/>
            <w:tcMar>
              <w:top w:w="150" w:type="dxa"/>
              <w:left w:w="0" w:type="dxa"/>
              <w:bottom w:w="150" w:type="dxa"/>
              <w:right w:w="240" w:type="dxa"/>
            </w:tcMar>
            <w:vAlign w:val="center"/>
            <w:hideMark/>
          </w:tcPr>
          <w:p w14:paraId="646B6469" w14:textId="77777777" w:rsidR="0040201F" w:rsidRPr="0040201F" w:rsidRDefault="0040201F" w:rsidP="0040201F">
            <w:r w:rsidRPr="0040201F">
              <w:t>Workload and Administrative Pressure</w:t>
            </w:r>
          </w:p>
        </w:tc>
        <w:tc>
          <w:tcPr>
            <w:tcW w:w="0" w:type="auto"/>
            <w:tcMar>
              <w:top w:w="150" w:type="dxa"/>
              <w:left w:w="240" w:type="dxa"/>
              <w:bottom w:w="150" w:type="dxa"/>
              <w:right w:w="240" w:type="dxa"/>
            </w:tcMar>
            <w:vAlign w:val="center"/>
            <w:hideMark/>
          </w:tcPr>
          <w:p w14:paraId="06F80928" w14:textId="77777777" w:rsidR="0040201F" w:rsidRPr="0040201F" w:rsidRDefault="0040201F" w:rsidP="0040201F">
            <w:r w:rsidRPr="0040201F">
              <w:t>3.45</w:t>
            </w:r>
          </w:p>
        </w:tc>
        <w:tc>
          <w:tcPr>
            <w:tcW w:w="0" w:type="auto"/>
            <w:tcMar>
              <w:top w:w="150" w:type="dxa"/>
              <w:left w:w="240" w:type="dxa"/>
              <w:bottom w:w="150" w:type="dxa"/>
              <w:right w:w="0" w:type="dxa"/>
            </w:tcMar>
            <w:vAlign w:val="center"/>
            <w:hideMark/>
          </w:tcPr>
          <w:p w14:paraId="7484046B" w14:textId="77777777" w:rsidR="0040201F" w:rsidRPr="0040201F" w:rsidRDefault="0040201F" w:rsidP="0040201F">
            <w:r w:rsidRPr="0040201F">
              <w:t>Moderate</w:t>
            </w:r>
          </w:p>
        </w:tc>
      </w:tr>
    </w:tbl>
    <w:p w14:paraId="2E8801F3" w14:textId="77777777" w:rsidR="0040201F" w:rsidRPr="0040201F" w:rsidRDefault="0040201F" w:rsidP="0040201F">
      <w:r w:rsidRPr="0040201F">
        <w:rPr>
          <w:b/>
          <w:bCs/>
        </w:rPr>
        <w:t>Relationship Between Profile and Teacher Burnout.</w:t>
      </w:r>
      <w:r w:rsidRPr="0040201F">
        <w:t> Correlation analysis revealed that sex was the most consistent predictor across several burnout dimensions. Female teachers were significantly more emotionally exhausted (r=0.324, p&lt;0.01), reported higher personal accomplishment (r=0.287, p&lt;0.05), felt more support for professional development (r=0.256, p&lt;0.05), and experienced greater workload pressure (r=0.312, p&lt;0.01). Age, marital status, and school type were also significant predictors for some dimensions.</w:t>
      </w:r>
    </w:p>
    <w:p w14:paraId="32BF92CE" w14:textId="77777777" w:rsidR="0040201F" w:rsidRPr="0040201F" w:rsidRDefault="0040201F" w:rsidP="0040201F">
      <w:r w:rsidRPr="0040201F">
        <w:rPr>
          <w:b/>
          <w:bCs/>
        </w:rPr>
        <w:t>Relationship Between Principals' Role and Teacher Burnout.</w:t>
      </w:r>
      <w:r w:rsidRPr="0040201F">
        <w:t> Table 3 presents correlation results. The strongest relationships were with personal accomplishment and support for professional development, where all leadership indicators showed strong positive correlations (ranging from r=0.334 to r=0.467, p&lt;0.01). However, no significant relationships emerged with emotional exhaustion (except positive school culture, r=-0.201, p&lt;0.05) and depersonalization. This suggests principals may be more successful in enhancing positive experiences than directly reducing negative burnout dimensions.</w:t>
      </w:r>
    </w:p>
    <w:p w14:paraId="25DD0814" w14:textId="77777777" w:rsidR="0040201F" w:rsidRDefault="0040201F" w:rsidP="0040201F">
      <w:pPr>
        <w:rPr>
          <w:b/>
          <w:bCs/>
        </w:rPr>
      </w:pPr>
    </w:p>
    <w:p w14:paraId="294E5392" w14:textId="77777777" w:rsidR="0040201F" w:rsidRDefault="0040201F" w:rsidP="0040201F">
      <w:pPr>
        <w:rPr>
          <w:b/>
          <w:bCs/>
        </w:rPr>
      </w:pPr>
    </w:p>
    <w:p w14:paraId="4C3151CA" w14:textId="77777777" w:rsidR="0040201F" w:rsidRDefault="0040201F" w:rsidP="0040201F">
      <w:pPr>
        <w:rPr>
          <w:b/>
          <w:bCs/>
        </w:rPr>
      </w:pPr>
    </w:p>
    <w:p w14:paraId="0D68DB28" w14:textId="77777777" w:rsidR="0040201F" w:rsidRDefault="0040201F" w:rsidP="0040201F">
      <w:pPr>
        <w:rPr>
          <w:b/>
          <w:bCs/>
        </w:rPr>
      </w:pPr>
    </w:p>
    <w:p w14:paraId="0B9D4E8B" w14:textId="77777777" w:rsidR="0040201F" w:rsidRDefault="0040201F" w:rsidP="0040201F">
      <w:pPr>
        <w:rPr>
          <w:b/>
          <w:bCs/>
        </w:rPr>
      </w:pPr>
    </w:p>
    <w:p w14:paraId="62DBB2A1" w14:textId="77777777" w:rsidR="0040201F" w:rsidRDefault="0040201F" w:rsidP="0040201F">
      <w:pPr>
        <w:rPr>
          <w:b/>
          <w:bCs/>
        </w:rPr>
      </w:pPr>
    </w:p>
    <w:p w14:paraId="7A6FC645" w14:textId="2CDAD9A1" w:rsidR="0040201F" w:rsidRPr="0040201F" w:rsidRDefault="0040201F" w:rsidP="0040201F">
      <w:pPr>
        <w:rPr>
          <w:b/>
          <w:bCs/>
        </w:rPr>
      </w:pPr>
      <w:r w:rsidRPr="0040201F">
        <w:rPr>
          <w:b/>
          <w:bCs/>
        </w:rPr>
        <w:lastRenderedPageBreak/>
        <w:t>Table 3. Correlation Between Principals' Role and Teacher Burnout</w:t>
      </w:r>
    </w:p>
    <w:tbl>
      <w:tblPr>
        <w:tblW w:w="0" w:type="auto"/>
        <w:tblCellMar>
          <w:top w:w="15" w:type="dxa"/>
          <w:left w:w="15" w:type="dxa"/>
          <w:bottom w:w="15" w:type="dxa"/>
          <w:right w:w="15" w:type="dxa"/>
        </w:tblCellMar>
        <w:tblLook w:val="04A0" w:firstRow="1" w:lastRow="0" w:firstColumn="1" w:lastColumn="0" w:noHBand="0" w:noVBand="1"/>
      </w:tblPr>
      <w:tblGrid>
        <w:gridCol w:w="2213"/>
        <w:gridCol w:w="2458"/>
        <w:gridCol w:w="2734"/>
        <w:gridCol w:w="1955"/>
      </w:tblGrid>
      <w:tr w:rsidR="0040201F" w:rsidRPr="0040201F" w14:paraId="22256715" w14:textId="77777777">
        <w:trPr>
          <w:tblHeader/>
        </w:trPr>
        <w:tc>
          <w:tcPr>
            <w:tcW w:w="0" w:type="auto"/>
            <w:tcBorders>
              <w:top w:val="nil"/>
            </w:tcBorders>
            <w:tcMar>
              <w:top w:w="150" w:type="dxa"/>
              <w:left w:w="0" w:type="dxa"/>
              <w:bottom w:w="150" w:type="dxa"/>
              <w:right w:w="240" w:type="dxa"/>
            </w:tcMar>
            <w:vAlign w:val="center"/>
            <w:hideMark/>
          </w:tcPr>
          <w:p w14:paraId="2D163250" w14:textId="77777777" w:rsidR="0040201F" w:rsidRPr="0040201F" w:rsidRDefault="0040201F" w:rsidP="0040201F">
            <w:r w:rsidRPr="0040201F">
              <w:t>Principal Indicators</w:t>
            </w:r>
          </w:p>
        </w:tc>
        <w:tc>
          <w:tcPr>
            <w:tcW w:w="0" w:type="auto"/>
            <w:tcBorders>
              <w:top w:val="nil"/>
            </w:tcBorders>
            <w:tcMar>
              <w:top w:w="150" w:type="dxa"/>
              <w:left w:w="240" w:type="dxa"/>
              <w:bottom w:w="150" w:type="dxa"/>
              <w:right w:w="240" w:type="dxa"/>
            </w:tcMar>
            <w:vAlign w:val="center"/>
            <w:hideMark/>
          </w:tcPr>
          <w:p w14:paraId="4794FA9B" w14:textId="77777777" w:rsidR="0040201F" w:rsidRPr="0040201F" w:rsidRDefault="0040201F" w:rsidP="0040201F">
            <w:r w:rsidRPr="0040201F">
              <w:t>Personal Accomplishment</w:t>
            </w:r>
          </w:p>
        </w:tc>
        <w:tc>
          <w:tcPr>
            <w:tcW w:w="0" w:type="auto"/>
            <w:tcBorders>
              <w:top w:val="nil"/>
            </w:tcBorders>
            <w:tcMar>
              <w:top w:w="150" w:type="dxa"/>
              <w:left w:w="240" w:type="dxa"/>
              <w:bottom w:w="150" w:type="dxa"/>
              <w:right w:w="240" w:type="dxa"/>
            </w:tcMar>
            <w:vAlign w:val="center"/>
            <w:hideMark/>
          </w:tcPr>
          <w:p w14:paraId="395EFA74" w14:textId="77777777" w:rsidR="0040201F" w:rsidRPr="0040201F" w:rsidRDefault="0040201F" w:rsidP="0040201F">
            <w:r w:rsidRPr="0040201F">
              <w:t>Support for Professional Development</w:t>
            </w:r>
          </w:p>
        </w:tc>
        <w:tc>
          <w:tcPr>
            <w:tcW w:w="0" w:type="auto"/>
            <w:tcBorders>
              <w:top w:val="nil"/>
            </w:tcBorders>
            <w:tcMar>
              <w:top w:w="150" w:type="dxa"/>
              <w:left w:w="240" w:type="dxa"/>
              <w:bottom w:w="150" w:type="dxa"/>
              <w:right w:w="240" w:type="dxa"/>
            </w:tcMar>
            <w:vAlign w:val="center"/>
            <w:hideMark/>
          </w:tcPr>
          <w:p w14:paraId="0BBB0E6F" w14:textId="77777777" w:rsidR="0040201F" w:rsidRPr="0040201F" w:rsidRDefault="0040201F" w:rsidP="0040201F">
            <w:r w:rsidRPr="0040201F">
              <w:t>Emotional Exhaustion</w:t>
            </w:r>
          </w:p>
        </w:tc>
      </w:tr>
      <w:tr w:rsidR="0040201F" w:rsidRPr="0040201F" w14:paraId="7656D6AE" w14:textId="77777777">
        <w:tc>
          <w:tcPr>
            <w:tcW w:w="0" w:type="auto"/>
            <w:tcMar>
              <w:top w:w="150" w:type="dxa"/>
              <w:left w:w="0" w:type="dxa"/>
              <w:bottom w:w="150" w:type="dxa"/>
              <w:right w:w="240" w:type="dxa"/>
            </w:tcMar>
            <w:vAlign w:val="center"/>
            <w:hideMark/>
          </w:tcPr>
          <w:p w14:paraId="0FF0514C" w14:textId="77777777" w:rsidR="0040201F" w:rsidRPr="0040201F" w:rsidRDefault="0040201F" w:rsidP="0040201F">
            <w:r w:rsidRPr="0040201F">
              <w:t>Support and Recognition</w:t>
            </w:r>
          </w:p>
        </w:tc>
        <w:tc>
          <w:tcPr>
            <w:tcW w:w="0" w:type="auto"/>
            <w:tcMar>
              <w:top w:w="150" w:type="dxa"/>
              <w:left w:w="240" w:type="dxa"/>
              <w:bottom w:w="150" w:type="dxa"/>
              <w:right w:w="240" w:type="dxa"/>
            </w:tcMar>
            <w:vAlign w:val="center"/>
            <w:hideMark/>
          </w:tcPr>
          <w:p w14:paraId="116B7AB9" w14:textId="77777777" w:rsidR="0040201F" w:rsidRPr="0040201F" w:rsidRDefault="0040201F" w:rsidP="0040201F">
            <w:r w:rsidRPr="0040201F">
              <w:t>0.412**</w:t>
            </w:r>
          </w:p>
        </w:tc>
        <w:tc>
          <w:tcPr>
            <w:tcW w:w="0" w:type="auto"/>
            <w:tcMar>
              <w:top w:w="150" w:type="dxa"/>
              <w:left w:w="240" w:type="dxa"/>
              <w:bottom w:w="150" w:type="dxa"/>
              <w:right w:w="240" w:type="dxa"/>
            </w:tcMar>
            <w:vAlign w:val="center"/>
            <w:hideMark/>
          </w:tcPr>
          <w:p w14:paraId="634FC1D4" w14:textId="77777777" w:rsidR="0040201F" w:rsidRPr="0040201F" w:rsidRDefault="0040201F" w:rsidP="0040201F">
            <w:r w:rsidRPr="0040201F">
              <w:t>0.398**</w:t>
            </w:r>
          </w:p>
        </w:tc>
        <w:tc>
          <w:tcPr>
            <w:tcW w:w="0" w:type="auto"/>
            <w:tcMar>
              <w:top w:w="150" w:type="dxa"/>
              <w:left w:w="240" w:type="dxa"/>
              <w:bottom w:w="150" w:type="dxa"/>
              <w:right w:w="0" w:type="dxa"/>
            </w:tcMar>
            <w:vAlign w:val="center"/>
            <w:hideMark/>
          </w:tcPr>
          <w:p w14:paraId="05CBCBD1" w14:textId="77777777" w:rsidR="0040201F" w:rsidRPr="0040201F" w:rsidRDefault="0040201F" w:rsidP="0040201F">
            <w:r w:rsidRPr="0040201F">
              <w:t>-0.089</w:t>
            </w:r>
          </w:p>
        </w:tc>
      </w:tr>
      <w:tr w:rsidR="0040201F" w:rsidRPr="0040201F" w14:paraId="3F471BB3" w14:textId="77777777">
        <w:tc>
          <w:tcPr>
            <w:tcW w:w="0" w:type="auto"/>
            <w:tcMar>
              <w:top w:w="150" w:type="dxa"/>
              <w:left w:w="0" w:type="dxa"/>
              <w:bottom w:w="150" w:type="dxa"/>
              <w:right w:w="240" w:type="dxa"/>
            </w:tcMar>
            <w:vAlign w:val="center"/>
            <w:hideMark/>
          </w:tcPr>
          <w:p w14:paraId="7C76D588" w14:textId="77777777" w:rsidR="0040201F" w:rsidRPr="0040201F" w:rsidRDefault="0040201F" w:rsidP="0040201F">
            <w:r w:rsidRPr="0040201F">
              <w:t>Resource Allocation</w:t>
            </w:r>
          </w:p>
        </w:tc>
        <w:tc>
          <w:tcPr>
            <w:tcW w:w="0" w:type="auto"/>
            <w:tcMar>
              <w:top w:w="150" w:type="dxa"/>
              <w:left w:w="240" w:type="dxa"/>
              <w:bottom w:w="150" w:type="dxa"/>
              <w:right w:w="240" w:type="dxa"/>
            </w:tcMar>
            <w:vAlign w:val="center"/>
            <w:hideMark/>
          </w:tcPr>
          <w:p w14:paraId="75EABA37" w14:textId="77777777" w:rsidR="0040201F" w:rsidRPr="0040201F" w:rsidRDefault="0040201F" w:rsidP="0040201F">
            <w:r w:rsidRPr="0040201F">
              <w:t>0.387**</w:t>
            </w:r>
          </w:p>
        </w:tc>
        <w:tc>
          <w:tcPr>
            <w:tcW w:w="0" w:type="auto"/>
            <w:tcMar>
              <w:top w:w="150" w:type="dxa"/>
              <w:left w:w="240" w:type="dxa"/>
              <w:bottom w:w="150" w:type="dxa"/>
              <w:right w:w="240" w:type="dxa"/>
            </w:tcMar>
            <w:vAlign w:val="center"/>
            <w:hideMark/>
          </w:tcPr>
          <w:p w14:paraId="48F6BAE7" w14:textId="77777777" w:rsidR="0040201F" w:rsidRPr="0040201F" w:rsidRDefault="0040201F" w:rsidP="0040201F">
            <w:r w:rsidRPr="0040201F">
              <w:t>0.356**</w:t>
            </w:r>
          </w:p>
        </w:tc>
        <w:tc>
          <w:tcPr>
            <w:tcW w:w="0" w:type="auto"/>
            <w:tcMar>
              <w:top w:w="150" w:type="dxa"/>
              <w:left w:w="240" w:type="dxa"/>
              <w:bottom w:w="150" w:type="dxa"/>
              <w:right w:w="0" w:type="dxa"/>
            </w:tcMar>
            <w:vAlign w:val="center"/>
            <w:hideMark/>
          </w:tcPr>
          <w:p w14:paraId="3C6D118D" w14:textId="77777777" w:rsidR="0040201F" w:rsidRPr="0040201F" w:rsidRDefault="0040201F" w:rsidP="0040201F">
            <w:r w:rsidRPr="0040201F">
              <w:t>-0.076</w:t>
            </w:r>
          </w:p>
        </w:tc>
      </w:tr>
      <w:tr w:rsidR="0040201F" w:rsidRPr="0040201F" w14:paraId="549EAC41" w14:textId="77777777">
        <w:tc>
          <w:tcPr>
            <w:tcW w:w="0" w:type="auto"/>
            <w:tcMar>
              <w:top w:w="150" w:type="dxa"/>
              <w:left w:w="0" w:type="dxa"/>
              <w:bottom w:w="150" w:type="dxa"/>
              <w:right w:w="240" w:type="dxa"/>
            </w:tcMar>
            <w:vAlign w:val="center"/>
            <w:hideMark/>
          </w:tcPr>
          <w:p w14:paraId="25FE74D3" w14:textId="77777777" w:rsidR="0040201F" w:rsidRPr="0040201F" w:rsidRDefault="0040201F" w:rsidP="0040201F">
            <w:r w:rsidRPr="0040201F">
              <w:t>Positive School Culture</w:t>
            </w:r>
          </w:p>
        </w:tc>
        <w:tc>
          <w:tcPr>
            <w:tcW w:w="0" w:type="auto"/>
            <w:tcMar>
              <w:top w:w="150" w:type="dxa"/>
              <w:left w:w="240" w:type="dxa"/>
              <w:bottom w:w="150" w:type="dxa"/>
              <w:right w:w="240" w:type="dxa"/>
            </w:tcMar>
            <w:vAlign w:val="center"/>
            <w:hideMark/>
          </w:tcPr>
          <w:p w14:paraId="2DD4917A" w14:textId="77777777" w:rsidR="0040201F" w:rsidRPr="0040201F" w:rsidRDefault="0040201F" w:rsidP="0040201F">
            <w:r w:rsidRPr="0040201F">
              <w:t>0.423**</w:t>
            </w:r>
          </w:p>
        </w:tc>
        <w:tc>
          <w:tcPr>
            <w:tcW w:w="0" w:type="auto"/>
            <w:tcMar>
              <w:top w:w="150" w:type="dxa"/>
              <w:left w:w="240" w:type="dxa"/>
              <w:bottom w:w="150" w:type="dxa"/>
              <w:right w:w="240" w:type="dxa"/>
            </w:tcMar>
            <w:vAlign w:val="center"/>
            <w:hideMark/>
          </w:tcPr>
          <w:p w14:paraId="4EDDD275" w14:textId="77777777" w:rsidR="0040201F" w:rsidRPr="0040201F" w:rsidRDefault="0040201F" w:rsidP="0040201F">
            <w:r w:rsidRPr="0040201F">
              <w:t>0.401**</w:t>
            </w:r>
          </w:p>
        </w:tc>
        <w:tc>
          <w:tcPr>
            <w:tcW w:w="0" w:type="auto"/>
            <w:tcMar>
              <w:top w:w="150" w:type="dxa"/>
              <w:left w:w="240" w:type="dxa"/>
              <w:bottom w:w="150" w:type="dxa"/>
              <w:right w:w="0" w:type="dxa"/>
            </w:tcMar>
            <w:vAlign w:val="center"/>
            <w:hideMark/>
          </w:tcPr>
          <w:p w14:paraId="2EDFA3E1" w14:textId="77777777" w:rsidR="0040201F" w:rsidRPr="0040201F" w:rsidRDefault="0040201F" w:rsidP="0040201F">
            <w:r w:rsidRPr="0040201F">
              <w:t>-0.201*</w:t>
            </w:r>
          </w:p>
        </w:tc>
      </w:tr>
      <w:tr w:rsidR="0040201F" w:rsidRPr="0040201F" w14:paraId="51418B76" w14:textId="77777777">
        <w:tc>
          <w:tcPr>
            <w:tcW w:w="0" w:type="auto"/>
            <w:tcMar>
              <w:top w:w="150" w:type="dxa"/>
              <w:left w:w="0" w:type="dxa"/>
              <w:bottom w:w="150" w:type="dxa"/>
              <w:right w:w="240" w:type="dxa"/>
            </w:tcMar>
            <w:vAlign w:val="center"/>
            <w:hideMark/>
          </w:tcPr>
          <w:p w14:paraId="66431852" w14:textId="77777777" w:rsidR="0040201F" w:rsidRPr="0040201F" w:rsidRDefault="0040201F" w:rsidP="0040201F">
            <w:r w:rsidRPr="0040201F">
              <w:t>Professional Growth</w:t>
            </w:r>
          </w:p>
        </w:tc>
        <w:tc>
          <w:tcPr>
            <w:tcW w:w="0" w:type="auto"/>
            <w:tcMar>
              <w:top w:w="150" w:type="dxa"/>
              <w:left w:w="240" w:type="dxa"/>
              <w:bottom w:w="150" w:type="dxa"/>
              <w:right w:w="240" w:type="dxa"/>
            </w:tcMar>
            <w:vAlign w:val="center"/>
            <w:hideMark/>
          </w:tcPr>
          <w:p w14:paraId="3708F268" w14:textId="77777777" w:rsidR="0040201F" w:rsidRPr="0040201F" w:rsidRDefault="0040201F" w:rsidP="0040201F">
            <w:r w:rsidRPr="0040201F">
              <w:t>0.445**</w:t>
            </w:r>
          </w:p>
        </w:tc>
        <w:tc>
          <w:tcPr>
            <w:tcW w:w="0" w:type="auto"/>
            <w:tcMar>
              <w:top w:w="150" w:type="dxa"/>
              <w:left w:w="240" w:type="dxa"/>
              <w:bottom w:w="150" w:type="dxa"/>
              <w:right w:w="240" w:type="dxa"/>
            </w:tcMar>
            <w:vAlign w:val="center"/>
            <w:hideMark/>
          </w:tcPr>
          <w:p w14:paraId="6D4859D8" w14:textId="77777777" w:rsidR="0040201F" w:rsidRPr="0040201F" w:rsidRDefault="0040201F" w:rsidP="0040201F">
            <w:r w:rsidRPr="0040201F">
              <w:t>0.467**</w:t>
            </w:r>
          </w:p>
        </w:tc>
        <w:tc>
          <w:tcPr>
            <w:tcW w:w="0" w:type="auto"/>
            <w:tcMar>
              <w:top w:w="150" w:type="dxa"/>
              <w:left w:w="240" w:type="dxa"/>
              <w:bottom w:w="150" w:type="dxa"/>
              <w:right w:w="0" w:type="dxa"/>
            </w:tcMar>
            <w:vAlign w:val="center"/>
            <w:hideMark/>
          </w:tcPr>
          <w:p w14:paraId="0BAB9A0D" w14:textId="77777777" w:rsidR="0040201F" w:rsidRPr="0040201F" w:rsidRDefault="0040201F" w:rsidP="0040201F">
            <w:r w:rsidRPr="0040201F">
              <w:t>-0.092</w:t>
            </w:r>
          </w:p>
        </w:tc>
      </w:tr>
      <w:tr w:rsidR="0040201F" w:rsidRPr="0040201F" w14:paraId="149CE221" w14:textId="77777777">
        <w:tc>
          <w:tcPr>
            <w:tcW w:w="0" w:type="auto"/>
            <w:tcMar>
              <w:top w:w="150" w:type="dxa"/>
              <w:left w:w="0" w:type="dxa"/>
              <w:bottom w:w="150" w:type="dxa"/>
              <w:right w:w="240" w:type="dxa"/>
            </w:tcMar>
            <w:vAlign w:val="center"/>
            <w:hideMark/>
          </w:tcPr>
          <w:p w14:paraId="5A90042F" w14:textId="77777777" w:rsidR="0040201F" w:rsidRPr="0040201F" w:rsidRDefault="0040201F" w:rsidP="0040201F">
            <w:r w:rsidRPr="0040201F">
              <w:t>Addressing Burnout</w:t>
            </w:r>
          </w:p>
        </w:tc>
        <w:tc>
          <w:tcPr>
            <w:tcW w:w="0" w:type="auto"/>
            <w:tcMar>
              <w:top w:w="150" w:type="dxa"/>
              <w:left w:w="240" w:type="dxa"/>
              <w:bottom w:w="150" w:type="dxa"/>
              <w:right w:w="240" w:type="dxa"/>
            </w:tcMar>
            <w:vAlign w:val="center"/>
            <w:hideMark/>
          </w:tcPr>
          <w:p w14:paraId="61FD6281" w14:textId="77777777" w:rsidR="0040201F" w:rsidRPr="0040201F" w:rsidRDefault="0040201F" w:rsidP="0040201F">
            <w:r w:rsidRPr="0040201F">
              <w:t>0.356**</w:t>
            </w:r>
          </w:p>
        </w:tc>
        <w:tc>
          <w:tcPr>
            <w:tcW w:w="0" w:type="auto"/>
            <w:tcMar>
              <w:top w:w="150" w:type="dxa"/>
              <w:left w:w="240" w:type="dxa"/>
              <w:bottom w:w="150" w:type="dxa"/>
              <w:right w:w="240" w:type="dxa"/>
            </w:tcMar>
            <w:vAlign w:val="center"/>
            <w:hideMark/>
          </w:tcPr>
          <w:p w14:paraId="50B8CA20" w14:textId="77777777" w:rsidR="0040201F" w:rsidRPr="0040201F" w:rsidRDefault="0040201F" w:rsidP="0040201F">
            <w:r w:rsidRPr="0040201F">
              <w:t>0.334**</w:t>
            </w:r>
          </w:p>
        </w:tc>
        <w:tc>
          <w:tcPr>
            <w:tcW w:w="0" w:type="auto"/>
            <w:tcMar>
              <w:top w:w="150" w:type="dxa"/>
              <w:left w:w="240" w:type="dxa"/>
              <w:bottom w:w="150" w:type="dxa"/>
              <w:right w:w="0" w:type="dxa"/>
            </w:tcMar>
            <w:vAlign w:val="center"/>
            <w:hideMark/>
          </w:tcPr>
          <w:p w14:paraId="5C2F109B" w14:textId="77777777" w:rsidR="0040201F" w:rsidRPr="0040201F" w:rsidRDefault="0040201F" w:rsidP="0040201F">
            <w:r w:rsidRPr="0040201F">
              <w:t>-0.084</w:t>
            </w:r>
          </w:p>
        </w:tc>
      </w:tr>
      <w:tr w:rsidR="0040201F" w:rsidRPr="0040201F" w14:paraId="3F3205B6" w14:textId="77777777">
        <w:tc>
          <w:tcPr>
            <w:tcW w:w="0" w:type="auto"/>
            <w:tcMar>
              <w:top w:w="150" w:type="dxa"/>
              <w:left w:w="0" w:type="dxa"/>
              <w:bottom w:w="150" w:type="dxa"/>
              <w:right w:w="240" w:type="dxa"/>
            </w:tcMar>
            <w:vAlign w:val="center"/>
            <w:hideMark/>
          </w:tcPr>
          <w:p w14:paraId="619BBAF7" w14:textId="77777777" w:rsidR="0040201F" w:rsidRPr="0040201F" w:rsidRDefault="0040201F" w:rsidP="0040201F">
            <w:r w:rsidRPr="0040201F">
              <w:t>*Note: **p&lt;0.01, </w:t>
            </w:r>
            <w:r w:rsidRPr="0040201F">
              <w:rPr>
                <w:i/>
                <w:iCs/>
              </w:rPr>
              <w:t>p&lt;0.05</w:t>
            </w:r>
          </w:p>
        </w:tc>
        <w:tc>
          <w:tcPr>
            <w:tcW w:w="0" w:type="auto"/>
            <w:tcMar>
              <w:top w:w="150" w:type="dxa"/>
              <w:left w:w="240" w:type="dxa"/>
              <w:bottom w:w="150" w:type="dxa"/>
              <w:right w:w="240" w:type="dxa"/>
            </w:tcMar>
            <w:vAlign w:val="center"/>
            <w:hideMark/>
          </w:tcPr>
          <w:p w14:paraId="2E6091AA" w14:textId="77777777" w:rsidR="0040201F" w:rsidRPr="0040201F" w:rsidRDefault="0040201F" w:rsidP="0040201F"/>
        </w:tc>
        <w:tc>
          <w:tcPr>
            <w:tcW w:w="0" w:type="auto"/>
            <w:tcMar>
              <w:top w:w="150" w:type="dxa"/>
              <w:left w:w="240" w:type="dxa"/>
              <w:bottom w:w="150" w:type="dxa"/>
              <w:right w:w="240" w:type="dxa"/>
            </w:tcMar>
            <w:vAlign w:val="center"/>
            <w:hideMark/>
          </w:tcPr>
          <w:p w14:paraId="49C0EADE" w14:textId="77777777" w:rsidR="0040201F" w:rsidRPr="0040201F" w:rsidRDefault="0040201F" w:rsidP="0040201F"/>
        </w:tc>
        <w:tc>
          <w:tcPr>
            <w:tcW w:w="0" w:type="auto"/>
            <w:tcMar>
              <w:top w:w="150" w:type="dxa"/>
              <w:left w:w="240" w:type="dxa"/>
              <w:bottom w:w="150" w:type="dxa"/>
              <w:right w:w="0" w:type="dxa"/>
            </w:tcMar>
            <w:vAlign w:val="center"/>
            <w:hideMark/>
          </w:tcPr>
          <w:p w14:paraId="08FF24C3" w14:textId="77777777" w:rsidR="0040201F" w:rsidRPr="0040201F" w:rsidRDefault="0040201F" w:rsidP="0040201F"/>
        </w:tc>
      </w:tr>
    </w:tbl>
    <w:p w14:paraId="7D11EBC8" w14:textId="77777777" w:rsidR="0040201F" w:rsidRPr="0040201F" w:rsidRDefault="0040201F" w:rsidP="0040201F">
      <w:r w:rsidRPr="0040201F">
        <w:rPr>
          <w:b/>
          <w:bCs/>
        </w:rPr>
        <w:t>Difference in Perceptions.</w:t>
      </w:r>
      <w:r w:rsidRPr="0040201F">
        <w:t> T-test analysis revealed that only support and recognition showed a statistically significant difference between teachers and school heads (t=2.345, p&lt;0.05). This indicates that school leaders may think they are providing adequate recognition, but teachers do not perceive it the same way.</w:t>
      </w:r>
    </w:p>
    <w:p w14:paraId="338F619A" w14:textId="77777777" w:rsidR="0040201F" w:rsidRPr="0040201F" w:rsidRDefault="0040201F" w:rsidP="0040201F">
      <w:r w:rsidRPr="0040201F">
        <w:rPr>
          <w:b/>
          <w:bCs/>
        </w:rPr>
        <w:t>Primary Challenges Contributing to Burnout.</w:t>
      </w:r>
      <w:r w:rsidRPr="0040201F">
        <w:t> Thematic analysis revealed two major themes. First, "A Typical Day and Workload Management" captured how participants described days filled with multiple responsibilities. One participant shared: </w:t>
      </w:r>
      <w:r w:rsidRPr="0040201F">
        <w:rPr>
          <w:i/>
          <w:iCs/>
        </w:rPr>
        <w:t>"As a teacher in charge of the school, at the same time, handling a chair is a typical day for me. I used to do my teaching tasks and after class hours proceeded with the admin task."</w:t>
      </w:r>
      <w:r w:rsidRPr="0040201F">
        <w:t> Second, "Primary Challenges Contributing to Burnout" identified systemic stressors including excessive workload, administrative demands, working beyond regular hours and weekends, balancing multiple roles, and lack of resources. A participant noted: </w:t>
      </w:r>
      <w:r w:rsidRPr="0040201F">
        <w:rPr>
          <w:i/>
          <w:iCs/>
        </w:rPr>
        <w:t>"As a lone teacher handling four grade levels... it is a big challenge... I must prepare 4 lesson plans."</w:t>
      </w:r>
    </w:p>
    <w:p w14:paraId="1EA013DC" w14:textId="77777777" w:rsidR="0040201F" w:rsidRPr="0040201F" w:rsidRDefault="0040201F" w:rsidP="0040201F">
      <w:r w:rsidRPr="0040201F">
        <w:rPr>
          <w:b/>
          <w:bCs/>
        </w:rPr>
        <w:lastRenderedPageBreak/>
        <w:t>Coping Mechanisms.</w:t>
      </w:r>
      <w:r w:rsidRPr="0040201F">
        <w:t> Three themes emerged regarding coping mechanisms. "Supportive Environment" included emotional and moral support from colleagues. One respondent stated, </w:t>
      </w:r>
      <w:r w:rsidRPr="0040201F">
        <w:rPr>
          <w:i/>
          <w:iCs/>
        </w:rPr>
        <w:t>"I feel very happy to have supportive peers."</w:t>
      </w:r>
      <w:r w:rsidRPr="0040201F">
        <w:t> "Stress Reduction" included recognition programs and team-building activities. "Acknowledgement and Recognition" included administrative appreciation, with one teacher noting, </w:t>
      </w:r>
      <w:r w:rsidRPr="0040201F">
        <w:rPr>
          <w:i/>
          <w:iCs/>
        </w:rPr>
        <w:t>"When my boss/supervisor praised my work/output or even small achievement."</w:t>
      </w:r>
    </w:p>
    <w:p w14:paraId="7E269A43" w14:textId="77777777" w:rsidR="0040201F" w:rsidRPr="0040201F" w:rsidRDefault="0040201F" w:rsidP="0040201F">
      <w:r w:rsidRPr="0040201F">
        <w:pict w14:anchorId="2C792CE0">
          <v:rect id="_x0000_i1077" style="width:0;height:.75pt" o:hralign="center" o:hrstd="t" o:hr="t" fillcolor="#a0a0a0" stroked="f"/>
        </w:pict>
      </w:r>
    </w:p>
    <w:p w14:paraId="29F8F726" w14:textId="77777777" w:rsidR="0040201F" w:rsidRPr="0040201F" w:rsidRDefault="0040201F" w:rsidP="0040201F">
      <w:pPr>
        <w:rPr>
          <w:b/>
          <w:bCs/>
        </w:rPr>
      </w:pPr>
      <w:r w:rsidRPr="0040201F">
        <w:rPr>
          <w:b/>
          <w:bCs/>
        </w:rPr>
        <w:t>DISCUSSION</w:t>
      </w:r>
    </w:p>
    <w:p w14:paraId="4F2E3B8E" w14:textId="77777777" w:rsidR="0040201F" w:rsidRPr="0040201F" w:rsidRDefault="0040201F" w:rsidP="0040201F">
      <w:r w:rsidRPr="0040201F">
        <w:t xml:space="preserve">The finding that resource allocation was rated highest while addressing burnout was rated lowest reveals a critical gap in school leadership priorities in </w:t>
      </w:r>
      <w:proofErr w:type="spellStart"/>
      <w:r w:rsidRPr="0040201F">
        <w:t>Cantilan</w:t>
      </w:r>
      <w:proofErr w:type="spellEnd"/>
      <w:r w:rsidRPr="0040201F">
        <w:t xml:space="preserve"> District. Principals appear competent in managing tangible, visible resources but less effective in providing psychosocial support. This aligns with Berkovich and Eyal (2021), who found that schools with better resources reported lower occupational stress, but Collie (2022) emphasizes that resource adequacy alone cannot compensate for lack of emotional support.</w:t>
      </w:r>
    </w:p>
    <w:p w14:paraId="3BAF8CC1" w14:textId="77777777" w:rsidR="0040201F" w:rsidRPr="0040201F" w:rsidRDefault="0040201F" w:rsidP="0040201F">
      <w:r w:rsidRPr="0040201F">
        <w:t xml:space="preserve">The low depersonalization scores (2.12) are encouraging, indicating that teachers in </w:t>
      </w:r>
      <w:proofErr w:type="spellStart"/>
      <w:r w:rsidRPr="0040201F">
        <w:t>Cantilan</w:t>
      </w:r>
      <w:proofErr w:type="spellEnd"/>
      <w:r w:rsidRPr="0040201F">
        <w:t xml:space="preserve"> District maintain positive interpersonal engagement with students and colleagues despite moderate emotional exhaustion. This finding contrasts with studies documenting high depersonalization during the COVID-19 pandemic (Sokal et al., 2020) and suggests that the district's professional development focus may have protective effects.</w:t>
      </w:r>
    </w:p>
    <w:p w14:paraId="58B79D9B" w14:textId="77777777" w:rsidR="0040201F" w:rsidRPr="0040201F" w:rsidRDefault="0040201F" w:rsidP="0040201F">
      <w:r w:rsidRPr="0040201F">
        <w:t>The significant gender differences in burnout dimensions merit attention. Female teachers reported higher emotional exhaustion, workload pressure, and personal accomplishment simultaneously. This duality suggests that while women face greater workplace stressors, potentially due to caregiving responsibilities or gendered expectations of emotional labor (Martínez-León et al., 2025), they also derive substantial meaning and fulfillment from teaching. Interventions must address gender-specific vulnerabilities without undermining professional efficacy.</w:t>
      </w:r>
    </w:p>
    <w:p w14:paraId="172626D1" w14:textId="77777777" w:rsidR="0040201F" w:rsidRPr="0040201F" w:rsidRDefault="0040201F" w:rsidP="0040201F">
      <w:r w:rsidRPr="0040201F">
        <w:t>The correlation results showing strong relationships between principal practices and positive outcomes (personal accomplishment, professional development) but weak relationships with negative outcomes (emotional exhaustion, depersonalization) present an important insight. Principals may be better at "building up" than "wearing down," meaning they enhance what makes teaching rewarding rather than directly reducing what makes it draining. This aligns with the JD-R model's proposition that job resources primarily buffer the impact of demands rather than eliminating demands themselves (Bakker &amp; Demerouti, 2007).</w:t>
      </w:r>
    </w:p>
    <w:p w14:paraId="2DABDBCC" w14:textId="77777777" w:rsidR="0040201F" w:rsidRPr="0040201F" w:rsidRDefault="0040201F" w:rsidP="0040201F">
      <w:r w:rsidRPr="0040201F">
        <w:t xml:space="preserve">The perceptual gap on support and recognition is particularly problematic because feeling valued is a major factor in teacher retention (Darling-Hammond et al., 2022). Principals may </w:t>
      </w:r>
      <w:r w:rsidRPr="0040201F">
        <w:lastRenderedPageBreak/>
        <w:t>believe their recognition efforts are sufficient, but teachers' perceptions suggest otherwise. This disconnect likely stems from principals overestimating the visibility of their actions or using recognition formats that teachers do not find meaningful.</w:t>
      </w:r>
    </w:p>
    <w:p w14:paraId="351BD99B" w14:textId="77777777" w:rsidR="0040201F" w:rsidRPr="0040201F" w:rsidRDefault="0040201F" w:rsidP="0040201F">
      <w:r w:rsidRPr="0040201F">
        <w:t xml:space="preserve">The qualitative findings confirm that burnout in </w:t>
      </w:r>
      <w:proofErr w:type="spellStart"/>
      <w:r w:rsidRPr="0040201F">
        <w:t>Cantilan</w:t>
      </w:r>
      <w:proofErr w:type="spellEnd"/>
      <w:r w:rsidRPr="0040201F">
        <w:t xml:space="preserve"> District results from structural conditions, including systemic underfunding, understaffing, and policy implementation gaps, rather than individual failings. Teachers working in small schools with multiple grade levels, completing reports on weekends, and lacking resources describe conditions that no amount of individual resilience can overcome. These findings echo </w:t>
      </w:r>
      <w:proofErr w:type="spellStart"/>
      <w:r w:rsidRPr="0040201F">
        <w:t>Viac</w:t>
      </w:r>
      <w:proofErr w:type="spellEnd"/>
      <w:r w:rsidRPr="0040201F">
        <w:t xml:space="preserve"> and Fraser (2020), who emphasize that teacher well-being requires systemic rather than individual solutions.</w:t>
      </w:r>
    </w:p>
    <w:p w14:paraId="0877E781" w14:textId="77777777" w:rsidR="0040201F" w:rsidRPr="0040201F" w:rsidRDefault="0040201F" w:rsidP="0040201F">
      <w:r w:rsidRPr="0040201F">
        <w:pict w14:anchorId="3FBB6292">
          <v:rect id="_x0000_i1078" style="width:0;height:.75pt" o:hralign="center" o:hrstd="t" o:hr="t" fillcolor="#a0a0a0" stroked="f"/>
        </w:pict>
      </w:r>
    </w:p>
    <w:p w14:paraId="7AF8EB52" w14:textId="77777777" w:rsidR="0040201F" w:rsidRPr="0040201F" w:rsidRDefault="0040201F" w:rsidP="0040201F">
      <w:pPr>
        <w:rPr>
          <w:b/>
          <w:bCs/>
        </w:rPr>
      </w:pPr>
      <w:r w:rsidRPr="0040201F">
        <w:rPr>
          <w:b/>
          <w:bCs/>
        </w:rPr>
        <w:t>CONCLUSION</w:t>
      </w:r>
    </w:p>
    <w:p w14:paraId="3A68901E" w14:textId="77777777" w:rsidR="0040201F" w:rsidRPr="0040201F" w:rsidRDefault="0040201F" w:rsidP="0040201F">
      <w:r w:rsidRPr="0040201F">
        <w:t xml:space="preserve">This study concludes that principals in </w:t>
      </w:r>
      <w:proofErr w:type="spellStart"/>
      <w:r w:rsidRPr="0040201F">
        <w:t>Cantilan</w:t>
      </w:r>
      <w:proofErr w:type="spellEnd"/>
      <w:r w:rsidRPr="0040201F">
        <w:t xml:space="preserve"> District are effective in managing tangible resources but inadequate in providing psychosocial support for educator well-being, revealing a critical gap between operational efficiency and human sustainability. Teachers reported low depersonalization, indicating positive interpersonal engagement despite challenges. Demographic characteristics, particularly sex, age, marital status, and school type, significantly predict various burnout dimensions, confirming that burnout is not uniformly experienced. Principals' supportive practices are strongly correlated with positive outcomes (personal accomplishment and professional development) but not with reducing negative burnout dimensions (emotional exhaustion and depersonalization). Teachers and school heads differ significantly only on perceptions of support and recognition, indicating a perceptual gap where administrators overestimate their effectiveness. Excessive workloads, administrative demands, balancing multiple roles, and resource limitations are the primary systemic challenges contributing to burnout. The proposed "Thrive Together" program offers a multi-level framework integrating systemic leadership, peer support, and individual interventions based on SDG 3 and SDG 4 to address these gaps.</w:t>
      </w:r>
    </w:p>
    <w:p w14:paraId="586D94F5" w14:textId="77777777" w:rsidR="0040201F" w:rsidRPr="0040201F" w:rsidRDefault="0040201F" w:rsidP="0040201F">
      <w:r w:rsidRPr="0040201F">
        <w:pict w14:anchorId="12C142AC">
          <v:rect id="_x0000_i1079" style="width:0;height:.75pt" o:hralign="center" o:hrstd="t" o:hr="t" fillcolor="#a0a0a0" stroked="f"/>
        </w:pict>
      </w:r>
    </w:p>
    <w:p w14:paraId="7EF84E78" w14:textId="77777777" w:rsidR="0040201F" w:rsidRPr="0040201F" w:rsidRDefault="0040201F" w:rsidP="0040201F">
      <w:pPr>
        <w:rPr>
          <w:b/>
          <w:bCs/>
        </w:rPr>
      </w:pPr>
      <w:r w:rsidRPr="0040201F">
        <w:rPr>
          <w:b/>
          <w:bCs/>
        </w:rPr>
        <w:t>RECOMMENDATIONS</w:t>
      </w:r>
    </w:p>
    <w:p w14:paraId="16E75F23" w14:textId="77777777" w:rsidR="0040201F" w:rsidRPr="0040201F" w:rsidRDefault="0040201F" w:rsidP="0040201F">
      <w:r w:rsidRPr="0040201F">
        <w:t xml:space="preserve">The Department of Education should implement systematic workload management reforms, including streamlining reporting systems and providing additional staffing for small schools. School heads should establish structured, meaningful recognition programs, prioritize mental health and psychosocial support activities, and maintain open-door policies for teacher concerns. Teachers should continue utilizing peer support networks and stress management strategies while actively participating in well-being programs. Future researchers should </w:t>
      </w:r>
      <w:r w:rsidRPr="0040201F">
        <w:lastRenderedPageBreak/>
        <w:t>conduct longitudinal studies on burnout dynamics, expand research to multiple districts, and evaluate the effectiveness of the "Thrive Together" program.</w:t>
      </w:r>
    </w:p>
    <w:p w14:paraId="453979D6" w14:textId="77777777" w:rsidR="0040201F" w:rsidRPr="0040201F" w:rsidRDefault="0040201F" w:rsidP="0040201F">
      <w:r w:rsidRPr="0040201F">
        <w:pict w14:anchorId="1B278CD7">
          <v:rect id="_x0000_i1080" style="width:0;height:.75pt" o:hralign="center" o:hrstd="t" o:hr="t" fillcolor="#a0a0a0" stroked="f"/>
        </w:pict>
      </w:r>
    </w:p>
    <w:p w14:paraId="4903E274" w14:textId="77777777" w:rsidR="0040201F" w:rsidRPr="0040201F" w:rsidRDefault="0040201F" w:rsidP="0040201F">
      <w:pPr>
        <w:rPr>
          <w:b/>
          <w:bCs/>
        </w:rPr>
      </w:pPr>
      <w:r w:rsidRPr="0040201F">
        <w:rPr>
          <w:b/>
          <w:bCs/>
        </w:rPr>
        <w:t>REFERENCES</w:t>
      </w:r>
    </w:p>
    <w:p w14:paraId="35136292" w14:textId="77777777" w:rsidR="0040201F" w:rsidRPr="0040201F" w:rsidRDefault="0040201F" w:rsidP="0040201F">
      <w:r w:rsidRPr="0040201F">
        <w:t>Bakker, A. B., &amp; Demerouti, E. (2007). The job demands-resources model: State of the art. </w:t>
      </w:r>
      <w:r w:rsidRPr="0040201F">
        <w:rPr>
          <w:i/>
          <w:iCs/>
        </w:rPr>
        <w:t>Journal of Managerial Psychology</w:t>
      </w:r>
      <w:r w:rsidRPr="0040201F">
        <w:t>, 22(3), 309-328.</w:t>
      </w:r>
    </w:p>
    <w:p w14:paraId="43B93A21" w14:textId="77777777" w:rsidR="0040201F" w:rsidRPr="0040201F" w:rsidRDefault="0040201F" w:rsidP="0040201F">
      <w:r w:rsidRPr="0040201F">
        <w:t>Berkovich, I., &amp; Eyal, O. (2021). Teachers' emotional labor and burnout: A systematic review. </w:t>
      </w:r>
      <w:r w:rsidRPr="0040201F">
        <w:rPr>
          <w:i/>
          <w:iCs/>
        </w:rPr>
        <w:t>Educational Research Review</w:t>
      </w:r>
      <w:r w:rsidRPr="0040201F">
        <w:t>, 34, 100-115.</w:t>
      </w:r>
    </w:p>
    <w:p w14:paraId="33F7DB95" w14:textId="77777777" w:rsidR="0040201F" w:rsidRPr="0040201F" w:rsidRDefault="0040201F" w:rsidP="0040201F">
      <w:r w:rsidRPr="0040201F">
        <w:t>Braun, V., &amp; Clarke, V. (2006). Using thematic analysis in psychology. </w:t>
      </w:r>
      <w:r w:rsidRPr="0040201F">
        <w:rPr>
          <w:i/>
          <w:iCs/>
        </w:rPr>
        <w:t>Qualitative Research in Psychology</w:t>
      </w:r>
      <w:r w:rsidRPr="0040201F">
        <w:t>, 3(2), 77-101.</w:t>
      </w:r>
    </w:p>
    <w:p w14:paraId="46AFA391" w14:textId="77777777" w:rsidR="0040201F" w:rsidRPr="0040201F" w:rsidRDefault="0040201F" w:rsidP="0040201F">
      <w:r w:rsidRPr="0040201F">
        <w:t>Collie, R. J. (2022). Social-emotional competence and teacher burnout. </w:t>
      </w:r>
      <w:r w:rsidRPr="0040201F">
        <w:rPr>
          <w:i/>
          <w:iCs/>
        </w:rPr>
        <w:t>Educational Psychology Review</w:t>
      </w:r>
      <w:r w:rsidRPr="0040201F">
        <w:t>, 34, 123-148.</w:t>
      </w:r>
    </w:p>
    <w:p w14:paraId="5B22D39B" w14:textId="77777777" w:rsidR="0040201F" w:rsidRPr="0040201F" w:rsidRDefault="0040201F" w:rsidP="0040201F">
      <w:r w:rsidRPr="0040201F">
        <w:t>Darling-Hammond, L., et al. (2022). Teacher professional learning and development. </w:t>
      </w:r>
      <w:r w:rsidRPr="0040201F">
        <w:rPr>
          <w:i/>
          <w:iCs/>
        </w:rPr>
        <w:t>Review of Educational Research</w:t>
      </w:r>
      <w:r w:rsidRPr="0040201F">
        <w:t>, 92(3), 345-389.</w:t>
      </w:r>
    </w:p>
    <w:p w14:paraId="621CCAA8" w14:textId="77777777" w:rsidR="0040201F" w:rsidRPr="0040201F" w:rsidRDefault="0040201F" w:rsidP="0040201F">
      <w:r w:rsidRPr="0040201F">
        <w:t>Garcia, M., &amp; Hernandez, R. (2021). Hierarchical barriers to teacher support. </w:t>
      </w:r>
      <w:r w:rsidRPr="0040201F">
        <w:rPr>
          <w:i/>
          <w:iCs/>
        </w:rPr>
        <w:t>Philippine Journal of Education</w:t>
      </w:r>
      <w:r w:rsidRPr="0040201F">
        <w:t>, 104(2), 156-172.</w:t>
      </w:r>
    </w:p>
    <w:p w14:paraId="059777B6" w14:textId="77777777" w:rsidR="0040201F" w:rsidRPr="0040201F" w:rsidRDefault="0040201F" w:rsidP="0040201F">
      <w:proofErr w:type="spellStart"/>
      <w:r w:rsidRPr="0040201F">
        <w:t>Hobfoll</w:t>
      </w:r>
      <w:proofErr w:type="spellEnd"/>
      <w:r w:rsidRPr="0040201F">
        <w:t>, S. E. (1989). Conservation of resources: A new attempt at conceptualizing stress. </w:t>
      </w:r>
      <w:r w:rsidRPr="0040201F">
        <w:rPr>
          <w:i/>
          <w:iCs/>
        </w:rPr>
        <w:t>American Psychologist</w:t>
      </w:r>
      <w:r w:rsidRPr="0040201F">
        <w:t>, 44(3), 513-524.</w:t>
      </w:r>
    </w:p>
    <w:p w14:paraId="1ED82B14" w14:textId="77777777" w:rsidR="0040201F" w:rsidRPr="0040201F" w:rsidRDefault="0040201F" w:rsidP="0040201F">
      <w:r w:rsidRPr="0040201F">
        <w:t>Jones, R., &amp; Smith, T. (2020). Principal leadership and teacher burnout. </w:t>
      </w:r>
      <w:r w:rsidRPr="0040201F">
        <w:rPr>
          <w:i/>
          <w:iCs/>
        </w:rPr>
        <w:t>Educational Leadership Quarterly</w:t>
      </w:r>
      <w:r w:rsidRPr="0040201F">
        <w:t>, 56(4), 567-592.</w:t>
      </w:r>
    </w:p>
    <w:p w14:paraId="65F96D50" w14:textId="77777777" w:rsidR="0040201F" w:rsidRPr="0040201F" w:rsidRDefault="0040201F" w:rsidP="0040201F">
      <w:r w:rsidRPr="0040201F">
        <w:t>Lee, S., Park, J., &amp; Kim, H. (2021). Organizational climate and teacher burnout. </w:t>
      </w:r>
      <w:r w:rsidRPr="0040201F">
        <w:rPr>
          <w:i/>
          <w:iCs/>
        </w:rPr>
        <w:t>School Effectiveness and School Improvement</w:t>
      </w:r>
      <w:r w:rsidRPr="0040201F">
        <w:t>, 32(3), 401-420.</w:t>
      </w:r>
    </w:p>
    <w:p w14:paraId="2CE3881B" w14:textId="77777777" w:rsidR="0040201F" w:rsidRPr="0040201F" w:rsidRDefault="0040201F" w:rsidP="0040201F">
      <w:r w:rsidRPr="0040201F">
        <w:t>Martínez-León, et al. (2025). Gender and burnout among school principals. </w:t>
      </w:r>
      <w:r w:rsidRPr="0040201F">
        <w:rPr>
          <w:i/>
          <w:iCs/>
        </w:rPr>
        <w:t>Educational Management Administration &amp; Leadership</w:t>
      </w:r>
      <w:r w:rsidRPr="0040201F">
        <w:t>, 53(1), 89-106.</w:t>
      </w:r>
    </w:p>
    <w:p w14:paraId="2FE938D2" w14:textId="77777777" w:rsidR="0040201F" w:rsidRPr="0040201F" w:rsidRDefault="0040201F" w:rsidP="0040201F">
      <w:r w:rsidRPr="0040201F">
        <w:t>Santos, A., &amp; Reyes, M. (2020). Cultural pressures and teacher stress in the Philippines. </w:t>
      </w:r>
      <w:r w:rsidRPr="0040201F">
        <w:rPr>
          <w:i/>
          <w:iCs/>
        </w:rPr>
        <w:t>Asian Journal of Education</w:t>
      </w:r>
      <w:r w:rsidRPr="0040201F">
        <w:t>, 18(2), 234-251.</w:t>
      </w:r>
    </w:p>
    <w:p w14:paraId="21358EEE" w14:textId="77777777" w:rsidR="0040201F" w:rsidRPr="0040201F" w:rsidRDefault="0040201F" w:rsidP="0040201F">
      <w:r w:rsidRPr="0040201F">
        <w:t>Sokal, L., et al. (2020). Teacher burnout during COVID-19. </w:t>
      </w:r>
      <w:r w:rsidRPr="0040201F">
        <w:rPr>
          <w:i/>
          <w:iCs/>
        </w:rPr>
        <w:t>Canadian Journal of Education</w:t>
      </w:r>
      <w:r w:rsidRPr="0040201F">
        <w:t>, 43(4), 989-1015.</w:t>
      </w:r>
    </w:p>
    <w:p w14:paraId="1EB9149C" w14:textId="77777777" w:rsidR="0040201F" w:rsidRPr="0040201F" w:rsidRDefault="0040201F" w:rsidP="0040201F">
      <w:proofErr w:type="spellStart"/>
      <w:r w:rsidRPr="0040201F">
        <w:t>Viac</w:t>
      </w:r>
      <w:proofErr w:type="spellEnd"/>
      <w:r w:rsidRPr="0040201F">
        <w:t>, C., &amp; Fraser, P. (2020). Teachers' well-being: A framework for data collection. </w:t>
      </w:r>
      <w:r w:rsidRPr="0040201F">
        <w:rPr>
          <w:i/>
          <w:iCs/>
        </w:rPr>
        <w:t>OECD Education Working Papers</w:t>
      </w:r>
      <w:r w:rsidRPr="0040201F">
        <w:t>, No. 213.</w:t>
      </w:r>
    </w:p>
    <w:p w14:paraId="36F8A6AE" w14:textId="77777777" w:rsidR="0040201F" w:rsidRDefault="0040201F"/>
    <w:sectPr w:rsidR="00402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1F"/>
    <w:rsid w:val="00272641"/>
    <w:rsid w:val="002C5430"/>
    <w:rsid w:val="0040201F"/>
    <w:rsid w:val="00411628"/>
    <w:rsid w:val="007C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00D5"/>
  <w15:chartTrackingRefBased/>
  <w15:docId w15:val="{00CFF468-09CA-4030-A662-D7D8B1D1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0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0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0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0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0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0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0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0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01F"/>
    <w:rPr>
      <w:rFonts w:eastAsiaTheme="majorEastAsia" w:cstheme="majorBidi"/>
      <w:color w:val="272727" w:themeColor="text1" w:themeTint="D8"/>
    </w:rPr>
  </w:style>
  <w:style w:type="paragraph" w:styleId="Title">
    <w:name w:val="Title"/>
    <w:basedOn w:val="Normal"/>
    <w:next w:val="Normal"/>
    <w:link w:val="TitleChar"/>
    <w:uiPriority w:val="10"/>
    <w:qFormat/>
    <w:rsid w:val="00402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01F"/>
    <w:pPr>
      <w:spacing w:before="160"/>
      <w:jc w:val="center"/>
    </w:pPr>
    <w:rPr>
      <w:i/>
      <w:iCs/>
      <w:color w:val="404040" w:themeColor="text1" w:themeTint="BF"/>
    </w:rPr>
  </w:style>
  <w:style w:type="character" w:customStyle="1" w:styleId="QuoteChar">
    <w:name w:val="Quote Char"/>
    <w:basedOn w:val="DefaultParagraphFont"/>
    <w:link w:val="Quote"/>
    <w:uiPriority w:val="29"/>
    <w:rsid w:val="0040201F"/>
    <w:rPr>
      <w:i/>
      <w:iCs/>
      <w:color w:val="404040" w:themeColor="text1" w:themeTint="BF"/>
    </w:rPr>
  </w:style>
  <w:style w:type="paragraph" w:styleId="ListParagraph">
    <w:name w:val="List Paragraph"/>
    <w:basedOn w:val="Normal"/>
    <w:uiPriority w:val="34"/>
    <w:qFormat/>
    <w:rsid w:val="0040201F"/>
    <w:pPr>
      <w:ind w:left="720"/>
      <w:contextualSpacing/>
    </w:pPr>
  </w:style>
  <w:style w:type="character" w:styleId="IntenseEmphasis">
    <w:name w:val="Intense Emphasis"/>
    <w:basedOn w:val="DefaultParagraphFont"/>
    <w:uiPriority w:val="21"/>
    <w:qFormat/>
    <w:rsid w:val="0040201F"/>
    <w:rPr>
      <w:i/>
      <w:iCs/>
      <w:color w:val="2F5496" w:themeColor="accent1" w:themeShade="BF"/>
    </w:rPr>
  </w:style>
  <w:style w:type="paragraph" w:styleId="IntenseQuote">
    <w:name w:val="Intense Quote"/>
    <w:basedOn w:val="Normal"/>
    <w:next w:val="Normal"/>
    <w:link w:val="IntenseQuoteChar"/>
    <w:uiPriority w:val="30"/>
    <w:qFormat/>
    <w:rsid w:val="00402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01F"/>
    <w:rPr>
      <w:i/>
      <w:iCs/>
      <w:color w:val="2F5496" w:themeColor="accent1" w:themeShade="BF"/>
    </w:rPr>
  </w:style>
  <w:style w:type="character" w:styleId="IntenseReference">
    <w:name w:val="Intense Reference"/>
    <w:basedOn w:val="DefaultParagraphFont"/>
    <w:uiPriority w:val="32"/>
    <w:qFormat/>
    <w:rsid w:val="00402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2918</Words>
  <Characters>16638</Characters>
  <Application>Microsoft Office Word</Application>
  <DocSecurity>0</DocSecurity>
  <Lines>138</Lines>
  <Paragraphs>39</Paragraphs>
  <ScaleCrop>false</ScaleCrop>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Lady Sol Suazo</dc:creator>
  <cp:keywords/>
  <dc:description/>
  <cp:lastModifiedBy>Maria Lady Sol Suazo</cp:lastModifiedBy>
  <cp:revision>1</cp:revision>
  <dcterms:created xsi:type="dcterms:W3CDTF">2026-06-14T08:26:00Z</dcterms:created>
  <dcterms:modified xsi:type="dcterms:W3CDTF">2026-06-14T08:28:00Z</dcterms:modified>
</cp:coreProperties>
</file>