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129" w:rsidRDefault="00231129" w:rsidP="00231129">
      <w:pPr>
        <w:spacing w:after="0" w:line="360" w:lineRule="auto"/>
        <w:jc w:val="center"/>
        <w:rPr>
          <w:rFonts w:ascii="Times New Roman" w:hAnsi="Times New Roman"/>
          <w:b/>
          <w:bCs/>
          <w:color w:val="000000"/>
          <w:kern w:val="0"/>
        </w:rPr>
      </w:pPr>
      <w:bookmarkStart w:id="0" w:name="_Hlk225021850"/>
      <w:bookmarkEnd w:id="0"/>
      <w:r>
        <w:rPr>
          <w:rFonts w:ascii="Times New Roman" w:hAnsi="Times New Roman"/>
          <w:b/>
          <w:bCs/>
          <w:color w:val="000000"/>
          <w:kern w:val="0"/>
        </w:rPr>
        <w:t xml:space="preserve">EMOTIONAL BURNOUT AND JOB SATISFACTION AMONG ONCOLOGY RESIDENTS IN NIGERIA: A CROSS-SECTIONAL STUDY </w:t>
      </w:r>
    </w:p>
    <w:p w:rsidR="00231129" w:rsidRPr="00231129" w:rsidRDefault="00231129" w:rsidP="00231129">
      <w:pPr>
        <w:spacing w:after="0" w:line="360" w:lineRule="auto"/>
        <w:jc w:val="center"/>
        <w:rPr>
          <w:rFonts w:ascii="Times New Roman" w:hAnsi="Times New Roman"/>
          <w:color w:val="000000"/>
          <w:kern w:val="0"/>
        </w:rPr>
      </w:pPr>
      <w:r w:rsidRPr="00231129">
        <w:rPr>
          <w:rFonts w:ascii="Times New Roman" w:hAnsi="Times New Roman"/>
          <w:color w:val="000000"/>
          <w:kern w:val="0"/>
        </w:rPr>
        <w:t xml:space="preserve">The authors: F.O. </w:t>
      </w:r>
      <w:proofErr w:type="spellStart"/>
      <w:r w:rsidRPr="00231129">
        <w:rPr>
          <w:rFonts w:ascii="Times New Roman" w:hAnsi="Times New Roman"/>
          <w:color w:val="000000"/>
          <w:kern w:val="0"/>
        </w:rPr>
        <w:t>Sarimiye</w:t>
      </w:r>
      <w:r w:rsidRPr="00231129">
        <w:rPr>
          <w:rFonts w:ascii="Times New Roman" w:hAnsi="Times New Roman"/>
          <w:color w:val="000000"/>
          <w:kern w:val="0"/>
          <w:vertAlign w:val="superscript"/>
        </w:rPr>
        <w:t>a</w:t>
      </w:r>
      <w:proofErr w:type="spellEnd"/>
      <w:r w:rsidRPr="00231129">
        <w:rPr>
          <w:rFonts w:ascii="Times New Roman" w:hAnsi="Times New Roman"/>
          <w:color w:val="000000"/>
          <w:kern w:val="0"/>
        </w:rPr>
        <w:t xml:space="preserve">, A.A. </w:t>
      </w:r>
      <w:proofErr w:type="spellStart"/>
      <w:proofErr w:type="gramStart"/>
      <w:r w:rsidRPr="00231129">
        <w:rPr>
          <w:rFonts w:ascii="Times New Roman" w:hAnsi="Times New Roman"/>
          <w:color w:val="000000"/>
          <w:kern w:val="0"/>
        </w:rPr>
        <w:t>Oladeji</w:t>
      </w:r>
      <w:r w:rsidRPr="00231129">
        <w:rPr>
          <w:rFonts w:ascii="Times New Roman" w:hAnsi="Times New Roman"/>
          <w:color w:val="000000"/>
          <w:kern w:val="0"/>
          <w:vertAlign w:val="superscript"/>
        </w:rPr>
        <w:t>a</w:t>
      </w:r>
      <w:proofErr w:type="spellEnd"/>
      <w:r w:rsidRPr="00231129">
        <w:rPr>
          <w:rFonts w:ascii="Times New Roman" w:hAnsi="Times New Roman"/>
          <w:color w:val="000000"/>
          <w:kern w:val="0"/>
          <w:vertAlign w:val="superscript"/>
        </w:rPr>
        <w:t>.</w:t>
      </w:r>
      <w:r>
        <w:rPr>
          <w:rFonts w:ascii="Times New Roman" w:hAnsi="Times New Roman"/>
          <w:color w:val="000000"/>
          <w:kern w:val="0"/>
        </w:rPr>
        <w:t>*</w:t>
      </w:r>
      <w:proofErr w:type="gramEnd"/>
      <w:r>
        <w:rPr>
          <w:rFonts w:ascii="Times New Roman" w:hAnsi="Times New Roman"/>
          <w:color w:val="000000"/>
          <w:kern w:val="0"/>
        </w:rPr>
        <w:t>,</w:t>
      </w:r>
      <w:r w:rsidRPr="00231129">
        <w:rPr>
          <w:rFonts w:ascii="Times New Roman" w:hAnsi="Times New Roman"/>
          <w:color w:val="000000"/>
          <w:kern w:val="0"/>
        </w:rPr>
        <w:t xml:space="preserve"> A.M. </w:t>
      </w:r>
      <w:proofErr w:type="spellStart"/>
      <w:r w:rsidRPr="00231129">
        <w:rPr>
          <w:rFonts w:ascii="Times New Roman" w:hAnsi="Times New Roman"/>
          <w:color w:val="000000"/>
          <w:kern w:val="0"/>
        </w:rPr>
        <w:t>Folasire</w:t>
      </w:r>
      <w:r w:rsidRPr="00231129">
        <w:rPr>
          <w:rFonts w:ascii="Times New Roman" w:hAnsi="Times New Roman"/>
          <w:color w:val="000000"/>
          <w:kern w:val="0"/>
          <w:vertAlign w:val="superscript"/>
        </w:rPr>
        <w:t>a</w:t>
      </w:r>
      <w:proofErr w:type="spellEnd"/>
      <w:r w:rsidRPr="00231129">
        <w:rPr>
          <w:rFonts w:ascii="Times New Roman" w:hAnsi="Times New Roman"/>
          <w:color w:val="000000"/>
          <w:kern w:val="0"/>
        </w:rPr>
        <w:t xml:space="preserve">, </w:t>
      </w:r>
      <w:r>
        <w:t xml:space="preserve">A. S. </w:t>
      </w:r>
      <w:proofErr w:type="spellStart"/>
      <w:r>
        <w:t>Anegbe</w:t>
      </w:r>
      <w:r w:rsidRPr="00231129">
        <w:rPr>
          <w:rFonts w:ascii="Times New Roman" w:hAnsi="Times New Roman"/>
          <w:color w:val="000000"/>
          <w:kern w:val="0"/>
          <w:vertAlign w:val="superscript"/>
        </w:rPr>
        <w:t>b</w:t>
      </w:r>
      <w:proofErr w:type="spellEnd"/>
      <w:r>
        <w:rPr>
          <w:rFonts w:ascii="Times New Roman" w:hAnsi="Times New Roman"/>
          <w:color w:val="000000"/>
          <w:kern w:val="0"/>
        </w:rPr>
        <w:t>.</w:t>
      </w:r>
    </w:p>
    <w:p w:rsidR="00231129" w:rsidRPr="00231129" w:rsidRDefault="00231129" w:rsidP="00231129">
      <w:pPr>
        <w:spacing w:after="0" w:line="360" w:lineRule="auto"/>
        <w:rPr>
          <w:rFonts w:ascii="Times New Roman" w:hAnsi="Times New Roman"/>
          <w:color w:val="000000"/>
          <w:kern w:val="0"/>
        </w:rPr>
      </w:pPr>
      <w:r w:rsidRPr="00231129">
        <w:rPr>
          <w:rFonts w:ascii="Times New Roman" w:hAnsi="Times New Roman"/>
          <w:color w:val="000000"/>
          <w:kern w:val="0"/>
        </w:rPr>
        <w:t>a. Department of Radiation Oncology, College of Medicine, University of Ibadan, Nigeria</w:t>
      </w:r>
    </w:p>
    <w:p w:rsidR="00231129" w:rsidRPr="00231129" w:rsidRDefault="00231129" w:rsidP="00231129">
      <w:pPr>
        <w:spacing w:after="0" w:line="360" w:lineRule="auto"/>
        <w:rPr>
          <w:rFonts w:ascii="Times New Roman" w:hAnsi="Times New Roman"/>
          <w:color w:val="000000"/>
          <w:kern w:val="0"/>
        </w:rPr>
      </w:pPr>
      <w:r w:rsidRPr="00231129">
        <w:rPr>
          <w:rFonts w:ascii="Times New Roman" w:hAnsi="Times New Roman"/>
          <w:color w:val="000000"/>
          <w:kern w:val="0"/>
        </w:rPr>
        <w:t>b. Department of Radiation Oncology, University College Hospital, Ibadan, Nigeria</w:t>
      </w:r>
    </w:p>
    <w:p w:rsidR="00231129" w:rsidRDefault="00231129" w:rsidP="00231129">
      <w:pPr>
        <w:spacing w:after="0" w:line="360" w:lineRule="auto"/>
        <w:rPr>
          <w:rFonts w:ascii="Times New Roman" w:hAnsi="Times New Roman"/>
          <w:color w:val="000000"/>
          <w:kern w:val="0"/>
        </w:rPr>
      </w:pPr>
    </w:p>
    <w:p w:rsidR="00231129" w:rsidRPr="00231129" w:rsidRDefault="00231129" w:rsidP="00231129">
      <w:pPr>
        <w:spacing w:after="0" w:line="360" w:lineRule="auto"/>
        <w:rPr>
          <w:rFonts w:ascii="Times New Roman" w:hAnsi="Times New Roman"/>
          <w:color w:val="000000"/>
          <w:kern w:val="0"/>
        </w:rPr>
      </w:pPr>
      <w:r w:rsidRPr="00231129">
        <w:rPr>
          <w:rFonts w:ascii="Times New Roman" w:hAnsi="Times New Roman"/>
          <w:color w:val="000000"/>
          <w:kern w:val="0"/>
        </w:rPr>
        <w:t>The Correspondence author:</w:t>
      </w:r>
    </w:p>
    <w:p w:rsidR="00231129" w:rsidRPr="00231129" w:rsidRDefault="00231129" w:rsidP="00231129">
      <w:pPr>
        <w:spacing w:after="0" w:line="360" w:lineRule="auto"/>
        <w:rPr>
          <w:rFonts w:ascii="Times New Roman" w:hAnsi="Times New Roman"/>
          <w:color w:val="000000"/>
          <w:kern w:val="0"/>
        </w:rPr>
      </w:pPr>
      <w:r w:rsidRPr="00231129">
        <w:rPr>
          <w:rFonts w:ascii="Times New Roman" w:hAnsi="Times New Roman"/>
          <w:color w:val="000000"/>
          <w:kern w:val="0"/>
        </w:rPr>
        <w:t>* A.A. Oladej</w:t>
      </w:r>
      <w:r>
        <w:rPr>
          <w:rFonts w:ascii="Times New Roman" w:hAnsi="Times New Roman"/>
          <w:color w:val="000000"/>
          <w:kern w:val="0"/>
        </w:rPr>
        <w:t>i</w:t>
      </w:r>
    </w:p>
    <w:p w:rsidR="00231129" w:rsidRPr="00231129" w:rsidRDefault="00231129" w:rsidP="00231129">
      <w:pPr>
        <w:spacing w:after="0" w:line="360" w:lineRule="auto"/>
        <w:rPr>
          <w:rFonts w:ascii="Times New Roman" w:hAnsi="Times New Roman"/>
          <w:color w:val="000000"/>
          <w:kern w:val="0"/>
        </w:rPr>
      </w:pPr>
      <w:r w:rsidRPr="00231129">
        <w:rPr>
          <w:rFonts w:ascii="Times New Roman" w:hAnsi="Times New Roman"/>
          <w:color w:val="000000"/>
          <w:kern w:val="0"/>
        </w:rPr>
        <w:t>Department of Radiation Oncology, College of Medicine, University of Ibadan,</w:t>
      </w:r>
    </w:p>
    <w:p w:rsidR="00231129" w:rsidRPr="00231129" w:rsidRDefault="00231129" w:rsidP="00231129">
      <w:pPr>
        <w:spacing w:after="0" w:line="360" w:lineRule="auto"/>
        <w:rPr>
          <w:rFonts w:ascii="Times New Roman" w:hAnsi="Times New Roman"/>
          <w:color w:val="000000"/>
          <w:kern w:val="0"/>
        </w:rPr>
      </w:pPr>
      <w:r w:rsidRPr="00231129">
        <w:rPr>
          <w:rFonts w:ascii="Times New Roman" w:hAnsi="Times New Roman"/>
          <w:color w:val="000000"/>
          <w:kern w:val="0"/>
        </w:rPr>
        <w:t>Oyo State, Nigeria</w:t>
      </w:r>
    </w:p>
    <w:p w:rsidR="00231129" w:rsidRDefault="00231129" w:rsidP="00231129">
      <w:pPr>
        <w:spacing w:after="0" w:line="360" w:lineRule="auto"/>
        <w:rPr>
          <w:rFonts w:ascii="Times New Roman" w:hAnsi="Times New Roman"/>
          <w:color w:val="000000"/>
          <w:kern w:val="0"/>
        </w:rPr>
      </w:pPr>
      <w:r w:rsidRPr="00231129">
        <w:rPr>
          <w:rFonts w:ascii="Times New Roman" w:hAnsi="Times New Roman"/>
          <w:color w:val="000000"/>
          <w:kern w:val="0"/>
        </w:rPr>
        <w:t xml:space="preserve">Email: </w:t>
      </w:r>
      <w:r>
        <w:rPr>
          <w:rFonts w:ascii="Times New Roman" w:hAnsi="Times New Roman"/>
          <w:color w:val="000000"/>
          <w:kern w:val="0"/>
        </w:rPr>
        <w:t>emiola70</w:t>
      </w:r>
      <w:r w:rsidRPr="00231129">
        <w:rPr>
          <w:rFonts w:ascii="Times New Roman" w:hAnsi="Times New Roman"/>
          <w:color w:val="000000"/>
          <w:kern w:val="0"/>
        </w:rPr>
        <w:t>i@gmail.com</w:t>
      </w:r>
      <w:r>
        <w:rPr>
          <w:rFonts w:ascii="Times New Roman" w:hAnsi="Times New Roman"/>
          <w:color w:val="000000"/>
          <w:kern w:val="0"/>
        </w:rPr>
        <w:t xml:space="preserve"> </w:t>
      </w:r>
    </w:p>
    <w:p w:rsidR="00231129" w:rsidRDefault="00231129" w:rsidP="00231129">
      <w:pPr>
        <w:spacing w:after="0" w:line="360" w:lineRule="auto"/>
        <w:rPr>
          <w:rFonts w:ascii="Times New Roman" w:hAnsi="Times New Roman"/>
          <w:color w:val="000000"/>
          <w:kern w:val="0"/>
        </w:rPr>
      </w:pPr>
      <w:r>
        <w:rPr>
          <w:rFonts w:ascii="Times New Roman" w:hAnsi="Times New Roman"/>
          <w:b/>
          <w:bCs/>
          <w:color w:val="000000"/>
          <w:kern w:val="0"/>
        </w:rPr>
        <w:t>ABSTRACT</w:t>
      </w:r>
    </w:p>
    <w:p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Background</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Oncology residency training is associated with high emotional and professional demands, predisposing trainees to burnout. In low- and middle-income countries such as Nigeria, systemic challenges may further increase this risk. This study assessed emotional burnout and job satisfaction among oncology residents in Nigeria and identified associated factors.</w:t>
      </w:r>
    </w:p>
    <w:p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Methods</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A </w:t>
      </w:r>
      <w:proofErr w:type="spellStart"/>
      <w:r>
        <w:rPr>
          <w:rFonts w:ascii="Times New Roman" w:hAnsi="Times New Roman"/>
          <w:color w:val="000000"/>
          <w:kern w:val="0"/>
        </w:rPr>
        <w:t>multicentre</w:t>
      </w:r>
      <w:proofErr w:type="spellEnd"/>
      <w:r>
        <w:rPr>
          <w:rFonts w:ascii="Times New Roman" w:hAnsi="Times New Roman"/>
          <w:color w:val="000000"/>
          <w:kern w:val="0"/>
        </w:rPr>
        <w:t xml:space="preserve"> cross-sectional study was conducted among oncology residents across seven accredited tertiary institutions in Nigeria. Data were collected using a structured</w:t>
      </w:r>
      <w:r>
        <w:rPr>
          <w:rFonts w:ascii="Times New Roman" w:hAnsi="Times New Roman"/>
          <w:color w:val="000000"/>
          <w:kern w:val="0"/>
        </w:rPr>
        <w:t>,</w:t>
      </w:r>
      <w:r>
        <w:rPr>
          <w:rFonts w:ascii="Times New Roman" w:hAnsi="Times New Roman"/>
          <w:color w:val="000000"/>
          <w:kern w:val="0"/>
        </w:rPr>
        <w:t xml:space="preserve"> self-administered questionnaire </w:t>
      </w:r>
      <w:r>
        <w:rPr>
          <w:rFonts w:ascii="Times New Roman" w:hAnsi="Times New Roman"/>
          <w:color w:val="000000"/>
          <w:kern w:val="0"/>
        </w:rPr>
        <w:t>that included</w:t>
      </w:r>
      <w:r>
        <w:rPr>
          <w:rFonts w:ascii="Times New Roman" w:hAnsi="Times New Roman"/>
          <w:color w:val="000000"/>
          <w:kern w:val="0"/>
        </w:rPr>
        <w:t xml:space="preserve"> the Maslach Burnout Inventory and the Job Satisfaction </w:t>
      </w:r>
      <w:r>
        <w:rPr>
          <w:rFonts w:ascii="Times New Roman" w:hAnsi="Times New Roman"/>
          <w:color w:val="000000"/>
          <w:kern w:val="0"/>
        </w:rPr>
        <w:lastRenderedPageBreak/>
        <w:t xml:space="preserve">Survey. Descriptive statistics, correlation analysis, and regression models were used to evaluate associations between burnout, job satisfaction, and sociodemographic variables. </w:t>
      </w:r>
    </w:p>
    <w:p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Results</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A total of 57 residents participated (mean age 33.7 ± 4.9 years; 68.4% male). Emotional exhaustion was high (3.50 ± 0.82), while depersonalization and personal accomplishment were moderate. Overall job satisfaction was moderate (3.12 ± 0.84), with high satisfaction in supervisor support and co-worker relationships but lower satisfaction with work environment. Emotional exhaustion showed a strong negative correlation with job satisfaction (r = –0.61, p &lt; 0.001). Early-year residents had significantly higher burnout (p = 0.022). Female gender predicted lower job satisfaction (p = 0.046). Low job satisfaction, poor work environment, and long working hours were significant predictors of burnout.</w:t>
      </w:r>
    </w:p>
    <w:p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Conclusion</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Oncology residents in Nigeria experience substantial emotional burnout, particularly in early training years. While interpersonal support is strong, systemic factors such as workload and work environment drive burnout. Targeted institutional interventions are needed to improve resident well-being and sustain the oncology workforce.</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 </w:t>
      </w:r>
    </w:p>
    <w:p w:rsidR="00231129" w:rsidRDefault="00231129" w:rsidP="00231129">
      <w:pPr>
        <w:spacing w:after="0" w:line="360" w:lineRule="auto"/>
        <w:rPr>
          <w:rFonts w:ascii="Times New Roman" w:hAnsi="Times New Roman"/>
          <w:color w:val="000000"/>
          <w:kern w:val="0"/>
        </w:rPr>
      </w:pPr>
      <w:r>
        <w:rPr>
          <w:rFonts w:ascii="Times New Roman" w:hAnsi="Times New Roman"/>
          <w:b/>
          <w:bCs/>
          <w:color w:val="000000"/>
          <w:kern w:val="0"/>
        </w:rPr>
        <w:t>Keywords</w:t>
      </w:r>
      <w:r>
        <w:rPr>
          <w:rFonts w:ascii="Times New Roman" w:hAnsi="Times New Roman"/>
          <w:color w:val="000000"/>
          <w:kern w:val="0"/>
        </w:rPr>
        <w:t>: Burnout, Oncology residents, Well-being, Job satisfaction, Emotional exhaustion, Healthcare workforce, Occupational stress</w:t>
      </w:r>
    </w:p>
    <w:p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Running title:</w:t>
      </w:r>
      <w:r>
        <w:rPr>
          <w:rFonts w:ascii="Times New Roman" w:hAnsi="Times New Roman"/>
          <w:color w:val="000000"/>
          <w:kern w:val="0"/>
        </w:rPr>
        <w:t xml:space="preserve"> Emotional Burnout and Job Satisfaction Among Oncology Residents</w:t>
      </w:r>
    </w:p>
    <w:p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 xml:space="preserve"> </w:t>
      </w:r>
    </w:p>
    <w:p w:rsidR="00231129" w:rsidRDefault="00231129" w:rsidP="00231129">
      <w:pPr>
        <w:spacing w:after="0" w:line="360" w:lineRule="auto"/>
        <w:rPr>
          <w:rFonts w:ascii="Times New Roman" w:hAnsi="Times New Roman"/>
          <w:color w:val="000000"/>
          <w:kern w:val="0"/>
        </w:rPr>
      </w:pPr>
      <w:r>
        <w:rPr>
          <w:rFonts w:ascii="Times New Roman" w:hAnsi="Times New Roman"/>
          <w:b/>
          <w:bCs/>
          <w:color w:val="000000"/>
          <w:kern w:val="0"/>
        </w:rPr>
        <w:t>INTRODUCTION</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Oncology residency training in Nigeria is designed to equip physicians with the clinical competencies, research skills, and professional judgment required for specialist cancer care. This </w:t>
      </w:r>
      <w:r>
        <w:rPr>
          <w:rFonts w:ascii="Times New Roman" w:hAnsi="Times New Roman"/>
          <w:color w:val="000000"/>
          <w:kern w:val="0"/>
        </w:rPr>
        <w:lastRenderedPageBreak/>
        <w:t>training typically spans five to six years and includes clinical rotations in radiation oncology, medical oncology, surgical oncology, and haemato</w:t>
      </w:r>
      <w:r>
        <w:rPr>
          <w:rFonts w:ascii="Times New Roman" w:hAnsi="Times New Roman"/>
          <w:color w:val="000000"/>
          <w:kern w:val="0"/>
        </w:rPr>
        <w:noBreakHyphen/>
        <w:t xml:space="preserve">oncology, complemented by didactic learning, research engagement, and supervised patient </w:t>
      </w:r>
      <w:proofErr w:type="gramStart"/>
      <w:r>
        <w:rPr>
          <w:rFonts w:ascii="Times New Roman" w:hAnsi="Times New Roman"/>
          <w:color w:val="000000"/>
          <w:kern w:val="0"/>
        </w:rPr>
        <w:t>management.</w:t>
      </w:r>
      <w:r>
        <w:rPr>
          <w:rFonts w:ascii="Times New Roman" w:hAnsi="Times New Roman"/>
          <w:color w:val="000000"/>
          <w:kern w:val="0"/>
          <w:vertAlign w:val="superscript"/>
        </w:rPr>
        <w:t>(</w:t>
      </w:r>
      <w:proofErr w:type="gramEnd"/>
      <w:r>
        <w:rPr>
          <w:rFonts w:ascii="Times New Roman" w:hAnsi="Times New Roman"/>
          <w:color w:val="000000"/>
          <w:kern w:val="0"/>
          <w:vertAlign w:val="superscript"/>
        </w:rPr>
        <w:t>1)</w:t>
      </w:r>
      <w:r>
        <w:rPr>
          <w:rFonts w:ascii="Times New Roman" w:hAnsi="Times New Roman"/>
          <w:color w:val="000000"/>
          <w:kern w:val="0"/>
        </w:rPr>
        <w:t xml:space="preserve"> While oncology training offers unique opportunities for professional development and contribution to patient survival, it also exposes residents to emotionally challenging and intellectually demanding clinical environments.</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Burnout is a psychological syndrome arising from chronic work</w:t>
      </w:r>
      <w:r>
        <w:rPr>
          <w:rFonts w:ascii="Times New Roman" w:hAnsi="Times New Roman"/>
          <w:color w:val="000000"/>
          <w:kern w:val="0"/>
        </w:rPr>
        <w:noBreakHyphen/>
        <w:t xml:space="preserve">related stress, which has garnered increasing attention as a major occupational health concern among physicians. The World Health </w:t>
      </w:r>
      <w:proofErr w:type="spellStart"/>
      <w:r>
        <w:rPr>
          <w:rFonts w:ascii="Times New Roman" w:hAnsi="Times New Roman"/>
          <w:color w:val="000000"/>
          <w:kern w:val="0"/>
        </w:rPr>
        <w:t>Organisation</w:t>
      </w:r>
      <w:proofErr w:type="spellEnd"/>
      <w:r>
        <w:rPr>
          <w:rFonts w:ascii="Times New Roman" w:hAnsi="Times New Roman"/>
          <w:color w:val="000000"/>
          <w:kern w:val="0"/>
        </w:rPr>
        <w:t xml:space="preserve"> (WHO) defines burnout as an “occupational phenomenon” </w:t>
      </w:r>
      <w:proofErr w:type="spellStart"/>
      <w:r>
        <w:rPr>
          <w:rFonts w:ascii="Times New Roman" w:hAnsi="Times New Roman"/>
          <w:color w:val="000000"/>
          <w:kern w:val="0"/>
        </w:rPr>
        <w:t>characterised</w:t>
      </w:r>
      <w:proofErr w:type="spellEnd"/>
      <w:r>
        <w:rPr>
          <w:rFonts w:ascii="Times New Roman" w:hAnsi="Times New Roman"/>
          <w:color w:val="000000"/>
          <w:kern w:val="0"/>
        </w:rPr>
        <w:t xml:space="preserve"> by emotional exhaustion, mental distance from work (cynicism), and reduced professional efficacy.</w:t>
      </w:r>
      <w:r>
        <w:rPr>
          <w:rFonts w:ascii="Times New Roman" w:hAnsi="Times New Roman"/>
          <w:color w:val="000000"/>
          <w:kern w:val="0"/>
          <w:vertAlign w:val="superscript"/>
        </w:rPr>
        <w:t>(2)</w:t>
      </w:r>
      <w:r>
        <w:rPr>
          <w:rFonts w:ascii="Times New Roman" w:hAnsi="Times New Roman"/>
          <w:color w:val="000000"/>
          <w:kern w:val="0"/>
        </w:rPr>
        <w:t xml:space="preserve"> In foundational conceptual work, Maslach and Jackson described burnout as </w:t>
      </w:r>
      <w:proofErr w:type="spellStart"/>
      <w:r>
        <w:rPr>
          <w:rFonts w:ascii="Times New Roman" w:hAnsi="Times New Roman"/>
          <w:color w:val="000000"/>
          <w:kern w:val="0"/>
        </w:rPr>
        <w:t>characterised</w:t>
      </w:r>
      <w:proofErr w:type="spellEnd"/>
      <w:r>
        <w:rPr>
          <w:rFonts w:ascii="Times New Roman" w:hAnsi="Times New Roman"/>
          <w:color w:val="000000"/>
          <w:kern w:val="0"/>
        </w:rPr>
        <w:t xml:space="preserve"> by emotional exhaustion, depersonalization, and reduced personal accomplishment, particularly among professionals engaged in human services.</w:t>
      </w:r>
      <w:r>
        <w:rPr>
          <w:rFonts w:ascii="Times New Roman" w:hAnsi="Times New Roman"/>
          <w:color w:val="000000"/>
          <w:kern w:val="0"/>
          <w:vertAlign w:val="superscript"/>
        </w:rPr>
        <w:t>(3–5)</w:t>
      </w:r>
      <w:r>
        <w:rPr>
          <w:rFonts w:ascii="Times New Roman" w:hAnsi="Times New Roman"/>
          <w:color w:val="000000"/>
          <w:kern w:val="0"/>
        </w:rPr>
        <w:t xml:space="preserve"> These dimensions reflect both affective strain and cognitive disengagement, with implications for individual function and workplace performance.</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Physician burnout is widespread across specialties and health systems globally. A large systematic review reported burnout prevalence estimates up to 80% among </w:t>
      </w:r>
      <w:proofErr w:type="spellStart"/>
      <w:r>
        <w:rPr>
          <w:rFonts w:ascii="Times New Roman" w:hAnsi="Times New Roman"/>
          <w:color w:val="000000"/>
          <w:kern w:val="0"/>
        </w:rPr>
        <w:t>practising</w:t>
      </w:r>
      <w:proofErr w:type="spellEnd"/>
      <w:r>
        <w:rPr>
          <w:rFonts w:ascii="Times New Roman" w:hAnsi="Times New Roman"/>
          <w:color w:val="000000"/>
          <w:kern w:val="0"/>
        </w:rPr>
        <w:t xml:space="preserve"> physicians, with higher rates in high</w:t>
      </w:r>
      <w:r>
        <w:rPr>
          <w:rFonts w:ascii="Times New Roman" w:hAnsi="Times New Roman"/>
          <w:color w:val="000000"/>
          <w:kern w:val="0"/>
        </w:rPr>
        <w:noBreakHyphen/>
        <w:t xml:space="preserve">intensity specialties such as oncology, emergency medicine, and critical care </w:t>
      </w:r>
      <w:r>
        <w:rPr>
          <w:rFonts w:ascii="Times New Roman" w:hAnsi="Times New Roman"/>
          <w:color w:val="000000"/>
          <w:kern w:val="0"/>
          <w:vertAlign w:val="superscript"/>
        </w:rPr>
        <w:t>(6,7).</w:t>
      </w:r>
      <w:r>
        <w:rPr>
          <w:rFonts w:ascii="Times New Roman" w:hAnsi="Times New Roman"/>
          <w:color w:val="000000"/>
          <w:kern w:val="0"/>
        </w:rPr>
        <w:t xml:space="preserve"> The complex interplay of long work hours, heavy on</w:t>
      </w:r>
      <w:r>
        <w:rPr>
          <w:rFonts w:ascii="Times New Roman" w:hAnsi="Times New Roman"/>
          <w:color w:val="000000"/>
          <w:kern w:val="0"/>
        </w:rPr>
        <w:noBreakHyphen/>
        <w:t xml:space="preserve">call responsibilities, emotionally charged patient care, and high administrative burden contributes to sustained stress exposure </w:t>
      </w:r>
      <w:r>
        <w:rPr>
          <w:rFonts w:ascii="Times New Roman" w:hAnsi="Times New Roman"/>
          <w:color w:val="000000"/>
          <w:kern w:val="0"/>
          <w:vertAlign w:val="superscript"/>
        </w:rPr>
        <w:t>(8)</w:t>
      </w:r>
      <w:r>
        <w:rPr>
          <w:rFonts w:ascii="Times New Roman" w:hAnsi="Times New Roman"/>
          <w:color w:val="000000"/>
          <w:kern w:val="0"/>
        </w:rPr>
        <w:t>. Among oncology clinicians, frequent engagement with life</w:t>
      </w:r>
      <w:r>
        <w:rPr>
          <w:rFonts w:ascii="Times New Roman" w:hAnsi="Times New Roman"/>
          <w:color w:val="000000"/>
          <w:kern w:val="0"/>
        </w:rPr>
        <w:noBreakHyphen/>
        <w:t xml:space="preserve">threatening diagnoses, complex treatment decisions, and patient suffering may further intensify emotional strain and depersonalization </w:t>
      </w:r>
      <w:r>
        <w:rPr>
          <w:rFonts w:ascii="Times New Roman" w:hAnsi="Times New Roman"/>
          <w:color w:val="000000"/>
          <w:kern w:val="0"/>
          <w:vertAlign w:val="superscript"/>
        </w:rPr>
        <w:t>(4,9)</w:t>
      </w:r>
      <w:r>
        <w:rPr>
          <w:rFonts w:ascii="Times New Roman" w:hAnsi="Times New Roman"/>
          <w:color w:val="000000"/>
          <w:kern w:val="0"/>
        </w:rPr>
        <w:t>.</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In low</w:t>
      </w:r>
      <w:r>
        <w:rPr>
          <w:rFonts w:ascii="Times New Roman" w:hAnsi="Times New Roman"/>
          <w:color w:val="000000"/>
          <w:kern w:val="0"/>
        </w:rPr>
        <w:noBreakHyphen/>
        <w:t xml:space="preserve"> and middle</w:t>
      </w:r>
      <w:r>
        <w:rPr>
          <w:rFonts w:ascii="Times New Roman" w:hAnsi="Times New Roman"/>
          <w:color w:val="000000"/>
          <w:kern w:val="0"/>
        </w:rPr>
        <w:noBreakHyphen/>
        <w:t>income countries (LMICs) such as Nigeria, burnout risk may be heightened by additional systemic constraints, including workforce shortages, inadequate infrastructure, and high patient volumes. Studies in Nigerian tertiary hospitals have documented burnout prevalence exceeding 70% among resident doctors in high</w:t>
      </w:r>
      <w:r>
        <w:rPr>
          <w:rFonts w:ascii="Times New Roman" w:hAnsi="Times New Roman"/>
          <w:color w:val="000000"/>
          <w:kern w:val="0"/>
        </w:rPr>
        <w:noBreakHyphen/>
        <w:t xml:space="preserve">stress clinical departments, with emotional exhaustion and depersonalization being the most prominent components </w:t>
      </w:r>
      <w:r>
        <w:rPr>
          <w:rFonts w:ascii="Times New Roman" w:hAnsi="Times New Roman"/>
          <w:color w:val="000000"/>
          <w:kern w:val="0"/>
          <w:vertAlign w:val="superscript"/>
        </w:rPr>
        <w:t>(10,11).</w:t>
      </w:r>
      <w:r>
        <w:rPr>
          <w:rFonts w:ascii="Times New Roman" w:hAnsi="Times New Roman"/>
          <w:color w:val="000000"/>
          <w:kern w:val="0"/>
        </w:rPr>
        <w:t xml:space="preserve"> These findings </w:t>
      </w:r>
      <w:r>
        <w:rPr>
          <w:rFonts w:ascii="Times New Roman" w:hAnsi="Times New Roman"/>
          <w:color w:val="000000"/>
          <w:kern w:val="0"/>
        </w:rPr>
        <w:lastRenderedPageBreak/>
        <w:t xml:space="preserve">align with regional research indicating that limited resources, excessive workload, and minimal institutional support are significant predictors of burnout in LMIC healthcare settings </w:t>
      </w:r>
      <w:r>
        <w:rPr>
          <w:rFonts w:ascii="Times New Roman" w:hAnsi="Times New Roman"/>
          <w:color w:val="000000"/>
          <w:kern w:val="0"/>
          <w:vertAlign w:val="superscript"/>
        </w:rPr>
        <w:t>(12)</w:t>
      </w:r>
      <w:r>
        <w:rPr>
          <w:rFonts w:ascii="Times New Roman" w:hAnsi="Times New Roman"/>
          <w:color w:val="000000"/>
          <w:kern w:val="0"/>
        </w:rPr>
        <w:t>.</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Job satisfaction refers to how positively individuals feel about their work roles and is closely linked to burnout. It is also an important factor in physician retention, performance, and career sustainability. Lower job satisfaction has been connected to higher turnover intentions, reduced quality of care, and a greater likelihood of professional attrition </w:t>
      </w:r>
      <w:r>
        <w:rPr>
          <w:rFonts w:ascii="Times New Roman" w:hAnsi="Times New Roman"/>
          <w:color w:val="000000"/>
          <w:kern w:val="0"/>
          <w:vertAlign w:val="superscript"/>
        </w:rPr>
        <w:t>(13)</w:t>
      </w:r>
      <w:r>
        <w:rPr>
          <w:rFonts w:ascii="Times New Roman" w:hAnsi="Times New Roman"/>
          <w:color w:val="000000"/>
          <w:kern w:val="0"/>
        </w:rPr>
        <w:t xml:space="preserve">. In oncology, where the emotional demands of patient care are especially intense, job satisfaction may be affected not only by workload but also by perceptions of professional growth, personal support, and work-life balance. Studies have demonstrated that physicians experiencing burnout are significantly more likely to report job dissatisfaction and consider leaving practice </w:t>
      </w:r>
      <w:r>
        <w:rPr>
          <w:rFonts w:ascii="Times New Roman" w:hAnsi="Times New Roman"/>
          <w:color w:val="000000"/>
          <w:kern w:val="0"/>
          <w:vertAlign w:val="superscript"/>
        </w:rPr>
        <w:t>(4,5)</w:t>
      </w:r>
      <w:r>
        <w:rPr>
          <w:rFonts w:ascii="Times New Roman" w:hAnsi="Times New Roman"/>
          <w:color w:val="000000"/>
          <w:kern w:val="0"/>
        </w:rPr>
        <w:t>.</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Gender differences in burnout and job satisfaction have also been observed in the medical workforce. Research suggests that female physicians may experience higher emotional exhaustion and lower job satisfaction, often due to competing professional and familial responsibilities, unequal career advancement opportunities, and workplace cultural factors that disadvantage women </w:t>
      </w:r>
      <w:r>
        <w:rPr>
          <w:rFonts w:ascii="Times New Roman" w:hAnsi="Times New Roman"/>
          <w:color w:val="000000"/>
          <w:kern w:val="0"/>
          <w:vertAlign w:val="superscript"/>
        </w:rPr>
        <w:t>(14,15).</w:t>
      </w:r>
      <w:r>
        <w:rPr>
          <w:rFonts w:ascii="Times New Roman" w:hAnsi="Times New Roman"/>
          <w:color w:val="000000"/>
          <w:kern w:val="0"/>
        </w:rPr>
        <w:t xml:space="preserve"> These disparities are important for understanding how </w:t>
      </w:r>
      <w:proofErr w:type="spellStart"/>
      <w:r>
        <w:rPr>
          <w:rFonts w:ascii="Times New Roman" w:hAnsi="Times New Roman"/>
          <w:color w:val="000000"/>
          <w:kern w:val="0"/>
        </w:rPr>
        <w:t>organisational</w:t>
      </w:r>
      <w:proofErr w:type="spellEnd"/>
      <w:r>
        <w:rPr>
          <w:rFonts w:ascii="Times New Roman" w:hAnsi="Times New Roman"/>
          <w:color w:val="000000"/>
          <w:kern w:val="0"/>
        </w:rPr>
        <w:t xml:space="preserve"> structures and social expectations intersect with burnout risk.</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Residency training itself is a critical period of vulnerability. The transition from medical student to clinical resident entails substantial increases in responsibility, exposure to high</w:t>
      </w:r>
      <w:r>
        <w:rPr>
          <w:rFonts w:ascii="Times New Roman" w:hAnsi="Times New Roman"/>
          <w:color w:val="000000"/>
          <w:kern w:val="0"/>
        </w:rPr>
        <w:noBreakHyphen/>
        <w:t xml:space="preserve">acuity cases, and often insufficient sleep, all of which contribute to stress and psychological strain. Qualitative and quantitative studies report that junior trainees experience a steep learning curve, feelings of inadequacy, and heightened emotional stress as they adapt to the demands of clinical practice </w:t>
      </w:r>
      <w:r>
        <w:rPr>
          <w:rFonts w:ascii="Times New Roman" w:hAnsi="Times New Roman"/>
          <w:color w:val="000000"/>
          <w:kern w:val="0"/>
          <w:vertAlign w:val="superscript"/>
        </w:rPr>
        <w:t>(16).</w:t>
      </w:r>
      <w:r>
        <w:rPr>
          <w:rFonts w:ascii="Times New Roman" w:hAnsi="Times New Roman"/>
          <w:color w:val="000000"/>
          <w:kern w:val="0"/>
        </w:rPr>
        <w:t xml:space="preserve"> International studies among oncology residents in Europe, Asia, and the Middle East have documented high burnout prevalence and identified key predictors, including workload intensity, the emotional demands of cancer care, and </w:t>
      </w:r>
      <w:proofErr w:type="spellStart"/>
      <w:r>
        <w:rPr>
          <w:rFonts w:ascii="Times New Roman" w:hAnsi="Times New Roman"/>
          <w:color w:val="000000"/>
          <w:kern w:val="0"/>
        </w:rPr>
        <w:t>organisational</w:t>
      </w:r>
      <w:proofErr w:type="spellEnd"/>
      <w:r>
        <w:rPr>
          <w:rFonts w:ascii="Times New Roman" w:hAnsi="Times New Roman"/>
          <w:color w:val="000000"/>
          <w:kern w:val="0"/>
        </w:rPr>
        <w:t xml:space="preserve"> stressors </w:t>
      </w:r>
      <w:r>
        <w:rPr>
          <w:rFonts w:ascii="Times New Roman" w:hAnsi="Times New Roman"/>
          <w:color w:val="000000"/>
          <w:kern w:val="0"/>
          <w:vertAlign w:val="superscript"/>
        </w:rPr>
        <w:t>(17,1)</w:t>
      </w:r>
      <w:r>
        <w:rPr>
          <w:rFonts w:ascii="Times New Roman" w:hAnsi="Times New Roman"/>
          <w:color w:val="000000"/>
          <w:kern w:val="0"/>
        </w:rPr>
        <w:t>.</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Despite the critical importance of resident well</w:t>
      </w:r>
      <w:r>
        <w:rPr>
          <w:rFonts w:ascii="Times New Roman" w:hAnsi="Times New Roman"/>
          <w:color w:val="000000"/>
          <w:kern w:val="0"/>
        </w:rPr>
        <w:noBreakHyphen/>
        <w:t xml:space="preserve">being, there remains a paucity of research specifically focused on burnout and job satisfaction among oncology residents in Nigeria. While general studies among Nigerian trainees highlight high burnout levels, they do not capture the unique stressors of oncology training. Furthermore, cultural expectations, hierarchical training </w:t>
      </w:r>
      <w:r>
        <w:rPr>
          <w:rFonts w:ascii="Times New Roman" w:hAnsi="Times New Roman"/>
          <w:color w:val="000000"/>
          <w:kern w:val="0"/>
        </w:rPr>
        <w:lastRenderedPageBreak/>
        <w:t>structures, and resource limitations in Nigeria may influence resident experiences in ways not fully explored in existing literature.</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Given this context, the present study aimed to evaluate emotional burnout and job satisfaction among oncology residents in Nigeria, and to identify demographic, training</w:t>
      </w:r>
      <w:r>
        <w:rPr>
          <w:rFonts w:ascii="Times New Roman" w:hAnsi="Times New Roman"/>
          <w:color w:val="000000"/>
          <w:kern w:val="0"/>
        </w:rPr>
        <w:noBreakHyphen/>
        <w:t>related, and institutional factors associated with these outcomes. By understanding how burnout and satisfaction manifest in this population, stakeholders can better design targeted interventions to support resident well</w:t>
      </w:r>
      <w:r>
        <w:rPr>
          <w:rFonts w:ascii="Times New Roman" w:hAnsi="Times New Roman"/>
          <w:color w:val="000000"/>
          <w:kern w:val="0"/>
        </w:rPr>
        <w:noBreakHyphen/>
        <w:t>being, enhance training experiences, and strengthen the future oncology workforce in Nigeria.</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 </w:t>
      </w:r>
    </w:p>
    <w:p w:rsidR="00231129" w:rsidRDefault="00231129" w:rsidP="00231129">
      <w:pPr>
        <w:spacing w:after="0" w:line="360" w:lineRule="auto"/>
        <w:rPr>
          <w:rFonts w:ascii="Times New Roman" w:hAnsi="Times New Roman"/>
          <w:color w:val="000000"/>
          <w:kern w:val="0"/>
        </w:rPr>
      </w:pPr>
      <w:r>
        <w:rPr>
          <w:rFonts w:ascii="Times New Roman" w:hAnsi="Times New Roman"/>
          <w:b/>
          <w:bCs/>
          <w:color w:val="000000"/>
          <w:kern w:val="0"/>
        </w:rPr>
        <w:t>METHODS</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Study Design: This was a multicenter cross-sectional study conducted among oncology residents undergoing specialist training in Nigeria.</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Study Setting and Population: The study population comprised resident doctors enrolled in accredited oncology training programs in tertiary institutions across Nigeria. </w:t>
      </w:r>
    </w:p>
    <w:p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Inclusion and Exclusion Criteria:</w:t>
      </w:r>
    </w:p>
    <w:p w:rsidR="00231129" w:rsidRDefault="00231129" w:rsidP="00231129">
      <w:pPr>
        <w:spacing w:after="0" w:line="360" w:lineRule="auto"/>
        <w:ind w:firstLine="720"/>
        <w:rPr>
          <w:rFonts w:ascii="Times New Roman" w:hAnsi="Times New Roman"/>
          <w:color w:val="000000"/>
          <w:kern w:val="0"/>
        </w:rPr>
      </w:pPr>
      <w:r>
        <w:rPr>
          <w:rFonts w:ascii="Times New Roman" w:hAnsi="Times New Roman"/>
          <w:color w:val="000000"/>
          <w:kern w:val="0"/>
        </w:rPr>
        <w:t>Inclusion Criteria: Eligible participants were resident doctors currently undergoing oncology training in the participating accredited tertiary institutions in Nigeria during the study period. Residents who provided informed consent and completed the questionnaire were included in the study.</w:t>
      </w:r>
    </w:p>
    <w:p w:rsidR="00231129" w:rsidRDefault="00231129" w:rsidP="00231129">
      <w:pPr>
        <w:spacing w:after="0" w:line="360" w:lineRule="auto"/>
        <w:ind w:firstLine="720"/>
        <w:rPr>
          <w:rFonts w:ascii="Times New Roman" w:hAnsi="Times New Roman"/>
          <w:color w:val="000000"/>
          <w:kern w:val="0"/>
        </w:rPr>
      </w:pPr>
      <w:r>
        <w:rPr>
          <w:rFonts w:ascii="Times New Roman" w:hAnsi="Times New Roman"/>
          <w:color w:val="000000"/>
          <w:kern w:val="0"/>
        </w:rPr>
        <w:t>Exclusion Criteria: Residents who declined participation, did not provide informed consent, or submitted incomplete questionnaires were excluded from the analysis.</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The questionnaire was pilot tested among a small group of oncology residents at UCH before the main survey to ensure its clarity and relevance.</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lastRenderedPageBreak/>
        <w:t xml:space="preserve">Sampling and Sample Size Determination: A purposive institutional sampling approach was used to ensure representation from the country's major geopolitical regions. Questionnaires were distributed to oncology residents across the various teaching institutions, and all eligible residents during the study period were invited to participate. Participation was voluntary. Institutions with participants who completed questionnaires and returned them included University College Hospital (UCH), Ibadan; Lagos University Teaching Hospital (LUTH), Lagos; Ahmadu Bello University Teaching Hospital (ABUTH), Zaria; University of Benin Teaching Hospital (UBTH), Benin City; Delta State University Teaching Hospital (DELSUTH), </w:t>
      </w:r>
      <w:proofErr w:type="spellStart"/>
      <w:r>
        <w:rPr>
          <w:rFonts w:ascii="Times New Roman" w:hAnsi="Times New Roman"/>
          <w:color w:val="000000"/>
          <w:kern w:val="0"/>
        </w:rPr>
        <w:t>Oghara</w:t>
      </w:r>
      <w:proofErr w:type="spellEnd"/>
      <w:r>
        <w:rPr>
          <w:rFonts w:ascii="Times New Roman" w:hAnsi="Times New Roman"/>
          <w:color w:val="000000"/>
          <w:kern w:val="0"/>
        </w:rPr>
        <w:t xml:space="preserve">; Jos University Teaching Hospital (JUTH), Jos; and University of Nigeria Teaching Hospital (UNTH), Enugu. </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The final sample size was determined by the number of completed questionnaires returned, an approach commonly used in multi-institutional survey studies where response rates may vary across institutions. </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A total of 57 residents completed the survey and were included in the final analysis.</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Data Collection: Data were collected using a structured, self-administered questionnaire designed to assess demographic characteristics, burnout levels, and job satisfaction among oncology residents.</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Burnout Assessment: Burnout was assessed using the Maslach Burnout Inventory – Human Services Survey, a widely validated instrument for measuring occupational burnout among healthcare professionals. The tool evaluates three domains: emotional exhaustion, depersonalization, and personal accomplishment. Responses were rated on a 7-point Likert scale ranging from 0 (never) to 6 (every day). Scores for each domain were </w:t>
      </w:r>
      <w:proofErr w:type="spellStart"/>
      <w:r>
        <w:rPr>
          <w:rFonts w:ascii="Times New Roman" w:hAnsi="Times New Roman"/>
          <w:color w:val="000000"/>
          <w:kern w:val="0"/>
        </w:rPr>
        <w:t>categorised</w:t>
      </w:r>
      <w:proofErr w:type="spellEnd"/>
      <w:r>
        <w:rPr>
          <w:rFonts w:ascii="Times New Roman" w:hAnsi="Times New Roman"/>
          <w:color w:val="000000"/>
          <w:kern w:val="0"/>
        </w:rPr>
        <w:t xml:space="preserve"> into low, moderate, or high levels of burnout according to established cut-off thresholds.</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Job Satisfaction Assessment: Job satisfaction was measured using the Job Satisfaction Survey, a validated 36-item instrument that assesses nine dimensions of workplace satisfaction, including pay, promotion, supervision, benefits, operating conditions, co-workers, nature of work, communication, and contingent rewards. Each item was rated on a 6-point Likert scale, with higher scores indicating greater job satisfaction.</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lastRenderedPageBreak/>
        <w:t>Survey Administration: The questionnaire was administered electronically using Google Forms and distributed to oncology residents through professional mailing lists and WhatsApp groups between January and December 2025. Participation was voluntary and anonymous. Electronic informed consent was obtained from all participants before they could access the questionnaire.</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Ethical Considerations: Ethical approval for the study was obtained from the Institutional Review Board of the University College Hospital, Ibadan. Assigned no: UI/EC/24/0685.</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Participation was voluntary, and respondents' confidentiality and anonymity were maintained throughout the study.</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Data Analysis: Data were </w:t>
      </w:r>
      <w:proofErr w:type="spellStart"/>
      <w:r>
        <w:rPr>
          <w:rFonts w:ascii="Times New Roman" w:hAnsi="Times New Roman"/>
          <w:color w:val="000000"/>
          <w:kern w:val="0"/>
        </w:rPr>
        <w:t>analysed</w:t>
      </w:r>
      <w:proofErr w:type="spellEnd"/>
      <w:r>
        <w:rPr>
          <w:rFonts w:ascii="Times New Roman" w:hAnsi="Times New Roman"/>
          <w:color w:val="000000"/>
          <w:kern w:val="0"/>
        </w:rPr>
        <w:t xml:space="preserve"> using IBM SPSS Statistics version 25. Descriptive statistics were used to </w:t>
      </w:r>
      <w:proofErr w:type="spellStart"/>
      <w:r>
        <w:rPr>
          <w:rFonts w:ascii="Times New Roman" w:hAnsi="Times New Roman"/>
          <w:color w:val="000000"/>
          <w:kern w:val="0"/>
        </w:rPr>
        <w:t>summarise</w:t>
      </w:r>
      <w:proofErr w:type="spellEnd"/>
      <w:r>
        <w:rPr>
          <w:rFonts w:ascii="Times New Roman" w:hAnsi="Times New Roman"/>
          <w:color w:val="000000"/>
          <w:kern w:val="0"/>
        </w:rPr>
        <w:t xml:space="preserve"> demographic characteristics, burnout scores, and job satisfaction levels. Continuous variables were presented as means and standard deviations, while categorical variables were </w:t>
      </w:r>
      <w:proofErr w:type="spellStart"/>
      <w:r>
        <w:rPr>
          <w:rFonts w:ascii="Times New Roman" w:hAnsi="Times New Roman"/>
          <w:color w:val="000000"/>
          <w:kern w:val="0"/>
        </w:rPr>
        <w:t>summarised</w:t>
      </w:r>
      <w:proofErr w:type="spellEnd"/>
      <w:r>
        <w:rPr>
          <w:rFonts w:ascii="Times New Roman" w:hAnsi="Times New Roman"/>
          <w:color w:val="000000"/>
          <w:kern w:val="0"/>
        </w:rPr>
        <w:t xml:space="preserve"> as frequencies and percentages. Associations between burnout dimensions and job satisfaction were assessed using Chi-square tests and, where appropriate, correlation analyses. A p-value &lt; 0.05 was considered statistically significant.</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Of the total oncology residents invited to participate, 57 completed the questionnaire and were included in the final analysis.</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 </w:t>
      </w:r>
    </w:p>
    <w:p w:rsidR="00231129" w:rsidRDefault="00231129" w:rsidP="00231129">
      <w:pPr>
        <w:spacing w:line="360" w:lineRule="auto"/>
        <w:rPr>
          <w:rFonts w:ascii="Times New Roman" w:eastAsia="Calibri" w:hAnsi="Times New Roman"/>
          <w:b/>
          <w:bCs/>
        </w:rPr>
      </w:pPr>
      <w:bookmarkStart w:id="1" w:name="_Hlk225611961"/>
      <w:bookmarkEnd w:id="1"/>
      <w:r>
        <w:rPr>
          <w:rFonts w:ascii="Times New Roman" w:eastAsia="Calibri" w:hAnsi="Times New Roman"/>
          <w:b/>
          <w:bCs/>
        </w:rPr>
        <w:t>RESULTS</w:t>
      </w:r>
    </w:p>
    <w:p w:rsidR="00231129" w:rsidRDefault="00231129" w:rsidP="00231129">
      <w:pPr>
        <w:spacing w:line="360" w:lineRule="auto"/>
        <w:rPr>
          <w:rFonts w:ascii="Times New Roman" w:eastAsia="Calibri" w:hAnsi="Times New Roman"/>
        </w:rPr>
      </w:pPr>
      <w:r>
        <w:rPr>
          <w:rFonts w:ascii="Times New Roman" w:eastAsia="Calibri" w:hAnsi="Times New Roman"/>
        </w:rPr>
        <w:t>A total of 57 oncology residents participated in the study. The mean age of respondents was 33.7 ± 4.9 years, with ages ranging from 22 to 43 years. The majority were male (68.4%). Most participants were within the age group of 30–35 years (36.8%). Table 1 highlights details of the sociodemographic characteristics of participants.</w:t>
      </w:r>
    </w:p>
    <w:p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Table 1. Sociodemographic Characteristics of Participants </w:t>
      </w:r>
    </w:p>
    <w:tbl>
      <w:tblPr>
        <w:tblStyle w:val="TableGrid"/>
        <w:tblW w:w="9268" w:type="dxa"/>
        <w:tblInd w:w="0" w:type="dxa"/>
        <w:tblBorders>
          <w:left w:val="none" w:sz="0" w:space="0" w:color="auto"/>
          <w:right w:val="none" w:sz="0" w:space="0" w:color="auto"/>
        </w:tblBorders>
        <w:tblLook w:val="04A0" w:firstRow="1" w:lastRow="0" w:firstColumn="1" w:lastColumn="0" w:noHBand="0" w:noVBand="1"/>
      </w:tblPr>
      <w:tblGrid>
        <w:gridCol w:w="2694"/>
        <w:gridCol w:w="2268"/>
        <w:gridCol w:w="2126"/>
        <w:gridCol w:w="2180"/>
      </w:tblGrid>
      <w:tr w:rsidR="00231129">
        <w:trPr>
          <w:trHeight w:val="290"/>
        </w:trPr>
        <w:tc>
          <w:tcPr>
            <w:tcW w:w="2694" w:type="dxa"/>
            <w:tcBorders>
              <w:top w:val="single" w:sz="4" w:space="0" w:color="auto"/>
              <w:left w:val="nil"/>
              <w:bottom w:val="single" w:sz="4" w:space="0" w:color="auto"/>
              <w:right w:val="nil"/>
            </w:tcBorders>
            <w:hideMark/>
          </w:tcPr>
          <w:p w:rsidR="00231129" w:rsidRDefault="00231129">
            <w:pPr>
              <w:spacing w:line="360" w:lineRule="auto"/>
              <w:rPr>
                <w:rFonts w:ascii="Times New Roman" w:hAnsi="Times New Roman"/>
                <w:b/>
                <w:bCs/>
                <w:color w:val="000000"/>
              </w:rPr>
            </w:pPr>
            <w:r>
              <w:rPr>
                <w:rFonts w:ascii="Times New Roman" w:hAnsi="Times New Roman"/>
                <w:b/>
                <w:bCs/>
                <w:color w:val="000000"/>
              </w:rPr>
              <w:t>Variable</w:t>
            </w:r>
          </w:p>
        </w:tc>
        <w:tc>
          <w:tcPr>
            <w:tcW w:w="2268" w:type="dxa"/>
            <w:tcBorders>
              <w:top w:val="single" w:sz="4" w:space="0" w:color="auto"/>
              <w:left w:val="nil"/>
              <w:bottom w:val="single" w:sz="4" w:space="0" w:color="auto"/>
              <w:right w:val="nil"/>
            </w:tcBorders>
            <w:hideMark/>
          </w:tcPr>
          <w:p w:rsidR="00231129" w:rsidRDefault="00231129">
            <w:pPr>
              <w:spacing w:line="360" w:lineRule="auto"/>
              <w:rPr>
                <w:rFonts w:ascii="Times New Roman" w:hAnsi="Times New Roman"/>
                <w:b/>
                <w:bCs/>
                <w:color w:val="000000"/>
              </w:rPr>
            </w:pPr>
            <w:r>
              <w:rPr>
                <w:rFonts w:ascii="Times New Roman" w:hAnsi="Times New Roman"/>
                <w:b/>
                <w:bCs/>
                <w:color w:val="000000"/>
              </w:rPr>
              <w:t>Category</w:t>
            </w:r>
          </w:p>
        </w:tc>
        <w:tc>
          <w:tcPr>
            <w:tcW w:w="2126" w:type="dxa"/>
            <w:tcBorders>
              <w:top w:val="single" w:sz="4" w:space="0" w:color="auto"/>
              <w:left w:val="nil"/>
              <w:bottom w:val="single" w:sz="4" w:space="0" w:color="auto"/>
              <w:right w:val="nil"/>
            </w:tcBorders>
            <w:hideMark/>
          </w:tcPr>
          <w:p w:rsidR="00231129" w:rsidRDefault="00231129">
            <w:pPr>
              <w:spacing w:line="360" w:lineRule="auto"/>
              <w:rPr>
                <w:rFonts w:ascii="Times New Roman" w:hAnsi="Times New Roman"/>
                <w:b/>
                <w:bCs/>
                <w:color w:val="000000"/>
              </w:rPr>
            </w:pPr>
            <w:r>
              <w:rPr>
                <w:rFonts w:ascii="Times New Roman" w:hAnsi="Times New Roman"/>
                <w:b/>
                <w:bCs/>
                <w:color w:val="000000"/>
              </w:rPr>
              <w:t>Frequency (n=57)</w:t>
            </w:r>
          </w:p>
        </w:tc>
        <w:tc>
          <w:tcPr>
            <w:tcW w:w="2180" w:type="dxa"/>
            <w:tcBorders>
              <w:top w:val="single" w:sz="4" w:space="0" w:color="auto"/>
              <w:left w:val="nil"/>
              <w:bottom w:val="single" w:sz="4" w:space="0" w:color="auto"/>
              <w:right w:val="nil"/>
            </w:tcBorders>
            <w:hideMark/>
          </w:tcPr>
          <w:p w:rsidR="00231129" w:rsidRDefault="00231129">
            <w:pPr>
              <w:spacing w:line="360" w:lineRule="auto"/>
              <w:rPr>
                <w:rFonts w:ascii="Times New Roman" w:hAnsi="Times New Roman"/>
                <w:b/>
                <w:bCs/>
                <w:color w:val="000000"/>
              </w:rPr>
            </w:pPr>
            <w:r>
              <w:rPr>
                <w:rFonts w:ascii="Times New Roman" w:hAnsi="Times New Roman"/>
                <w:b/>
                <w:bCs/>
                <w:color w:val="000000"/>
              </w:rPr>
              <w:t>Percentage</w:t>
            </w:r>
          </w:p>
        </w:tc>
      </w:tr>
      <w:tr w:rsidR="00231129">
        <w:trPr>
          <w:trHeight w:val="290"/>
        </w:trPr>
        <w:tc>
          <w:tcPr>
            <w:tcW w:w="2694" w:type="dxa"/>
            <w:tcBorders>
              <w:top w:val="single" w:sz="4" w:space="0" w:color="auto"/>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Gender</w:t>
            </w:r>
          </w:p>
        </w:tc>
        <w:tc>
          <w:tcPr>
            <w:tcW w:w="2268" w:type="dxa"/>
            <w:tcBorders>
              <w:top w:val="single" w:sz="4" w:space="0" w:color="auto"/>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lastRenderedPageBreak/>
              <w:t>Male</w:t>
            </w:r>
          </w:p>
        </w:tc>
        <w:tc>
          <w:tcPr>
            <w:tcW w:w="2126" w:type="dxa"/>
            <w:tcBorders>
              <w:top w:val="single" w:sz="4" w:space="0" w:color="auto"/>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lastRenderedPageBreak/>
              <w:t>39</w:t>
            </w:r>
          </w:p>
        </w:tc>
        <w:tc>
          <w:tcPr>
            <w:tcW w:w="2180" w:type="dxa"/>
            <w:tcBorders>
              <w:top w:val="single" w:sz="4" w:space="0" w:color="auto"/>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lastRenderedPageBreak/>
              <w:t>68.4</w:t>
            </w:r>
          </w:p>
        </w:tc>
      </w:tr>
      <w:tr w:rsidR="00231129">
        <w:trPr>
          <w:trHeight w:val="282"/>
        </w:trPr>
        <w:tc>
          <w:tcPr>
            <w:tcW w:w="2694" w:type="dxa"/>
            <w:tcBorders>
              <w:top w:val="nil"/>
              <w:left w:val="nil"/>
              <w:bottom w:val="nil"/>
              <w:right w:val="nil"/>
            </w:tcBorders>
          </w:tcPr>
          <w:p w:rsidR="00231129" w:rsidRDefault="00231129">
            <w:pPr>
              <w:spacing w:line="360" w:lineRule="auto"/>
              <w:rPr>
                <w:rFonts w:ascii="Times New Roman" w:hAnsi="Times New Roman"/>
                <w:color w:val="000000"/>
              </w:rPr>
            </w:pPr>
          </w:p>
        </w:tc>
        <w:tc>
          <w:tcPr>
            <w:tcW w:w="2268"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Female</w:t>
            </w:r>
          </w:p>
        </w:tc>
        <w:tc>
          <w:tcPr>
            <w:tcW w:w="2126"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18</w:t>
            </w:r>
          </w:p>
        </w:tc>
        <w:tc>
          <w:tcPr>
            <w:tcW w:w="2180"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31.6</w:t>
            </w:r>
          </w:p>
        </w:tc>
      </w:tr>
      <w:tr w:rsidR="00231129">
        <w:trPr>
          <w:trHeight w:val="290"/>
        </w:trPr>
        <w:tc>
          <w:tcPr>
            <w:tcW w:w="2694"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Age Groups</w:t>
            </w:r>
          </w:p>
        </w:tc>
        <w:tc>
          <w:tcPr>
            <w:tcW w:w="2268" w:type="dxa"/>
            <w:tcBorders>
              <w:top w:val="nil"/>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&lt;30 years</w:t>
            </w:r>
          </w:p>
          <w:p w:rsidR="00231129" w:rsidRDefault="00231129">
            <w:pPr>
              <w:spacing w:line="360" w:lineRule="auto"/>
              <w:rPr>
                <w:rFonts w:ascii="Times New Roman" w:hAnsi="Times New Roman"/>
                <w:color w:val="000000"/>
              </w:rPr>
            </w:pPr>
            <w:r>
              <w:rPr>
                <w:rFonts w:ascii="Times New Roman" w:hAnsi="Times New Roman"/>
                <w:color w:val="000000"/>
              </w:rPr>
              <w:t>30 – 35 years</w:t>
            </w:r>
          </w:p>
          <w:p w:rsidR="00231129" w:rsidRDefault="00231129">
            <w:pPr>
              <w:spacing w:line="360" w:lineRule="auto"/>
              <w:rPr>
                <w:rFonts w:ascii="Times New Roman" w:hAnsi="Times New Roman"/>
                <w:color w:val="000000"/>
              </w:rPr>
            </w:pPr>
            <w:r>
              <w:rPr>
                <w:rFonts w:ascii="Times New Roman" w:hAnsi="Times New Roman"/>
                <w:color w:val="000000"/>
              </w:rPr>
              <w:t>36 – 40 years</w:t>
            </w:r>
          </w:p>
          <w:p w:rsidR="00231129" w:rsidRDefault="00231129">
            <w:pPr>
              <w:spacing w:line="360" w:lineRule="auto"/>
              <w:rPr>
                <w:rFonts w:ascii="Times New Roman" w:hAnsi="Times New Roman"/>
                <w:color w:val="000000"/>
              </w:rPr>
            </w:pPr>
            <w:r>
              <w:rPr>
                <w:rFonts w:ascii="Times New Roman" w:hAnsi="Times New Roman"/>
                <w:color w:val="000000"/>
              </w:rPr>
              <w:t>&gt;40 years</w:t>
            </w:r>
          </w:p>
        </w:tc>
        <w:tc>
          <w:tcPr>
            <w:tcW w:w="2126" w:type="dxa"/>
            <w:tcBorders>
              <w:top w:val="nil"/>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13</w:t>
            </w:r>
          </w:p>
          <w:p w:rsidR="00231129" w:rsidRDefault="00231129">
            <w:pPr>
              <w:spacing w:line="360" w:lineRule="auto"/>
              <w:rPr>
                <w:rFonts w:ascii="Times New Roman" w:hAnsi="Times New Roman"/>
                <w:color w:val="000000"/>
              </w:rPr>
            </w:pPr>
            <w:r>
              <w:rPr>
                <w:rFonts w:ascii="Times New Roman" w:hAnsi="Times New Roman"/>
                <w:color w:val="000000"/>
              </w:rPr>
              <w:t>21</w:t>
            </w:r>
          </w:p>
          <w:p w:rsidR="00231129" w:rsidRDefault="00231129">
            <w:pPr>
              <w:spacing w:line="360" w:lineRule="auto"/>
              <w:rPr>
                <w:rFonts w:ascii="Times New Roman" w:hAnsi="Times New Roman"/>
                <w:color w:val="000000"/>
              </w:rPr>
            </w:pPr>
            <w:r>
              <w:rPr>
                <w:rFonts w:ascii="Times New Roman" w:hAnsi="Times New Roman"/>
                <w:color w:val="000000"/>
              </w:rPr>
              <w:t>20</w:t>
            </w:r>
          </w:p>
          <w:p w:rsidR="00231129" w:rsidRDefault="00231129">
            <w:pPr>
              <w:spacing w:line="360" w:lineRule="auto"/>
              <w:rPr>
                <w:rFonts w:ascii="Times New Roman" w:hAnsi="Times New Roman"/>
                <w:color w:val="000000"/>
              </w:rPr>
            </w:pPr>
            <w:r>
              <w:rPr>
                <w:rFonts w:ascii="Times New Roman" w:hAnsi="Times New Roman"/>
                <w:color w:val="000000"/>
              </w:rPr>
              <w:t>3</w:t>
            </w:r>
          </w:p>
        </w:tc>
        <w:tc>
          <w:tcPr>
            <w:tcW w:w="2180" w:type="dxa"/>
            <w:tcBorders>
              <w:top w:val="nil"/>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22.8</w:t>
            </w:r>
          </w:p>
          <w:p w:rsidR="00231129" w:rsidRDefault="00231129">
            <w:pPr>
              <w:spacing w:line="360" w:lineRule="auto"/>
              <w:rPr>
                <w:rFonts w:ascii="Times New Roman" w:hAnsi="Times New Roman"/>
                <w:color w:val="000000"/>
              </w:rPr>
            </w:pPr>
            <w:r>
              <w:rPr>
                <w:rFonts w:ascii="Times New Roman" w:hAnsi="Times New Roman"/>
                <w:color w:val="000000"/>
              </w:rPr>
              <w:t>36.8</w:t>
            </w:r>
          </w:p>
          <w:p w:rsidR="00231129" w:rsidRDefault="00231129">
            <w:pPr>
              <w:spacing w:line="360" w:lineRule="auto"/>
              <w:rPr>
                <w:rFonts w:ascii="Times New Roman" w:hAnsi="Times New Roman"/>
                <w:color w:val="000000"/>
              </w:rPr>
            </w:pPr>
            <w:r>
              <w:rPr>
                <w:rFonts w:ascii="Times New Roman" w:hAnsi="Times New Roman"/>
                <w:color w:val="000000"/>
              </w:rPr>
              <w:t>35.1</w:t>
            </w:r>
          </w:p>
          <w:p w:rsidR="00231129" w:rsidRDefault="00231129">
            <w:pPr>
              <w:spacing w:line="360" w:lineRule="auto"/>
              <w:rPr>
                <w:rFonts w:ascii="Times New Roman" w:hAnsi="Times New Roman"/>
                <w:color w:val="000000"/>
              </w:rPr>
            </w:pPr>
            <w:r>
              <w:rPr>
                <w:rFonts w:ascii="Times New Roman" w:hAnsi="Times New Roman"/>
                <w:color w:val="000000"/>
              </w:rPr>
              <w:t>5.3</w:t>
            </w:r>
          </w:p>
        </w:tc>
      </w:tr>
      <w:tr w:rsidR="00231129">
        <w:trPr>
          <w:trHeight w:val="290"/>
        </w:trPr>
        <w:tc>
          <w:tcPr>
            <w:tcW w:w="2694"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Specialty</w:t>
            </w:r>
          </w:p>
        </w:tc>
        <w:tc>
          <w:tcPr>
            <w:tcW w:w="2268" w:type="dxa"/>
            <w:tcBorders>
              <w:top w:val="nil"/>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Radiation Oncology</w:t>
            </w:r>
          </w:p>
        </w:tc>
        <w:tc>
          <w:tcPr>
            <w:tcW w:w="2126" w:type="dxa"/>
            <w:tcBorders>
              <w:top w:val="nil"/>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29</w:t>
            </w:r>
          </w:p>
        </w:tc>
        <w:tc>
          <w:tcPr>
            <w:tcW w:w="2180" w:type="dxa"/>
            <w:tcBorders>
              <w:top w:val="nil"/>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50.9</w:t>
            </w:r>
          </w:p>
        </w:tc>
      </w:tr>
      <w:tr w:rsidR="00231129">
        <w:trPr>
          <w:trHeight w:val="290"/>
        </w:trPr>
        <w:tc>
          <w:tcPr>
            <w:tcW w:w="2694" w:type="dxa"/>
            <w:tcBorders>
              <w:top w:val="nil"/>
              <w:left w:val="nil"/>
              <w:bottom w:val="nil"/>
              <w:right w:val="nil"/>
            </w:tcBorders>
          </w:tcPr>
          <w:p w:rsidR="00231129" w:rsidRDefault="00231129">
            <w:pPr>
              <w:spacing w:line="360" w:lineRule="auto"/>
              <w:rPr>
                <w:rFonts w:ascii="Times New Roman" w:hAnsi="Times New Roman"/>
                <w:color w:val="000000"/>
              </w:rPr>
            </w:pPr>
          </w:p>
        </w:tc>
        <w:tc>
          <w:tcPr>
            <w:tcW w:w="2268"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Surgical Oncology</w:t>
            </w:r>
          </w:p>
        </w:tc>
        <w:tc>
          <w:tcPr>
            <w:tcW w:w="2126"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13</w:t>
            </w:r>
          </w:p>
        </w:tc>
        <w:tc>
          <w:tcPr>
            <w:tcW w:w="2180"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22.8</w:t>
            </w:r>
          </w:p>
        </w:tc>
      </w:tr>
      <w:tr w:rsidR="00231129">
        <w:trPr>
          <w:trHeight w:val="290"/>
        </w:trPr>
        <w:tc>
          <w:tcPr>
            <w:tcW w:w="2694" w:type="dxa"/>
            <w:tcBorders>
              <w:top w:val="nil"/>
              <w:left w:val="nil"/>
              <w:bottom w:val="nil"/>
              <w:right w:val="nil"/>
            </w:tcBorders>
          </w:tcPr>
          <w:p w:rsidR="00231129" w:rsidRDefault="00231129">
            <w:pPr>
              <w:spacing w:line="360" w:lineRule="auto"/>
              <w:rPr>
                <w:rFonts w:ascii="Times New Roman" w:hAnsi="Times New Roman"/>
                <w:color w:val="000000"/>
              </w:rPr>
            </w:pPr>
          </w:p>
        </w:tc>
        <w:tc>
          <w:tcPr>
            <w:tcW w:w="2268"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Haemato-Oncology</w:t>
            </w:r>
          </w:p>
        </w:tc>
        <w:tc>
          <w:tcPr>
            <w:tcW w:w="2126"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9</w:t>
            </w:r>
          </w:p>
        </w:tc>
        <w:tc>
          <w:tcPr>
            <w:tcW w:w="2180"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15.8</w:t>
            </w:r>
          </w:p>
        </w:tc>
      </w:tr>
      <w:tr w:rsidR="00231129">
        <w:trPr>
          <w:trHeight w:val="282"/>
        </w:trPr>
        <w:tc>
          <w:tcPr>
            <w:tcW w:w="2694" w:type="dxa"/>
            <w:tcBorders>
              <w:top w:val="nil"/>
              <w:left w:val="nil"/>
              <w:bottom w:val="nil"/>
              <w:right w:val="nil"/>
            </w:tcBorders>
          </w:tcPr>
          <w:p w:rsidR="00231129" w:rsidRDefault="00231129">
            <w:pPr>
              <w:spacing w:line="360" w:lineRule="auto"/>
              <w:rPr>
                <w:rFonts w:ascii="Times New Roman" w:hAnsi="Times New Roman"/>
                <w:color w:val="000000"/>
              </w:rPr>
            </w:pPr>
          </w:p>
        </w:tc>
        <w:tc>
          <w:tcPr>
            <w:tcW w:w="2268"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Others</w:t>
            </w:r>
          </w:p>
        </w:tc>
        <w:tc>
          <w:tcPr>
            <w:tcW w:w="2126"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5</w:t>
            </w:r>
          </w:p>
        </w:tc>
        <w:tc>
          <w:tcPr>
            <w:tcW w:w="2180" w:type="dxa"/>
            <w:tcBorders>
              <w:top w:val="nil"/>
              <w:left w:val="nil"/>
              <w:bottom w:val="nil"/>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8.8</w:t>
            </w:r>
          </w:p>
        </w:tc>
      </w:tr>
      <w:tr w:rsidR="00231129">
        <w:trPr>
          <w:trHeight w:val="290"/>
        </w:trPr>
        <w:tc>
          <w:tcPr>
            <w:tcW w:w="2694" w:type="dxa"/>
            <w:tcBorders>
              <w:top w:val="nil"/>
              <w:left w:val="nil"/>
              <w:bottom w:val="nil"/>
              <w:right w:val="nil"/>
            </w:tcBorders>
          </w:tcPr>
          <w:p w:rsidR="00231129" w:rsidRDefault="00231129">
            <w:pPr>
              <w:spacing w:line="360" w:lineRule="auto"/>
              <w:rPr>
                <w:rFonts w:ascii="Times New Roman" w:hAnsi="Times New Roman"/>
                <w:color w:val="000000"/>
              </w:rPr>
            </w:pPr>
            <w:r>
              <w:rPr>
                <w:rFonts w:ascii="Times New Roman" w:hAnsi="Times New Roman"/>
                <w:color w:val="000000"/>
              </w:rPr>
              <w:t>Years in Residency</w:t>
            </w:r>
          </w:p>
          <w:p w:rsidR="00231129" w:rsidRDefault="00231129">
            <w:pPr>
              <w:spacing w:line="360" w:lineRule="auto"/>
              <w:rPr>
                <w:rFonts w:ascii="Times New Roman" w:hAnsi="Times New Roman"/>
                <w:color w:val="000000"/>
              </w:rPr>
            </w:pPr>
          </w:p>
        </w:tc>
        <w:tc>
          <w:tcPr>
            <w:tcW w:w="2268" w:type="dxa"/>
            <w:tcBorders>
              <w:top w:val="nil"/>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≤2 years</w:t>
            </w:r>
          </w:p>
          <w:p w:rsidR="00231129" w:rsidRDefault="00231129">
            <w:pPr>
              <w:spacing w:line="360" w:lineRule="auto"/>
              <w:rPr>
                <w:rFonts w:ascii="Times New Roman" w:hAnsi="Times New Roman"/>
                <w:color w:val="000000"/>
              </w:rPr>
            </w:pPr>
            <w:r>
              <w:rPr>
                <w:rFonts w:ascii="Times New Roman" w:hAnsi="Times New Roman"/>
                <w:color w:val="000000"/>
              </w:rPr>
              <w:t>3 - 5 years</w:t>
            </w:r>
          </w:p>
          <w:p w:rsidR="00231129" w:rsidRDefault="00231129">
            <w:pPr>
              <w:spacing w:line="360" w:lineRule="auto"/>
              <w:rPr>
                <w:rFonts w:ascii="Times New Roman" w:hAnsi="Times New Roman"/>
                <w:color w:val="000000"/>
              </w:rPr>
            </w:pPr>
            <w:r>
              <w:rPr>
                <w:rFonts w:ascii="Times New Roman" w:hAnsi="Times New Roman"/>
                <w:color w:val="000000"/>
              </w:rPr>
              <w:t>&gt;5 years</w:t>
            </w:r>
          </w:p>
        </w:tc>
        <w:tc>
          <w:tcPr>
            <w:tcW w:w="2126" w:type="dxa"/>
            <w:tcBorders>
              <w:top w:val="nil"/>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27</w:t>
            </w:r>
          </w:p>
          <w:p w:rsidR="00231129" w:rsidRDefault="00231129">
            <w:pPr>
              <w:spacing w:line="360" w:lineRule="auto"/>
              <w:rPr>
                <w:rFonts w:ascii="Times New Roman" w:hAnsi="Times New Roman"/>
                <w:color w:val="000000"/>
              </w:rPr>
            </w:pPr>
            <w:r>
              <w:rPr>
                <w:rFonts w:ascii="Times New Roman" w:hAnsi="Times New Roman"/>
                <w:color w:val="000000"/>
              </w:rPr>
              <w:t>23</w:t>
            </w:r>
          </w:p>
          <w:p w:rsidR="00231129" w:rsidRDefault="00231129">
            <w:pPr>
              <w:spacing w:line="360" w:lineRule="auto"/>
              <w:rPr>
                <w:rFonts w:ascii="Times New Roman" w:hAnsi="Times New Roman"/>
                <w:color w:val="000000"/>
              </w:rPr>
            </w:pPr>
            <w:r>
              <w:rPr>
                <w:rFonts w:ascii="Times New Roman" w:hAnsi="Times New Roman"/>
                <w:color w:val="000000"/>
              </w:rPr>
              <w:t>7</w:t>
            </w:r>
          </w:p>
        </w:tc>
        <w:tc>
          <w:tcPr>
            <w:tcW w:w="2180" w:type="dxa"/>
            <w:tcBorders>
              <w:top w:val="nil"/>
              <w:left w:val="nil"/>
              <w:bottom w:val="nil"/>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47.4</w:t>
            </w:r>
          </w:p>
          <w:p w:rsidR="00231129" w:rsidRDefault="00231129">
            <w:pPr>
              <w:spacing w:line="360" w:lineRule="auto"/>
              <w:rPr>
                <w:rFonts w:ascii="Times New Roman" w:hAnsi="Times New Roman"/>
                <w:color w:val="000000"/>
              </w:rPr>
            </w:pPr>
            <w:r>
              <w:rPr>
                <w:rFonts w:ascii="Times New Roman" w:hAnsi="Times New Roman"/>
                <w:color w:val="000000"/>
              </w:rPr>
              <w:t>40.3</w:t>
            </w:r>
          </w:p>
          <w:p w:rsidR="00231129" w:rsidRDefault="00231129">
            <w:pPr>
              <w:spacing w:line="360" w:lineRule="auto"/>
              <w:rPr>
                <w:rFonts w:ascii="Times New Roman" w:hAnsi="Times New Roman"/>
                <w:color w:val="000000"/>
              </w:rPr>
            </w:pPr>
            <w:r>
              <w:rPr>
                <w:rFonts w:ascii="Times New Roman" w:hAnsi="Times New Roman"/>
                <w:color w:val="000000"/>
              </w:rPr>
              <w:t>12.3</w:t>
            </w:r>
          </w:p>
        </w:tc>
      </w:tr>
      <w:tr w:rsidR="00231129">
        <w:trPr>
          <w:trHeight w:val="290"/>
        </w:trPr>
        <w:tc>
          <w:tcPr>
            <w:tcW w:w="2694" w:type="dxa"/>
            <w:tcBorders>
              <w:top w:val="nil"/>
              <w:left w:val="nil"/>
              <w:bottom w:val="single" w:sz="4" w:space="0" w:color="auto"/>
              <w:right w:val="nil"/>
            </w:tcBorders>
            <w:hideMark/>
          </w:tcPr>
          <w:p w:rsidR="00231129" w:rsidRDefault="00231129">
            <w:pPr>
              <w:spacing w:line="360" w:lineRule="auto"/>
              <w:rPr>
                <w:rFonts w:ascii="Times New Roman" w:hAnsi="Times New Roman"/>
                <w:color w:val="000000"/>
              </w:rPr>
            </w:pPr>
            <w:r>
              <w:rPr>
                <w:rFonts w:ascii="Times New Roman" w:hAnsi="Times New Roman"/>
                <w:color w:val="000000"/>
              </w:rPr>
              <w:t>Participating Institutions</w:t>
            </w:r>
          </w:p>
        </w:tc>
        <w:tc>
          <w:tcPr>
            <w:tcW w:w="2268" w:type="dxa"/>
            <w:tcBorders>
              <w:top w:val="nil"/>
              <w:left w:val="nil"/>
              <w:bottom w:val="single" w:sz="4" w:space="0" w:color="auto"/>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UCH</w:t>
            </w:r>
          </w:p>
          <w:p w:rsidR="00231129" w:rsidRDefault="00231129">
            <w:pPr>
              <w:spacing w:line="360" w:lineRule="auto"/>
              <w:rPr>
                <w:rFonts w:ascii="Times New Roman" w:hAnsi="Times New Roman"/>
                <w:color w:val="000000"/>
              </w:rPr>
            </w:pPr>
            <w:r>
              <w:rPr>
                <w:rFonts w:ascii="Times New Roman" w:hAnsi="Times New Roman"/>
                <w:color w:val="000000"/>
              </w:rPr>
              <w:t>DELSUTH</w:t>
            </w:r>
          </w:p>
          <w:p w:rsidR="00231129" w:rsidRDefault="00231129">
            <w:pPr>
              <w:spacing w:line="360" w:lineRule="auto"/>
              <w:rPr>
                <w:rFonts w:ascii="Times New Roman" w:hAnsi="Times New Roman"/>
                <w:color w:val="000000"/>
              </w:rPr>
            </w:pPr>
            <w:r>
              <w:rPr>
                <w:rFonts w:ascii="Times New Roman" w:hAnsi="Times New Roman"/>
                <w:color w:val="000000"/>
              </w:rPr>
              <w:t>LUTH</w:t>
            </w:r>
          </w:p>
          <w:p w:rsidR="00231129" w:rsidRDefault="00231129">
            <w:pPr>
              <w:spacing w:line="360" w:lineRule="auto"/>
              <w:rPr>
                <w:rFonts w:ascii="Times New Roman" w:hAnsi="Times New Roman"/>
                <w:color w:val="000000"/>
              </w:rPr>
            </w:pPr>
            <w:r>
              <w:rPr>
                <w:rFonts w:ascii="Times New Roman" w:hAnsi="Times New Roman"/>
                <w:color w:val="000000"/>
              </w:rPr>
              <w:t>ABUTH</w:t>
            </w:r>
          </w:p>
          <w:p w:rsidR="00231129" w:rsidRDefault="00231129">
            <w:pPr>
              <w:spacing w:line="360" w:lineRule="auto"/>
              <w:rPr>
                <w:rFonts w:ascii="Times New Roman" w:hAnsi="Times New Roman"/>
                <w:color w:val="000000"/>
              </w:rPr>
            </w:pPr>
            <w:r>
              <w:rPr>
                <w:rFonts w:ascii="Times New Roman" w:hAnsi="Times New Roman"/>
                <w:color w:val="000000"/>
              </w:rPr>
              <w:t>UBTH</w:t>
            </w:r>
          </w:p>
          <w:p w:rsidR="00231129" w:rsidRDefault="00231129">
            <w:pPr>
              <w:spacing w:line="360" w:lineRule="auto"/>
              <w:rPr>
                <w:rFonts w:ascii="Times New Roman" w:hAnsi="Times New Roman"/>
                <w:color w:val="000000"/>
              </w:rPr>
            </w:pPr>
            <w:r>
              <w:rPr>
                <w:rFonts w:ascii="Times New Roman" w:hAnsi="Times New Roman"/>
                <w:color w:val="000000"/>
              </w:rPr>
              <w:t>JUTH</w:t>
            </w:r>
          </w:p>
          <w:p w:rsidR="00231129" w:rsidRDefault="00231129">
            <w:pPr>
              <w:spacing w:line="360" w:lineRule="auto"/>
              <w:rPr>
                <w:rFonts w:ascii="Times New Roman" w:hAnsi="Times New Roman"/>
                <w:color w:val="000000"/>
              </w:rPr>
            </w:pPr>
            <w:r>
              <w:rPr>
                <w:rFonts w:ascii="Times New Roman" w:hAnsi="Times New Roman"/>
                <w:color w:val="000000"/>
              </w:rPr>
              <w:t>UNTH</w:t>
            </w:r>
          </w:p>
        </w:tc>
        <w:tc>
          <w:tcPr>
            <w:tcW w:w="2126" w:type="dxa"/>
            <w:tcBorders>
              <w:top w:val="nil"/>
              <w:left w:val="nil"/>
              <w:bottom w:val="single" w:sz="4" w:space="0" w:color="auto"/>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33</w:t>
            </w:r>
          </w:p>
          <w:p w:rsidR="00231129" w:rsidRDefault="00231129">
            <w:pPr>
              <w:spacing w:line="360" w:lineRule="auto"/>
              <w:rPr>
                <w:rFonts w:ascii="Times New Roman" w:hAnsi="Times New Roman"/>
                <w:color w:val="000000"/>
              </w:rPr>
            </w:pPr>
            <w:r>
              <w:rPr>
                <w:rFonts w:ascii="Times New Roman" w:hAnsi="Times New Roman"/>
                <w:color w:val="000000"/>
              </w:rPr>
              <w:t>8</w:t>
            </w:r>
          </w:p>
          <w:p w:rsidR="00231129" w:rsidRDefault="00231129">
            <w:pPr>
              <w:spacing w:line="360" w:lineRule="auto"/>
              <w:rPr>
                <w:rFonts w:ascii="Times New Roman" w:hAnsi="Times New Roman"/>
                <w:color w:val="000000"/>
              </w:rPr>
            </w:pPr>
            <w:r>
              <w:rPr>
                <w:rFonts w:ascii="Times New Roman" w:hAnsi="Times New Roman"/>
                <w:color w:val="000000"/>
              </w:rPr>
              <w:t>5</w:t>
            </w:r>
          </w:p>
          <w:p w:rsidR="00231129" w:rsidRDefault="00231129">
            <w:pPr>
              <w:spacing w:line="360" w:lineRule="auto"/>
              <w:rPr>
                <w:rFonts w:ascii="Times New Roman" w:hAnsi="Times New Roman"/>
                <w:color w:val="000000"/>
              </w:rPr>
            </w:pPr>
            <w:r>
              <w:rPr>
                <w:rFonts w:ascii="Times New Roman" w:hAnsi="Times New Roman"/>
                <w:color w:val="000000"/>
              </w:rPr>
              <w:t>5</w:t>
            </w:r>
          </w:p>
          <w:p w:rsidR="00231129" w:rsidRDefault="00231129">
            <w:pPr>
              <w:spacing w:line="360" w:lineRule="auto"/>
              <w:rPr>
                <w:rFonts w:ascii="Times New Roman" w:hAnsi="Times New Roman"/>
                <w:color w:val="000000"/>
              </w:rPr>
            </w:pPr>
            <w:r>
              <w:rPr>
                <w:rFonts w:ascii="Times New Roman" w:hAnsi="Times New Roman"/>
                <w:color w:val="000000"/>
              </w:rPr>
              <w:t>2</w:t>
            </w:r>
          </w:p>
          <w:p w:rsidR="00231129" w:rsidRDefault="00231129">
            <w:pPr>
              <w:spacing w:line="360" w:lineRule="auto"/>
              <w:rPr>
                <w:rFonts w:ascii="Times New Roman" w:hAnsi="Times New Roman"/>
                <w:color w:val="000000"/>
              </w:rPr>
            </w:pPr>
            <w:r>
              <w:rPr>
                <w:rFonts w:ascii="Times New Roman" w:hAnsi="Times New Roman"/>
                <w:color w:val="000000"/>
              </w:rPr>
              <w:t>1</w:t>
            </w:r>
          </w:p>
          <w:p w:rsidR="00231129" w:rsidRDefault="00231129">
            <w:pPr>
              <w:spacing w:line="360" w:lineRule="auto"/>
              <w:rPr>
                <w:rFonts w:ascii="Times New Roman" w:hAnsi="Times New Roman"/>
                <w:color w:val="000000"/>
              </w:rPr>
            </w:pPr>
            <w:r>
              <w:rPr>
                <w:rFonts w:ascii="Times New Roman" w:hAnsi="Times New Roman"/>
                <w:color w:val="000000"/>
              </w:rPr>
              <w:t>3</w:t>
            </w:r>
          </w:p>
        </w:tc>
        <w:tc>
          <w:tcPr>
            <w:tcW w:w="2180" w:type="dxa"/>
            <w:tcBorders>
              <w:top w:val="nil"/>
              <w:left w:val="nil"/>
              <w:bottom w:val="single" w:sz="4" w:space="0" w:color="auto"/>
              <w:right w:val="nil"/>
            </w:tcBorders>
          </w:tcPr>
          <w:p w:rsidR="00231129" w:rsidRDefault="00231129">
            <w:pPr>
              <w:spacing w:line="360" w:lineRule="auto"/>
              <w:rPr>
                <w:rFonts w:ascii="Times New Roman" w:hAnsi="Times New Roman"/>
                <w:color w:val="000000"/>
              </w:rPr>
            </w:pPr>
          </w:p>
          <w:p w:rsidR="00231129" w:rsidRDefault="00231129">
            <w:pPr>
              <w:spacing w:line="360" w:lineRule="auto"/>
              <w:rPr>
                <w:rFonts w:ascii="Times New Roman" w:hAnsi="Times New Roman"/>
                <w:color w:val="000000"/>
              </w:rPr>
            </w:pPr>
            <w:r>
              <w:rPr>
                <w:rFonts w:ascii="Times New Roman" w:hAnsi="Times New Roman"/>
                <w:color w:val="000000"/>
              </w:rPr>
              <w:t>57.9</w:t>
            </w:r>
          </w:p>
          <w:p w:rsidR="00231129" w:rsidRDefault="00231129">
            <w:pPr>
              <w:spacing w:line="360" w:lineRule="auto"/>
              <w:rPr>
                <w:rFonts w:ascii="Times New Roman" w:hAnsi="Times New Roman"/>
                <w:color w:val="000000"/>
              </w:rPr>
            </w:pPr>
            <w:r>
              <w:rPr>
                <w:rFonts w:ascii="Times New Roman" w:hAnsi="Times New Roman"/>
                <w:color w:val="000000"/>
              </w:rPr>
              <w:t>14.0</w:t>
            </w:r>
          </w:p>
          <w:p w:rsidR="00231129" w:rsidRDefault="00231129">
            <w:pPr>
              <w:spacing w:line="360" w:lineRule="auto"/>
              <w:rPr>
                <w:rFonts w:ascii="Times New Roman" w:hAnsi="Times New Roman"/>
                <w:color w:val="000000"/>
              </w:rPr>
            </w:pPr>
            <w:r>
              <w:rPr>
                <w:rFonts w:ascii="Times New Roman" w:hAnsi="Times New Roman"/>
                <w:color w:val="000000"/>
              </w:rPr>
              <w:t>8.8</w:t>
            </w:r>
          </w:p>
          <w:p w:rsidR="00231129" w:rsidRDefault="00231129">
            <w:pPr>
              <w:spacing w:line="360" w:lineRule="auto"/>
              <w:rPr>
                <w:rFonts w:ascii="Times New Roman" w:hAnsi="Times New Roman"/>
                <w:color w:val="000000"/>
              </w:rPr>
            </w:pPr>
            <w:r>
              <w:rPr>
                <w:rFonts w:ascii="Times New Roman" w:hAnsi="Times New Roman"/>
                <w:color w:val="000000"/>
              </w:rPr>
              <w:t>8.8</w:t>
            </w:r>
          </w:p>
          <w:p w:rsidR="00231129" w:rsidRDefault="00231129">
            <w:pPr>
              <w:spacing w:line="360" w:lineRule="auto"/>
              <w:rPr>
                <w:rFonts w:ascii="Times New Roman" w:hAnsi="Times New Roman"/>
                <w:color w:val="000000"/>
              </w:rPr>
            </w:pPr>
            <w:r>
              <w:rPr>
                <w:rFonts w:ascii="Times New Roman" w:hAnsi="Times New Roman"/>
                <w:color w:val="000000"/>
              </w:rPr>
              <w:t>3.5</w:t>
            </w:r>
          </w:p>
          <w:p w:rsidR="00231129" w:rsidRDefault="00231129">
            <w:pPr>
              <w:spacing w:line="360" w:lineRule="auto"/>
              <w:rPr>
                <w:rFonts w:ascii="Times New Roman" w:hAnsi="Times New Roman"/>
                <w:color w:val="000000"/>
              </w:rPr>
            </w:pPr>
            <w:r>
              <w:rPr>
                <w:rFonts w:ascii="Times New Roman" w:hAnsi="Times New Roman"/>
                <w:color w:val="000000"/>
              </w:rPr>
              <w:t>1.7</w:t>
            </w:r>
          </w:p>
          <w:p w:rsidR="00231129" w:rsidRDefault="00231129">
            <w:pPr>
              <w:spacing w:line="360" w:lineRule="auto"/>
              <w:rPr>
                <w:rFonts w:ascii="Times New Roman" w:hAnsi="Times New Roman"/>
                <w:color w:val="000000"/>
              </w:rPr>
            </w:pPr>
            <w:r>
              <w:rPr>
                <w:rFonts w:ascii="Times New Roman" w:hAnsi="Times New Roman"/>
                <w:color w:val="000000"/>
              </w:rPr>
              <w:t>5.3</w:t>
            </w:r>
          </w:p>
        </w:tc>
      </w:tr>
    </w:tbl>
    <w:p w:rsidR="00231129" w:rsidRDefault="00231129" w:rsidP="00231129">
      <w:pPr>
        <w:spacing w:after="0" w:line="360" w:lineRule="auto"/>
        <w:rPr>
          <w:rFonts w:ascii="Times New Roman" w:eastAsia="Calibri" w:hAnsi="Times New Roman"/>
        </w:rPr>
      </w:pPr>
      <w:r>
        <w:rPr>
          <w:rFonts w:ascii="Times New Roman" w:eastAsia="Calibri" w:hAnsi="Times New Roman"/>
        </w:rPr>
        <w:lastRenderedPageBreak/>
        <w:t xml:space="preserve"> </w:t>
      </w:r>
    </w:p>
    <w:p w:rsidR="00231129" w:rsidRDefault="00231129" w:rsidP="00231129">
      <w:pPr>
        <w:spacing w:after="0" w:line="360" w:lineRule="auto"/>
        <w:rPr>
          <w:rFonts w:ascii="Times New Roman" w:eastAsia="Calibri" w:hAnsi="Times New Roman"/>
        </w:rPr>
      </w:pPr>
      <w:r>
        <w:rPr>
          <w:rFonts w:ascii="Times New Roman" w:eastAsia="Calibri" w:hAnsi="Times New Roman"/>
        </w:rPr>
        <w:t>Burnout was assessed using three single-item subscales from the Maslach Burnout Inventory (scored 0 = Never to 4 = Always). A composite Burnout Score was calculated as the mean of the three subscales (higher score = greater burnout). Emotional exhaustion has a high burnout score, details in table 2.</w:t>
      </w:r>
    </w:p>
    <w:p w:rsidR="00231129" w:rsidRDefault="00231129" w:rsidP="00231129">
      <w:pPr>
        <w:spacing w:after="0" w:line="360" w:lineRule="auto"/>
        <w:rPr>
          <w:rFonts w:ascii="Times New Roman" w:eastAsia="Calibri" w:hAnsi="Times New Roman"/>
        </w:rPr>
      </w:pPr>
      <w:r>
        <w:rPr>
          <w:rFonts w:ascii="Times New Roman" w:eastAsia="Calibri" w:hAnsi="Times New Roman"/>
        </w:rPr>
        <w:t>Table 2: Burnout subscale scores and prevalence</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8"/>
        <w:gridCol w:w="1206"/>
        <w:gridCol w:w="1778"/>
      </w:tblGrid>
      <w:tr w:rsidR="00231129">
        <w:trPr>
          <w:tblCellSpacing w:w="15" w:type="dxa"/>
        </w:trPr>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Burnout Dimension</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Mean ± SD</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Interpretation</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Emotional Exhaustion</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3.50 ± 0.82</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b/>
                <w:bCs/>
              </w:rPr>
              <w:t xml:space="preserve">    High</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Depersonalization</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2.47 ± 0.75</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Moderate</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Personal Accomplishment</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2.54 ± 0.70</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Moderate</w:t>
            </w:r>
          </w:p>
        </w:tc>
      </w:tr>
    </w:tbl>
    <w:p w:rsidR="00231129" w:rsidRDefault="00231129" w:rsidP="00231129">
      <w:pPr>
        <w:spacing w:after="0" w:line="360" w:lineRule="auto"/>
        <w:rPr>
          <w:rFonts w:ascii="Times New Roman" w:eastAsia="Calibri" w:hAnsi="Times New Roman"/>
          <w:sz w:val="22"/>
          <w:szCs w:val="22"/>
        </w:rPr>
      </w:pPr>
      <w:r>
        <w:rPr>
          <w:rFonts w:ascii="Times New Roman" w:eastAsia="Calibri" w:hAnsi="Times New Roman"/>
          <w:sz w:val="22"/>
          <w:szCs w:val="22"/>
        </w:rPr>
        <w:t>SD = standard deviation</w:t>
      </w:r>
    </w:p>
    <w:p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rsidR="00231129" w:rsidRDefault="00231129" w:rsidP="00231129">
      <w:pPr>
        <w:spacing w:after="0" w:line="360" w:lineRule="auto"/>
        <w:rPr>
          <w:rFonts w:ascii="Times New Roman" w:eastAsia="Calibri" w:hAnsi="Times New Roman"/>
        </w:rPr>
      </w:pPr>
      <w:r>
        <w:rPr>
          <w:rFonts w:ascii="Times New Roman" w:eastAsia="Calibri" w:hAnsi="Times New Roman"/>
        </w:rPr>
        <w:t>The overall job satisfaction score was moderate (3.12 ± 0.84). Analysis of subdomains revealed variability across different aspects of job satisfaction (Table 3). Respondents reported high satisfaction with co-worker relationships (3.82 ± 0.69) and supervisor support (3.61 ± 0.76). Work environment recorded the lowest mean score (2.65 ± 0.88), indicating relative dissatisfaction.</w:t>
      </w:r>
    </w:p>
    <w:p w:rsidR="00231129" w:rsidRDefault="00231129" w:rsidP="00231129">
      <w:pPr>
        <w:spacing w:after="0" w:line="360" w:lineRule="auto"/>
        <w:rPr>
          <w:rFonts w:ascii="Times New Roman" w:eastAsia="Calibri" w:hAnsi="Times New Roman"/>
        </w:rPr>
      </w:pPr>
      <w:r>
        <w:rPr>
          <w:rFonts w:ascii="Times New Roman" w:eastAsia="Calibri" w:hAnsi="Times New Roman"/>
        </w:rPr>
        <w:t>Table 3: Job Satisfaction Scores</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5"/>
        <w:gridCol w:w="1326"/>
        <w:gridCol w:w="1735"/>
      </w:tblGrid>
      <w:tr w:rsidR="00231129">
        <w:trPr>
          <w:tblCellSpacing w:w="15" w:type="dxa"/>
        </w:trPr>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Variable</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Mean ± SD</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Interpretation</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proofErr w:type="gramStart"/>
            <w:r>
              <w:rPr>
                <w:rFonts w:ascii="Times New Roman" w:eastAsia="Calibri" w:hAnsi="Times New Roman"/>
              </w:rPr>
              <w:t>Overall</w:t>
            </w:r>
            <w:proofErr w:type="gramEnd"/>
            <w:r>
              <w:rPr>
                <w:rFonts w:ascii="Times New Roman" w:eastAsia="Calibri" w:hAnsi="Times New Roman"/>
              </w:rPr>
              <w:t xml:space="preserve"> Job Satisfaction</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3.12 ± 0.84</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Moderate</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Work Environment</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2.65 ± 0.88</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Low–Moderate</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Supervisor Support</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3.61 ± 0.76</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High</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Co-worker Relationships</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3.82 ± 0.69</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High</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Professional Development</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3.37 ± 0.81</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Moderate</w:t>
            </w:r>
          </w:p>
        </w:tc>
      </w:tr>
    </w:tbl>
    <w:p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rsidR="00231129" w:rsidRDefault="00231129" w:rsidP="00231129">
      <w:pPr>
        <w:spacing w:after="0" w:line="360" w:lineRule="auto"/>
        <w:rPr>
          <w:rFonts w:ascii="Times New Roman" w:eastAsia="Calibri" w:hAnsi="Times New Roman"/>
        </w:rPr>
      </w:pPr>
      <w:r>
        <w:rPr>
          <w:rFonts w:ascii="Times New Roman" w:eastAsia="Calibri" w:hAnsi="Times New Roman"/>
        </w:rPr>
        <w:lastRenderedPageBreak/>
        <w:t>There was no statistically significant association between gender and burnout scores (p = 0.292). However, years in residency showed a statistically significant association with burnout (p = 0.022). Residents with less than two years of training had higher burnout scores (2.06 ± 0.77) compared to those with 3–5 years and those with more than five years, suggesting that burnout decreases with increased years of training (Table 4).</w:t>
      </w:r>
    </w:p>
    <w:p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rsidR="00231129" w:rsidRDefault="00231129" w:rsidP="00231129">
      <w:pPr>
        <w:spacing w:after="0" w:line="360" w:lineRule="auto"/>
        <w:rPr>
          <w:rFonts w:ascii="Times New Roman" w:eastAsia="Calibri" w:hAnsi="Times New Roman"/>
        </w:rPr>
      </w:pPr>
      <w:r>
        <w:rPr>
          <w:rFonts w:ascii="Times New Roman" w:eastAsia="Calibri" w:hAnsi="Times New Roman"/>
        </w:rPr>
        <w:t>Table 4: Association of Burnout with Socio-demographic and Training Factors</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8"/>
        <w:gridCol w:w="2179"/>
        <w:gridCol w:w="2761"/>
        <w:gridCol w:w="1016"/>
      </w:tblGrid>
      <w:tr w:rsidR="00231129">
        <w:trPr>
          <w:tblCellSpacing w:w="15" w:type="dxa"/>
        </w:trPr>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Variable</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Group</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Mean Burnout Score ± SD</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p-value</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Gender</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Male</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1.76 ± 0.68</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0.292</w:t>
            </w:r>
          </w:p>
        </w:tc>
      </w:tr>
      <w:tr w:rsidR="00231129">
        <w:trPr>
          <w:tblCellSpacing w:w="15" w:type="dxa"/>
        </w:trPr>
        <w:tc>
          <w:tcPr>
            <w:tcW w:w="0" w:type="auto"/>
            <w:tcBorders>
              <w:top w:val="nil"/>
              <w:left w:val="nil"/>
              <w:bottom w:val="nil"/>
              <w:right w:val="nil"/>
            </w:tcBorders>
            <w:vAlign w:val="center"/>
          </w:tcPr>
          <w:p w:rsidR="00231129" w:rsidRDefault="00231129">
            <w:pPr>
              <w:spacing w:after="0" w:line="360" w:lineRule="auto"/>
              <w:rPr>
                <w:rFonts w:ascii="Times New Roman" w:eastAsia="Calibri" w:hAnsi="Times New Roman"/>
              </w:rPr>
            </w:pP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Female</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1.98 ± 0.87</w:t>
            </w:r>
          </w:p>
        </w:tc>
        <w:tc>
          <w:tcPr>
            <w:tcW w:w="0" w:type="auto"/>
            <w:tcBorders>
              <w:top w:val="nil"/>
              <w:left w:val="nil"/>
              <w:bottom w:val="nil"/>
              <w:right w:val="nil"/>
            </w:tcBorders>
            <w:vAlign w:val="center"/>
          </w:tcPr>
          <w:p w:rsidR="00231129" w:rsidRDefault="00231129">
            <w:pPr>
              <w:spacing w:after="0" w:line="360" w:lineRule="auto"/>
              <w:rPr>
                <w:rFonts w:ascii="Times New Roman" w:eastAsia="Calibri" w:hAnsi="Times New Roman"/>
              </w:rPr>
            </w:pP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Years in Residency</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Less than 2 years</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2.06 ± 0.77</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0.022*</w:t>
            </w:r>
          </w:p>
        </w:tc>
      </w:tr>
      <w:tr w:rsidR="00231129">
        <w:trPr>
          <w:tblCellSpacing w:w="15" w:type="dxa"/>
        </w:trPr>
        <w:tc>
          <w:tcPr>
            <w:tcW w:w="0" w:type="auto"/>
            <w:tcBorders>
              <w:top w:val="nil"/>
              <w:left w:val="nil"/>
              <w:bottom w:val="nil"/>
              <w:right w:val="nil"/>
            </w:tcBorders>
            <w:vAlign w:val="center"/>
          </w:tcPr>
          <w:p w:rsidR="00231129" w:rsidRDefault="00231129">
            <w:pPr>
              <w:spacing w:after="0" w:line="360" w:lineRule="auto"/>
              <w:rPr>
                <w:rFonts w:ascii="Times New Roman" w:eastAsia="Calibri" w:hAnsi="Times New Roman"/>
              </w:rPr>
            </w:pP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3–5 years</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1.64 ± 0.61</w:t>
            </w:r>
          </w:p>
        </w:tc>
        <w:tc>
          <w:tcPr>
            <w:tcW w:w="0" w:type="auto"/>
            <w:tcBorders>
              <w:top w:val="nil"/>
              <w:left w:val="nil"/>
              <w:bottom w:val="nil"/>
              <w:right w:val="nil"/>
            </w:tcBorders>
            <w:vAlign w:val="center"/>
          </w:tcPr>
          <w:p w:rsidR="00231129" w:rsidRDefault="00231129">
            <w:pPr>
              <w:spacing w:after="0" w:line="360" w:lineRule="auto"/>
              <w:rPr>
                <w:rFonts w:ascii="Times New Roman" w:eastAsia="Calibri" w:hAnsi="Times New Roman"/>
              </w:rPr>
            </w:pPr>
          </w:p>
        </w:tc>
      </w:tr>
      <w:tr w:rsidR="00231129">
        <w:trPr>
          <w:tblCellSpacing w:w="15" w:type="dxa"/>
        </w:trPr>
        <w:tc>
          <w:tcPr>
            <w:tcW w:w="0" w:type="auto"/>
            <w:tcBorders>
              <w:top w:val="nil"/>
              <w:left w:val="nil"/>
              <w:bottom w:val="nil"/>
              <w:right w:val="nil"/>
            </w:tcBorders>
            <w:vAlign w:val="center"/>
          </w:tcPr>
          <w:p w:rsidR="00231129" w:rsidRDefault="00231129">
            <w:pPr>
              <w:spacing w:after="0" w:line="360" w:lineRule="auto"/>
              <w:rPr>
                <w:rFonts w:ascii="Times New Roman" w:eastAsia="Calibri" w:hAnsi="Times New Roman"/>
              </w:rPr>
            </w:pP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Greater than 5 years</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1.55 ± 0.86</w:t>
            </w:r>
          </w:p>
        </w:tc>
        <w:tc>
          <w:tcPr>
            <w:tcW w:w="0" w:type="auto"/>
            <w:tcBorders>
              <w:top w:val="nil"/>
              <w:left w:val="nil"/>
              <w:bottom w:val="nil"/>
              <w:right w:val="nil"/>
            </w:tcBorders>
            <w:vAlign w:val="center"/>
          </w:tcPr>
          <w:p w:rsidR="00231129" w:rsidRDefault="00231129">
            <w:pPr>
              <w:spacing w:after="0" w:line="360" w:lineRule="auto"/>
              <w:rPr>
                <w:rFonts w:ascii="Times New Roman" w:eastAsia="Calibri" w:hAnsi="Times New Roman"/>
              </w:rPr>
            </w:pPr>
          </w:p>
        </w:tc>
      </w:tr>
    </w:tbl>
    <w:p w:rsidR="00231129" w:rsidRDefault="00231129" w:rsidP="00231129">
      <w:pPr>
        <w:spacing w:after="0" w:line="360" w:lineRule="auto"/>
        <w:rPr>
          <w:rFonts w:ascii="Times New Roman" w:eastAsia="Calibri" w:hAnsi="Times New Roman"/>
        </w:rPr>
      </w:pPr>
      <w:bookmarkStart w:id="2" w:name="_Hlk225611889"/>
      <w:bookmarkEnd w:id="2"/>
      <w:r>
        <w:rPr>
          <w:rFonts w:ascii="Times New Roman" w:eastAsia="Calibri" w:hAnsi="Times New Roman"/>
          <w:sz w:val="22"/>
          <w:szCs w:val="22"/>
        </w:rPr>
        <w:t>*Statistically significant</w:t>
      </w:r>
    </w:p>
    <w:p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rsidR="00231129" w:rsidRDefault="00231129" w:rsidP="00231129">
      <w:pPr>
        <w:spacing w:after="0" w:line="360" w:lineRule="auto"/>
        <w:rPr>
          <w:rFonts w:ascii="Times New Roman" w:eastAsia="Calibri" w:hAnsi="Times New Roman"/>
        </w:rPr>
      </w:pPr>
      <w:r>
        <w:rPr>
          <w:rFonts w:ascii="Times New Roman" w:eastAsia="Calibri" w:hAnsi="Times New Roman"/>
        </w:rPr>
        <w:t>Correlation analysis revealed a significant relationship between burnout dimensions and job satisfaction. Emotional exhaustion showed a strong negative correlation with job satisfaction (r = -0.61, p &lt; 0.001), while personal accomplishment had a positive correlation with job satisfaction (r = 0.44, p = 0.002). Details in Table 5.</w:t>
      </w:r>
    </w:p>
    <w:p w:rsidR="00231129" w:rsidRDefault="00231129" w:rsidP="00231129">
      <w:pPr>
        <w:spacing w:after="0" w:line="360" w:lineRule="auto"/>
        <w:rPr>
          <w:rFonts w:ascii="Times New Roman" w:eastAsia="Calibri" w:hAnsi="Times New Roman"/>
        </w:rPr>
      </w:pPr>
      <w:r>
        <w:rPr>
          <w:rFonts w:ascii="Times New Roman" w:eastAsia="Calibri" w:hAnsi="Times New Roman"/>
        </w:rPr>
        <w:t>Table 5: Correlation between burnout and job satisfaction</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8"/>
        <w:gridCol w:w="2200"/>
        <w:gridCol w:w="1016"/>
      </w:tblGrid>
      <w:tr w:rsidR="00231129">
        <w:trPr>
          <w:tblCellSpacing w:w="15" w:type="dxa"/>
        </w:trPr>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Variables</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Job Satisfaction (r)</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p-value</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Emotional Exhaustion</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-0.61</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&lt;0.001</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Depersonalization</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-0.47</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0.001</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Personal Accomplishment</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+0.44</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0.002</w:t>
            </w:r>
          </w:p>
        </w:tc>
      </w:tr>
    </w:tbl>
    <w:p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rsidR="00231129" w:rsidRDefault="00231129" w:rsidP="00231129">
      <w:pPr>
        <w:spacing w:after="0" w:line="360" w:lineRule="auto"/>
      </w:pPr>
      <w:r>
        <w:rPr>
          <w:rFonts w:ascii="Times New Roman" w:eastAsia="Calibri" w:hAnsi="Times New Roman"/>
        </w:rPr>
        <w:lastRenderedPageBreak/>
        <w:t xml:space="preserve">Table 6 displays the findings of a </w:t>
      </w:r>
      <w:r>
        <w:t xml:space="preserve">multivariate regression analysis that identified predictors of burnout and job satisfaction. </w:t>
      </w:r>
      <w:r>
        <w:rPr>
          <w:rFonts w:ascii="Times New Roman" w:eastAsia="Calibri" w:hAnsi="Times New Roman"/>
        </w:rPr>
        <w:t>For burnout, increased years in residency was significantly associated with lower burnout scores (β = -0.14, p = 0.023). Gender and age were not statistically significant predictors.</w:t>
      </w:r>
    </w:p>
    <w:p w:rsidR="00231129" w:rsidRDefault="00231129" w:rsidP="00231129">
      <w:pPr>
        <w:spacing w:after="0" w:line="360" w:lineRule="auto"/>
        <w:rPr>
          <w:rFonts w:ascii="Times New Roman" w:eastAsia="Calibri" w:hAnsi="Times New Roman"/>
        </w:rPr>
      </w:pPr>
      <w:r>
        <w:rPr>
          <w:rFonts w:ascii="Times New Roman" w:eastAsia="Calibri" w:hAnsi="Times New Roman"/>
        </w:rPr>
        <w:t>For job satisfaction, female gender was independently associated with lower job satisfaction (β = -0.14, p = 0.046), while years in residency and age were not statistically significant predictors.</w:t>
      </w:r>
    </w:p>
    <w:p w:rsidR="00231129" w:rsidRDefault="00231129" w:rsidP="00231129">
      <w:pPr>
        <w:spacing w:after="0" w:line="360" w:lineRule="auto"/>
        <w:rPr>
          <w:rFonts w:ascii="Times New Roman" w:eastAsia="Calibri" w:hAnsi="Times New Roman"/>
        </w:rPr>
      </w:pPr>
      <w:r>
        <w:rPr>
          <w:rFonts w:ascii="Times New Roman" w:eastAsia="Calibri" w:hAnsi="Times New Roman"/>
        </w:rPr>
        <w:t>Table 6: Multivariate linear regression – predictors of burnout score and job satisfaction</w:t>
      </w:r>
    </w:p>
    <w:tbl>
      <w:tblPr>
        <w:tblStyle w:val="TableGrid"/>
        <w:tblW w:w="9776" w:type="dxa"/>
        <w:tblInd w:w="0" w:type="dxa"/>
        <w:tblBorders>
          <w:left w:val="none" w:sz="0" w:space="0" w:color="auto"/>
          <w:right w:val="none" w:sz="0" w:space="0" w:color="auto"/>
        </w:tblBorders>
        <w:tblLook w:val="04A0" w:firstRow="1" w:lastRow="0" w:firstColumn="1" w:lastColumn="0" w:noHBand="0" w:noVBand="1"/>
      </w:tblPr>
      <w:tblGrid>
        <w:gridCol w:w="1334"/>
        <w:gridCol w:w="1496"/>
        <w:gridCol w:w="1560"/>
        <w:gridCol w:w="1134"/>
        <w:gridCol w:w="1559"/>
        <w:gridCol w:w="425"/>
        <w:gridCol w:w="1134"/>
        <w:gridCol w:w="1134"/>
      </w:tblGrid>
      <w:tr w:rsidR="00231129">
        <w:tc>
          <w:tcPr>
            <w:tcW w:w="1334"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b/>
                <w:bCs/>
              </w:rPr>
            </w:pPr>
            <w:r>
              <w:rPr>
                <w:rFonts w:ascii="Times New Roman" w:eastAsia="Calibri" w:hAnsi="Times New Roman"/>
                <w:b/>
                <w:bCs/>
              </w:rPr>
              <w:t>Predictors</w:t>
            </w:r>
          </w:p>
        </w:tc>
        <w:tc>
          <w:tcPr>
            <w:tcW w:w="1496"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b/>
                <w:bCs/>
              </w:rPr>
            </w:pPr>
            <w:r>
              <w:rPr>
                <w:rFonts w:ascii="Times New Roman" w:eastAsia="Calibri" w:hAnsi="Times New Roman"/>
                <w:b/>
                <w:bCs/>
              </w:rPr>
              <w:t>Burnout</w:t>
            </w:r>
          </w:p>
        </w:tc>
        <w:tc>
          <w:tcPr>
            <w:tcW w:w="1560" w:type="dxa"/>
            <w:tcBorders>
              <w:top w:val="single" w:sz="4" w:space="0" w:color="auto"/>
              <w:left w:val="nil"/>
              <w:bottom w:val="single" w:sz="4" w:space="0" w:color="auto"/>
              <w:right w:val="nil"/>
            </w:tcBorders>
          </w:tcPr>
          <w:p w:rsidR="00231129" w:rsidRDefault="00231129">
            <w:pPr>
              <w:spacing w:line="360" w:lineRule="auto"/>
              <w:rPr>
                <w:rFonts w:ascii="Times New Roman" w:eastAsia="Calibri" w:hAnsi="Times New Roman"/>
                <w:b/>
                <w:bCs/>
              </w:rPr>
            </w:pPr>
          </w:p>
        </w:tc>
        <w:tc>
          <w:tcPr>
            <w:tcW w:w="1134" w:type="dxa"/>
            <w:tcBorders>
              <w:top w:val="single" w:sz="4" w:space="0" w:color="auto"/>
              <w:left w:val="nil"/>
              <w:bottom w:val="single" w:sz="4" w:space="0" w:color="auto"/>
              <w:right w:val="nil"/>
            </w:tcBorders>
          </w:tcPr>
          <w:p w:rsidR="00231129" w:rsidRDefault="00231129">
            <w:pPr>
              <w:spacing w:line="360" w:lineRule="auto"/>
              <w:rPr>
                <w:rFonts w:ascii="Times New Roman" w:eastAsia="Calibri" w:hAnsi="Times New Roman"/>
                <w:b/>
                <w:bCs/>
              </w:rPr>
            </w:pPr>
          </w:p>
        </w:tc>
        <w:tc>
          <w:tcPr>
            <w:tcW w:w="1984" w:type="dxa"/>
            <w:gridSpan w:val="2"/>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b/>
                <w:bCs/>
              </w:rPr>
            </w:pPr>
            <w:r>
              <w:rPr>
                <w:rFonts w:ascii="Times New Roman" w:eastAsia="Calibri" w:hAnsi="Times New Roman"/>
                <w:b/>
                <w:bCs/>
              </w:rPr>
              <w:t>Job Satisfaction</w:t>
            </w:r>
          </w:p>
        </w:tc>
        <w:tc>
          <w:tcPr>
            <w:tcW w:w="1134" w:type="dxa"/>
            <w:tcBorders>
              <w:top w:val="single" w:sz="4" w:space="0" w:color="auto"/>
              <w:left w:val="nil"/>
              <w:bottom w:val="single" w:sz="4" w:space="0" w:color="auto"/>
              <w:right w:val="nil"/>
            </w:tcBorders>
          </w:tcPr>
          <w:p w:rsidR="00231129" w:rsidRDefault="00231129">
            <w:pPr>
              <w:spacing w:line="360" w:lineRule="auto"/>
              <w:rPr>
                <w:rFonts w:ascii="Times New Roman" w:eastAsia="Calibri" w:hAnsi="Times New Roman"/>
                <w:b/>
                <w:bCs/>
              </w:rPr>
            </w:pPr>
          </w:p>
        </w:tc>
        <w:tc>
          <w:tcPr>
            <w:tcW w:w="1134" w:type="dxa"/>
            <w:tcBorders>
              <w:top w:val="single" w:sz="4" w:space="0" w:color="auto"/>
              <w:left w:val="nil"/>
              <w:bottom w:val="single" w:sz="4" w:space="0" w:color="auto"/>
              <w:right w:val="nil"/>
            </w:tcBorders>
          </w:tcPr>
          <w:p w:rsidR="00231129" w:rsidRDefault="00231129">
            <w:pPr>
              <w:spacing w:line="360" w:lineRule="auto"/>
              <w:rPr>
                <w:rFonts w:ascii="Times New Roman" w:eastAsia="Calibri" w:hAnsi="Times New Roman"/>
                <w:b/>
                <w:bCs/>
              </w:rPr>
            </w:pPr>
          </w:p>
        </w:tc>
      </w:tr>
      <w:tr w:rsidR="00231129">
        <w:tc>
          <w:tcPr>
            <w:tcW w:w="1334" w:type="dxa"/>
            <w:tcBorders>
              <w:top w:val="single" w:sz="4" w:space="0" w:color="auto"/>
              <w:left w:val="nil"/>
              <w:bottom w:val="single" w:sz="4" w:space="0" w:color="auto"/>
              <w:right w:val="nil"/>
            </w:tcBorders>
          </w:tcPr>
          <w:p w:rsidR="00231129" w:rsidRDefault="00231129">
            <w:pPr>
              <w:spacing w:line="360" w:lineRule="auto"/>
              <w:rPr>
                <w:rFonts w:ascii="Times New Roman" w:eastAsia="Calibri" w:hAnsi="Times New Roman"/>
                <w:b/>
                <w:bCs/>
              </w:rPr>
            </w:pPr>
          </w:p>
        </w:tc>
        <w:tc>
          <w:tcPr>
            <w:tcW w:w="1496" w:type="dxa"/>
            <w:tcBorders>
              <w:top w:val="single" w:sz="4" w:space="0" w:color="auto"/>
              <w:left w:val="nil"/>
              <w:bottom w:val="single" w:sz="4" w:space="0" w:color="auto"/>
              <w:right w:val="nil"/>
            </w:tcBorders>
          </w:tcPr>
          <w:p w:rsidR="00231129" w:rsidRDefault="00231129">
            <w:pPr>
              <w:pStyle w:val="NormalWeb"/>
              <w:rPr>
                <w:b/>
                <w:bCs/>
              </w:rPr>
            </w:pPr>
            <w:r>
              <w:rPr>
                <w:b/>
                <w:bCs/>
              </w:rPr>
              <w:t>β coefficient</w:t>
            </w:r>
          </w:p>
          <w:p w:rsidR="00231129" w:rsidRDefault="00231129">
            <w:pPr>
              <w:spacing w:line="360" w:lineRule="auto"/>
              <w:rPr>
                <w:rFonts w:ascii="Times New Roman" w:eastAsia="Calibri" w:hAnsi="Times New Roman"/>
                <w:b/>
                <w:bCs/>
              </w:rPr>
            </w:pPr>
          </w:p>
        </w:tc>
        <w:tc>
          <w:tcPr>
            <w:tcW w:w="1560" w:type="dxa"/>
            <w:tcBorders>
              <w:top w:val="single" w:sz="4" w:space="0" w:color="auto"/>
              <w:left w:val="nil"/>
              <w:bottom w:val="single" w:sz="4" w:space="0" w:color="auto"/>
              <w:right w:val="nil"/>
            </w:tcBorders>
          </w:tcPr>
          <w:p w:rsidR="00231129" w:rsidRDefault="00231129">
            <w:pPr>
              <w:pStyle w:val="NormalWeb"/>
              <w:rPr>
                <w:b/>
                <w:bCs/>
              </w:rPr>
            </w:pPr>
            <w:r>
              <w:rPr>
                <w:b/>
                <w:bCs/>
              </w:rPr>
              <w:t>95% CI</w:t>
            </w:r>
          </w:p>
          <w:p w:rsidR="00231129" w:rsidRDefault="00231129">
            <w:pPr>
              <w:spacing w:line="360" w:lineRule="auto"/>
              <w:rPr>
                <w:rFonts w:ascii="Times New Roman" w:eastAsia="Calibri" w:hAnsi="Times New Roman"/>
                <w:b/>
                <w:bCs/>
              </w:rPr>
            </w:pPr>
          </w:p>
        </w:tc>
        <w:tc>
          <w:tcPr>
            <w:tcW w:w="1134" w:type="dxa"/>
            <w:tcBorders>
              <w:top w:val="single" w:sz="4" w:space="0" w:color="auto"/>
              <w:left w:val="nil"/>
              <w:bottom w:val="single" w:sz="4" w:space="0" w:color="auto"/>
              <w:right w:val="nil"/>
            </w:tcBorders>
            <w:hideMark/>
          </w:tcPr>
          <w:p w:rsidR="00231129" w:rsidRDefault="00231129">
            <w:pPr>
              <w:pStyle w:val="NormalWeb"/>
              <w:rPr>
                <w:b/>
                <w:bCs/>
              </w:rPr>
            </w:pPr>
            <w:r>
              <w:rPr>
                <w:b/>
                <w:bCs/>
              </w:rPr>
              <w:t>p-value</w:t>
            </w:r>
          </w:p>
        </w:tc>
        <w:tc>
          <w:tcPr>
            <w:tcW w:w="1559" w:type="dxa"/>
            <w:tcBorders>
              <w:top w:val="single" w:sz="4" w:space="0" w:color="auto"/>
              <w:left w:val="nil"/>
              <w:bottom w:val="single" w:sz="4" w:space="0" w:color="auto"/>
              <w:right w:val="nil"/>
            </w:tcBorders>
          </w:tcPr>
          <w:p w:rsidR="00231129" w:rsidRDefault="00231129">
            <w:pPr>
              <w:pStyle w:val="NormalWeb"/>
              <w:rPr>
                <w:b/>
                <w:bCs/>
              </w:rPr>
            </w:pPr>
            <w:r>
              <w:rPr>
                <w:b/>
                <w:bCs/>
              </w:rPr>
              <w:t>β coefficient</w:t>
            </w:r>
          </w:p>
          <w:p w:rsidR="00231129" w:rsidRDefault="00231129">
            <w:pPr>
              <w:spacing w:line="360" w:lineRule="auto"/>
              <w:rPr>
                <w:rFonts w:ascii="Times New Roman" w:eastAsia="Calibri" w:hAnsi="Times New Roman"/>
                <w:b/>
                <w:bCs/>
              </w:rPr>
            </w:pPr>
          </w:p>
        </w:tc>
        <w:tc>
          <w:tcPr>
            <w:tcW w:w="1559" w:type="dxa"/>
            <w:gridSpan w:val="2"/>
            <w:tcBorders>
              <w:top w:val="single" w:sz="4" w:space="0" w:color="auto"/>
              <w:left w:val="nil"/>
              <w:bottom w:val="single" w:sz="4" w:space="0" w:color="auto"/>
              <w:right w:val="nil"/>
            </w:tcBorders>
          </w:tcPr>
          <w:p w:rsidR="00231129" w:rsidRDefault="00231129">
            <w:pPr>
              <w:pStyle w:val="NormalWeb"/>
              <w:rPr>
                <w:b/>
                <w:bCs/>
              </w:rPr>
            </w:pPr>
            <w:r>
              <w:rPr>
                <w:b/>
                <w:bCs/>
              </w:rPr>
              <w:t>95% CI</w:t>
            </w:r>
          </w:p>
          <w:p w:rsidR="00231129" w:rsidRDefault="00231129">
            <w:pPr>
              <w:spacing w:line="360" w:lineRule="auto"/>
              <w:rPr>
                <w:rFonts w:ascii="Times New Roman" w:eastAsia="Calibri" w:hAnsi="Times New Roman"/>
                <w:b/>
                <w:bCs/>
              </w:rPr>
            </w:pPr>
          </w:p>
        </w:tc>
        <w:tc>
          <w:tcPr>
            <w:tcW w:w="1134" w:type="dxa"/>
            <w:tcBorders>
              <w:top w:val="single" w:sz="4" w:space="0" w:color="auto"/>
              <w:left w:val="nil"/>
              <w:bottom w:val="single" w:sz="4" w:space="0" w:color="auto"/>
              <w:right w:val="nil"/>
            </w:tcBorders>
            <w:hideMark/>
          </w:tcPr>
          <w:p w:rsidR="00231129" w:rsidRDefault="00231129">
            <w:pPr>
              <w:pStyle w:val="NormalWeb"/>
              <w:rPr>
                <w:b/>
                <w:bCs/>
              </w:rPr>
            </w:pPr>
            <w:r>
              <w:rPr>
                <w:b/>
                <w:bCs/>
              </w:rPr>
              <w:t>p-value</w:t>
            </w:r>
          </w:p>
        </w:tc>
      </w:tr>
      <w:tr w:rsidR="00231129">
        <w:tc>
          <w:tcPr>
            <w:tcW w:w="1334"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Female Gender</w:t>
            </w:r>
          </w:p>
        </w:tc>
        <w:tc>
          <w:tcPr>
            <w:tcW w:w="1496"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0.19</w:t>
            </w:r>
          </w:p>
        </w:tc>
        <w:tc>
          <w:tcPr>
            <w:tcW w:w="1560"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-0.18 to 0.56</w:t>
            </w:r>
          </w:p>
        </w:tc>
        <w:tc>
          <w:tcPr>
            <w:tcW w:w="1134"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0.312</w:t>
            </w:r>
          </w:p>
        </w:tc>
        <w:tc>
          <w:tcPr>
            <w:tcW w:w="1559"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-0.14</w:t>
            </w:r>
          </w:p>
        </w:tc>
        <w:tc>
          <w:tcPr>
            <w:tcW w:w="1559" w:type="dxa"/>
            <w:gridSpan w:val="2"/>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-0.82 to -0.01</w:t>
            </w:r>
          </w:p>
        </w:tc>
        <w:tc>
          <w:tcPr>
            <w:tcW w:w="1134"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0.046*</w:t>
            </w:r>
          </w:p>
        </w:tc>
      </w:tr>
      <w:tr w:rsidR="00231129">
        <w:tc>
          <w:tcPr>
            <w:tcW w:w="1334"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Year in Residency</w:t>
            </w:r>
          </w:p>
        </w:tc>
        <w:tc>
          <w:tcPr>
            <w:tcW w:w="1496"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-0.14</w:t>
            </w:r>
          </w:p>
        </w:tc>
        <w:tc>
          <w:tcPr>
            <w:tcW w:w="1560"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-0.26 to -0.02</w:t>
            </w:r>
          </w:p>
        </w:tc>
        <w:tc>
          <w:tcPr>
            <w:tcW w:w="1134"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0.023*</w:t>
            </w:r>
          </w:p>
        </w:tc>
        <w:tc>
          <w:tcPr>
            <w:tcW w:w="1559"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0.09</w:t>
            </w:r>
          </w:p>
        </w:tc>
        <w:tc>
          <w:tcPr>
            <w:tcW w:w="1559" w:type="dxa"/>
            <w:gridSpan w:val="2"/>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-0.05 to 0.23</w:t>
            </w:r>
          </w:p>
        </w:tc>
        <w:tc>
          <w:tcPr>
            <w:tcW w:w="1134"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0.198</w:t>
            </w:r>
          </w:p>
        </w:tc>
      </w:tr>
      <w:tr w:rsidR="00231129">
        <w:tc>
          <w:tcPr>
            <w:tcW w:w="1334"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Age</w:t>
            </w:r>
          </w:p>
        </w:tc>
        <w:tc>
          <w:tcPr>
            <w:tcW w:w="1496"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-0.01</w:t>
            </w:r>
          </w:p>
        </w:tc>
        <w:tc>
          <w:tcPr>
            <w:tcW w:w="1560"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-0.05 to 0.03</w:t>
            </w:r>
          </w:p>
        </w:tc>
        <w:tc>
          <w:tcPr>
            <w:tcW w:w="1134"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0.614</w:t>
            </w:r>
          </w:p>
        </w:tc>
        <w:tc>
          <w:tcPr>
            <w:tcW w:w="1559"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0.02</w:t>
            </w:r>
          </w:p>
        </w:tc>
        <w:tc>
          <w:tcPr>
            <w:tcW w:w="1559" w:type="dxa"/>
            <w:gridSpan w:val="2"/>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-0.03 to 0.07</w:t>
            </w:r>
          </w:p>
        </w:tc>
        <w:tc>
          <w:tcPr>
            <w:tcW w:w="1134" w:type="dxa"/>
            <w:tcBorders>
              <w:top w:val="single" w:sz="4" w:space="0" w:color="auto"/>
              <w:left w:val="nil"/>
              <w:bottom w:val="single" w:sz="4" w:space="0" w:color="auto"/>
              <w:right w:val="nil"/>
            </w:tcBorders>
            <w:hideMark/>
          </w:tcPr>
          <w:p w:rsidR="00231129" w:rsidRDefault="00231129">
            <w:pPr>
              <w:spacing w:line="360" w:lineRule="auto"/>
              <w:rPr>
                <w:rFonts w:ascii="Times New Roman" w:eastAsia="Calibri" w:hAnsi="Times New Roman"/>
              </w:rPr>
            </w:pPr>
            <w:r>
              <w:rPr>
                <w:rFonts w:ascii="Times New Roman" w:eastAsia="Calibri" w:hAnsi="Times New Roman"/>
              </w:rPr>
              <w:t>0.412</w:t>
            </w:r>
          </w:p>
        </w:tc>
      </w:tr>
    </w:tbl>
    <w:p w:rsidR="00231129" w:rsidRDefault="00231129" w:rsidP="00231129">
      <w:pPr>
        <w:spacing w:after="0" w:line="360" w:lineRule="auto"/>
        <w:rPr>
          <w:rFonts w:ascii="Times New Roman" w:eastAsia="Calibri" w:hAnsi="Times New Roman"/>
        </w:rPr>
      </w:pPr>
      <w:r>
        <w:rPr>
          <w:rFonts w:ascii="Times New Roman" w:eastAsia="Calibri" w:hAnsi="Times New Roman"/>
          <w:sz w:val="22"/>
          <w:szCs w:val="22"/>
        </w:rPr>
        <w:t>*Statistically significant</w:t>
      </w:r>
    </w:p>
    <w:p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rsidR="00231129" w:rsidRDefault="00231129" w:rsidP="00231129">
      <w:pPr>
        <w:spacing w:after="0" w:line="360" w:lineRule="auto"/>
        <w:rPr>
          <w:rFonts w:ascii="Times New Roman" w:eastAsia="Calibri" w:hAnsi="Times New Roman"/>
        </w:rPr>
      </w:pPr>
      <w:r>
        <w:rPr>
          <w:rFonts w:ascii="Times New Roman" w:eastAsia="Calibri" w:hAnsi="Times New Roman"/>
        </w:rPr>
        <w:t>Logistic regression analysis showed that low job satisfaction (AOR = 3.6, p = 0.002), poor work environment (AOR = 2.9, p = 0.004), and long working hours (AOR = 2.5, p = 0.01) were significant predictors of high burnout. Poor supervisor support showed a positive association but was not statistically significant (Table 7). Table 8 displays the independent predictors of job satisfaction. Emotional exhaustion had the most powerful negative predictor (β = -0.45, p &lt; 0.001), while work environment had the strongest positive predictor (β = 0.38, p = 0.002).</w:t>
      </w:r>
    </w:p>
    <w:p w:rsidR="00231129" w:rsidRDefault="00231129" w:rsidP="00231129">
      <w:pPr>
        <w:spacing w:after="0" w:line="360" w:lineRule="auto"/>
        <w:rPr>
          <w:rFonts w:ascii="Times New Roman" w:eastAsia="Calibri" w:hAnsi="Times New Roman"/>
        </w:rPr>
      </w:pPr>
      <w:r>
        <w:rPr>
          <w:rFonts w:ascii="Times New Roman" w:eastAsia="Calibri" w:hAnsi="Times New Roman"/>
        </w:rPr>
        <w:t>Table 7: Factors Associated with High Burnout – Logistic Regression</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49"/>
        <w:gridCol w:w="821"/>
        <w:gridCol w:w="1076"/>
      </w:tblGrid>
      <w:tr w:rsidR="00231129">
        <w:trPr>
          <w:tblCellSpacing w:w="15" w:type="dxa"/>
        </w:trPr>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Variable</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AOR</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p-value</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Low Job Satisfaction</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3.6</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0.002</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Poor Work Environment</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2.9</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0.004</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lastRenderedPageBreak/>
              <w:t>Long Working Hours</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2.5</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0.01</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Poor Supervisor Support</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1.9</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0.08</w:t>
            </w:r>
          </w:p>
        </w:tc>
      </w:tr>
    </w:tbl>
    <w:p w:rsidR="00231129" w:rsidRDefault="00231129" w:rsidP="00231129">
      <w:pPr>
        <w:spacing w:after="0" w:line="360" w:lineRule="auto"/>
        <w:rPr>
          <w:rFonts w:ascii="Times New Roman" w:eastAsia="Calibri" w:hAnsi="Times New Roman"/>
          <w:sz w:val="22"/>
          <w:szCs w:val="22"/>
        </w:rPr>
      </w:pPr>
      <w:r>
        <w:rPr>
          <w:rFonts w:ascii="Times New Roman" w:eastAsia="Calibri" w:hAnsi="Times New Roman"/>
          <w:sz w:val="22"/>
          <w:szCs w:val="22"/>
        </w:rPr>
        <w:t>AOR = Adjusted Odds Ratio</w:t>
      </w:r>
    </w:p>
    <w:p w:rsidR="00231129" w:rsidRDefault="00231129" w:rsidP="00231129">
      <w:pPr>
        <w:spacing w:after="0" w:line="360" w:lineRule="auto"/>
        <w:rPr>
          <w:rFonts w:ascii="Times New Roman" w:eastAsia="Calibri" w:hAnsi="Times New Roman"/>
          <w:sz w:val="22"/>
          <w:szCs w:val="22"/>
        </w:rPr>
      </w:pPr>
      <w:r>
        <w:rPr>
          <w:rFonts w:ascii="Times New Roman" w:eastAsia="Calibri" w:hAnsi="Times New Roman"/>
          <w:sz w:val="22"/>
          <w:szCs w:val="22"/>
        </w:rPr>
        <w:t xml:space="preserve"> </w:t>
      </w:r>
    </w:p>
    <w:p w:rsidR="00231129" w:rsidRDefault="00231129" w:rsidP="00231129">
      <w:pPr>
        <w:spacing w:after="0" w:line="360" w:lineRule="auto"/>
        <w:rPr>
          <w:rFonts w:ascii="Times New Roman" w:eastAsia="Calibri" w:hAnsi="Times New Roman"/>
        </w:rPr>
      </w:pPr>
      <w:r>
        <w:rPr>
          <w:rFonts w:ascii="Times New Roman" w:eastAsia="Calibri" w:hAnsi="Times New Roman"/>
        </w:rPr>
        <w:t>Table 8: Predictors of Job Satisfaction – Multiple Regression</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8"/>
        <w:gridCol w:w="1113"/>
        <w:gridCol w:w="1076"/>
      </w:tblGrid>
      <w:tr w:rsidR="00231129">
        <w:trPr>
          <w:tblCellSpacing w:w="15" w:type="dxa"/>
        </w:trPr>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Variable</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β (Beta)</w:t>
            </w:r>
          </w:p>
        </w:tc>
        <w:tc>
          <w:tcPr>
            <w:tcW w:w="0" w:type="auto"/>
            <w:tcBorders>
              <w:top w:val="single" w:sz="4" w:space="0" w:color="auto"/>
              <w:left w:val="nil"/>
              <w:bottom w:val="single" w:sz="4" w:space="0" w:color="auto"/>
              <w:right w:val="nil"/>
            </w:tcBorders>
            <w:vAlign w:val="center"/>
            <w:hideMark/>
          </w:tcPr>
          <w:p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p-value</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Emotional Exhaustion</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-0.45</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&lt;0.001</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Depersonalization</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-0.18</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0.04</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Personal Accomplishment</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+0.29</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0.01</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Work Environment</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+0.38</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0.002</w:t>
            </w:r>
          </w:p>
        </w:tc>
      </w:tr>
      <w:tr w:rsidR="00231129">
        <w:trPr>
          <w:tblCellSpacing w:w="15" w:type="dxa"/>
        </w:trPr>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Supervisor Support</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+0.25</w:t>
            </w:r>
          </w:p>
        </w:tc>
        <w:tc>
          <w:tcPr>
            <w:tcW w:w="0" w:type="auto"/>
            <w:tcBorders>
              <w:top w:val="nil"/>
              <w:left w:val="nil"/>
              <w:bottom w:val="nil"/>
              <w:right w:val="nil"/>
            </w:tcBorders>
            <w:vAlign w:val="center"/>
            <w:hideMark/>
          </w:tcPr>
          <w:p w:rsidR="00231129" w:rsidRDefault="00231129">
            <w:pPr>
              <w:spacing w:after="0" w:line="360" w:lineRule="auto"/>
              <w:rPr>
                <w:rFonts w:ascii="Times New Roman" w:eastAsia="Calibri" w:hAnsi="Times New Roman"/>
              </w:rPr>
            </w:pPr>
            <w:r>
              <w:rPr>
                <w:rFonts w:ascii="Times New Roman" w:eastAsia="Calibri" w:hAnsi="Times New Roman"/>
              </w:rPr>
              <w:t xml:space="preserve">    0.01</w:t>
            </w:r>
          </w:p>
        </w:tc>
      </w:tr>
    </w:tbl>
    <w:p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 </w:t>
      </w:r>
    </w:p>
    <w:p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DISCUSSION</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This </w:t>
      </w:r>
      <w:proofErr w:type="spellStart"/>
      <w:r>
        <w:rPr>
          <w:rFonts w:ascii="Times New Roman" w:eastAsia="Calibri" w:hAnsi="Times New Roman"/>
        </w:rPr>
        <w:t>multicentre</w:t>
      </w:r>
      <w:proofErr w:type="spellEnd"/>
      <w:r>
        <w:rPr>
          <w:rFonts w:ascii="Times New Roman" w:eastAsia="Calibri" w:hAnsi="Times New Roman"/>
        </w:rPr>
        <w:t xml:space="preserve"> study provides important insights into emotional burnout and job satisfaction among oncology residents in Nigeria. The findings reveal a clear pattern in which burnout is strongly associated with the number of years in training, while job satisfaction is influenced primarily by gender-related factors. Nearly half of the participants reported high levels of emotional exhaustion, and those in the early years of training (≤2 years) appeared particularly vulnerable, with mean burnout scores approximately 25% higher than their senior counterparts. This pattern strongly reflects what is often described as the “internship shock” phase; a period when newly inducted residents’ transition abruptly from structured academic learning into the realities of clinical medicine, where the pace is relentless and the emotional demands are profound [18]. For many of these young doctors, oncology is not just technically demanding but emotionally heavy. They are frequently confronted with suffering, end-of-life care, and difficult </w:t>
      </w:r>
      <w:r>
        <w:rPr>
          <w:rFonts w:ascii="Times New Roman" w:eastAsia="Calibri" w:hAnsi="Times New Roman"/>
        </w:rPr>
        <w:lastRenderedPageBreak/>
        <w:t>conversations with patients and families. Without adequate time or support to process these experiences, it is understandable that emotional exhaustion becomes the dominant feature of burnout in this group.</w:t>
      </w:r>
    </w:p>
    <w:p w:rsidR="00231129" w:rsidRDefault="00231129" w:rsidP="00231129">
      <w:pPr>
        <w:spacing w:line="360" w:lineRule="auto"/>
        <w:rPr>
          <w:rFonts w:ascii="Times New Roman" w:eastAsia="Calibri" w:hAnsi="Times New Roman"/>
        </w:rPr>
      </w:pPr>
      <w:r>
        <w:rPr>
          <w:rFonts w:ascii="Times New Roman" w:eastAsia="Calibri" w:hAnsi="Times New Roman"/>
        </w:rPr>
        <w:t>Burnout pattern:</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The burnout profile observed in this study, </w:t>
      </w:r>
      <w:proofErr w:type="spellStart"/>
      <w:r>
        <w:rPr>
          <w:rFonts w:ascii="Times New Roman" w:eastAsia="Calibri" w:hAnsi="Times New Roman"/>
        </w:rPr>
        <w:t>characterised</w:t>
      </w:r>
      <w:proofErr w:type="spellEnd"/>
      <w:r>
        <w:rPr>
          <w:rFonts w:ascii="Times New Roman" w:eastAsia="Calibri" w:hAnsi="Times New Roman"/>
        </w:rPr>
        <w:t xml:space="preserve"> by high emotional exhaustion with moderate </w:t>
      </w:r>
      <w:proofErr w:type="spellStart"/>
      <w:r>
        <w:rPr>
          <w:rFonts w:ascii="Times New Roman" w:eastAsia="Calibri" w:hAnsi="Times New Roman"/>
        </w:rPr>
        <w:t>depersonalisation</w:t>
      </w:r>
      <w:proofErr w:type="spellEnd"/>
      <w:r>
        <w:rPr>
          <w:rFonts w:ascii="Times New Roman" w:eastAsia="Calibri" w:hAnsi="Times New Roman"/>
        </w:rPr>
        <w:t xml:space="preserve"> and personal accomplishment is particularly telling. It suggests that while residents are deeply fatigued, many have not yet disengaged completely from their patients or lost their sense of professional purpose.</w:t>
      </w:r>
    </w:p>
    <w:p w:rsidR="00231129" w:rsidRDefault="00231129" w:rsidP="00231129">
      <w:pPr>
        <w:spacing w:line="360" w:lineRule="auto"/>
        <w:rPr>
          <w:rFonts w:ascii="Times New Roman" w:eastAsia="Calibri" w:hAnsi="Times New Roman"/>
        </w:rPr>
      </w:pPr>
      <w:r>
        <w:rPr>
          <w:rFonts w:ascii="Times New Roman" w:eastAsia="Calibri" w:hAnsi="Times New Roman"/>
        </w:rPr>
        <w:t>This finding aligns with studies from other low- and middle-income countries, where healthcare workers often continue to demonstrate strong professional commitment despite difficult working conditions [19]. In sub-Saharan Africa, similar levels of emotional exhaustion (45–55%) have been reported, largely attributed to systemic challenges such as workforce shortages, high patient volumes, and limited psychosocial support systems.</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In contrast, lower burnout rates reported in high-income countries (30–40%) [20], highlight the impact of structured institutional support. In those settings, policies such as regulated duty hours, access to mental health services, and formal wellness </w:t>
      </w:r>
      <w:proofErr w:type="spellStart"/>
      <w:r>
        <w:rPr>
          <w:rFonts w:ascii="Times New Roman" w:eastAsia="Calibri" w:hAnsi="Times New Roman"/>
        </w:rPr>
        <w:t>programmes</w:t>
      </w:r>
      <w:proofErr w:type="spellEnd"/>
      <w:r>
        <w:rPr>
          <w:rFonts w:ascii="Times New Roman" w:eastAsia="Calibri" w:hAnsi="Times New Roman"/>
        </w:rPr>
        <w:t xml:space="preserve"> provide a buffer against the intense demands of oncology training. The difference is not necessarily in the nature of oncology itself, but in the systems surrounding the trainees.</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Job Satisfaction: </w:t>
      </w:r>
    </w:p>
    <w:p w:rsidR="00231129" w:rsidRDefault="00231129" w:rsidP="00231129">
      <w:pPr>
        <w:spacing w:line="360" w:lineRule="auto"/>
        <w:rPr>
          <w:rFonts w:ascii="Times New Roman" w:eastAsia="Calibri" w:hAnsi="Times New Roman"/>
        </w:rPr>
      </w:pPr>
      <w:r>
        <w:rPr>
          <w:rFonts w:ascii="Times New Roman" w:eastAsia="Calibri" w:hAnsi="Times New Roman"/>
        </w:rPr>
        <w:t>Despite the high levels of emotional exhaustion, job satisfaction among respondents was moderate overall. What stands out, however, is the clear contrast between interpersonal satisfaction and structural dissatisfaction.</w:t>
      </w:r>
    </w:p>
    <w:p w:rsidR="00231129" w:rsidRDefault="00231129" w:rsidP="00231129">
      <w:pPr>
        <w:spacing w:line="360" w:lineRule="auto"/>
        <w:rPr>
          <w:rFonts w:ascii="Times New Roman" w:eastAsia="Calibri" w:hAnsi="Times New Roman"/>
        </w:rPr>
      </w:pPr>
      <w:r>
        <w:rPr>
          <w:rFonts w:ascii="Times New Roman" w:eastAsia="Calibri" w:hAnsi="Times New Roman"/>
        </w:rPr>
        <w:t>Residents reported high satisfaction with their colleagues and supervisors, suggesting that relationships within the workplace remain strong. This is an important and encouraging finding. It reflects a culture of teamwork, shared experience, and mutual support factors that often sustain healthcare workers even in the most challenging environments.</w:t>
      </w:r>
    </w:p>
    <w:p w:rsidR="00231129" w:rsidRDefault="00231129" w:rsidP="00231129">
      <w:pPr>
        <w:spacing w:line="360" w:lineRule="auto"/>
        <w:rPr>
          <w:rFonts w:ascii="Times New Roman" w:eastAsia="Calibri" w:hAnsi="Times New Roman"/>
        </w:rPr>
      </w:pPr>
      <w:r>
        <w:rPr>
          <w:rFonts w:ascii="Times New Roman" w:eastAsia="Calibri" w:hAnsi="Times New Roman"/>
        </w:rPr>
        <w:lastRenderedPageBreak/>
        <w:t>At the same time, lower satisfaction with the work environment points to deeper systemic issues. These may include workload pressures, inadequate infrastructure, staffing shortages, and limited access to resources. In many ways, this paints a very human picture: “Residents are not dissatisfied with who they work with, but rather how they are required to work”.</w:t>
      </w:r>
    </w:p>
    <w:p w:rsidR="00231129" w:rsidRDefault="00231129" w:rsidP="00231129">
      <w:pPr>
        <w:spacing w:line="360" w:lineRule="auto"/>
        <w:rPr>
          <w:rFonts w:ascii="Times New Roman" w:eastAsia="Calibri" w:hAnsi="Times New Roman"/>
        </w:rPr>
      </w:pPr>
      <w:r>
        <w:rPr>
          <w:rFonts w:ascii="Times New Roman" w:eastAsia="Calibri" w:hAnsi="Times New Roman"/>
        </w:rPr>
        <w:t>The strong inverse correlation between emotional exhaustion and job satisfaction (r = –0.61, p &lt; 0.001) further reinforces this relationship. As residents become more emotionally drained, their sense of fulfilment and satisfaction diminishes. This finding is consistent with global evidence showing that burnout erodes not only performance but also the meaning and satisfaction derived from work [21]. It also mirrors findings within Nigerian physician populations, suggesting that this is a widespread issue within the local healthcare system [22].</w:t>
      </w:r>
    </w:p>
    <w:p w:rsidR="00231129" w:rsidRDefault="00231129" w:rsidP="00231129">
      <w:pPr>
        <w:spacing w:line="360" w:lineRule="auto"/>
        <w:rPr>
          <w:rFonts w:ascii="Times New Roman" w:eastAsia="Calibri" w:hAnsi="Times New Roman"/>
        </w:rPr>
      </w:pPr>
      <w:r>
        <w:rPr>
          <w:rFonts w:ascii="Times New Roman" w:eastAsia="Calibri" w:hAnsi="Times New Roman"/>
        </w:rPr>
        <w:t>Gender and Burnout:</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The observation that female residents reported lower job satisfaction and slightly higher burnout adds another layer of complexity to the findings. While the differences may appear modest, they are important and reflect broader structural and societal dynamics. Female physicians often navigate additional expectations outside the workplace, including family responsibilities and societal roles. These competing demands can intensify stress and reduce opportunities for rest and recovery. Furthermore, subtle workplace factors such as differences in mentorship opportunities or perceived support may also contribute to this disparity [23,24]. This finding calls for a more inclusive and supportive training environment that </w:t>
      </w:r>
      <w:proofErr w:type="spellStart"/>
      <w:r>
        <w:rPr>
          <w:rFonts w:ascii="Times New Roman" w:eastAsia="Calibri" w:hAnsi="Times New Roman"/>
        </w:rPr>
        <w:t>recognises</w:t>
      </w:r>
      <w:proofErr w:type="spellEnd"/>
      <w:r>
        <w:rPr>
          <w:rFonts w:ascii="Times New Roman" w:eastAsia="Calibri" w:hAnsi="Times New Roman"/>
        </w:rPr>
        <w:t xml:space="preserve"> and accommodates these differences rather than assuming a “one-size-fits-all” approach to residency training.</w:t>
      </w:r>
    </w:p>
    <w:p w:rsidR="00231129" w:rsidRDefault="00231129" w:rsidP="00231129">
      <w:pPr>
        <w:spacing w:line="360" w:lineRule="auto"/>
        <w:rPr>
          <w:rFonts w:ascii="Times New Roman" w:eastAsia="Calibri" w:hAnsi="Times New Roman"/>
        </w:rPr>
      </w:pPr>
      <w:r>
        <w:rPr>
          <w:rFonts w:ascii="Times New Roman" w:eastAsia="Calibri" w:hAnsi="Times New Roman"/>
        </w:rPr>
        <w:t>Experience as a Protective Factor:</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An encouraging finding from this study is that increasing years in residency were associated with lower burnout levels. This suggests that, over time, residents develop resilience, better coping mechanisms, and greater confidence in managing clinical and emotional demands. Senior residents are likely more familiar with the workflow, better able to </w:t>
      </w:r>
      <w:proofErr w:type="spellStart"/>
      <w:r>
        <w:rPr>
          <w:rFonts w:ascii="Times New Roman" w:eastAsia="Calibri" w:hAnsi="Times New Roman"/>
        </w:rPr>
        <w:t>prioritise</w:t>
      </w:r>
      <w:proofErr w:type="spellEnd"/>
      <w:r>
        <w:rPr>
          <w:rFonts w:ascii="Times New Roman" w:eastAsia="Calibri" w:hAnsi="Times New Roman"/>
        </w:rPr>
        <w:t xml:space="preserve"> tasks, and more comfortable navigating difficult patient interactions. They may also have stronger support </w:t>
      </w:r>
      <w:r>
        <w:rPr>
          <w:rFonts w:ascii="Times New Roman" w:eastAsia="Calibri" w:hAnsi="Times New Roman"/>
        </w:rPr>
        <w:lastRenderedPageBreak/>
        <w:t>networks within the system. This gradual adaptation highlights the importance of supporting junior residents during their most vulnerable early years, where the risk of burnout is highest.</w:t>
      </w:r>
    </w:p>
    <w:p w:rsidR="00231129" w:rsidRDefault="00231129" w:rsidP="00231129">
      <w:pPr>
        <w:spacing w:line="360" w:lineRule="auto"/>
        <w:rPr>
          <w:rFonts w:ascii="Times New Roman" w:eastAsia="Calibri" w:hAnsi="Times New Roman"/>
        </w:rPr>
      </w:pPr>
      <w:r>
        <w:rPr>
          <w:rFonts w:ascii="Times New Roman" w:eastAsia="Calibri" w:hAnsi="Times New Roman"/>
        </w:rPr>
        <w:t>Key Drivers of Burnout:</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The logistic regression analysis provides valuable insight into what is driving burnout and importantly, what can be changed. Low job satisfaction, poor work environment, and long working hours emerged as the strongest predictors. These are not abstract concepts; they are everyday realities for many residents. Long hours without adequate rest lead to physical fatigue, while poorly structured work environments create inefficiencies and frustration. Over time, these factors accumulate, leading to emotional exhaustion. The fact that these predictors are modifiable is crucial. Even in resource-limited settings, targeted interventions can make a meaningful difference. </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Simple strategies such as ensuring protected rest periods, strengthening mentorship and supervision, and providing access to psychological support can significantly reduce burnout [25]. </w:t>
      </w:r>
    </w:p>
    <w:p w:rsidR="00231129" w:rsidRDefault="00231129" w:rsidP="00231129">
      <w:pPr>
        <w:spacing w:line="360" w:lineRule="auto"/>
        <w:rPr>
          <w:rFonts w:ascii="Times New Roman" w:eastAsia="Calibri" w:hAnsi="Times New Roman"/>
        </w:rPr>
      </w:pPr>
      <w:r>
        <w:rPr>
          <w:rFonts w:ascii="Times New Roman" w:eastAsia="Calibri" w:hAnsi="Times New Roman"/>
        </w:rPr>
        <w:t>Strengths and Limitations:</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This study has several strengths. Its </w:t>
      </w:r>
      <w:proofErr w:type="spellStart"/>
      <w:r>
        <w:rPr>
          <w:rFonts w:ascii="Times New Roman" w:eastAsia="Calibri" w:hAnsi="Times New Roman"/>
        </w:rPr>
        <w:t>multicentre</w:t>
      </w:r>
      <w:proofErr w:type="spellEnd"/>
      <w:r>
        <w:rPr>
          <w:rFonts w:ascii="Times New Roman" w:eastAsia="Calibri" w:hAnsi="Times New Roman"/>
        </w:rPr>
        <w:t xml:space="preserve"> design across seven major teaching hospitals enhances the representativeness of the findings within Nigeria. Additionally, the use of validated single-item measures derived from the Maslach Burnout Inventory allows for efficient and reliable assessment of burnout in a busy clinical setting, with prior studies confirming strong correlation with the full instrument [26].</w:t>
      </w:r>
    </w:p>
    <w:p w:rsidR="00231129" w:rsidRDefault="00231129" w:rsidP="00231129">
      <w:pPr>
        <w:spacing w:line="360" w:lineRule="auto"/>
        <w:rPr>
          <w:rFonts w:ascii="Times New Roman" w:eastAsia="Calibri" w:hAnsi="Times New Roman"/>
        </w:rPr>
      </w:pPr>
      <w:r>
        <w:rPr>
          <w:rFonts w:ascii="Times New Roman" w:eastAsia="Calibri" w:hAnsi="Times New Roman"/>
        </w:rPr>
        <w:t>However, certain limitations should be acknowledged. The cross-sectional design limits the ability to establish causality, meaning we cannot definitively say that burnout causes low job satisfaction or vice versa. The reliance on self-reported data introduces the possibility of social desirability bias, where respondents may underreport negative experiences. Finally, the relatively modest sample size limits the ability to explore subgroup differences in greater depth.</w:t>
      </w:r>
    </w:p>
    <w:p w:rsidR="00231129" w:rsidRDefault="00231129" w:rsidP="00231129">
      <w:pPr>
        <w:spacing w:line="360" w:lineRule="auto"/>
        <w:rPr>
          <w:rFonts w:ascii="Times New Roman" w:eastAsia="Calibri" w:hAnsi="Times New Roman"/>
        </w:rPr>
      </w:pPr>
      <w:r>
        <w:rPr>
          <w:rFonts w:ascii="Times New Roman" w:eastAsia="Calibri" w:hAnsi="Times New Roman"/>
        </w:rPr>
        <w:t>Conclusion:</w:t>
      </w:r>
    </w:p>
    <w:p w:rsidR="00231129" w:rsidRDefault="00231129" w:rsidP="00231129">
      <w:pPr>
        <w:spacing w:line="360" w:lineRule="auto"/>
        <w:rPr>
          <w:rFonts w:ascii="Times New Roman" w:eastAsia="Calibri" w:hAnsi="Times New Roman"/>
        </w:rPr>
      </w:pPr>
      <w:r>
        <w:rPr>
          <w:rFonts w:ascii="Times New Roman" w:eastAsia="Calibri" w:hAnsi="Times New Roman"/>
        </w:rPr>
        <w:lastRenderedPageBreak/>
        <w:t>In summary, oncology residency training in Nigeria places a considerable emotional burden on trainees, particularly in the early stages of their careers. While strong interpersonal relationships provide some level of support, they are not enough to offset the effects of demanding workloads and challenging work environments. Addressing burnout is not simply about improving individual well-being, it is about safeguarding the future of oncology care in Nigeria. Burnout doctors are more likely to disengage, reduce productivity, or even leave the profession, all of which have serious implications for a healthcare system already under strain.</w:t>
      </w:r>
    </w:p>
    <w:p w:rsidR="00231129" w:rsidRDefault="00231129" w:rsidP="00231129">
      <w:pPr>
        <w:spacing w:line="360" w:lineRule="auto"/>
        <w:rPr>
          <w:rFonts w:ascii="Times New Roman" w:eastAsia="Calibri" w:hAnsi="Times New Roman"/>
        </w:rPr>
      </w:pPr>
      <w:r>
        <w:rPr>
          <w:rFonts w:ascii="Times New Roman" w:eastAsia="Calibri" w:hAnsi="Times New Roman"/>
        </w:rPr>
        <w:t>There is an urgent need for: institutional commitment to resident well-being, policies that address workload and working conditions, and longitudinal and interventional research tailored to the Nigerian context. Ultimately, caring for the caregivers is not optional, it is essential.</w:t>
      </w:r>
    </w:p>
    <w:p w:rsidR="00231129" w:rsidRDefault="00231129" w:rsidP="00231129">
      <w:pPr>
        <w:spacing w:line="360" w:lineRule="auto"/>
        <w:rPr>
          <w:rFonts w:ascii="Times New Roman" w:eastAsia="Calibri" w:hAnsi="Times New Roman"/>
        </w:rPr>
      </w:pPr>
      <w:r>
        <w:rPr>
          <w:rFonts w:ascii="Times New Roman" w:eastAsia="Calibri" w:hAnsi="Times New Roman"/>
        </w:rPr>
        <w:t xml:space="preserve"> </w:t>
      </w:r>
    </w:p>
    <w:p w:rsidR="00231129" w:rsidRDefault="00231129" w:rsidP="00231129">
      <w:pPr>
        <w:spacing w:after="0" w:line="360" w:lineRule="auto"/>
        <w:rPr>
          <w:rFonts w:ascii="Times New Roman" w:hAnsi="Times New Roman"/>
          <w:color w:val="000000"/>
          <w:kern w:val="0"/>
        </w:rPr>
      </w:pPr>
      <w:r>
        <w:rPr>
          <w:rFonts w:ascii="Times New Roman" w:hAnsi="Times New Roman"/>
          <w:b/>
          <w:bCs/>
          <w:color w:val="000000"/>
          <w:kern w:val="0"/>
        </w:rPr>
        <w:t>REFERENCES</w:t>
      </w:r>
    </w:p>
    <w:p w:rsidR="00231129" w:rsidRDefault="00231129" w:rsidP="00231129">
      <w:pPr>
        <w:pStyle w:val="ListParagraph"/>
        <w:numPr>
          <w:ilvl w:val="0"/>
          <w:numId w:val="1"/>
        </w:numPr>
        <w:spacing w:line="360" w:lineRule="auto"/>
        <w:rPr>
          <w:rFonts w:ascii="Times New Roman" w:eastAsia="Calibri" w:hAnsi="Times New Roman"/>
          <w:color w:val="1B1B1B"/>
          <w:shd w:val="clear" w:color="auto" w:fill="FFFFFF"/>
        </w:rPr>
      </w:pPr>
      <w:r>
        <w:rPr>
          <w:rFonts w:ascii="Times New Roman" w:eastAsia="Calibri" w:hAnsi="Times New Roman"/>
          <w:color w:val="1B1B1B"/>
          <w:shd w:val="clear" w:color="auto" w:fill="FFFFFF"/>
        </w:rPr>
        <w:t xml:space="preserve">Joseph AO, Balogun OD, </w:t>
      </w:r>
      <w:proofErr w:type="spellStart"/>
      <w:r>
        <w:rPr>
          <w:rFonts w:ascii="Times New Roman" w:eastAsia="Calibri" w:hAnsi="Times New Roman"/>
          <w:color w:val="1B1B1B"/>
          <w:shd w:val="clear" w:color="auto" w:fill="FFFFFF"/>
        </w:rPr>
        <w:t>Akinsete</w:t>
      </w:r>
      <w:proofErr w:type="spellEnd"/>
      <w:r>
        <w:rPr>
          <w:rFonts w:ascii="Times New Roman" w:eastAsia="Calibri" w:hAnsi="Times New Roman"/>
          <w:color w:val="1B1B1B"/>
          <w:shd w:val="clear" w:color="auto" w:fill="FFFFFF"/>
        </w:rPr>
        <w:t xml:space="preserve"> AM, </w:t>
      </w:r>
      <w:proofErr w:type="spellStart"/>
      <w:r>
        <w:rPr>
          <w:rFonts w:ascii="Times New Roman" w:eastAsia="Calibri" w:hAnsi="Times New Roman"/>
          <w:color w:val="1B1B1B"/>
          <w:shd w:val="clear" w:color="auto" w:fill="FFFFFF"/>
        </w:rPr>
        <w:t>Awofeso</w:t>
      </w:r>
      <w:proofErr w:type="spellEnd"/>
      <w:r>
        <w:rPr>
          <w:rFonts w:ascii="Times New Roman" w:eastAsia="Calibri" w:hAnsi="Times New Roman"/>
          <w:color w:val="1B1B1B"/>
          <w:shd w:val="clear" w:color="auto" w:fill="FFFFFF"/>
        </w:rPr>
        <w:t xml:space="preserve"> OM, Bashir AM, Salako O, </w:t>
      </w:r>
      <w:proofErr w:type="spellStart"/>
      <w:r>
        <w:rPr>
          <w:rFonts w:ascii="Times New Roman" w:eastAsia="Calibri" w:hAnsi="Times New Roman"/>
          <w:color w:val="1B1B1B"/>
          <w:shd w:val="clear" w:color="auto" w:fill="FFFFFF"/>
        </w:rPr>
        <w:t>Onitilo</w:t>
      </w:r>
      <w:proofErr w:type="spellEnd"/>
      <w:r>
        <w:rPr>
          <w:rFonts w:ascii="Times New Roman" w:eastAsia="Calibri" w:hAnsi="Times New Roman"/>
          <w:color w:val="1B1B1B"/>
          <w:shd w:val="clear" w:color="auto" w:fill="FFFFFF"/>
        </w:rPr>
        <w:t xml:space="preserve"> AA. Oncology Education in the Nigerian Medical Curriculum: A Cross-Sectional Review. Niger Med J. 2022 Apr 26;62(3):127-132. PMID: 38505192; PMCID: PMC10937060.</w:t>
      </w:r>
    </w:p>
    <w:p w:rsidR="00231129" w:rsidRDefault="00231129" w:rsidP="00231129">
      <w:pPr>
        <w:numPr>
          <w:ilvl w:val="0"/>
          <w:numId w:val="1"/>
        </w:numPr>
        <w:shd w:val="clear" w:color="auto" w:fill="FFFFFF"/>
        <w:spacing w:before="225" w:beforeAutospacing="0" w:after="100" w:afterAutospacing="1" w:line="360" w:lineRule="auto"/>
        <w:rPr>
          <w:rFonts w:ascii="Times New Roman" w:hAnsi="Times New Roman"/>
          <w:color w:val="1B1B1B"/>
          <w:kern w:val="0"/>
        </w:rPr>
      </w:pPr>
      <w:r>
        <w:rPr>
          <w:rFonts w:ascii="Times New Roman" w:hAnsi="Times New Roman"/>
          <w:color w:val="1B1B1B"/>
          <w:kern w:val="0"/>
        </w:rPr>
        <w:t xml:space="preserve">Burnout an “occupational phenomenon”: International Classification of Diseases. Geneva: </w:t>
      </w:r>
      <w:r>
        <w:rPr>
          <w:rFonts w:ascii="Times New Roman" w:hAnsi="Times New Roman"/>
          <w:i/>
          <w:iCs/>
          <w:color w:val="1B1B1B"/>
          <w:kern w:val="0"/>
        </w:rPr>
        <w:t>World Health Organization</w:t>
      </w:r>
      <w:r>
        <w:rPr>
          <w:rFonts w:ascii="Times New Roman" w:hAnsi="Times New Roman"/>
          <w:color w:val="1B1B1B"/>
          <w:kern w:val="0"/>
        </w:rPr>
        <w:t xml:space="preserve">; 2019. Available from: </w:t>
      </w:r>
      <w:hyperlink r:id="rId5" w:history="1">
        <w:r>
          <w:rPr>
            <w:rStyle w:val="Hyperlink"/>
            <w:rFonts w:ascii="Times New Roman" w:eastAsiaTheme="majorEastAsia" w:hAnsi="Times New Roman"/>
            <w:color w:val="005EA2"/>
            <w:kern w:val="0"/>
          </w:rPr>
          <w:t>https://www.who.int/news/item/28-05-2019-burn-out-an-occupational-phenomenon-international-classification-of-diseases</w:t>
        </w:r>
      </w:hyperlink>
      <w:r>
        <w:rPr>
          <w:rFonts w:ascii="Times New Roman" w:hAnsi="Times New Roman"/>
          <w:color w:val="1B1B1B"/>
          <w:kern w:val="0"/>
        </w:rPr>
        <w:t xml:space="preserve"> [cited 2023 Mar 21].</w:t>
      </w:r>
    </w:p>
    <w:p w:rsidR="00231129" w:rsidRDefault="00231129" w:rsidP="00231129">
      <w:pPr>
        <w:numPr>
          <w:ilvl w:val="0"/>
          <w:numId w:val="1"/>
        </w:numPr>
        <w:shd w:val="clear" w:color="auto" w:fill="FFFFFF"/>
        <w:spacing w:before="225" w:beforeAutospacing="0" w:after="100" w:afterAutospacing="1" w:line="360" w:lineRule="auto"/>
        <w:rPr>
          <w:rFonts w:ascii="Times New Roman" w:hAnsi="Times New Roman"/>
          <w:color w:val="1B1B1B"/>
          <w:kern w:val="0"/>
        </w:rPr>
      </w:pPr>
      <w:r>
        <w:rPr>
          <w:rFonts w:ascii="Times New Roman" w:hAnsi="Times New Roman"/>
          <w:color w:val="1B1B1B"/>
          <w:kern w:val="0"/>
        </w:rPr>
        <w:t xml:space="preserve">Maslach C, Schaufeli WB, Leiter MP. Job burnout. </w:t>
      </w:r>
      <w:r>
        <w:rPr>
          <w:rFonts w:ascii="Times New Roman" w:hAnsi="Times New Roman"/>
          <w:i/>
          <w:iCs/>
          <w:color w:val="1B1B1B"/>
          <w:kern w:val="0"/>
        </w:rPr>
        <w:t>Annu Rev Psychol.</w:t>
      </w:r>
      <w:r>
        <w:rPr>
          <w:rFonts w:ascii="Times New Roman" w:hAnsi="Times New Roman"/>
          <w:color w:val="1B1B1B"/>
          <w:kern w:val="0"/>
        </w:rPr>
        <w:t xml:space="preserve"> 2001;52(1):397–422. 10.1146/annurev.psych.52.1.397 </w:t>
      </w:r>
    </w:p>
    <w:p w:rsidR="00231129" w:rsidRDefault="00231129" w:rsidP="00231129">
      <w:pPr>
        <w:numPr>
          <w:ilvl w:val="0"/>
          <w:numId w:val="1"/>
        </w:numPr>
        <w:shd w:val="clear" w:color="auto" w:fill="FFFFFF"/>
        <w:spacing w:before="225" w:beforeAutospacing="0" w:after="100" w:afterAutospacing="1" w:line="360" w:lineRule="auto"/>
        <w:rPr>
          <w:rFonts w:ascii="Times New Roman" w:hAnsi="Times New Roman"/>
          <w:color w:val="1B1B1B"/>
          <w:kern w:val="0"/>
        </w:rPr>
      </w:pPr>
      <w:r>
        <w:rPr>
          <w:rFonts w:ascii="Times New Roman" w:hAnsi="Times New Roman"/>
          <w:color w:val="1B1B1B"/>
          <w:kern w:val="0"/>
        </w:rPr>
        <w:t xml:space="preserve">Maslach C, Jackson SE. The measurement of experienced burnout. </w:t>
      </w:r>
      <w:r>
        <w:rPr>
          <w:rFonts w:ascii="Times New Roman" w:hAnsi="Times New Roman"/>
          <w:i/>
          <w:iCs/>
          <w:color w:val="1B1B1B"/>
          <w:kern w:val="0"/>
        </w:rPr>
        <w:t>J Organ Behav</w:t>
      </w:r>
      <w:r>
        <w:rPr>
          <w:rFonts w:ascii="Times New Roman" w:hAnsi="Times New Roman"/>
          <w:color w:val="1B1B1B"/>
          <w:kern w:val="0"/>
        </w:rPr>
        <w:t>. 1981. Apr;2(2):99–113. 10.1002/job.</w:t>
      </w:r>
    </w:p>
    <w:p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Bianchi R, Schonfeld IS. Examining the evidence base for burnout. </w:t>
      </w:r>
      <w:r>
        <w:rPr>
          <w:rFonts w:ascii="Times New Roman" w:eastAsia="Calibri" w:hAnsi="Times New Roman"/>
          <w:i/>
          <w:iCs/>
          <w:color w:val="1B1B1B"/>
          <w:shd w:val="clear" w:color="auto" w:fill="FFFFFF"/>
        </w:rPr>
        <w:t>Bull World Health Organ</w:t>
      </w:r>
      <w:r>
        <w:rPr>
          <w:rFonts w:ascii="Times New Roman" w:eastAsia="Calibri" w:hAnsi="Times New Roman"/>
          <w:color w:val="1B1B1B"/>
          <w:shd w:val="clear" w:color="auto" w:fill="FFFFFF"/>
        </w:rPr>
        <w:t xml:space="preserve">. 2023 Nov 1;101(11):743-745. </w:t>
      </w:r>
      <w:proofErr w:type="spellStart"/>
      <w:r>
        <w:rPr>
          <w:rFonts w:ascii="Times New Roman" w:eastAsia="Calibri" w:hAnsi="Times New Roman"/>
          <w:color w:val="1B1B1B"/>
          <w:shd w:val="clear" w:color="auto" w:fill="FFFFFF"/>
        </w:rPr>
        <w:t>doi</w:t>
      </w:r>
      <w:proofErr w:type="spellEnd"/>
      <w:r>
        <w:rPr>
          <w:rFonts w:ascii="Times New Roman" w:eastAsia="Calibri" w:hAnsi="Times New Roman"/>
          <w:color w:val="1B1B1B"/>
          <w:shd w:val="clear" w:color="auto" w:fill="FFFFFF"/>
        </w:rPr>
        <w:t xml:space="preserve">: 10.2471/BLT.23.289996. </w:t>
      </w:r>
      <w:proofErr w:type="spellStart"/>
      <w:r>
        <w:rPr>
          <w:rFonts w:ascii="Times New Roman" w:eastAsia="Calibri" w:hAnsi="Times New Roman"/>
          <w:color w:val="1B1B1B"/>
          <w:shd w:val="clear" w:color="auto" w:fill="FFFFFF"/>
        </w:rPr>
        <w:t>Epub</w:t>
      </w:r>
      <w:proofErr w:type="spellEnd"/>
      <w:r>
        <w:rPr>
          <w:rFonts w:ascii="Times New Roman" w:eastAsia="Calibri" w:hAnsi="Times New Roman"/>
          <w:color w:val="1B1B1B"/>
          <w:shd w:val="clear" w:color="auto" w:fill="FFFFFF"/>
        </w:rPr>
        <w:t xml:space="preserve"> 2023 Oct 4. PMID: 37961064; PMCID: PMC10630726.</w:t>
      </w:r>
    </w:p>
    <w:p w:rsidR="00231129" w:rsidRDefault="00231129" w:rsidP="00231129">
      <w:pPr>
        <w:pStyle w:val="ListParagraph"/>
        <w:numPr>
          <w:ilvl w:val="0"/>
          <w:numId w:val="1"/>
        </w:numPr>
        <w:spacing w:line="360" w:lineRule="auto"/>
        <w:rPr>
          <w:rFonts w:ascii="Times New Roman" w:eastAsia="Calibri" w:hAnsi="Times New Roman"/>
        </w:rPr>
      </w:pPr>
      <w:proofErr w:type="spellStart"/>
      <w:r>
        <w:rPr>
          <w:rFonts w:ascii="Times New Roman" w:eastAsia="Calibri" w:hAnsi="Times New Roman"/>
          <w:color w:val="1B1B1B"/>
          <w:shd w:val="clear" w:color="auto" w:fill="FFFFFF"/>
        </w:rPr>
        <w:lastRenderedPageBreak/>
        <w:t>Rotenstein</w:t>
      </w:r>
      <w:proofErr w:type="spellEnd"/>
      <w:r>
        <w:rPr>
          <w:rFonts w:ascii="Times New Roman" w:eastAsia="Calibri" w:hAnsi="Times New Roman"/>
          <w:color w:val="1B1B1B"/>
          <w:shd w:val="clear" w:color="auto" w:fill="FFFFFF"/>
        </w:rPr>
        <w:t xml:space="preserve"> LS, Torre M, Ramos MA, Rosales RC, Guille C, Sen S, Mata DA. Prevalence of Burnout Among Physicians: A Systematic Review. </w:t>
      </w:r>
      <w:r>
        <w:rPr>
          <w:rFonts w:ascii="Times New Roman" w:eastAsia="Calibri" w:hAnsi="Times New Roman"/>
          <w:i/>
          <w:iCs/>
          <w:color w:val="1B1B1B"/>
          <w:shd w:val="clear" w:color="auto" w:fill="FFFFFF"/>
        </w:rPr>
        <w:t>JAMA</w:t>
      </w:r>
      <w:r>
        <w:rPr>
          <w:rFonts w:ascii="Times New Roman" w:eastAsia="Calibri" w:hAnsi="Times New Roman"/>
          <w:color w:val="1B1B1B"/>
          <w:shd w:val="clear" w:color="auto" w:fill="FFFFFF"/>
        </w:rPr>
        <w:t xml:space="preserve">. 2018 Sep 18;320(11):1131-1150. </w:t>
      </w:r>
      <w:proofErr w:type="spellStart"/>
      <w:r>
        <w:rPr>
          <w:rFonts w:ascii="Times New Roman" w:eastAsia="Calibri" w:hAnsi="Times New Roman"/>
          <w:color w:val="1B1B1B"/>
          <w:shd w:val="clear" w:color="auto" w:fill="FFFFFF"/>
        </w:rPr>
        <w:t>doi</w:t>
      </w:r>
      <w:proofErr w:type="spellEnd"/>
      <w:r>
        <w:rPr>
          <w:rFonts w:ascii="Times New Roman" w:eastAsia="Calibri" w:hAnsi="Times New Roman"/>
          <w:color w:val="1B1B1B"/>
          <w:shd w:val="clear" w:color="auto" w:fill="FFFFFF"/>
        </w:rPr>
        <w:t>: 10.1001/jama.2018.12777. PMID: 30326495; PMCID: PMC6233645.</w:t>
      </w:r>
    </w:p>
    <w:p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222222"/>
          <w:shd w:val="clear" w:color="auto" w:fill="FFFFFF"/>
        </w:rPr>
        <w:t xml:space="preserve">Youssef, D., Youssef, J., Abou-Abbas, L. </w:t>
      </w:r>
      <w:r>
        <w:rPr>
          <w:rFonts w:ascii="Times New Roman" w:eastAsia="Calibri" w:hAnsi="Times New Roman"/>
          <w:i/>
          <w:iCs/>
          <w:color w:val="222222"/>
          <w:shd w:val="clear" w:color="auto" w:fill="FFFFFF"/>
        </w:rPr>
        <w:t>et al.</w:t>
      </w:r>
      <w:r>
        <w:rPr>
          <w:rFonts w:ascii="Times New Roman" w:eastAsia="Calibri" w:hAnsi="Times New Roman"/>
          <w:color w:val="222222"/>
          <w:shd w:val="clear" w:color="auto" w:fill="FFFFFF"/>
        </w:rPr>
        <w:t xml:space="preserve"> Prevalence and correlates of burnout among physicians in a developing country facing multi-layered crises: a cross-sectional study. </w:t>
      </w:r>
      <w:r>
        <w:rPr>
          <w:rFonts w:ascii="Times New Roman" w:eastAsia="Calibri" w:hAnsi="Times New Roman"/>
          <w:i/>
          <w:iCs/>
          <w:color w:val="222222"/>
          <w:shd w:val="clear" w:color="auto" w:fill="FFFFFF"/>
        </w:rPr>
        <w:t>Sci Rep</w:t>
      </w:r>
      <w:r>
        <w:rPr>
          <w:rFonts w:ascii="Times New Roman" w:eastAsia="Calibri" w:hAnsi="Times New Roman"/>
          <w:color w:val="222222"/>
          <w:shd w:val="clear" w:color="auto" w:fill="FFFFFF"/>
        </w:rPr>
        <w:t xml:space="preserve"> </w:t>
      </w:r>
      <w:r>
        <w:rPr>
          <w:rFonts w:ascii="Times New Roman" w:eastAsia="Calibri" w:hAnsi="Times New Roman"/>
          <w:b/>
          <w:bCs/>
          <w:color w:val="222222"/>
          <w:shd w:val="clear" w:color="auto" w:fill="FFFFFF"/>
        </w:rPr>
        <w:t>12</w:t>
      </w:r>
      <w:r>
        <w:rPr>
          <w:rFonts w:ascii="Times New Roman" w:eastAsia="Calibri" w:hAnsi="Times New Roman"/>
          <w:color w:val="222222"/>
          <w:shd w:val="clear" w:color="auto" w:fill="FFFFFF"/>
        </w:rPr>
        <w:t xml:space="preserve">, 12615 (2022). </w:t>
      </w:r>
      <w:hyperlink r:id="rId6" w:history="1">
        <w:r>
          <w:rPr>
            <w:rStyle w:val="15"/>
            <w:rFonts w:ascii="Times New Roman" w:eastAsia="Calibri" w:hAnsi="Times New Roman" w:cs="Times New Roman"/>
            <w:shd w:val="clear" w:color="auto" w:fill="FFFFFF"/>
          </w:rPr>
          <w:t>https://doi.org/10.1038/s41598-022-16095-5</w:t>
        </w:r>
      </w:hyperlink>
    </w:p>
    <w:p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Nwobodo EP, </w:t>
      </w:r>
      <w:proofErr w:type="spellStart"/>
      <w:r>
        <w:rPr>
          <w:rFonts w:ascii="Times New Roman" w:eastAsia="Calibri" w:hAnsi="Times New Roman"/>
          <w:color w:val="1B1B1B"/>
          <w:shd w:val="clear" w:color="auto" w:fill="FFFFFF"/>
        </w:rPr>
        <w:t>Strukcinskiene</w:t>
      </w:r>
      <w:proofErr w:type="spellEnd"/>
      <w:r>
        <w:rPr>
          <w:rFonts w:ascii="Times New Roman" w:eastAsia="Calibri" w:hAnsi="Times New Roman"/>
          <w:color w:val="1B1B1B"/>
          <w:shd w:val="clear" w:color="auto" w:fill="FFFFFF"/>
        </w:rPr>
        <w:t xml:space="preserve"> B, </w:t>
      </w:r>
      <w:proofErr w:type="spellStart"/>
      <w:r>
        <w:rPr>
          <w:rFonts w:ascii="Times New Roman" w:eastAsia="Calibri" w:hAnsi="Times New Roman"/>
          <w:color w:val="1B1B1B"/>
          <w:shd w:val="clear" w:color="auto" w:fill="FFFFFF"/>
        </w:rPr>
        <w:t>Razbadauskas</w:t>
      </w:r>
      <w:proofErr w:type="spellEnd"/>
      <w:r>
        <w:rPr>
          <w:rFonts w:ascii="Times New Roman" w:eastAsia="Calibri" w:hAnsi="Times New Roman"/>
          <w:color w:val="1B1B1B"/>
          <w:shd w:val="clear" w:color="auto" w:fill="FFFFFF"/>
        </w:rPr>
        <w:t xml:space="preserve"> A, </w:t>
      </w:r>
      <w:proofErr w:type="spellStart"/>
      <w:r>
        <w:rPr>
          <w:rFonts w:ascii="Times New Roman" w:eastAsia="Calibri" w:hAnsi="Times New Roman"/>
          <w:color w:val="1B1B1B"/>
          <w:shd w:val="clear" w:color="auto" w:fill="FFFFFF"/>
        </w:rPr>
        <w:t>Grigoliene</w:t>
      </w:r>
      <w:proofErr w:type="spellEnd"/>
      <w:r>
        <w:rPr>
          <w:rFonts w:ascii="Times New Roman" w:eastAsia="Calibri" w:hAnsi="Times New Roman"/>
          <w:color w:val="1B1B1B"/>
          <w:shd w:val="clear" w:color="auto" w:fill="FFFFFF"/>
        </w:rPr>
        <w:t xml:space="preserve"> R, </w:t>
      </w:r>
      <w:proofErr w:type="spellStart"/>
      <w:r>
        <w:rPr>
          <w:rFonts w:ascii="Times New Roman" w:eastAsia="Calibri" w:hAnsi="Times New Roman"/>
          <w:color w:val="1B1B1B"/>
          <w:shd w:val="clear" w:color="auto" w:fill="FFFFFF"/>
        </w:rPr>
        <w:t>Agostinis</w:t>
      </w:r>
      <w:proofErr w:type="spellEnd"/>
      <w:r>
        <w:rPr>
          <w:rFonts w:ascii="Times New Roman" w:eastAsia="Calibri" w:hAnsi="Times New Roman"/>
          <w:color w:val="1B1B1B"/>
          <w:shd w:val="clear" w:color="auto" w:fill="FFFFFF"/>
        </w:rPr>
        <w:t xml:space="preserve">-Sobrinho C. Stress Management in Healthcare Organizations: </w:t>
      </w:r>
      <w:r>
        <w:rPr>
          <w:rFonts w:ascii="Times New Roman" w:eastAsia="Calibri" w:hAnsi="Times New Roman"/>
          <w:i/>
          <w:iCs/>
          <w:color w:val="1B1B1B"/>
          <w:shd w:val="clear" w:color="auto" w:fill="FFFFFF"/>
        </w:rPr>
        <w:t>The Nigerian Context. Healthcare (Basel).</w:t>
      </w:r>
      <w:r>
        <w:rPr>
          <w:rFonts w:ascii="Times New Roman" w:eastAsia="Calibri" w:hAnsi="Times New Roman"/>
          <w:color w:val="1B1B1B"/>
          <w:shd w:val="clear" w:color="auto" w:fill="FFFFFF"/>
        </w:rPr>
        <w:t xml:space="preserve"> 2023 Oct 24;11(21):2815. </w:t>
      </w:r>
      <w:proofErr w:type="spellStart"/>
      <w:r>
        <w:rPr>
          <w:rFonts w:ascii="Times New Roman" w:eastAsia="Calibri" w:hAnsi="Times New Roman"/>
          <w:color w:val="1B1B1B"/>
          <w:shd w:val="clear" w:color="auto" w:fill="FFFFFF"/>
        </w:rPr>
        <w:t>doi</w:t>
      </w:r>
      <w:proofErr w:type="spellEnd"/>
      <w:r>
        <w:rPr>
          <w:rFonts w:ascii="Times New Roman" w:eastAsia="Calibri" w:hAnsi="Times New Roman"/>
          <w:color w:val="1B1B1B"/>
          <w:shd w:val="clear" w:color="auto" w:fill="FFFFFF"/>
        </w:rPr>
        <w:t>: 10.3390/healthcare11212815. PMID: 37957963; PMCID: PMC10650396.</w:t>
      </w:r>
    </w:p>
    <w:p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222222"/>
          <w:shd w:val="clear" w:color="auto" w:fill="FFFFFF"/>
        </w:rPr>
        <w:t xml:space="preserve">El-Fatah, W.O.A., Mohamed, T., Abdallah, N. </w:t>
      </w:r>
      <w:r>
        <w:rPr>
          <w:rFonts w:ascii="Times New Roman" w:eastAsia="Calibri" w:hAnsi="Times New Roman"/>
          <w:i/>
          <w:iCs/>
          <w:color w:val="222222"/>
          <w:shd w:val="clear" w:color="auto" w:fill="FFFFFF"/>
        </w:rPr>
        <w:t>et al.</w:t>
      </w:r>
      <w:r>
        <w:rPr>
          <w:rFonts w:ascii="Times New Roman" w:eastAsia="Calibri" w:hAnsi="Times New Roman"/>
          <w:color w:val="222222"/>
          <w:shd w:val="clear" w:color="auto" w:fill="FFFFFF"/>
        </w:rPr>
        <w:t xml:space="preserve"> Analyzing the nexus between burnout and psychological distress in pediatric oncology nurses: a descriptive correlational investigation. </w:t>
      </w:r>
      <w:r>
        <w:rPr>
          <w:rFonts w:ascii="Times New Roman" w:eastAsia="Calibri" w:hAnsi="Times New Roman"/>
          <w:i/>
          <w:iCs/>
          <w:color w:val="222222"/>
          <w:shd w:val="clear" w:color="auto" w:fill="FFFFFF"/>
        </w:rPr>
        <w:t>BMC Nurs</w:t>
      </w:r>
      <w:r>
        <w:rPr>
          <w:rFonts w:ascii="Times New Roman" w:eastAsia="Calibri" w:hAnsi="Times New Roman"/>
          <w:color w:val="222222"/>
          <w:shd w:val="clear" w:color="auto" w:fill="FFFFFF"/>
        </w:rPr>
        <w:t xml:space="preserve"> </w:t>
      </w:r>
      <w:r>
        <w:rPr>
          <w:rFonts w:ascii="Times New Roman" w:eastAsia="Calibri" w:hAnsi="Times New Roman"/>
          <w:b/>
          <w:bCs/>
          <w:color w:val="222222"/>
          <w:shd w:val="clear" w:color="auto" w:fill="FFFFFF"/>
        </w:rPr>
        <w:t>24</w:t>
      </w:r>
      <w:r>
        <w:rPr>
          <w:rFonts w:ascii="Times New Roman" w:eastAsia="Calibri" w:hAnsi="Times New Roman"/>
          <w:color w:val="222222"/>
          <w:shd w:val="clear" w:color="auto" w:fill="FFFFFF"/>
        </w:rPr>
        <w:t>, 465 (2025). https://doi.org/10.1186/s12912-025-03061-5</w:t>
      </w:r>
    </w:p>
    <w:p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shd w:val="clear" w:color="auto" w:fill="FFFFFF"/>
        </w:rPr>
        <w:t xml:space="preserve">Noel, N., Inam, N., </w:t>
      </w:r>
      <w:proofErr w:type="spellStart"/>
      <w:r>
        <w:rPr>
          <w:rFonts w:ascii="Times New Roman" w:eastAsia="Calibri" w:hAnsi="Times New Roman"/>
          <w:shd w:val="clear" w:color="auto" w:fill="FFFFFF"/>
        </w:rPr>
        <w:t>Nwabufoh</w:t>
      </w:r>
      <w:proofErr w:type="spellEnd"/>
      <w:r>
        <w:rPr>
          <w:rFonts w:ascii="Times New Roman" w:eastAsia="Calibri" w:hAnsi="Times New Roman"/>
          <w:shd w:val="clear" w:color="auto" w:fill="FFFFFF"/>
        </w:rPr>
        <w:t xml:space="preserve">, N., Baba, F., </w:t>
      </w:r>
      <w:proofErr w:type="spellStart"/>
      <w:r>
        <w:rPr>
          <w:rFonts w:ascii="Times New Roman" w:eastAsia="Calibri" w:hAnsi="Times New Roman"/>
          <w:shd w:val="clear" w:color="auto" w:fill="FFFFFF"/>
        </w:rPr>
        <w:t>Hananiya</w:t>
      </w:r>
      <w:proofErr w:type="spellEnd"/>
      <w:r>
        <w:rPr>
          <w:rFonts w:ascii="Times New Roman" w:eastAsia="Calibri" w:hAnsi="Times New Roman"/>
          <w:shd w:val="clear" w:color="auto" w:fill="FFFFFF"/>
        </w:rPr>
        <w:t xml:space="preserve">, D., &amp; Umar, A. (2026). Prevalence, Patterns, and Predictors of Burnout Among Healthcare Workers in a Tertiary Hospital in North-Eastern Nigeria. </w:t>
      </w:r>
      <w:r>
        <w:rPr>
          <w:rFonts w:ascii="Times New Roman" w:eastAsia="Calibri" w:hAnsi="Times New Roman"/>
          <w:i/>
          <w:iCs/>
          <w:shd w:val="clear" w:color="auto" w:fill="FFFFFF"/>
        </w:rPr>
        <w:t>Nigerian Medical Journal</w:t>
      </w:r>
      <w:r>
        <w:rPr>
          <w:rFonts w:ascii="Times New Roman" w:eastAsia="Calibri" w:hAnsi="Times New Roman"/>
          <w:shd w:val="clear" w:color="auto" w:fill="FFFFFF"/>
        </w:rPr>
        <w:t xml:space="preserve">, </w:t>
      </w:r>
      <w:r>
        <w:rPr>
          <w:rFonts w:ascii="Times New Roman" w:eastAsia="Calibri" w:hAnsi="Times New Roman"/>
          <w:i/>
          <w:iCs/>
          <w:shd w:val="clear" w:color="auto" w:fill="FFFFFF"/>
        </w:rPr>
        <w:t>66</w:t>
      </w:r>
      <w:r>
        <w:rPr>
          <w:rFonts w:ascii="Times New Roman" w:eastAsia="Calibri" w:hAnsi="Times New Roman"/>
          <w:shd w:val="clear" w:color="auto" w:fill="FFFFFF"/>
        </w:rPr>
        <w:t xml:space="preserve">(5), 1909–1923. </w:t>
      </w:r>
      <w:hyperlink r:id="rId7" w:history="1">
        <w:r>
          <w:rPr>
            <w:rStyle w:val="15"/>
            <w:rFonts w:ascii="Times New Roman" w:eastAsia="Calibri" w:hAnsi="Times New Roman" w:cs="Times New Roman"/>
            <w:shd w:val="clear" w:color="auto" w:fill="FFFFFF"/>
          </w:rPr>
          <w:t>https://doi.org/10.71480/nmj.v66i5.1092</w:t>
        </w:r>
      </w:hyperlink>
    </w:p>
    <w:p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Salihu MO, </w:t>
      </w:r>
      <w:proofErr w:type="spellStart"/>
      <w:r>
        <w:rPr>
          <w:rFonts w:ascii="Times New Roman" w:eastAsia="Calibri" w:hAnsi="Times New Roman"/>
          <w:color w:val="1B1B1B"/>
          <w:shd w:val="clear" w:color="auto" w:fill="FFFFFF"/>
        </w:rPr>
        <w:t>Makanjuola</w:t>
      </w:r>
      <w:proofErr w:type="spellEnd"/>
      <w:r>
        <w:rPr>
          <w:rFonts w:ascii="Times New Roman" w:eastAsia="Calibri" w:hAnsi="Times New Roman"/>
          <w:color w:val="1B1B1B"/>
          <w:shd w:val="clear" w:color="auto" w:fill="FFFFFF"/>
        </w:rPr>
        <w:t xml:space="preserve"> AB, Abiodun OA, Kuranga AT. Predictors of burnout among resident doctors in a Nigerian teaching hospital. </w:t>
      </w:r>
      <w:r>
        <w:rPr>
          <w:rFonts w:ascii="Times New Roman" w:eastAsia="Calibri" w:hAnsi="Times New Roman"/>
          <w:i/>
          <w:iCs/>
          <w:color w:val="1B1B1B"/>
          <w:shd w:val="clear" w:color="auto" w:fill="FFFFFF"/>
        </w:rPr>
        <w:t xml:space="preserve">S </w:t>
      </w:r>
      <w:proofErr w:type="spellStart"/>
      <w:r>
        <w:rPr>
          <w:rFonts w:ascii="Times New Roman" w:eastAsia="Calibri" w:hAnsi="Times New Roman"/>
          <w:i/>
          <w:iCs/>
          <w:color w:val="1B1B1B"/>
          <w:shd w:val="clear" w:color="auto" w:fill="FFFFFF"/>
        </w:rPr>
        <w:t>Afr</w:t>
      </w:r>
      <w:proofErr w:type="spellEnd"/>
      <w:r>
        <w:rPr>
          <w:rFonts w:ascii="Times New Roman" w:eastAsia="Calibri" w:hAnsi="Times New Roman"/>
          <w:i/>
          <w:iCs/>
          <w:color w:val="1B1B1B"/>
          <w:shd w:val="clear" w:color="auto" w:fill="FFFFFF"/>
        </w:rPr>
        <w:t xml:space="preserve"> J </w:t>
      </w:r>
      <w:proofErr w:type="spellStart"/>
      <w:r>
        <w:rPr>
          <w:rFonts w:ascii="Times New Roman" w:eastAsia="Calibri" w:hAnsi="Times New Roman"/>
          <w:i/>
          <w:iCs/>
          <w:color w:val="1B1B1B"/>
          <w:shd w:val="clear" w:color="auto" w:fill="FFFFFF"/>
        </w:rPr>
        <w:t>Psychiatr</w:t>
      </w:r>
      <w:proofErr w:type="spellEnd"/>
      <w:r>
        <w:rPr>
          <w:rFonts w:ascii="Times New Roman" w:eastAsia="Calibri" w:hAnsi="Times New Roman"/>
          <w:i/>
          <w:iCs/>
          <w:color w:val="1B1B1B"/>
          <w:shd w:val="clear" w:color="auto" w:fill="FFFFFF"/>
        </w:rPr>
        <w:t>.</w:t>
      </w:r>
      <w:r>
        <w:rPr>
          <w:rFonts w:ascii="Times New Roman" w:eastAsia="Calibri" w:hAnsi="Times New Roman"/>
          <w:color w:val="1B1B1B"/>
          <w:shd w:val="clear" w:color="auto" w:fill="FFFFFF"/>
        </w:rPr>
        <w:t xml:space="preserve"> 2023 Jun </w:t>
      </w:r>
      <w:proofErr w:type="gramStart"/>
      <w:r>
        <w:rPr>
          <w:rFonts w:ascii="Times New Roman" w:eastAsia="Calibri" w:hAnsi="Times New Roman"/>
          <w:color w:val="1B1B1B"/>
          <w:shd w:val="clear" w:color="auto" w:fill="FFFFFF"/>
        </w:rPr>
        <w:t>29;29:2017</w:t>
      </w:r>
      <w:proofErr w:type="gramEnd"/>
      <w:r>
        <w:rPr>
          <w:rFonts w:ascii="Times New Roman" w:eastAsia="Calibri" w:hAnsi="Times New Roman"/>
          <w:color w:val="1B1B1B"/>
          <w:shd w:val="clear" w:color="auto" w:fill="FFFFFF"/>
        </w:rPr>
        <w:t xml:space="preserve">. </w:t>
      </w:r>
      <w:proofErr w:type="spellStart"/>
      <w:r>
        <w:rPr>
          <w:rFonts w:ascii="Times New Roman" w:eastAsia="Calibri" w:hAnsi="Times New Roman"/>
          <w:color w:val="1B1B1B"/>
          <w:shd w:val="clear" w:color="auto" w:fill="FFFFFF"/>
        </w:rPr>
        <w:t>doi</w:t>
      </w:r>
      <w:proofErr w:type="spellEnd"/>
      <w:r>
        <w:rPr>
          <w:rFonts w:ascii="Times New Roman" w:eastAsia="Calibri" w:hAnsi="Times New Roman"/>
          <w:color w:val="1B1B1B"/>
          <w:shd w:val="clear" w:color="auto" w:fill="FFFFFF"/>
        </w:rPr>
        <w:t>: 10.4102/</w:t>
      </w:r>
      <w:proofErr w:type="gramStart"/>
      <w:r>
        <w:rPr>
          <w:rFonts w:ascii="Times New Roman" w:eastAsia="Calibri" w:hAnsi="Times New Roman"/>
          <w:color w:val="1B1B1B"/>
          <w:shd w:val="clear" w:color="auto" w:fill="FFFFFF"/>
        </w:rPr>
        <w:t>sajpsychiatry.v</w:t>
      </w:r>
      <w:proofErr w:type="gramEnd"/>
      <w:r>
        <w:rPr>
          <w:rFonts w:ascii="Times New Roman" w:eastAsia="Calibri" w:hAnsi="Times New Roman"/>
          <w:color w:val="1B1B1B"/>
          <w:shd w:val="clear" w:color="auto" w:fill="FFFFFF"/>
        </w:rPr>
        <w:t>29i0.2017. PMID: 37416855; PMCID: PMC10319939.</w:t>
      </w:r>
    </w:p>
    <w:p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222222"/>
          <w:shd w:val="clear" w:color="auto" w:fill="FFFFFF"/>
        </w:rPr>
        <w:t xml:space="preserve">Cao, B., Hassan, N. C., &amp; Omar, M. K. (2025). Interventions to Reduce Burnout Among University Lecturers: A Systematic Literature Review. </w:t>
      </w:r>
      <w:r>
        <w:rPr>
          <w:rStyle w:val="16"/>
          <w:rFonts w:ascii="Times New Roman" w:eastAsia="Calibri" w:hAnsi="Times New Roman" w:cs="Times New Roman"/>
          <w:color w:val="222222"/>
          <w:shd w:val="clear" w:color="auto" w:fill="FFFFFF"/>
        </w:rPr>
        <w:t>Behavioral Sciences</w:t>
      </w:r>
      <w:r>
        <w:rPr>
          <w:rFonts w:ascii="Times New Roman" w:eastAsia="Calibri" w:hAnsi="Times New Roman"/>
          <w:color w:val="222222"/>
          <w:shd w:val="clear" w:color="auto" w:fill="FFFFFF"/>
        </w:rPr>
        <w:t xml:space="preserve">, </w:t>
      </w:r>
      <w:r>
        <w:rPr>
          <w:rStyle w:val="16"/>
          <w:rFonts w:ascii="Times New Roman" w:eastAsia="Calibri" w:hAnsi="Times New Roman" w:cs="Times New Roman"/>
          <w:color w:val="222222"/>
          <w:shd w:val="clear" w:color="auto" w:fill="FFFFFF"/>
        </w:rPr>
        <w:t>15</w:t>
      </w:r>
      <w:r>
        <w:rPr>
          <w:rFonts w:ascii="Times New Roman" w:eastAsia="Calibri" w:hAnsi="Times New Roman"/>
          <w:color w:val="222222"/>
          <w:shd w:val="clear" w:color="auto" w:fill="FFFFFF"/>
        </w:rPr>
        <w:t xml:space="preserve">(5), 649. </w:t>
      </w:r>
      <w:hyperlink r:id="rId8" w:history="1">
        <w:r>
          <w:rPr>
            <w:rStyle w:val="15"/>
            <w:rFonts w:ascii="Times New Roman" w:eastAsia="Calibri" w:hAnsi="Times New Roman" w:cs="Times New Roman"/>
            <w:shd w:val="clear" w:color="auto" w:fill="FFFFFF"/>
          </w:rPr>
          <w:t>https://doi.org/10.3390/bs15050649</w:t>
        </w:r>
      </w:hyperlink>
    </w:p>
    <w:p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Huang G, Hung WK, </w:t>
      </w:r>
      <w:proofErr w:type="spellStart"/>
      <w:r>
        <w:rPr>
          <w:rFonts w:ascii="Times New Roman" w:eastAsia="Calibri" w:hAnsi="Times New Roman"/>
          <w:color w:val="1B1B1B"/>
          <w:shd w:val="clear" w:color="auto" w:fill="FFFFFF"/>
        </w:rPr>
        <w:t>Ngolombe</w:t>
      </w:r>
      <w:proofErr w:type="spellEnd"/>
      <w:r>
        <w:rPr>
          <w:rFonts w:ascii="Times New Roman" w:eastAsia="Calibri" w:hAnsi="Times New Roman"/>
          <w:color w:val="1B1B1B"/>
          <w:shd w:val="clear" w:color="auto" w:fill="FFFFFF"/>
        </w:rPr>
        <w:t xml:space="preserve"> R, Maona C, Chiona BC, Banda KJ. Overview of the prevalence of job satisfaction and turnover intention among emergency medical services personnel: a meta-analysis. </w:t>
      </w:r>
      <w:r>
        <w:rPr>
          <w:rFonts w:ascii="Times New Roman" w:eastAsia="Calibri" w:hAnsi="Times New Roman"/>
          <w:i/>
          <w:iCs/>
          <w:color w:val="1B1B1B"/>
          <w:shd w:val="clear" w:color="auto" w:fill="FFFFFF"/>
        </w:rPr>
        <w:t>J Glob Health</w:t>
      </w:r>
      <w:r>
        <w:rPr>
          <w:rFonts w:ascii="Times New Roman" w:eastAsia="Calibri" w:hAnsi="Times New Roman"/>
          <w:color w:val="1B1B1B"/>
          <w:shd w:val="clear" w:color="auto" w:fill="FFFFFF"/>
        </w:rPr>
        <w:t xml:space="preserve">. 2025 Nov </w:t>
      </w:r>
      <w:proofErr w:type="gramStart"/>
      <w:r>
        <w:rPr>
          <w:rFonts w:ascii="Times New Roman" w:eastAsia="Calibri" w:hAnsi="Times New Roman"/>
          <w:color w:val="1B1B1B"/>
          <w:shd w:val="clear" w:color="auto" w:fill="FFFFFF"/>
        </w:rPr>
        <w:t>28;15:04320</w:t>
      </w:r>
      <w:proofErr w:type="gramEnd"/>
      <w:r>
        <w:rPr>
          <w:rFonts w:ascii="Times New Roman" w:eastAsia="Calibri" w:hAnsi="Times New Roman"/>
          <w:color w:val="1B1B1B"/>
          <w:shd w:val="clear" w:color="auto" w:fill="FFFFFF"/>
        </w:rPr>
        <w:t xml:space="preserve">. </w:t>
      </w:r>
      <w:proofErr w:type="spellStart"/>
      <w:r>
        <w:rPr>
          <w:rFonts w:ascii="Times New Roman" w:eastAsia="Calibri" w:hAnsi="Times New Roman"/>
          <w:color w:val="1B1B1B"/>
          <w:shd w:val="clear" w:color="auto" w:fill="FFFFFF"/>
        </w:rPr>
        <w:t>doi</w:t>
      </w:r>
      <w:proofErr w:type="spellEnd"/>
      <w:r>
        <w:rPr>
          <w:rFonts w:ascii="Times New Roman" w:eastAsia="Calibri" w:hAnsi="Times New Roman"/>
          <w:color w:val="1B1B1B"/>
          <w:shd w:val="clear" w:color="auto" w:fill="FFFFFF"/>
        </w:rPr>
        <w:t>: 10.7189/jogh.15.04320. PMID: 41313176; PMCID: PMC12662026.</w:t>
      </w:r>
    </w:p>
    <w:p w:rsidR="00231129" w:rsidRDefault="00231129" w:rsidP="00231129">
      <w:pPr>
        <w:pStyle w:val="ListParagraph"/>
        <w:numPr>
          <w:ilvl w:val="0"/>
          <w:numId w:val="1"/>
        </w:numPr>
        <w:spacing w:line="360" w:lineRule="auto"/>
        <w:rPr>
          <w:rFonts w:ascii="Times New Roman" w:eastAsia="Calibri" w:hAnsi="Times New Roman"/>
        </w:rPr>
      </w:pPr>
      <w:proofErr w:type="spellStart"/>
      <w:r>
        <w:rPr>
          <w:rFonts w:ascii="Times New Roman" w:eastAsia="Calibri" w:hAnsi="Times New Roman"/>
          <w:color w:val="1B1B1B"/>
          <w:shd w:val="clear" w:color="auto" w:fill="FFFFFF"/>
        </w:rPr>
        <w:t>ALobaid</w:t>
      </w:r>
      <w:proofErr w:type="spellEnd"/>
      <w:r>
        <w:rPr>
          <w:rFonts w:ascii="Times New Roman" w:eastAsia="Calibri" w:hAnsi="Times New Roman"/>
          <w:color w:val="1B1B1B"/>
          <w:shd w:val="clear" w:color="auto" w:fill="FFFFFF"/>
        </w:rPr>
        <w:t xml:space="preserve"> AM, Gosling CM, </w:t>
      </w:r>
      <w:proofErr w:type="spellStart"/>
      <w:r>
        <w:rPr>
          <w:rFonts w:ascii="Times New Roman" w:eastAsia="Calibri" w:hAnsi="Times New Roman"/>
          <w:color w:val="1B1B1B"/>
          <w:shd w:val="clear" w:color="auto" w:fill="FFFFFF"/>
        </w:rPr>
        <w:t>Khasawneh</w:t>
      </w:r>
      <w:proofErr w:type="spellEnd"/>
      <w:r>
        <w:rPr>
          <w:rFonts w:ascii="Times New Roman" w:eastAsia="Calibri" w:hAnsi="Times New Roman"/>
          <w:color w:val="1B1B1B"/>
          <w:shd w:val="clear" w:color="auto" w:fill="FFFFFF"/>
        </w:rPr>
        <w:t xml:space="preserve"> E, McKenna L, Williams B. Challenges Faced by Female Healthcare Professionals in the Workforce: A Scoping Review. </w:t>
      </w:r>
      <w:r>
        <w:rPr>
          <w:rFonts w:ascii="Times New Roman" w:eastAsia="Calibri" w:hAnsi="Times New Roman"/>
          <w:i/>
          <w:iCs/>
          <w:color w:val="1B1B1B"/>
          <w:shd w:val="clear" w:color="auto" w:fill="FFFFFF"/>
        </w:rPr>
        <w:t xml:space="preserve">J </w:t>
      </w:r>
      <w:proofErr w:type="spellStart"/>
      <w:r>
        <w:rPr>
          <w:rFonts w:ascii="Times New Roman" w:eastAsia="Calibri" w:hAnsi="Times New Roman"/>
          <w:i/>
          <w:iCs/>
          <w:color w:val="1B1B1B"/>
          <w:shd w:val="clear" w:color="auto" w:fill="FFFFFF"/>
        </w:rPr>
        <w:t>Multidiscip</w:t>
      </w:r>
      <w:proofErr w:type="spellEnd"/>
      <w:r>
        <w:rPr>
          <w:rFonts w:ascii="Times New Roman" w:eastAsia="Calibri" w:hAnsi="Times New Roman"/>
          <w:i/>
          <w:iCs/>
          <w:color w:val="1B1B1B"/>
          <w:shd w:val="clear" w:color="auto" w:fill="FFFFFF"/>
        </w:rPr>
        <w:t xml:space="preserve"> </w:t>
      </w:r>
      <w:proofErr w:type="spellStart"/>
      <w:r>
        <w:rPr>
          <w:rFonts w:ascii="Times New Roman" w:eastAsia="Calibri" w:hAnsi="Times New Roman"/>
          <w:i/>
          <w:iCs/>
          <w:color w:val="1B1B1B"/>
          <w:shd w:val="clear" w:color="auto" w:fill="FFFFFF"/>
        </w:rPr>
        <w:t>Healthc</w:t>
      </w:r>
      <w:proofErr w:type="spellEnd"/>
      <w:r>
        <w:rPr>
          <w:rFonts w:ascii="Times New Roman" w:eastAsia="Calibri" w:hAnsi="Times New Roman"/>
          <w:color w:val="1B1B1B"/>
          <w:shd w:val="clear" w:color="auto" w:fill="FFFFFF"/>
        </w:rPr>
        <w:t xml:space="preserve">. 2020 Aug </w:t>
      </w:r>
      <w:proofErr w:type="gramStart"/>
      <w:r>
        <w:rPr>
          <w:rFonts w:ascii="Times New Roman" w:eastAsia="Calibri" w:hAnsi="Times New Roman"/>
          <w:color w:val="1B1B1B"/>
          <w:shd w:val="clear" w:color="auto" w:fill="FFFFFF"/>
        </w:rPr>
        <w:t>5;13:681</w:t>
      </w:r>
      <w:proofErr w:type="gramEnd"/>
      <w:r>
        <w:rPr>
          <w:rFonts w:ascii="Times New Roman" w:eastAsia="Calibri" w:hAnsi="Times New Roman"/>
          <w:color w:val="1B1B1B"/>
          <w:shd w:val="clear" w:color="auto" w:fill="FFFFFF"/>
        </w:rPr>
        <w:t xml:space="preserve">-691. </w:t>
      </w:r>
      <w:proofErr w:type="spellStart"/>
      <w:r>
        <w:rPr>
          <w:rFonts w:ascii="Times New Roman" w:eastAsia="Calibri" w:hAnsi="Times New Roman"/>
          <w:color w:val="1B1B1B"/>
          <w:shd w:val="clear" w:color="auto" w:fill="FFFFFF"/>
        </w:rPr>
        <w:t>doi</w:t>
      </w:r>
      <w:proofErr w:type="spellEnd"/>
      <w:r>
        <w:rPr>
          <w:rFonts w:ascii="Times New Roman" w:eastAsia="Calibri" w:hAnsi="Times New Roman"/>
          <w:color w:val="1B1B1B"/>
          <w:shd w:val="clear" w:color="auto" w:fill="FFFFFF"/>
        </w:rPr>
        <w:t>: 10.2147/JMDH.S254922. PMID: 32821112; PMCID: PMC7417925.</w:t>
      </w:r>
    </w:p>
    <w:p w:rsidR="00231129" w:rsidRDefault="00231129" w:rsidP="00231129">
      <w:pPr>
        <w:pStyle w:val="ListParagraph"/>
        <w:numPr>
          <w:ilvl w:val="0"/>
          <w:numId w:val="1"/>
        </w:numPr>
        <w:spacing w:line="360" w:lineRule="auto"/>
        <w:rPr>
          <w:rFonts w:ascii="Times New Roman" w:eastAsia="Calibri" w:hAnsi="Times New Roman"/>
        </w:rPr>
      </w:pPr>
      <w:proofErr w:type="spellStart"/>
      <w:r>
        <w:rPr>
          <w:rFonts w:ascii="Times New Roman" w:eastAsia="Calibri" w:hAnsi="Times New Roman"/>
        </w:rPr>
        <w:lastRenderedPageBreak/>
        <w:t>Druzhkova</w:t>
      </w:r>
      <w:proofErr w:type="spellEnd"/>
      <w:r>
        <w:rPr>
          <w:rFonts w:ascii="Times New Roman" w:eastAsia="Calibri" w:hAnsi="Times New Roman"/>
        </w:rPr>
        <w:t xml:space="preserve"> I, </w:t>
      </w:r>
      <w:proofErr w:type="spellStart"/>
      <w:r>
        <w:rPr>
          <w:rFonts w:ascii="Times New Roman" w:eastAsia="Calibri" w:hAnsi="Times New Roman"/>
        </w:rPr>
        <w:t>Annienkova</w:t>
      </w:r>
      <w:proofErr w:type="spellEnd"/>
      <w:r>
        <w:rPr>
          <w:rFonts w:ascii="Times New Roman" w:eastAsia="Calibri" w:hAnsi="Times New Roman"/>
        </w:rPr>
        <w:t xml:space="preserve"> I, Busel S. </w:t>
      </w:r>
      <w:proofErr w:type="spellStart"/>
      <w:r>
        <w:rPr>
          <w:rFonts w:ascii="Times New Roman" w:eastAsia="Calibri" w:hAnsi="Times New Roman"/>
        </w:rPr>
        <w:t>Nemchenko</w:t>
      </w:r>
      <w:proofErr w:type="spellEnd"/>
      <w:r>
        <w:rPr>
          <w:rFonts w:ascii="Times New Roman" w:eastAsia="Calibri" w:hAnsi="Times New Roman"/>
        </w:rPr>
        <w:t xml:space="preserve"> H, &amp; </w:t>
      </w:r>
      <w:proofErr w:type="spellStart"/>
      <w:r>
        <w:rPr>
          <w:rFonts w:ascii="Times New Roman" w:eastAsia="Calibri" w:hAnsi="Times New Roman"/>
        </w:rPr>
        <w:t>Rudinska</w:t>
      </w:r>
      <w:proofErr w:type="spellEnd"/>
      <w:r>
        <w:rPr>
          <w:rFonts w:ascii="Times New Roman" w:eastAsia="Calibri" w:hAnsi="Times New Roman"/>
        </w:rPr>
        <w:t xml:space="preserve"> O. Gender challenges in healthcare, psychological strategies for overcoming discrimination. </w:t>
      </w:r>
      <w:r>
        <w:rPr>
          <w:rFonts w:ascii="Times New Roman" w:eastAsia="Calibri" w:hAnsi="Times New Roman"/>
          <w:i/>
          <w:iCs/>
        </w:rPr>
        <w:t xml:space="preserve">Revista Amazonia </w:t>
      </w:r>
      <w:proofErr w:type="spellStart"/>
      <w:r>
        <w:rPr>
          <w:rFonts w:ascii="Times New Roman" w:eastAsia="Calibri" w:hAnsi="Times New Roman"/>
          <w:i/>
          <w:iCs/>
        </w:rPr>
        <w:t>Investiga</w:t>
      </w:r>
      <w:proofErr w:type="spellEnd"/>
      <w:r>
        <w:rPr>
          <w:rFonts w:ascii="Times New Roman" w:eastAsia="Calibri" w:hAnsi="Times New Roman"/>
        </w:rPr>
        <w:t xml:space="preserve">. </w:t>
      </w:r>
      <w:proofErr w:type="gramStart"/>
      <w:r>
        <w:rPr>
          <w:rFonts w:ascii="Times New Roman" w:eastAsia="Calibri" w:hAnsi="Times New Roman"/>
        </w:rPr>
        <w:t>2025;14:114</w:t>
      </w:r>
      <w:proofErr w:type="gramEnd"/>
      <w:r>
        <w:rPr>
          <w:rFonts w:ascii="Times New Roman" w:eastAsia="Calibri" w:hAnsi="Times New Roman"/>
        </w:rPr>
        <w:t>-130. 10.34069/AI/2025.86.02.10</w:t>
      </w:r>
    </w:p>
    <w:p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Sturman N, Tan Z, Turner J. "A steep learning curve": junior doctor perspectives on the transition from medical student to the health-care workplace. BMC Med Educ. 2017 May 26;17(1):92. </w:t>
      </w:r>
      <w:proofErr w:type="spellStart"/>
      <w:r>
        <w:rPr>
          <w:rFonts w:ascii="Times New Roman" w:eastAsia="Calibri" w:hAnsi="Times New Roman"/>
          <w:color w:val="1B1B1B"/>
          <w:shd w:val="clear" w:color="auto" w:fill="FFFFFF"/>
        </w:rPr>
        <w:t>doi</w:t>
      </w:r>
      <w:proofErr w:type="spellEnd"/>
      <w:r>
        <w:rPr>
          <w:rFonts w:ascii="Times New Roman" w:eastAsia="Calibri" w:hAnsi="Times New Roman"/>
          <w:color w:val="1B1B1B"/>
          <w:shd w:val="clear" w:color="auto" w:fill="FFFFFF"/>
        </w:rPr>
        <w:t>: 10.1186/s12909-017-0931-2. PMID: 28549459; PMCID: PMC5446747.</w:t>
      </w:r>
    </w:p>
    <w:p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Shamieh O, </w:t>
      </w:r>
      <w:proofErr w:type="spellStart"/>
      <w:r>
        <w:rPr>
          <w:rFonts w:ascii="Times New Roman" w:eastAsia="Calibri" w:hAnsi="Times New Roman"/>
          <w:color w:val="1B1B1B"/>
          <w:shd w:val="clear" w:color="auto" w:fill="FFFFFF"/>
        </w:rPr>
        <w:t>Alrjoub</w:t>
      </w:r>
      <w:proofErr w:type="spellEnd"/>
      <w:r>
        <w:rPr>
          <w:rFonts w:ascii="Times New Roman" w:eastAsia="Calibri" w:hAnsi="Times New Roman"/>
          <w:color w:val="1B1B1B"/>
          <w:shd w:val="clear" w:color="auto" w:fill="FFFFFF"/>
        </w:rPr>
        <w:t xml:space="preserve"> W, Alarie G, Ammar K, Hazim MA, </w:t>
      </w:r>
      <w:proofErr w:type="spellStart"/>
      <w:r>
        <w:rPr>
          <w:rFonts w:ascii="Times New Roman" w:eastAsia="Calibri" w:hAnsi="Times New Roman"/>
          <w:color w:val="1B1B1B"/>
          <w:shd w:val="clear" w:color="auto" w:fill="FFFFFF"/>
        </w:rPr>
        <w:t>Shawash</w:t>
      </w:r>
      <w:proofErr w:type="spellEnd"/>
      <w:r>
        <w:rPr>
          <w:rFonts w:ascii="Times New Roman" w:eastAsia="Calibri" w:hAnsi="Times New Roman"/>
          <w:color w:val="1B1B1B"/>
          <w:shd w:val="clear" w:color="auto" w:fill="FFFFFF"/>
        </w:rPr>
        <w:t xml:space="preserve"> T, </w:t>
      </w:r>
      <w:proofErr w:type="spellStart"/>
      <w:r>
        <w:rPr>
          <w:rFonts w:ascii="Times New Roman" w:eastAsia="Calibri" w:hAnsi="Times New Roman"/>
          <w:color w:val="1B1B1B"/>
          <w:shd w:val="clear" w:color="auto" w:fill="FFFFFF"/>
        </w:rPr>
        <w:t>Zamel</w:t>
      </w:r>
      <w:proofErr w:type="spellEnd"/>
      <w:r>
        <w:rPr>
          <w:rFonts w:ascii="Times New Roman" w:eastAsia="Calibri" w:hAnsi="Times New Roman"/>
          <w:color w:val="1B1B1B"/>
          <w:shd w:val="clear" w:color="auto" w:fill="FFFFFF"/>
        </w:rPr>
        <w:t xml:space="preserve"> O, Al-Hussaini M, Al-</w:t>
      </w:r>
      <w:proofErr w:type="spellStart"/>
      <w:r>
        <w:rPr>
          <w:rFonts w:ascii="Times New Roman" w:eastAsia="Calibri" w:hAnsi="Times New Roman"/>
          <w:color w:val="1B1B1B"/>
          <w:shd w:val="clear" w:color="auto" w:fill="FFFFFF"/>
        </w:rPr>
        <w:t>Ruzzieh</w:t>
      </w:r>
      <w:proofErr w:type="spellEnd"/>
      <w:r>
        <w:rPr>
          <w:rFonts w:ascii="Times New Roman" w:eastAsia="Calibri" w:hAnsi="Times New Roman"/>
          <w:color w:val="1B1B1B"/>
          <w:shd w:val="clear" w:color="auto" w:fill="FFFFFF"/>
        </w:rPr>
        <w:t xml:space="preserve"> M, Abdel-</w:t>
      </w:r>
      <w:proofErr w:type="spellStart"/>
      <w:r>
        <w:rPr>
          <w:rFonts w:ascii="Times New Roman" w:eastAsia="Calibri" w:hAnsi="Times New Roman"/>
          <w:color w:val="1B1B1B"/>
          <w:shd w:val="clear" w:color="auto" w:fill="FFFFFF"/>
        </w:rPr>
        <w:t>Razeq</w:t>
      </w:r>
      <w:proofErr w:type="spellEnd"/>
      <w:r>
        <w:rPr>
          <w:rFonts w:ascii="Times New Roman" w:eastAsia="Calibri" w:hAnsi="Times New Roman"/>
          <w:color w:val="1B1B1B"/>
          <w:shd w:val="clear" w:color="auto" w:fill="FFFFFF"/>
        </w:rPr>
        <w:t xml:space="preserve"> H, Mansour A. Prevalence and predictors of staff burnout at a tertiary cancer center in Jordan. AIMS Public Health. 2025 Apr 15;12(2):470-490. </w:t>
      </w:r>
      <w:proofErr w:type="spellStart"/>
      <w:r>
        <w:rPr>
          <w:rFonts w:ascii="Times New Roman" w:eastAsia="Calibri" w:hAnsi="Times New Roman"/>
          <w:color w:val="1B1B1B"/>
          <w:shd w:val="clear" w:color="auto" w:fill="FFFFFF"/>
        </w:rPr>
        <w:t>doi</w:t>
      </w:r>
      <w:proofErr w:type="spellEnd"/>
      <w:r>
        <w:rPr>
          <w:rFonts w:ascii="Times New Roman" w:eastAsia="Calibri" w:hAnsi="Times New Roman"/>
          <w:color w:val="1B1B1B"/>
          <w:shd w:val="clear" w:color="auto" w:fill="FFFFFF"/>
        </w:rPr>
        <w:t xml:space="preserve">: 10.3934/publichealth.2025026. PMID: 40697251; PMCID: PMC12277770. </w:t>
      </w:r>
    </w:p>
    <w:p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Dyrbye LN, Shanafelt TD. Physician burnout: a potential threat to successful health care reform. </w:t>
      </w:r>
      <w:r>
        <w:rPr>
          <w:rFonts w:ascii="Times New Roman" w:eastAsia="Calibri" w:hAnsi="Times New Roman"/>
          <w:i/>
          <w:iCs/>
        </w:rPr>
        <w:t>JAMA.</w:t>
      </w:r>
      <w:r>
        <w:rPr>
          <w:rFonts w:ascii="Times New Roman" w:eastAsia="Calibri" w:hAnsi="Times New Roman"/>
        </w:rPr>
        <w:t xml:space="preserve"> 2011;305(19):2009-2010.</w:t>
      </w:r>
    </w:p>
    <w:p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Wright T, Mughal F, Babatunde OO, </w:t>
      </w:r>
      <w:proofErr w:type="spellStart"/>
      <w:r>
        <w:rPr>
          <w:rFonts w:ascii="Times New Roman" w:eastAsia="Calibri" w:hAnsi="Times New Roman"/>
        </w:rPr>
        <w:t>Dikomitis</w:t>
      </w:r>
      <w:proofErr w:type="spellEnd"/>
      <w:r>
        <w:rPr>
          <w:rFonts w:ascii="Times New Roman" w:eastAsia="Calibri" w:hAnsi="Times New Roman"/>
        </w:rPr>
        <w:t xml:space="preserve"> L, Mallen CD, Helliwell T. Burnout among primary health-care professionals in low- and middle-income countries: systematic review and meta-analysis. </w:t>
      </w:r>
      <w:r>
        <w:rPr>
          <w:rFonts w:ascii="Times New Roman" w:eastAsia="Calibri" w:hAnsi="Times New Roman"/>
          <w:i/>
          <w:iCs/>
        </w:rPr>
        <w:t>Bull World Health Organ</w:t>
      </w:r>
      <w:r>
        <w:rPr>
          <w:rFonts w:ascii="Times New Roman" w:eastAsia="Calibri" w:hAnsi="Times New Roman"/>
        </w:rPr>
        <w:t>. 2022;100(6):385-401A. doi:10.2471/BLT.22.288300</w:t>
      </w:r>
    </w:p>
    <w:p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Shanafelt TD, Boone S, Tan L, et al. Burnout and satisfaction with work-life balance among US physicians relative to the general US population. </w:t>
      </w:r>
      <w:r>
        <w:rPr>
          <w:rFonts w:ascii="Times New Roman" w:eastAsia="Calibri" w:hAnsi="Times New Roman"/>
          <w:i/>
          <w:iCs/>
        </w:rPr>
        <w:t>Arch Intern Med.</w:t>
      </w:r>
      <w:r>
        <w:rPr>
          <w:rFonts w:ascii="Times New Roman" w:eastAsia="Calibri" w:hAnsi="Times New Roman"/>
        </w:rPr>
        <w:t xml:space="preserve"> 2012;172(18):1377-1385. doi:10.1001/archinternmed.2012.3199</w:t>
      </w:r>
    </w:p>
    <w:p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West CP, Dyrbye LN, Shanafelt TD. Physician burnout: contributors, consequences and solutions. </w:t>
      </w:r>
      <w:r>
        <w:rPr>
          <w:rFonts w:ascii="Times New Roman" w:eastAsia="Calibri" w:hAnsi="Times New Roman"/>
          <w:i/>
          <w:iCs/>
        </w:rPr>
        <w:t>J Intern Med</w:t>
      </w:r>
      <w:r>
        <w:rPr>
          <w:rFonts w:ascii="Times New Roman" w:eastAsia="Calibri" w:hAnsi="Times New Roman"/>
        </w:rPr>
        <w:t>. 2018;283(6):516-529. doi:10.1111/joim.12752</w:t>
      </w:r>
    </w:p>
    <w:p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Grillo E, Ekundayo A. Prevalence and Pattern of Burnout Syndrome amongst Doctors Working in a Nigerian Tertiary Hospital. </w:t>
      </w:r>
      <w:r>
        <w:rPr>
          <w:rFonts w:ascii="Times New Roman" w:eastAsia="Calibri" w:hAnsi="Times New Roman"/>
          <w:i/>
          <w:iCs/>
        </w:rPr>
        <w:t>Niger Med J</w:t>
      </w:r>
      <w:r>
        <w:rPr>
          <w:rFonts w:ascii="Times New Roman" w:eastAsia="Calibri" w:hAnsi="Times New Roman"/>
        </w:rPr>
        <w:t xml:space="preserve">. 2026;66(5):1829-45. Available from: </w:t>
      </w:r>
      <w:hyperlink r:id="rId9" w:history="1">
        <w:r>
          <w:rPr>
            <w:rStyle w:val="15"/>
            <w:rFonts w:ascii="Times New Roman" w:eastAsia="Calibri" w:hAnsi="Times New Roman" w:cs="Times New Roman"/>
          </w:rPr>
          <w:t>https://nigerianmedjournal.org/index.php/nmj/article/view/1022</w:t>
        </w:r>
      </w:hyperlink>
    </w:p>
    <w:p w:rsidR="00231129" w:rsidRDefault="00231129" w:rsidP="00231129">
      <w:pPr>
        <w:numPr>
          <w:ilvl w:val="0"/>
          <w:numId w:val="1"/>
        </w:numPr>
        <w:spacing w:line="360" w:lineRule="auto"/>
        <w:rPr>
          <w:rFonts w:ascii="Times New Roman" w:eastAsia="Calibri" w:hAnsi="Times New Roman"/>
        </w:rPr>
      </w:pPr>
      <w:proofErr w:type="spellStart"/>
      <w:r>
        <w:rPr>
          <w:rFonts w:ascii="Times New Roman" w:eastAsia="Calibri" w:hAnsi="Times New Roman"/>
        </w:rPr>
        <w:t>Lyubarova</w:t>
      </w:r>
      <w:proofErr w:type="spellEnd"/>
      <w:r>
        <w:rPr>
          <w:rFonts w:ascii="Times New Roman" w:eastAsia="Calibri" w:hAnsi="Times New Roman"/>
        </w:rPr>
        <w:t xml:space="preserve"> R, Salman L, Rittenberg E. Gender Differences in Physician Burnout: Driving Factors and Potential Solutions. </w:t>
      </w:r>
      <w:r>
        <w:rPr>
          <w:rFonts w:ascii="Times New Roman" w:eastAsia="Calibri" w:hAnsi="Times New Roman"/>
          <w:i/>
          <w:iCs/>
        </w:rPr>
        <w:t>Perm J</w:t>
      </w:r>
      <w:r>
        <w:rPr>
          <w:rFonts w:ascii="Times New Roman" w:eastAsia="Calibri" w:hAnsi="Times New Roman"/>
        </w:rPr>
        <w:t>. 2023;27(2):130-136. doi:10.7812/TPP/23.023</w:t>
      </w:r>
    </w:p>
    <w:p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lastRenderedPageBreak/>
        <w:t xml:space="preserve">Yeluru H, Newton HL, Kapoor R. Physician Burnout Through the Female Lens: A Silent Crisis. </w:t>
      </w:r>
      <w:r>
        <w:rPr>
          <w:rFonts w:ascii="Times New Roman" w:eastAsia="Calibri" w:hAnsi="Times New Roman"/>
          <w:i/>
          <w:iCs/>
        </w:rPr>
        <w:t>Front Public Health</w:t>
      </w:r>
      <w:r>
        <w:rPr>
          <w:rFonts w:ascii="Times New Roman" w:eastAsia="Calibri" w:hAnsi="Times New Roman"/>
        </w:rPr>
        <w:t xml:space="preserve">. </w:t>
      </w:r>
      <w:proofErr w:type="gramStart"/>
      <w:r>
        <w:rPr>
          <w:rFonts w:ascii="Times New Roman" w:eastAsia="Calibri" w:hAnsi="Times New Roman"/>
        </w:rPr>
        <w:t>2022;10:880061</w:t>
      </w:r>
      <w:proofErr w:type="gramEnd"/>
      <w:r>
        <w:rPr>
          <w:rFonts w:ascii="Times New Roman" w:eastAsia="Calibri" w:hAnsi="Times New Roman"/>
        </w:rPr>
        <w:t>. Published 2022 May 24. doi:10.3389/fpubh.2022.880061</w:t>
      </w:r>
    </w:p>
    <w:p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De Hert S. Burnout in Healthcare Workers: Prevalence, Impact and Preventative Strategies. </w:t>
      </w:r>
      <w:r>
        <w:rPr>
          <w:rFonts w:ascii="Times New Roman" w:eastAsia="Calibri" w:hAnsi="Times New Roman"/>
          <w:i/>
          <w:iCs/>
        </w:rPr>
        <w:t xml:space="preserve">Local Reg </w:t>
      </w:r>
      <w:proofErr w:type="spellStart"/>
      <w:r>
        <w:rPr>
          <w:rFonts w:ascii="Times New Roman" w:eastAsia="Calibri" w:hAnsi="Times New Roman"/>
          <w:i/>
          <w:iCs/>
        </w:rPr>
        <w:t>Anesth</w:t>
      </w:r>
      <w:proofErr w:type="spellEnd"/>
      <w:r>
        <w:rPr>
          <w:rFonts w:ascii="Times New Roman" w:eastAsia="Calibri" w:hAnsi="Times New Roman"/>
        </w:rPr>
        <w:t xml:space="preserve">. </w:t>
      </w:r>
      <w:proofErr w:type="gramStart"/>
      <w:r>
        <w:rPr>
          <w:rFonts w:ascii="Times New Roman" w:eastAsia="Calibri" w:hAnsi="Times New Roman"/>
        </w:rPr>
        <w:t>2020;13:171</w:t>
      </w:r>
      <w:proofErr w:type="gramEnd"/>
      <w:r>
        <w:rPr>
          <w:rFonts w:ascii="Times New Roman" w:eastAsia="Calibri" w:hAnsi="Times New Roman"/>
        </w:rPr>
        <w:t>-183. Published 2020 Oct 28. doi:10.2147/LRA.S240564</w:t>
      </w:r>
    </w:p>
    <w:p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West CP, Dyrbye LN, Sloan JA, Shanafelt TD. Single item measures of emotional exhaustion and depersonalization are useful for assessing burnout in medical professionals. J Gen Intern Med. 2009;24(12):1318-1321. doi:10.1007/s11606-009-1129-z.</w:t>
      </w:r>
    </w:p>
    <w:sectPr w:rsidR="00231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80444"/>
    <w:multiLevelType w:val="multilevel"/>
    <w:tmpl w:val="A7747CB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681620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29"/>
    <w:rsid w:val="00231129"/>
    <w:rsid w:val="00B64EDE"/>
    <w:rsid w:val="00F6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F4EEA9"/>
  <w15:chartTrackingRefBased/>
  <w15:docId w15:val="{0CC1BFDD-BCD3-F544-A646-D7B7A9DD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29"/>
    <w:pPr>
      <w:spacing w:before="100" w:beforeAutospacing="1" w:line="276" w:lineRule="auto"/>
    </w:pPr>
    <w:rPr>
      <w:rFonts w:ascii="Calibri" w:eastAsia="Times New Roman" w:hAnsi="Calibri" w:cs="Times New Roman"/>
      <w14:ligatures w14:val="none"/>
    </w:rPr>
  </w:style>
  <w:style w:type="paragraph" w:styleId="Heading1">
    <w:name w:val="heading 1"/>
    <w:basedOn w:val="Normal"/>
    <w:next w:val="Normal"/>
    <w:link w:val="Heading1Char"/>
    <w:uiPriority w:val="9"/>
    <w:qFormat/>
    <w:rsid w:val="002311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1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1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1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1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1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1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1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1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1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129"/>
    <w:rPr>
      <w:rFonts w:eastAsiaTheme="majorEastAsia" w:cstheme="majorBidi"/>
      <w:color w:val="272727" w:themeColor="text1" w:themeTint="D8"/>
    </w:rPr>
  </w:style>
  <w:style w:type="paragraph" w:styleId="Title">
    <w:name w:val="Title"/>
    <w:basedOn w:val="Normal"/>
    <w:next w:val="Normal"/>
    <w:link w:val="TitleChar"/>
    <w:uiPriority w:val="10"/>
    <w:qFormat/>
    <w:rsid w:val="00231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129"/>
    <w:pPr>
      <w:spacing w:before="160"/>
      <w:jc w:val="center"/>
    </w:pPr>
    <w:rPr>
      <w:i/>
      <w:iCs/>
      <w:color w:val="404040" w:themeColor="text1" w:themeTint="BF"/>
    </w:rPr>
  </w:style>
  <w:style w:type="character" w:customStyle="1" w:styleId="QuoteChar">
    <w:name w:val="Quote Char"/>
    <w:basedOn w:val="DefaultParagraphFont"/>
    <w:link w:val="Quote"/>
    <w:uiPriority w:val="29"/>
    <w:rsid w:val="00231129"/>
    <w:rPr>
      <w:i/>
      <w:iCs/>
      <w:color w:val="404040" w:themeColor="text1" w:themeTint="BF"/>
    </w:rPr>
  </w:style>
  <w:style w:type="paragraph" w:styleId="ListParagraph">
    <w:name w:val="List Paragraph"/>
    <w:basedOn w:val="Normal"/>
    <w:uiPriority w:val="99"/>
    <w:qFormat/>
    <w:rsid w:val="00231129"/>
    <w:pPr>
      <w:ind w:left="720"/>
      <w:contextualSpacing/>
    </w:pPr>
  </w:style>
  <w:style w:type="character" w:styleId="IntenseEmphasis">
    <w:name w:val="Intense Emphasis"/>
    <w:basedOn w:val="DefaultParagraphFont"/>
    <w:uiPriority w:val="21"/>
    <w:qFormat/>
    <w:rsid w:val="00231129"/>
    <w:rPr>
      <w:i/>
      <w:iCs/>
      <w:color w:val="2F5496" w:themeColor="accent1" w:themeShade="BF"/>
    </w:rPr>
  </w:style>
  <w:style w:type="paragraph" w:styleId="IntenseQuote">
    <w:name w:val="Intense Quote"/>
    <w:basedOn w:val="Normal"/>
    <w:next w:val="Normal"/>
    <w:link w:val="IntenseQuoteChar"/>
    <w:uiPriority w:val="30"/>
    <w:qFormat/>
    <w:rsid w:val="00231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129"/>
    <w:rPr>
      <w:i/>
      <w:iCs/>
      <w:color w:val="2F5496" w:themeColor="accent1" w:themeShade="BF"/>
    </w:rPr>
  </w:style>
  <w:style w:type="character" w:styleId="IntenseReference">
    <w:name w:val="Intense Reference"/>
    <w:basedOn w:val="DefaultParagraphFont"/>
    <w:uiPriority w:val="32"/>
    <w:qFormat/>
    <w:rsid w:val="00231129"/>
    <w:rPr>
      <w:b/>
      <w:bCs/>
      <w:smallCaps/>
      <w:color w:val="2F5496" w:themeColor="accent1" w:themeShade="BF"/>
      <w:spacing w:val="5"/>
    </w:rPr>
  </w:style>
  <w:style w:type="paragraph" w:styleId="NormalWeb">
    <w:name w:val="Normal (Web)"/>
    <w:basedOn w:val="Normal"/>
    <w:uiPriority w:val="99"/>
    <w:semiHidden/>
    <w:unhideWhenUsed/>
    <w:rsid w:val="00231129"/>
    <w:pPr>
      <w:spacing w:after="100" w:afterAutospacing="1" w:line="240" w:lineRule="auto"/>
    </w:pPr>
    <w:rPr>
      <w:rFonts w:ascii="Times New Roman" w:hAnsi="Times New Roman"/>
      <w:kern w:val="0"/>
    </w:rPr>
  </w:style>
  <w:style w:type="character" w:customStyle="1" w:styleId="15">
    <w:name w:val="15"/>
    <w:basedOn w:val="DefaultParagraphFont"/>
    <w:rsid w:val="00231129"/>
    <w:rPr>
      <w:rFonts w:ascii="Calibri" w:hAnsi="Calibri" w:cs="Calibri" w:hint="default"/>
      <w:color w:val="0000FF"/>
      <w:u w:val="single"/>
    </w:rPr>
  </w:style>
  <w:style w:type="character" w:customStyle="1" w:styleId="16">
    <w:name w:val="16"/>
    <w:basedOn w:val="DefaultParagraphFont"/>
    <w:rsid w:val="00231129"/>
    <w:rPr>
      <w:rFonts w:ascii="Calibri" w:hAnsi="Calibri" w:cs="Calibri" w:hint="default"/>
      <w:i/>
      <w:iCs/>
    </w:rPr>
  </w:style>
  <w:style w:type="table" w:styleId="TableGrid">
    <w:name w:val="Table Grid"/>
    <w:basedOn w:val="TableNormal"/>
    <w:uiPriority w:val="99"/>
    <w:rsid w:val="0023112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1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s15050649" TargetMode="External"/><Relationship Id="rId3" Type="http://schemas.openxmlformats.org/officeDocument/2006/relationships/settings" Target="settings.xml"/><Relationship Id="rId7" Type="http://schemas.openxmlformats.org/officeDocument/2006/relationships/hyperlink" Target="https://doi.org/10.71480/nmj.v66i5.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98-022-16095-5" TargetMode="External"/><Relationship Id="rId11" Type="http://schemas.openxmlformats.org/officeDocument/2006/relationships/theme" Target="theme/theme1.xml"/><Relationship Id="rId5" Type="http://schemas.openxmlformats.org/officeDocument/2006/relationships/hyperlink" Target="https://www.who.int/news/item/28-05-2019-burn-out-an-occupational-phenomenon-international-classification-of-diseas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igerianmedjournal.org/index.php/nmj/article/view/1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4929</Words>
  <Characters>28099</Characters>
  <Application>Microsoft Office Word</Application>
  <DocSecurity>0</DocSecurity>
  <Lines>234</Lines>
  <Paragraphs>65</Paragraphs>
  <ScaleCrop>false</ScaleCrop>
  <Company/>
  <LinksUpToDate>false</LinksUpToDate>
  <CharactersWithSpaces>32963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 OLADEJI</dc:creator>
  <cp:keywords/>
  <dc:description/>
  <cp:lastModifiedBy>ADEBAYO OLADEJI</cp:lastModifiedBy>
  <cp:revision>2</cp:revision>
  <dcterms:created xsi:type="dcterms:W3CDTF">2026-04-04T15:51:00Z</dcterms:created>
  <dcterms:modified xsi:type="dcterms:W3CDTF">2026-04-04T20:26:00Z</dcterms:modified>
</cp:coreProperties>
</file>