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7D1B1" w14:textId="3B5558E3" w:rsidR="00024276" w:rsidRDefault="00024276" w:rsidP="00024276">
      <w:pPr>
        <w:jc w:val="center"/>
        <w:rPr>
          <w:rFonts w:ascii="Times New Roman" w:hAnsi="Times New Roman" w:cs="Times New Roman"/>
          <w:b/>
          <w:bCs/>
        </w:rPr>
      </w:pPr>
      <w:r w:rsidRPr="00024276">
        <w:rPr>
          <w:rFonts w:ascii="Times New Roman" w:hAnsi="Times New Roman" w:cs="Times New Roman"/>
          <w:b/>
          <w:bCs/>
        </w:rPr>
        <w:t>Adapting Teacher Education Programmes in Alignment with NEP 2020: Perceptions and Preparedness of Teacher Educators in Kerala</w:t>
      </w:r>
    </w:p>
    <w:p w14:paraId="42795D7E" w14:textId="7E7DAAA2" w:rsidR="003718B5" w:rsidRDefault="003718B5" w:rsidP="00024276">
      <w:pPr>
        <w:jc w:val="center"/>
        <w:rPr>
          <w:rFonts w:ascii="Times New Roman" w:hAnsi="Times New Roman" w:cs="Times New Roman"/>
        </w:rPr>
      </w:pPr>
      <w:r w:rsidRPr="003718B5">
        <w:rPr>
          <w:rFonts w:ascii="Times New Roman" w:hAnsi="Times New Roman" w:cs="Times New Roman"/>
        </w:rPr>
        <w:t/>
      </w:r>
    </w:p>
    <w:p w14:paraId="6B844486" w14:textId="6A4E94B6" w:rsidR="003718B5" w:rsidRDefault="003718B5" w:rsidP="00024276">
      <w:pPr>
        <w:jc w:val="center"/>
        <w:rPr>
          <w:rFonts w:ascii="Times New Roman" w:hAnsi="Times New Roman" w:cs="Times New Roman"/>
        </w:rPr>
      </w:pPr>
      <w:r>
        <w:rPr>
          <w:rFonts w:ascii="Times New Roman" w:hAnsi="Times New Roman" w:cs="Times New Roman"/>
        </w:rPr>
        <w:t/>
      </w:r>
    </w:p>
    <w:p w14:paraId="0EB1032B" w14:textId="6637E210" w:rsidR="008E5771" w:rsidRDefault="008E5771" w:rsidP="00024276">
      <w:pPr>
        <w:jc w:val="center"/>
        <w:rPr>
          <w:rFonts w:ascii="Times New Roman" w:hAnsi="Times New Roman" w:cs="Times New Roman"/>
        </w:rPr>
      </w:pPr>
      <w:r>
        <w:rPr>
          <w:rFonts w:ascii="Times New Roman" w:hAnsi="Times New Roman" w:cs="Times New Roman"/>
        </w:rPr>
        <w:t/>
      </w:r>
    </w:p>
    <w:p w14:paraId="55E3ABDF" w14:textId="735A122C" w:rsidR="008E5771" w:rsidRDefault="008E5771" w:rsidP="00024276">
      <w:pPr>
        <w:jc w:val="center"/>
        <w:rPr>
          <w:rFonts w:ascii="Times New Roman" w:hAnsi="Times New Roman" w:cs="Times New Roman"/>
        </w:rPr>
      </w:pPr>
      <w:r>
        <w:rPr>
          <w:rFonts w:ascii="Times New Roman" w:hAnsi="Times New Roman" w:cs="Times New Roman"/>
        </w:rPr>
        <w:t/>
      </w:r>
    </w:p>
    <w:p w14:paraId="588AEF2D" w14:textId="21D80E4E" w:rsidR="003718B5" w:rsidRDefault="003718B5" w:rsidP="00024276">
      <w:pPr>
        <w:jc w:val="center"/>
        <w:rPr>
          <w:rFonts w:ascii="Times New Roman" w:hAnsi="Times New Roman" w:cs="Times New Roman"/>
          <w:i/>
          <w:iCs/>
        </w:rPr>
      </w:pPr>
      <w:r>
        <w:rPr>
          <w:rFonts w:ascii="Times New Roman" w:hAnsi="Times New Roman" w:cs="Times New Roman"/>
        </w:rPr>
        <w:t/>
      </w:r>
      <w:r w:rsidRPr="003718B5">
        <w:rPr>
          <w:rFonts w:ascii="Times New Roman" w:hAnsi="Times New Roman" w:cs="Times New Roman"/>
        </w:rPr>
        <w:t xml:space="preserve"/>
      </w:r>
      <w:r w:rsidRPr="003718B5">
        <w:rPr>
          <w:rFonts w:ascii="Times New Roman" w:hAnsi="Times New Roman" w:cs="Times New Roman"/>
          <w:i/>
          <w:iCs/>
        </w:rPr>
        <w:t/>
      </w:r>
      <w:r w:rsidR="005075C4">
        <w:rPr>
          <w:rFonts w:ascii="Times New Roman" w:hAnsi="Times New Roman" w:cs="Times New Roman"/>
          <w:i/>
          <w:iCs/>
        </w:rPr>
        <w:t/>
      </w:r>
    </w:p>
    <w:p w14:paraId="125E4C92" w14:textId="77777777" w:rsidR="0020421D" w:rsidRPr="0020421D" w:rsidRDefault="0020421D" w:rsidP="0020421D">
      <w:pPr>
        <w:jc w:val="center"/>
        <w:rPr>
          <w:rFonts w:ascii="Times New Roman" w:hAnsi="Times New Roman" w:cs="Times New Roman"/>
        </w:rPr>
      </w:pPr>
      <w:r w:rsidRPr="0020421D">
        <w:rPr>
          <w:rFonts w:ascii="Times New Roman" w:hAnsi="Times New Roman" w:cs="Times New Roman"/>
          <w:b/>
          <w:bCs/>
        </w:rPr>
        <w:t>Abstract</w:t>
      </w:r>
    </w:p>
    <w:p w14:paraId="46AC3A2E" w14:textId="5254CC30" w:rsidR="0020421D" w:rsidRPr="0020421D" w:rsidRDefault="0020421D" w:rsidP="0020421D">
      <w:pPr>
        <w:jc w:val="both"/>
        <w:rPr>
          <w:rFonts w:ascii="Times New Roman" w:hAnsi="Times New Roman" w:cs="Times New Roman"/>
        </w:rPr>
      </w:pPr>
      <w:r w:rsidRPr="0020421D">
        <w:rPr>
          <w:rFonts w:ascii="Times New Roman" w:hAnsi="Times New Roman" w:cs="Times New Roman"/>
        </w:rPr>
        <w:t>The National Education Policy (NEP) 2020 introduced the Integrated Teacher Education Programme (ITEP) as a major reform to improve the quality of teacher preparation in India. The successful implementation of ITEP largely depends on the preparedness and support of teacher educators. Therefore, the present study examined the perception of teacher educators regarding the implementation of ITEP in Kerala. The study adopted a descriptive survey design and collected data from 800 teacher educators working in Government, Aided, Self-Financing teacher education institutions and University Centres across Kerala. Data were collected using a standardized Perception Scale on ITEP Implementation developed by the investigator. The scale measured five dimensions, namely Understanding of NEP/ITEP, Faculty Readiness, Administrative Readiness, Institutional Preparedness and Infrastructural Readiness, and Opportunities and Challenges. The findings revealed that teacher educators possess a moderate level of perception regarding the implementation of ITEP (M = 137). They demonstrated a high level of understanding of NEP 2020 and ITEP, while</w:t>
      </w:r>
      <w:r w:rsidR="005A2756">
        <w:rPr>
          <w:rFonts w:ascii="Times New Roman" w:hAnsi="Times New Roman" w:cs="Times New Roman"/>
        </w:rPr>
        <w:t xml:space="preserve"> perception regarding</w:t>
      </w:r>
      <w:r w:rsidRPr="0020421D">
        <w:rPr>
          <w:rFonts w:ascii="Times New Roman" w:hAnsi="Times New Roman" w:cs="Times New Roman"/>
        </w:rPr>
        <w:t xml:space="preserve"> faculty readiness, administrative readiness and institutional preparedness </w:t>
      </w:r>
      <w:r w:rsidR="005A2756">
        <w:rPr>
          <w:rFonts w:ascii="Times New Roman" w:hAnsi="Times New Roman" w:cs="Times New Roman"/>
        </w:rPr>
        <w:t>was</w:t>
      </w:r>
      <w:r w:rsidRPr="0020421D">
        <w:rPr>
          <w:rFonts w:ascii="Times New Roman" w:hAnsi="Times New Roman" w:cs="Times New Roman"/>
        </w:rPr>
        <w:t xml:space="preserve"> found to be moderate. No significant differences were observed in perception based on </w:t>
      </w:r>
      <w:r w:rsidR="005A2756">
        <w:rPr>
          <w:rFonts w:ascii="Times New Roman" w:hAnsi="Times New Roman" w:cs="Times New Roman"/>
        </w:rPr>
        <w:t xml:space="preserve">the </w:t>
      </w:r>
      <w:r w:rsidRPr="0020421D">
        <w:rPr>
          <w:rFonts w:ascii="Times New Roman" w:hAnsi="Times New Roman" w:cs="Times New Roman"/>
        </w:rPr>
        <w:t>type of management or subject specialization. Teaching experience influenced perception only in the dimension of administrative readiness. The study highlights the need for capacity building, institutional preparedness, infrastructural strengthening and administrative support for the effective implementation of ITEP in Kerala.</w:t>
      </w:r>
    </w:p>
    <w:p w14:paraId="5E323FC6" w14:textId="78AB0B71" w:rsidR="0020421D" w:rsidRPr="0020421D" w:rsidRDefault="0020421D" w:rsidP="00F92A83">
      <w:pPr>
        <w:jc w:val="both"/>
        <w:rPr>
          <w:rFonts w:ascii="Times New Roman" w:hAnsi="Times New Roman" w:cs="Times New Roman"/>
        </w:rPr>
      </w:pPr>
      <w:r w:rsidRPr="0020421D">
        <w:rPr>
          <w:rFonts w:ascii="Times New Roman" w:hAnsi="Times New Roman" w:cs="Times New Roman"/>
          <w:b/>
          <w:bCs/>
        </w:rPr>
        <w:t>Keywords:</w:t>
      </w:r>
      <w:r w:rsidRPr="0020421D">
        <w:rPr>
          <w:rFonts w:ascii="Times New Roman" w:hAnsi="Times New Roman" w:cs="Times New Roman"/>
        </w:rPr>
        <w:t xml:space="preserve"> Integrated Teacher Education Programme, ITEP, NEP 2020, Teacher Educators, Teacher Education Reform, Kerala.</w:t>
      </w:r>
    </w:p>
    <w:p w14:paraId="0D532C5C" w14:textId="77777777" w:rsidR="009804AD" w:rsidRPr="009804AD" w:rsidRDefault="009804AD" w:rsidP="00EC3965">
      <w:pPr>
        <w:jc w:val="center"/>
        <w:rPr>
          <w:rFonts w:ascii="Times New Roman" w:hAnsi="Times New Roman" w:cs="Times New Roman"/>
          <w:b/>
          <w:bCs/>
        </w:rPr>
      </w:pPr>
      <w:r w:rsidRPr="009804AD">
        <w:rPr>
          <w:rFonts w:ascii="Times New Roman" w:hAnsi="Times New Roman" w:cs="Times New Roman"/>
          <w:b/>
          <w:bCs/>
        </w:rPr>
        <w:t>Introduction</w:t>
      </w:r>
    </w:p>
    <w:p w14:paraId="4AD9772D" w14:textId="0C4984FE" w:rsidR="009804AD" w:rsidRPr="009804AD" w:rsidRDefault="009804AD" w:rsidP="009804AD">
      <w:pPr>
        <w:jc w:val="both"/>
        <w:rPr>
          <w:rFonts w:ascii="Times New Roman" w:hAnsi="Times New Roman" w:cs="Times New Roman"/>
        </w:rPr>
      </w:pPr>
      <w:r w:rsidRPr="009804AD">
        <w:rPr>
          <w:rFonts w:ascii="Times New Roman" w:hAnsi="Times New Roman" w:cs="Times New Roman"/>
        </w:rPr>
        <w:t xml:space="preserve">Education has long been recognised as a powerful instrument for individual empowerment and social transformation. In the contemporary global context, educational systems are increasingly expected to promote critical thinking, inclusiveness, multidisciplinary learning and competency-based approaches capable of preparing learners for rapidly changing social and technological realities. Within this broader context, the introduction of the National Education </w:t>
      </w:r>
      <w:r w:rsidRPr="009804AD">
        <w:rPr>
          <w:rFonts w:ascii="Times New Roman" w:hAnsi="Times New Roman" w:cs="Times New Roman"/>
        </w:rPr>
        <w:lastRenderedPageBreak/>
        <w:t>Policy (NEP) 2020 marked a historic turning point in the Indian education system. The policy envisions a learner-centred, flexible, multidisciplinary and globally competitive educational framework aimed at transforming all stages of education, from early childhood to higher education (Narsimulu, 2025). NEP 2020 further identifies teachers as the central agents of educational reform and emphasises that the quality of an education system ultimately depends upon the quality of its teachers and teacher preparation processes.</w:t>
      </w:r>
    </w:p>
    <w:p w14:paraId="13BDC434" w14:textId="60C30234" w:rsidR="009804AD" w:rsidRPr="009804AD" w:rsidRDefault="009804AD" w:rsidP="009804AD">
      <w:pPr>
        <w:jc w:val="both"/>
        <w:rPr>
          <w:rFonts w:ascii="Times New Roman" w:hAnsi="Times New Roman" w:cs="Times New Roman"/>
        </w:rPr>
      </w:pPr>
      <w:r w:rsidRPr="009804AD">
        <w:rPr>
          <w:rFonts w:ascii="Times New Roman" w:hAnsi="Times New Roman" w:cs="Times New Roman"/>
        </w:rPr>
        <w:t>Teacher education therefore occupies a pivotal position in the successful implementation of NEP 2020. The policy highlights that teacher preparation should not merely focus on the transmission of pedagogical skills but must integrate multidisciplinary knowledge, professional ethics, classroom practice, Indian knowledge systems and contemporary educational innovations. NEP 2020 states that teacher education must develop “formation of dispositions and values” along with professional competencies and practical training (NEP 2020, Para 15.1). In this context, the National Council for Teacher Education (NCTE) introduced the four-year Integrated Teacher Education Programme (ITEP) as a major structural reform intended to replace fragmented teacher preparation models with an integrated and multidisciplinary framework.</w:t>
      </w:r>
    </w:p>
    <w:p w14:paraId="721CC3F9" w14:textId="3584AF47" w:rsidR="009804AD" w:rsidRPr="009804AD" w:rsidRDefault="009804AD" w:rsidP="009804AD">
      <w:pPr>
        <w:jc w:val="both"/>
        <w:rPr>
          <w:rFonts w:ascii="Times New Roman" w:hAnsi="Times New Roman" w:cs="Times New Roman"/>
        </w:rPr>
      </w:pPr>
      <w:r w:rsidRPr="009804AD">
        <w:rPr>
          <w:rFonts w:ascii="Times New Roman" w:hAnsi="Times New Roman" w:cs="Times New Roman"/>
        </w:rPr>
        <w:t xml:space="preserve">The Integrated Teacher Education Programme combines disciplinary knowledge, pedagogical training and school internship experiences within a single structured programme. Unlike traditional teacher education </w:t>
      </w:r>
      <w:r>
        <w:rPr>
          <w:rFonts w:ascii="Times New Roman" w:hAnsi="Times New Roman" w:cs="Times New Roman"/>
        </w:rPr>
        <w:t>programme</w:t>
      </w:r>
      <w:r w:rsidRPr="009804AD">
        <w:rPr>
          <w:rFonts w:ascii="Times New Roman" w:hAnsi="Times New Roman" w:cs="Times New Roman"/>
        </w:rPr>
        <w:t xml:space="preserve"> that separate undergraduate education from professional teacher preparation, ITEP seeks to integrate both dimensions from the beginning of higher education. According to NCTE (2023), the programme is envisioned as an “integrated, multidisciplinary and comprehensive teacher education programme” designed to prepare professionally competent, reflective and socially committed teachers. Scholars have observed that the programme aims to address long-standing concerns relating to fragmentation, lack of professional integration and inadequate practical orientation in teacher education (Dhupal, 2026; Mandal, Mete, &amp; Biswas, 2025).</w:t>
      </w:r>
    </w:p>
    <w:p w14:paraId="5497136E" w14:textId="77770CBB" w:rsidR="009804AD" w:rsidRPr="009804AD" w:rsidRDefault="009804AD" w:rsidP="009804AD">
      <w:pPr>
        <w:jc w:val="both"/>
        <w:rPr>
          <w:rFonts w:ascii="Times New Roman" w:hAnsi="Times New Roman" w:cs="Times New Roman"/>
        </w:rPr>
      </w:pPr>
      <w:r w:rsidRPr="009804AD">
        <w:rPr>
          <w:rFonts w:ascii="Times New Roman" w:hAnsi="Times New Roman" w:cs="Times New Roman"/>
        </w:rPr>
        <w:t>Among Indian states, Kerala presents a unique context for examining the implementation of teacher education reforms under NEP 2020. The state has historically maintained high literacy levels, strong educational participation and significant social development indicators. Kerala’s teacher education system operates through four major universities—University of Kerala, Mahatma Gandhi University, University of Calicut, and Kannur University—which together supervise a large number of government, aided, self-financing and university-affiliated teacher education institutions. According to the Kerala State Higher Education Council (2024), the state has an extensive and diverse institutional network that has contributed significantly to accessibility and inclusiveness in teacher education.</w:t>
      </w:r>
    </w:p>
    <w:p w14:paraId="42D1330F" w14:textId="62E4CFD2" w:rsidR="009804AD" w:rsidRPr="009804AD" w:rsidRDefault="009804AD" w:rsidP="009804AD">
      <w:pPr>
        <w:jc w:val="both"/>
        <w:rPr>
          <w:rFonts w:ascii="Times New Roman" w:hAnsi="Times New Roman" w:cs="Times New Roman"/>
        </w:rPr>
      </w:pPr>
      <w:r w:rsidRPr="009804AD">
        <w:rPr>
          <w:rFonts w:ascii="Times New Roman" w:hAnsi="Times New Roman" w:cs="Times New Roman"/>
        </w:rPr>
        <w:t xml:space="preserve">However, despite Kerala’s strong educational legacy, the implementation of ITEP has emerged as a complex and challenging process. NEP 2020 mandates that all teacher education programmes should gradually function within multidisciplinary institutions by 2030. This requirement creates significant pressure on standalone teacher education colleges in Kerala to restructure, merge, collaborate, or transform into multidisciplinary institutions. Researchers have pointed out that such reforms involve substantial administrative, curricular, infrastructural </w:t>
      </w:r>
      <w:r w:rsidRPr="009804AD">
        <w:rPr>
          <w:rFonts w:ascii="Times New Roman" w:hAnsi="Times New Roman" w:cs="Times New Roman"/>
        </w:rPr>
        <w:lastRenderedPageBreak/>
        <w:t>and institutional changes (Gupta &amp; Saxena, 2021; Singh, 2025). The transition also raises concerns regarding faculty preparedness, institutional sustainability, curriculum integration and the redefinition of academic roles within teacher education institutions.</w:t>
      </w:r>
    </w:p>
    <w:p w14:paraId="6EA0A6F4" w14:textId="3D2D3ACE" w:rsidR="009804AD" w:rsidRPr="009804AD" w:rsidRDefault="009804AD" w:rsidP="009804AD">
      <w:pPr>
        <w:jc w:val="both"/>
        <w:rPr>
          <w:rFonts w:ascii="Times New Roman" w:hAnsi="Times New Roman" w:cs="Times New Roman"/>
        </w:rPr>
      </w:pPr>
      <w:r w:rsidRPr="009804AD">
        <w:rPr>
          <w:rFonts w:ascii="Times New Roman" w:hAnsi="Times New Roman" w:cs="Times New Roman"/>
        </w:rPr>
        <w:t>Studies conducted in the Indian context indicate that although teacher educators generally acknowledge the transformative potential of NEP 2020 and ITEP, they also report uncertainties regarding implementation procedures, infrastructure readiness and institutional support mechanisms (Sajan &amp; Thomas, 2025; Soni &amp; Tiwari, 2024). Previous research further suggests that successful implementation of educational reforms depends heavily on systematic planning, stakeholder involvement, continuous professional development and effective change management strategies (Jadhav, 2022; Thompson et al., 2024). In Kerala, the relatively slow adoption of ITEP and the limited number of approved institutions offering the programme reflect the practical complexities involved in restructuring teacher education according to the expectations of NEP 2020.</w:t>
      </w:r>
    </w:p>
    <w:p w14:paraId="27F9D952" w14:textId="4B91D002" w:rsidR="009804AD" w:rsidRPr="009804AD" w:rsidRDefault="009804AD" w:rsidP="009804AD">
      <w:pPr>
        <w:jc w:val="both"/>
        <w:rPr>
          <w:rFonts w:ascii="Times New Roman" w:hAnsi="Times New Roman" w:cs="Times New Roman"/>
        </w:rPr>
      </w:pPr>
      <w:r w:rsidRPr="009804AD">
        <w:rPr>
          <w:rFonts w:ascii="Times New Roman" w:hAnsi="Times New Roman" w:cs="Times New Roman"/>
        </w:rPr>
        <w:t>In this context, understanding the perceptions and preparedness of teacher educators becomes critically important. Teacher educators play a central role in translating policy objectives into institutional practices and classroom realities. Their awareness, readiness, attitudes, and professional confidence significantly influence the success of policy implementation. Examining their perceptions regarding NEP 2020 and ITEP is therefore essential for identifying the opportunities, challenges, and support systems required for the effective transformation of teacher education in Kerala. Against this background, the present study seeks to analyse the perceptions and preparedness of teacher educators in Kerala regarding the implementation of ITEP in alignment with NEP 2020.</w:t>
      </w:r>
    </w:p>
    <w:p w14:paraId="3712EEF7" w14:textId="77777777" w:rsidR="009804AD" w:rsidRPr="009804AD" w:rsidRDefault="009804AD" w:rsidP="00EC3965">
      <w:pPr>
        <w:jc w:val="center"/>
        <w:rPr>
          <w:rFonts w:ascii="Times New Roman" w:hAnsi="Times New Roman" w:cs="Times New Roman"/>
          <w:b/>
          <w:bCs/>
        </w:rPr>
      </w:pPr>
      <w:r w:rsidRPr="009804AD">
        <w:rPr>
          <w:rFonts w:ascii="Times New Roman" w:hAnsi="Times New Roman" w:cs="Times New Roman"/>
          <w:b/>
          <w:bCs/>
        </w:rPr>
        <w:t>Need and Significance of the Study</w:t>
      </w:r>
    </w:p>
    <w:p w14:paraId="6C663AD7" w14:textId="59002F47" w:rsidR="009804AD" w:rsidRPr="009804AD" w:rsidRDefault="009804AD" w:rsidP="009804AD">
      <w:pPr>
        <w:jc w:val="both"/>
        <w:rPr>
          <w:rFonts w:ascii="Times New Roman" w:hAnsi="Times New Roman" w:cs="Times New Roman"/>
        </w:rPr>
      </w:pPr>
      <w:r w:rsidRPr="009804AD">
        <w:rPr>
          <w:rFonts w:ascii="Times New Roman" w:hAnsi="Times New Roman" w:cs="Times New Roman"/>
        </w:rPr>
        <w:t>The National Education Policy (NEP) 2020 represents one of the most comprehensive educational reform initiatives undertaken in India in recent decades. The policy envisions a holistic, multidisciplinary, learner-centred and competency-based education system capable of responding to the emerging educational demands of the twenty-first century. Within this larger reform agenda, teacher education has been identified as a foundational element for ensuring educational quality and national development. NEP 2020 recognises that teachers are the most important stakeholders in educational transformation and therefore emphasises the urgent need to reform teacher preparation programmes in India (Saha, 2025).</w:t>
      </w:r>
    </w:p>
    <w:p w14:paraId="28EC4464" w14:textId="62B29869" w:rsidR="009804AD" w:rsidRPr="009804AD" w:rsidRDefault="009804AD" w:rsidP="009804AD">
      <w:pPr>
        <w:jc w:val="both"/>
        <w:rPr>
          <w:rFonts w:ascii="Times New Roman" w:hAnsi="Times New Roman" w:cs="Times New Roman"/>
        </w:rPr>
      </w:pPr>
      <w:r w:rsidRPr="009804AD">
        <w:rPr>
          <w:rFonts w:ascii="Times New Roman" w:hAnsi="Times New Roman" w:cs="Times New Roman"/>
        </w:rPr>
        <w:t>To achieve this objective, the National Council for Teacher Education (NCTE) introduced the Integrated Teacher Education Programme (ITEP), a four-year multidisciplinary programme designed to integrate subject knowledge, pedagogy and school-based practice within a unified framework. The programme seeks to replace fragmented models of teacher preparation with a professionally integrated structure aligned with global standards and contemporary educational needs (Sharma, 2025). However, the successful implementation of such a large-scale reform requires substantial institutional preparedness, faculty readiness, administrative restructuring, curriculum redesign, infrastructural support and continuous professional development.</w:t>
      </w:r>
    </w:p>
    <w:p w14:paraId="0B087497" w14:textId="01161239" w:rsidR="009804AD" w:rsidRPr="009804AD" w:rsidRDefault="009804AD" w:rsidP="009804AD">
      <w:pPr>
        <w:jc w:val="both"/>
        <w:rPr>
          <w:rFonts w:ascii="Times New Roman" w:hAnsi="Times New Roman" w:cs="Times New Roman"/>
        </w:rPr>
      </w:pPr>
      <w:r w:rsidRPr="009804AD">
        <w:rPr>
          <w:rFonts w:ascii="Times New Roman" w:hAnsi="Times New Roman" w:cs="Times New Roman"/>
        </w:rPr>
        <w:lastRenderedPageBreak/>
        <w:t>In the context of Kerala, the implementation of ITEP assumes particular significance because the state possesses a distinctive teacher education ecosystem characterised by a large number of standalone teacher education institutions operating under diverse management structures. Although Kerala has consistently maintained high literacy rates and strong educational achievements, the institutional restructuring proposed by NEP 2020 presents several practical and administrative challenges. Since the policy mandates that all teacher education programmes should function within multidisciplinary institutions by 2030, many standalone teacher education colleges in Kerala face uncertainty regarding their future sustainability, academic restructuring and institutional adaptation (Kerala State Higher Education Council, 2024).</w:t>
      </w:r>
    </w:p>
    <w:p w14:paraId="5E6D8A8A" w14:textId="3DB6A54B" w:rsidR="009804AD" w:rsidRPr="009804AD" w:rsidRDefault="009804AD" w:rsidP="009804AD">
      <w:pPr>
        <w:jc w:val="both"/>
        <w:rPr>
          <w:rFonts w:ascii="Times New Roman" w:hAnsi="Times New Roman" w:cs="Times New Roman"/>
        </w:rPr>
      </w:pPr>
      <w:r w:rsidRPr="009804AD">
        <w:rPr>
          <w:rFonts w:ascii="Times New Roman" w:hAnsi="Times New Roman" w:cs="Times New Roman"/>
        </w:rPr>
        <w:t>Despite the policy’s transformative vision, the actual implementation of ITEP in Kerala has progressed slowly. As of the 2025–26 academic year, only a limited number of institutions—including National Institute of Technology Calicut, Central University of Kerala, Sree Sankaracharya University of Sanskrit, Majlis Arts and Science College and SAFI Institute of Advanced Study—have been approved to offer the programme. This limited expansion reflects the practical difficulties involved in implementing the policy at the institutional level. Studies indicate that confusion persists among teacher educators, administrators, institutional heads and management bodies regarding curriculum integration, faculty responsibilities, infrastructure requirements, and the operational procedures associated with ITEP (Kerala State Higher Education Council, 2024).</w:t>
      </w:r>
    </w:p>
    <w:p w14:paraId="2B68A720" w14:textId="22F00AEF" w:rsidR="009804AD" w:rsidRPr="009804AD" w:rsidRDefault="009804AD" w:rsidP="009804AD">
      <w:pPr>
        <w:jc w:val="both"/>
        <w:rPr>
          <w:rFonts w:ascii="Times New Roman" w:hAnsi="Times New Roman" w:cs="Times New Roman"/>
        </w:rPr>
      </w:pPr>
      <w:r w:rsidRPr="009804AD">
        <w:rPr>
          <w:rFonts w:ascii="Times New Roman" w:hAnsi="Times New Roman" w:cs="Times New Roman"/>
        </w:rPr>
        <w:t>The significance of the present study therefore emerges from the urgent need to understand how teacher educators perceive these reforms and how prepared institutions are to implement them effectively. Teacher educators constitute the core human resource responsible for translating educational policy into practice. Their perceptions, awareness, attitudes and preparedness directly influence the success or failure of educational reforms. However, there exists limited empirical research examining the perspectives of teacher educators regarding the implementation of ITEP in Kerala. Most existing studies focus primarily on the philosophical foundations of NEP 2020 or discuss policy reforms at a general level without adequately addressing the regional and institutional realities of implementation.</w:t>
      </w:r>
    </w:p>
    <w:p w14:paraId="7FD21E87" w14:textId="3EC26267" w:rsidR="009804AD" w:rsidRPr="009804AD" w:rsidRDefault="009804AD" w:rsidP="009804AD">
      <w:pPr>
        <w:jc w:val="both"/>
        <w:rPr>
          <w:rFonts w:ascii="Times New Roman" w:hAnsi="Times New Roman" w:cs="Times New Roman"/>
        </w:rPr>
      </w:pPr>
      <w:r w:rsidRPr="009804AD">
        <w:rPr>
          <w:rFonts w:ascii="Times New Roman" w:hAnsi="Times New Roman" w:cs="Times New Roman"/>
        </w:rPr>
        <w:t>The present study seeks to address this research gap by systematically examining the perceptions and preparedness of teacher educators in Kerala regarding the implementation of ITEP under NEP 2020. The study is expected to provide valuable empirical evidence regarding stakeholder awareness, institutional readiness, infrastructural adequacy, faculty preparedness and implementation challenges. Such evidence can support policymakers, universities, regulatory bodies and educational administrators in designing more effective orientation programmes, faculty development initiatives, institutional support mechanisms and implementation strategies.The findings may contribute to the development of context-sensitive implementation frameworks capable of addressing the unique structural and administrative characteristics of teacher education institutions in Kerala.</w:t>
      </w:r>
    </w:p>
    <w:p w14:paraId="3AEA2DC2" w14:textId="77777777" w:rsidR="009804AD" w:rsidRPr="009804AD" w:rsidRDefault="009804AD" w:rsidP="009804AD">
      <w:pPr>
        <w:jc w:val="both"/>
        <w:rPr>
          <w:rFonts w:ascii="Times New Roman" w:hAnsi="Times New Roman" w:cs="Times New Roman"/>
        </w:rPr>
      </w:pPr>
      <w:r w:rsidRPr="009804AD">
        <w:rPr>
          <w:rFonts w:ascii="Times New Roman" w:hAnsi="Times New Roman" w:cs="Times New Roman"/>
        </w:rPr>
        <w:t xml:space="preserve">Furthermore, the study holds broader educational significance because strengthening teacher education is central to improving the overall quality of school education. NEP 2020 emphasises </w:t>
      </w:r>
      <w:r w:rsidRPr="009804AD">
        <w:rPr>
          <w:rFonts w:ascii="Times New Roman" w:hAnsi="Times New Roman" w:cs="Times New Roman"/>
        </w:rPr>
        <w:lastRenderedPageBreak/>
        <w:t>that educational transformation depends fundamentally upon professionally competent, reflective, technologically skilled, and socially committed teachers. Understanding the preparedness of teacher education institutions and identifying the challenges associated with implementing ITEP can therefore contribute not only to the successful implementation of NEP 2020 in Kerala but also to the larger national effort to improve teacher professionalism and educational quality in India.</w:t>
      </w:r>
    </w:p>
    <w:p w14:paraId="1581C0A9" w14:textId="77777777" w:rsidR="00B53884" w:rsidRPr="00B53884" w:rsidRDefault="00B53884" w:rsidP="00B53884">
      <w:pPr>
        <w:jc w:val="center"/>
        <w:rPr>
          <w:rFonts w:ascii="Times New Roman" w:hAnsi="Times New Roman" w:cs="Times New Roman"/>
          <w:b/>
          <w:bCs/>
        </w:rPr>
      </w:pPr>
      <w:r w:rsidRPr="00B53884">
        <w:rPr>
          <w:rFonts w:ascii="Times New Roman" w:hAnsi="Times New Roman" w:cs="Times New Roman"/>
          <w:b/>
          <w:bCs/>
        </w:rPr>
        <w:t>Methodology of the Study</w:t>
      </w:r>
    </w:p>
    <w:p w14:paraId="2DC8D39C" w14:textId="5779871D" w:rsidR="00B53884" w:rsidRDefault="00B53884" w:rsidP="00B53884">
      <w:pPr>
        <w:jc w:val="both"/>
        <w:rPr>
          <w:rFonts w:ascii="Times New Roman" w:hAnsi="Times New Roman" w:cs="Times New Roman"/>
        </w:rPr>
      </w:pPr>
      <w:r w:rsidRPr="00B53884">
        <w:rPr>
          <w:rFonts w:ascii="Times New Roman" w:hAnsi="Times New Roman" w:cs="Times New Roman"/>
        </w:rPr>
        <w:t>The study employed a descriptive survey design to examine the perception of teacher educators regarding the implementation of the Integrated Teacher Education Programme (ITEP) in Kerala. A sample of 800 teacher educators from government, aided and self-financing teacher education institutions was selected for the study. Data were collected using a standardized Perception Scale on ITEP Implementation developed by the investigator. The scale assessed perceptions across five dimensions: Understanding of ITEP and NEP 2020, Faculty Readiness, Administrative Readiness, Institutional Preparedness and Infrastructural Readiness, and Professional Development. The collected data were analyzed using descriptive statistics such as Mean, Standard Deviation, Percentage, Skewness, and Kurtosis, and inferential statistics such as t-test and ANOVA.</w:t>
      </w:r>
    </w:p>
    <w:p w14:paraId="20A69375" w14:textId="2575655B" w:rsidR="00B816A7" w:rsidRDefault="00B816A7" w:rsidP="00B816A7">
      <w:pPr>
        <w:jc w:val="center"/>
        <w:rPr>
          <w:rFonts w:ascii="Times New Roman" w:hAnsi="Times New Roman" w:cs="Times New Roman"/>
          <w:b/>
          <w:bCs/>
        </w:rPr>
      </w:pPr>
      <w:r w:rsidRPr="00B816A7">
        <w:rPr>
          <w:rFonts w:ascii="Times New Roman" w:hAnsi="Times New Roman" w:cs="Times New Roman"/>
          <w:b/>
          <w:bCs/>
        </w:rPr>
        <w:t>Analysis and Discussion</w:t>
      </w:r>
    </w:p>
    <w:p w14:paraId="516F682D" w14:textId="62FF8FD0" w:rsidR="00B816A7" w:rsidRDefault="00B816A7" w:rsidP="00D031B3">
      <w:pPr>
        <w:jc w:val="both"/>
        <w:rPr>
          <w:rFonts w:ascii="Times New Roman" w:hAnsi="Times New Roman" w:cs="Times New Roman"/>
        </w:rPr>
      </w:pPr>
      <w:r w:rsidRPr="00B816A7">
        <w:rPr>
          <w:rFonts w:ascii="Times New Roman" w:hAnsi="Times New Roman" w:cs="Times New Roman"/>
        </w:rPr>
        <w:t>The study examined the perception of teacher educators regarding the implementation of the Integrated Teacher Education Programme (ITEP) in Kerala</w:t>
      </w:r>
      <w:r w:rsidR="009A68A3">
        <w:rPr>
          <w:rFonts w:ascii="Times New Roman" w:hAnsi="Times New Roman" w:cs="Times New Roman"/>
        </w:rPr>
        <w:t>.</w:t>
      </w:r>
      <w:r w:rsidR="00D031B3" w:rsidRPr="00D031B3">
        <w:t xml:space="preserve"> </w:t>
      </w:r>
      <w:r w:rsidR="00D031B3" w:rsidRPr="00D031B3">
        <w:rPr>
          <w:rFonts w:ascii="Times New Roman" w:hAnsi="Times New Roman" w:cs="Times New Roman"/>
        </w:rPr>
        <w:t>The data collected from 800 teacher educators were analyzed using appropriate descriptive and inferential statistical techniques to examine their perception regarding the implementation of ITEP in alignment with NEP 2020. Descriptive statistics such as mean</w:t>
      </w:r>
      <w:r w:rsidR="000F256E">
        <w:rPr>
          <w:rFonts w:ascii="Times New Roman" w:hAnsi="Times New Roman" w:cs="Times New Roman"/>
        </w:rPr>
        <w:t xml:space="preserve"> and </w:t>
      </w:r>
      <w:r w:rsidR="00D031B3" w:rsidRPr="00D031B3">
        <w:rPr>
          <w:rFonts w:ascii="Times New Roman" w:hAnsi="Times New Roman" w:cs="Times New Roman"/>
        </w:rPr>
        <w:t xml:space="preserve"> standard were used to assess the overall level of perception and its various dimensions. Inferential statistics including t-test, one-way ANOVA, and post-hoc analysis were employed to examine differences in perception based on type of management, subject specialization, and teaching experience. The results of the analysis and their interpretation are presented below.</w:t>
      </w:r>
    </w:p>
    <w:p w14:paraId="36A2893A" w14:textId="77777777" w:rsidR="005E387D" w:rsidRPr="005E387D" w:rsidRDefault="005E387D" w:rsidP="005E387D">
      <w:pPr>
        <w:rPr>
          <w:rFonts w:ascii="Times New Roman" w:hAnsi="Times New Roman" w:cs="Times New Roman"/>
          <w:b/>
          <w:bCs/>
        </w:rPr>
      </w:pPr>
      <w:r w:rsidRPr="005E387D">
        <w:rPr>
          <w:rFonts w:ascii="Times New Roman" w:hAnsi="Times New Roman" w:cs="Times New Roman"/>
          <w:b/>
          <w:bCs/>
        </w:rPr>
        <w:t>Perception of Teacher Educators Towards the Implementation of ITEP</w:t>
      </w:r>
    </w:p>
    <w:p w14:paraId="14774C8A" w14:textId="77777777" w:rsidR="005E387D" w:rsidRPr="005E387D" w:rsidRDefault="005E387D" w:rsidP="005E387D">
      <w:pPr>
        <w:jc w:val="both"/>
        <w:rPr>
          <w:rFonts w:ascii="Times New Roman" w:hAnsi="Times New Roman" w:cs="Times New Roman"/>
        </w:rPr>
      </w:pPr>
      <w:r w:rsidRPr="005E387D">
        <w:rPr>
          <w:rFonts w:ascii="Times New Roman" w:hAnsi="Times New Roman" w:cs="Times New Roman"/>
        </w:rPr>
        <w:t xml:space="preserve">The Perception Scale consisted of 45 items with a maximum possible score of 225. The mean score obtained by the 800 teacher educators was 137, indicating a </w:t>
      </w:r>
      <w:r w:rsidRPr="005E387D">
        <w:rPr>
          <w:rFonts w:ascii="Times New Roman" w:hAnsi="Times New Roman" w:cs="Times New Roman"/>
          <w:b/>
          <w:bCs/>
        </w:rPr>
        <w:t>moderate level of perception</w:t>
      </w:r>
      <w:r w:rsidRPr="005E387D">
        <w:rPr>
          <w:rFonts w:ascii="Times New Roman" w:hAnsi="Times New Roman" w:cs="Times New Roman"/>
        </w:rPr>
        <w:t xml:space="preserve"> towards NEP 2020 and the implementation of ITEP in Kerala. This suggests that teacher educators generally possess a positive attitude towards the reform, although there is scope for further strengthening their understanding and preparedness.</w:t>
      </w:r>
    </w:p>
    <w:p w14:paraId="3FC01523" w14:textId="77777777" w:rsidR="005E387D" w:rsidRPr="005E387D" w:rsidRDefault="005E387D" w:rsidP="005E387D">
      <w:pPr>
        <w:jc w:val="both"/>
        <w:rPr>
          <w:rFonts w:ascii="Times New Roman" w:hAnsi="Times New Roman" w:cs="Times New Roman"/>
        </w:rPr>
      </w:pPr>
      <w:r w:rsidRPr="005E387D">
        <w:rPr>
          <w:rFonts w:ascii="Times New Roman" w:hAnsi="Times New Roman" w:cs="Times New Roman"/>
        </w:rPr>
        <w:t xml:space="preserve">Component-wise analysis revealed that teacher educators demonstrated a </w:t>
      </w:r>
      <w:r w:rsidRPr="005E387D">
        <w:rPr>
          <w:rFonts w:ascii="Times New Roman" w:hAnsi="Times New Roman" w:cs="Times New Roman"/>
          <w:b/>
          <w:bCs/>
        </w:rPr>
        <w:t>high level of understanding</w:t>
      </w:r>
      <w:r w:rsidRPr="005E387D">
        <w:rPr>
          <w:rFonts w:ascii="Times New Roman" w:hAnsi="Times New Roman" w:cs="Times New Roman"/>
        </w:rPr>
        <w:t xml:space="preserve"> of NEP 2020 and ITEP (M = 60.20). However, their perceptions regarding </w:t>
      </w:r>
      <w:r w:rsidRPr="005E387D">
        <w:rPr>
          <w:rFonts w:ascii="Times New Roman" w:hAnsi="Times New Roman" w:cs="Times New Roman"/>
          <w:b/>
          <w:bCs/>
        </w:rPr>
        <w:t>faculty readiness</w:t>
      </w:r>
      <w:r w:rsidRPr="005E387D">
        <w:rPr>
          <w:rFonts w:ascii="Times New Roman" w:hAnsi="Times New Roman" w:cs="Times New Roman"/>
        </w:rPr>
        <w:t xml:space="preserve"> (M = 17.94), </w:t>
      </w:r>
      <w:r w:rsidRPr="005E387D">
        <w:rPr>
          <w:rFonts w:ascii="Times New Roman" w:hAnsi="Times New Roman" w:cs="Times New Roman"/>
          <w:b/>
          <w:bCs/>
        </w:rPr>
        <w:t>administrative readiness</w:t>
      </w:r>
      <w:r w:rsidRPr="005E387D">
        <w:rPr>
          <w:rFonts w:ascii="Times New Roman" w:hAnsi="Times New Roman" w:cs="Times New Roman"/>
        </w:rPr>
        <w:t xml:space="preserve"> (M = 17.25), and </w:t>
      </w:r>
      <w:r w:rsidRPr="005E387D">
        <w:rPr>
          <w:rFonts w:ascii="Times New Roman" w:hAnsi="Times New Roman" w:cs="Times New Roman"/>
          <w:b/>
          <w:bCs/>
        </w:rPr>
        <w:t>institutional preparedness and infrastructural readiness</w:t>
      </w:r>
      <w:r w:rsidRPr="005E387D">
        <w:rPr>
          <w:rFonts w:ascii="Times New Roman" w:hAnsi="Times New Roman" w:cs="Times New Roman"/>
        </w:rPr>
        <w:t xml:space="preserve"> (M = 26.33) were found to be moderate. The dimension </w:t>
      </w:r>
      <w:r w:rsidRPr="005E387D">
        <w:rPr>
          <w:rFonts w:ascii="Times New Roman" w:hAnsi="Times New Roman" w:cs="Times New Roman"/>
          <w:b/>
          <w:bCs/>
        </w:rPr>
        <w:t>opportunities and challenges</w:t>
      </w:r>
      <w:r w:rsidRPr="005E387D">
        <w:rPr>
          <w:rFonts w:ascii="Times New Roman" w:hAnsi="Times New Roman" w:cs="Times New Roman"/>
        </w:rPr>
        <w:t xml:space="preserve"> recorded the lowest mean score (M = 16.28), indicating concerns regarding the practical aspects of ITEP implementation.</w:t>
      </w:r>
    </w:p>
    <w:p w14:paraId="1E4BA2D9" w14:textId="160C0BCA" w:rsidR="00F92A83" w:rsidRPr="00B816A7" w:rsidRDefault="005E387D" w:rsidP="00BC30F4">
      <w:pPr>
        <w:jc w:val="both"/>
        <w:rPr>
          <w:rFonts w:ascii="Times New Roman" w:hAnsi="Times New Roman" w:cs="Times New Roman"/>
        </w:rPr>
      </w:pPr>
      <w:r w:rsidRPr="005E387D">
        <w:rPr>
          <w:rFonts w:ascii="Times New Roman" w:hAnsi="Times New Roman" w:cs="Times New Roman"/>
        </w:rPr>
        <w:lastRenderedPageBreak/>
        <w:t>Overall, the findings show that while teacher educators have a sound understanding of the objectives and structure of ITEP, moderate levels of readiness and institutional preparedness may pose challenges to its effective implementation. The results highlight the need for faculty training, administrative support and institutional capacity building to ensure the successful implementation of ITEP in Kerala.</w:t>
      </w:r>
    </w:p>
    <w:p w14:paraId="7A10A210" w14:textId="77777777" w:rsidR="00BC30F4" w:rsidRDefault="00BC30F4" w:rsidP="00BC30F4">
      <w:pPr>
        <w:jc w:val="both"/>
        <w:rPr>
          <w:rFonts w:ascii="Times New Roman" w:hAnsi="Times New Roman" w:cs="Times New Roman"/>
          <w:b/>
          <w:bCs/>
        </w:rPr>
      </w:pPr>
      <w:r w:rsidRPr="00BC30F4">
        <w:rPr>
          <w:rFonts w:ascii="Times New Roman" w:hAnsi="Times New Roman" w:cs="Times New Roman"/>
          <w:b/>
          <w:bCs/>
        </w:rPr>
        <w:t>Comparison of Perception of Teacher Educators Regarding ITEP Implementation Based on Type of Management</w:t>
      </w:r>
    </w:p>
    <w:p w14:paraId="7BF04640" w14:textId="4561F22F" w:rsidR="00580FCB" w:rsidRDefault="00580FCB" w:rsidP="00BC30F4">
      <w:pPr>
        <w:jc w:val="both"/>
        <w:rPr>
          <w:rFonts w:ascii="Times New Roman" w:hAnsi="Times New Roman" w:cs="Times New Roman"/>
        </w:rPr>
      </w:pPr>
      <w:r w:rsidRPr="00580FCB">
        <w:rPr>
          <w:rFonts w:ascii="Times New Roman" w:hAnsi="Times New Roman" w:cs="Times New Roman"/>
        </w:rPr>
        <w:t>To examine whether teacher educators working in different types of institutions differ in their perception regarding the implementation of ITEP, a comparison was made between teacher educators from Government/Aided institutions and those from Self-Financing institutions/University Centres. The mean scores, standard deviations, and t-values were calculated for the overall perception score as well as for each dimension of the scale. The results of the analysis are presented in Table</w:t>
      </w:r>
      <w:r>
        <w:rPr>
          <w:rFonts w:ascii="Times New Roman" w:hAnsi="Times New Roman" w:cs="Times New Roman"/>
        </w:rPr>
        <w:t xml:space="preserve"> 1</w:t>
      </w:r>
    </w:p>
    <w:p w14:paraId="7ABBDC24" w14:textId="77777777" w:rsidR="00881C26" w:rsidRDefault="007559A8" w:rsidP="007559A8">
      <w:pPr>
        <w:spacing w:after="100" w:line="312" w:lineRule="auto"/>
        <w:jc w:val="both"/>
        <w:rPr>
          <w:rFonts w:ascii="Times New Roman" w:hAnsi="Times New Roman" w:cs="Times New Roman"/>
          <w:i/>
          <w:iCs/>
          <w:color w:val="000000"/>
        </w:rPr>
      </w:pPr>
      <w:r w:rsidRPr="007559A8">
        <w:rPr>
          <w:rFonts w:ascii="Times New Roman" w:hAnsi="Times New Roman" w:cs="Times New Roman"/>
          <w:b/>
          <w:bCs/>
          <w:color w:val="000000"/>
        </w:rPr>
        <w:t>Table 1</w:t>
      </w:r>
      <w:r>
        <w:rPr>
          <w:rFonts w:ascii="Times New Roman" w:hAnsi="Times New Roman" w:cs="Times New Roman"/>
          <w:i/>
          <w:iCs/>
          <w:color w:val="000000"/>
        </w:rPr>
        <w:t xml:space="preserve"> </w:t>
      </w:r>
    </w:p>
    <w:p w14:paraId="1A0424B1" w14:textId="6F5A6AB0" w:rsidR="007559A8" w:rsidRPr="0037341B" w:rsidRDefault="007559A8" w:rsidP="007559A8">
      <w:pPr>
        <w:spacing w:after="100" w:line="312" w:lineRule="auto"/>
        <w:jc w:val="both"/>
        <w:rPr>
          <w:rFonts w:ascii="Times New Roman" w:hAnsi="Times New Roman" w:cs="Times New Roman"/>
          <w:i/>
          <w:iCs/>
          <w:color w:val="000000"/>
        </w:rPr>
      </w:pPr>
      <w:r w:rsidRPr="0037341B">
        <w:rPr>
          <w:rFonts w:ascii="Times New Roman" w:hAnsi="Times New Roman" w:cs="Times New Roman"/>
          <w:i/>
          <w:iCs/>
          <w:color w:val="000000"/>
        </w:rPr>
        <w:t xml:space="preserve">Data and Results of the Test of Significant Difference in the Mean Scores of </w:t>
      </w:r>
      <w:r w:rsidRPr="0037341B">
        <w:rPr>
          <w:rFonts w:ascii="Times New Roman" w:hAnsi="Times New Roman" w:cs="Times New Roman"/>
          <w:i/>
          <w:color w:val="000000"/>
        </w:rPr>
        <w:t>the Variable Perception of Teacher Educator on ITEP Implementation</w:t>
      </w:r>
      <w:r w:rsidRPr="0037341B">
        <w:rPr>
          <w:rFonts w:ascii="Times New Roman" w:hAnsi="Times New Roman" w:cs="Times New Roman"/>
          <w:i/>
          <w:iCs/>
          <w:color w:val="000000"/>
        </w:rPr>
        <w:t xml:space="preserve"> based on Type of Management</w:t>
      </w:r>
    </w:p>
    <w:tbl>
      <w:tblPr>
        <w:tblW w:w="0" w:type="auto"/>
        <w:tblLook w:val="0400" w:firstRow="0" w:lastRow="0" w:firstColumn="0" w:lastColumn="0" w:noHBand="0" w:noVBand="1"/>
      </w:tblPr>
      <w:tblGrid>
        <w:gridCol w:w="2358"/>
        <w:gridCol w:w="2340"/>
        <w:gridCol w:w="856"/>
        <w:gridCol w:w="876"/>
        <w:gridCol w:w="1603"/>
        <w:gridCol w:w="943"/>
      </w:tblGrid>
      <w:tr w:rsidR="007559A8" w:rsidRPr="00816C29" w14:paraId="72EE21A7" w14:textId="77777777" w:rsidTr="00E1262E">
        <w:tc>
          <w:tcPr>
            <w:tcW w:w="2358" w:type="dxa"/>
            <w:tcBorders>
              <w:top w:val="single" w:sz="4" w:space="0" w:color="auto"/>
              <w:bottom w:val="single" w:sz="4" w:space="0" w:color="auto"/>
            </w:tcBorders>
            <w:vAlign w:val="center"/>
            <w:hideMark/>
          </w:tcPr>
          <w:p w14:paraId="2C0057D2"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Dimensions</w:t>
            </w:r>
          </w:p>
        </w:tc>
        <w:tc>
          <w:tcPr>
            <w:tcW w:w="2340" w:type="dxa"/>
            <w:tcBorders>
              <w:top w:val="single" w:sz="4" w:space="0" w:color="auto"/>
              <w:bottom w:val="single" w:sz="4" w:space="0" w:color="auto"/>
            </w:tcBorders>
            <w:vAlign w:val="center"/>
          </w:tcPr>
          <w:p w14:paraId="2435E2A4"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p>
        </w:tc>
        <w:tc>
          <w:tcPr>
            <w:tcW w:w="856" w:type="dxa"/>
            <w:tcBorders>
              <w:top w:val="single" w:sz="4" w:space="0" w:color="auto"/>
              <w:bottom w:val="single" w:sz="4" w:space="0" w:color="auto"/>
            </w:tcBorders>
            <w:vAlign w:val="center"/>
          </w:tcPr>
          <w:p w14:paraId="42446EC4"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N</w:t>
            </w:r>
          </w:p>
        </w:tc>
        <w:tc>
          <w:tcPr>
            <w:tcW w:w="0" w:type="auto"/>
            <w:tcBorders>
              <w:top w:val="single" w:sz="4" w:space="0" w:color="auto"/>
              <w:bottom w:val="single" w:sz="4" w:space="0" w:color="auto"/>
            </w:tcBorders>
            <w:vAlign w:val="center"/>
            <w:hideMark/>
          </w:tcPr>
          <w:p w14:paraId="565A3017"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Mean</w:t>
            </w:r>
          </w:p>
        </w:tc>
        <w:tc>
          <w:tcPr>
            <w:tcW w:w="0" w:type="auto"/>
            <w:tcBorders>
              <w:top w:val="single" w:sz="4" w:space="0" w:color="auto"/>
              <w:bottom w:val="single" w:sz="4" w:space="0" w:color="auto"/>
            </w:tcBorders>
            <w:vAlign w:val="center"/>
            <w:hideMark/>
          </w:tcPr>
          <w:p w14:paraId="5CF3C8DB"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Std. Deviation</w:t>
            </w:r>
          </w:p>
        </w:tc>
        <w:tc>
          <w:tcPr>
            <w:tcW w:w="0" w:type="auto"/>
            <w:tcBorders>
              <w:top w:val="single" w:sz="4" w:space="0" w:color="auto"/>
            </w:tcBorders>
            <w:vAlign w:val="center"/>
            <w:hideMark/>
          </w:tcPr>
          <w:p w14:paraId="0F6D65FC"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t- value</w:t>
            </w:r>
          </w:p>
        </w:tc>
      </w:tr>
      <w:tr w:rsidR="007559A8" w:rsidRPr="00816C29" w14:paraId="2FE9738A" w14:textId="77777777" w:rsidTr="00E1262E">
        <w:tc>
          <w:tcPr>
            <w:tcW w:w="2358" w:type="dxa"/>
            <w:vMerge w:val="restart"/>
            <w:tcBorders>
              <w:top w:val="single" w:sz="4" w:space="0" w:color="auto"/>
            </w:tcBorders>
            <w:vAlign w:val="center"/>
          </w:tcPr>
          <w:p w14:paraId="348DEAD8" w14:textId="77777777" w:rsidR="007559A8" w:rsidRDefault="007559A8" w:rsidP="00E1262E">
            <w:pPr>
              <w:spacing w:before="80" w:after="80" w:line="240" w:lineRule="auto"/>
              <w:jc w:val="center"/>
              <w:rPr>
                <w:rFonts w:ascii="Times New Roman" w:eastAsia="Times New Roman" w:hAnsi="Times New Roman" w:cs="Times New Roman"/>
                <w:color w:val="000000"/>
                <w:kern w:val="0"/>
                <w:lang w:eastAsia="en-IN"/>
              </w:rPr>
            </w:pPr>
            <w:r>
              <w:rPr>
                <w:rFonts w:ascii="Times New Roman" w:eastAsia="Times New Roman" w:hAnsi="Times New Roman" w:cs="Times New Roman"/>
                <w:color w:val="000000"/>
                <w:kern w:val="0"/>
                <w:lang w:eastAsia="en-IN"/>
              </w:rPr>
              <w:t>Overall</w:t>
            </w:r>
          </w:p>
          <w:p w14:paraId="43773EF4" w14:textId="77777777" w:rsidR="007559A8" w:rsidRDefault="007559A8" w:rsidP="00E1262E">
            <w:pPr>
              <w:spacing w:before="80" w:after="80" w:line="240" w:lineRule="auto"/>
              <w:jc w:val="center"/>
              <w:rPr>
                <w:rFonts w:ascii="Times New Roman" w:eastAsia="Times New Roman" w:hAnsi="Times New Roman" w:cs="Times New Roman"/>
                <w:color w:val="000000"/>
                <w:kern w:val="0"/>
                <w:lang w:eastAsia="en-IN"/>
              </w:rPr>
            </w:pPr>
          </w:p>
        </w:tc>
        <w:tc>
          <w:tcPr>
            <w:tcW w:w="2340" w:type="dxa"/>
            <w:tcBorders>
              <w:top w:val="single" w:sz="4" w:space="0" w:color="auto"/>
            </w:tcBorders>
          </w:tcPr>
          <w:p w14:paraId="50B6F25A" w14:textId="77777777" w:rsidR="007559A8" w:rsidRDefault="007559A8" w:rsidP="00E1262E">
            <w:pPr>
              <w:spacing w:before="80" w:after="80" w:line="240" w:lineRule="auto"/>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1-Govt./Aided</w:t>
            </w:r>
          </w:p>
        </w:tc>
        <w:tc>
          <w:tcPr>
            <w:tcW w:w="856" w:type="dxa"/>
            <w:tcBorders>
              <w:top w:val="single" w:sz="4" w:space="0" w:color="auto"/>
            </w:tcBorders>
            <w:vAlign w:val="center"/>
          </w:tcPr>
          <w:p w14:paraId="157C4D20"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248</w:t>
            </w:r>
          </w:p>
        </w:tc>
        <w:tc>
          <w:tcPr>
            <w:tcW w:w="0" w:type="auto"/>
            <w:tcBorders>
              <w:top w:val="single" w:sz="4" w:space="0" w:color="auto"/>
            </w:tcBorders>
            <w:vAlign w:val="center"/>
          </w:tcPr>
          <w:p w14:paraId="5CA783B7"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Pr>
                <w:rFonts w:ascii="Times New Roman" w:eastAsia="Times New Roman" w:hAnsi="Times New Roman" w:cs="Times New Roman"/>
                <w:color w:val="000000"/>
                <w:kern w:val="0"/>
                <w:lang w:eastAsia="en-IN"/>
              </w:rPr>
              <w:t>137.84</w:t>
            </w:r>
          </w:p>
        </w:tc>
        <w:tc>
          <w:tcPr>
            <w:tcW w:w="0" w:type="auto"/>
            <w:tcBorders>
              <w:top w:val="single" w:sz="4" w:space="0" w:color="auto"/>
            </w:tcBorders>
            <w:vAlign w:val="center"/>
          </w:tcPr>
          <w:p w14:paraId="2174DB13"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Pr>
                <w:rFonts w:ascii="Times New Roman" w:eastAsia="Times New Roman" w:hAnsi="Times New Roman" w:cs="Times New Roman"/>
                <w:color w:val="000000"/>
                <w:kern w:val="0"/>
                <w:lang w:eastAsia="en-IN"/>
              </w:rPr>
              <w:t>18.93</w:t>
            </w:r>
          </w:p>
        </w:tc>
        <w:tc>
          <w:tcPr>
            <w:tcW w:w="0" w:type="auto"/>
            <w:vMerge w:val="restart"/>
            <w:vAlign w:val="center"/>
          </w:tcPr>
          <w:p w14:paraId="1B052858"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Pr>
                <w:rFonts w:ascii="Times New Roman" w:eastAsia="Times New Roman" w:hAnsi="Times New Roman" w:cs="Times New Roman"/>
                <w:color w:val="000000"/>
                <w:kern w:val="0"/>
                <w:lang w:eastAsia="en-IN"/>
              </w:rPr>
              <w:t>.160</w:t>
            </w:r>
          </w:p>
        </w:tc>
      </w:tr>
      <w:tr w:rsidR="007559A8" w:rsidRPr="00816C29" w14:paraId="64218957" w14:textId="77777777" w:rsidTr="00E1262E">
        <w:tc>
          <w:tcPr>
            <w:tcW w:w="2358" w:type="dxa"/>
            <w:vMerge/>
            <w:tcBorders>
              <w:bottom w:val="single" w:sz="4" w:space="0" w:color="auto"/>
            </w:tcBorders>
            <w:vAlign w:val="center"/>
          </w:tcPr>
          <w:p w14:paraId="2A02381F"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p>
        </w:tc>
        <w:tc>
          <w:tcPr>
            <w:tcW w:w="2340" w:type="dxa"/>
            <w:tcBorders>
              <w:bottom w:val="single" w:sz="4" w:space="0" w:color="auto"/>
            </w:tcBorders>
          </w:tcPr>
          <w:p w14:paraId="322FBF93" w14:textId="77777777" w:rsidR="007559A8" w:rsidRPr="00816C29" w:rsidRDefault="007559A8" w:rsidP="00E1262E">
            <w:pPr>
              <w:spacing w:before="80" w:after="80" w:line="240" w:lineRule="auto"/>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 xml:space="preserve">2-Self-Financing/ </w:t>
            </w:r>
            <w:r>
              <w:rPr>
                <w:rFonts w:ascii="Times New Roman" w:eastAsia="Times New Roman" w:hAnsi="Times New Roman" w:cs="Times New Roman"/>
                <w:color w:val="000000"/>
                <w:kern w:val="0"/>
                <w:lang w:eastAsia="en-IN"/>
              </w:rPr>
              <w:t xml:space="preserve">     </w:t>
            </w:r>
            <w:r w:rsidRPr="00816C29">
              <w:rPr>
                <w:rFonts w:ascii="Times New Roman" w:eastAsia="Times New Roman" w:hAnsi="Times New Roman" w:cs="Times New Roman"/>
                <w:color w:val="000000"/>
                <w:kern w:val="0"/>
                <w:lang w:eastAsia="en-IN"/>
              </w:rPr>
              <w:t>University Centres</w:t>
            </w:r>
          </w:p>
        </w:tc>
        <w:tc>
          <w:tcPr>
            <w:tcW w:w="856" w:type="dxa"/>
            <w:tcBorders>
              <w:bottom w:val="single" w:sz="4" w:space="0" w:color="auto"/>
            </w:tcBorders>
            <w:vAlign w:val="center"/>
          </w:tcPr>
          <w:p w14:paraId="6CD53AB9"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552</w:t>
            </w:r>
          </w:p>
        </w:tc>
        <w:tc>
          <w:tcPr>
            <w:tcW w:w="0" w:type="auto"/>
            <w:tcBorders>
              <w:bottom w:val="single" w:sz="4" w:space="0" w:color="auto"/>
            </w:tcBorders>
            <w:vAlign w:val="center"/>
          </w:tcPr>
          <w:p w14:paraId="4B3AC09F"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Pr>
                <w:rFonts w:ascii="Times New Roman" w:eastAsia="Times New Roman" w:hAnsi="Times New Roman" w:cs="Times New Roman"/>
                <w:color w:val="000000"/>
                <w:kern w:val="0"/>
                <w:lang w:eastAsia="en-IN"/>
              </w:rPr>
              <w:t>138.06</w:t>
            </w:r>
          </w:p>
        </w:tc>
        <w:tc>
          <w:tcPr>
            <w:tcW w:w="0" w:type="auto"/>
            <w:tcBorders>
              <w:bottom w:val="single" w:sz="4" w:space="0" w:color="auto"/>
            </w:tcBorders>
            <w:vAlign w:val="center"/>
          </w:tcPr>
          <w:p w14:paraId="27FC5F84"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Pr>
                <w:rFonts w:ascii="Times New Roman" w:eastAsia="Times New Roman" w:hAnsi="Times New Roman" w:cs="Times New Roman"/>
                <w:color w:val="000000"/>
                <w:kern w:val="0"/>
                <w:lang w:eastAsia="en-IN"/>
              </w:rPr>
              <w:t>16.73</w:t>
            </w:r>
          </w:p>
        </w:tc>
        <w:tc>
          <w:tcPr>
            <w:tcW w:w="0" w:type="auto"/>
            <w:vMerge/>
            <w:vAlign w:val="center"/>
          </w:tcPr>
          <w:p w14:paraId="17E916EF"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p>
        </w:tc>
      </w:tr>
      <w:tr w:rsidR="007559A8" w:rsidRPr="00816C29" w14:paraId="79CAD6BB" w14:textId="77777777" w:rsidTr="00E1262E">
        <w:tc>
          <w:tcPr>
            <w:tcW w:w="2358" w:type="dxa"/>
            <w:vMerge w:val="restart"/>
            <w:tcBorders>
              <w:top w:val="single" w:sz="4" w:space="0" w:color="auto"/>
            </w:tcBorders>
          </w:tcPr>
          <w:p w14:paraId="759EC97C" w14:textId="77777777" w:rsidR="007559A8" w:rsidRPr="00816C29" w:rsidRDefault="007559A8" w:rsidP="00E1262E">
            <w:pPr>
              <w:spacing w:before="80" w:after="80" w:line="240" w:lineRule="auto"/>
              <w:ind w:left="360" w:hanging="360"/>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w:t>
            </w:r>
            <w:r w:rsidRPr="00816C29">
              <w:rPr>
                <w:rFonts w:ascii="Times New Roman" w:eastAsia="Times New Roman" w:hAnsi="Times New Roman" w:cs="Times New Roman"/>
                <w:color w:val="000000"/>
                <w:kern w:val="0"/>
                <w:lang w:eastAsia="en-IN"/>
              </w:rPr>
              <w:tab/>
              <w:t>NEP/ITEP Understanding</w:t>
            </w:r>
          </w:p>
        </w:tc>
        <w:tc>
          <w:tcPr>
            <w:tcW w:w="2340" w:type="dxa"/>
            <w:tcBorders>
              <w:top w:val="single" w:sz="4" w:space="0" w:color="auto"/>
            </w:tcBorders>
          </w:tcPr>
          <w:p w14:paraId="67A4960D" w14:textId="77777777" w:rsidR="007559A8" w:rsidRPr="00816C29" w:rsidRDefault="007559A8" w:rsidP="00E1262E">
            <w:pPr>
              <w:tabs>
                <w:tab w:val="left" w:pos="314"/>
              </w:tabs>
              <w:spacing w:before="80" w:after="80" w:line="240" w:lineRule="auto"/>
              <w:ind w:left="314" w:hanging="314"/>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w:t>
            </w:r>
            <w:r w:rsidRPr="00816C29">
              <w:rPr>
                <w:rFonts w:ascii="Times New Roman" w:eastAsia="Times New Roman" w:hAnsi="Times New Roman" w:cs="Times New Roman"/>
                <w:color w:val="000000"/>
                <w:kern w:val="0"/>
                <w:lang w:eastAsia="en-IN"/>
              </w:rPr>
              <w:tab/>
              <w:t>Govt./Aided</w:t>
            </w:r>
          </w:p>
        </w:tc>
        <w:tc>
          <w:tcPr>
            <w:tcW w:w="856" w:type="dxa"/>
            <w:tcBorders>
              <w:top w:val="single" w:sz="4" w:space="0" w:color="auto"/>
            </w:tcBorders>
            <w:vAlign w:val="center"/>
          </w:tcPr>
          <w:p w14:paraId="301D623E"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248</w:t>
            </w:r>
          </w:p>
        </w:tc>
        <w:tc>
          <w:tcPr>
            <w:tcW w:w="0" w:type="auto"/>
            <w:tcBorders>
              <w:top w:val="single" w:sz="4" w:space="0" w:color="auto"/>
            </w:tcBorders>
            <w:vAlign w:val="center"/>
          </w:tcPr>
          <w:p w14:paraId="724E9F1D"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60.48</w:t>
            </w:r>
          </w:p>
        </w:tc>
        <w:tc>
          <w:tcPr>
            <w:tcW w:w="0" w:type="auto"/>
            <w:tcBorders>
              <w:top w:val="single" w:sz="4" w:space="0" w:color="auto"/>
            </w:tcBorders>
            <w:vAlign w:val="center"/>
          </w:tcPr>
          <w:p w14:paraId="4D3B1D63"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8.70</w:t>
            </w:r>
          </w:p>
        </w:tc>
        <w:tc>
          <w:tcPr>
            <w:tcW w:w="0" w:type="auto"/>
            <w:vMerge w:val="restart"/>
            <w:vAlign w:val="center"/>
          </w:tcPr>
          <w:p w14:paraId="6FE3308F"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.607</w:t>
            </w:r>
          </w:p>
        </w:tc>
      </w:tr>
      <w:tr w:rsidR="007559A8" w:rsidRPr="00816C29" w14:paraId="0C99AA7F" w14:textId="77777777" w:rsidTr="00E1262E">
        <w:tc>
          <w:tcPr>
            <w:tcW w:w="2358" w:type="dxa"/>
            <w:vMerge/>
            <w:tcBorders>
              <w:bottom w:val="single" w:sz="4" w:space="0" w:color="auto"/>
            </w:tcBorders>
          </w:tcPr>
          <w:p w14:paraId="759CBCA4" w14:textId="77777777" w:rsidR="007559A8" w:rsidRPr="00816C29" w:rsidRDefault="007559A8" w:rsidP="00E1262E">
            <w:pPr>
              <w:spacing w:before="80" w:after="80" w:line="240" w:lineRule="auto"/>
              <w:ind w:left="360" w:hanging="360"/>
              <w:jc w:val="both"/>
              <w:rPr>
                <w:rFonts w:ascii="Times New Roman" w:eastAsia="Times New Roman" w:hAnsi="Times New Roman" w:cs="Times New Roman"/>
                <w:color w:val="000000"/>
                <w:kern w:val="0"/>
                <w:lang w:eastAsia="en-IN"/>
              </w:rPr>
            </w:pPr>
          </w:p>
        </w:tc>
        <w:tc>
          <w:tcPr>
            <w:tcW w:w="2340" w:type="dxa"/>
            <w:tcBorders>
              <w:bottom w:val="single" w:sz="4" w:space="0" w:color="auto"/>
            </w:tcBorders>
            <w:hideMark/>
          </w:tcPr>
          <w:p w14:paraId="18FDD166" w14:textId="77777777" w:rsidR="007559A8" w:rsidRPr="00816C29" w:rsidRDefault="007559A8" w:rsidP="00E1262E">
            <w:pPr>
              <w:tabs>
                <w:tab w:val="left" w:pos="314"/>
              </w:tabs>
              <w:spacing w:before="80" w:after="80" w:line="240" w:lineRule="auto"/>
              <w:ind w:left="314" w:hanging="314"/>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w:t>
            </w:r>
            <w:r w:rsidRPr="00816C29">
              <w:rPr>
                <w:rFonts w:ascii="Times New Roman" w:eastAsia="Times New Roman" w:hAnsi="Times New Roman" w:cs="Times New Roman"/>
                <w:color w:val="000000"/>
                <w:kern w:val="0"/>
                <w:lang w:eastAsia="en-IN"/>
              </w:rPr>
              <w:tab/>
              <w:t>Self-Financing/ University Centres</w:t>
            </w:r>
          </w:p>
        </w:tc>
        <w:tc>
          <w:tcPr>
            <w:tcW w:w="856" w:type="dxa"/>
            <w:tcBorders>
              <w:bottom w:val="single" w:sz="4" w:space="0" w:color="auto"/>
            </w:tcBorders>
            <w:vAlign w:val="center"/>
          </w:tcPr>
          <w:p w14:paraId="5C56E63B"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552</w:t>
            </w:r>
          </w:p>
        </w:tc>
        <w:tc>
          <w:tcPr>
            <w:tcW w:w="0" w:type="auto"/>
            <w:tcBorders>
              <w:bottom w:val="single" w:sz="4" w:space="0" w:color="auto"/>
            </w:tcBorders>
            <w:vAlign w:val="center"/>
            <w:hideMark/>
          </w:tcPr>
          <w:p w14:paraId="0CCB5DC6"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60.08</w:t>
            </w:r>
          </w:p>
        </w:tc>
        <w:tc>
          <w:tcPr>
            <w:tcW w:w="0" w:type="auto"/>
            <w:tcBorders>
              <w:bottom w:val="single" w:sz="4" w:space="0" w:color="auto"/>
            </w:tcBorders>
            <w:vAlign w:val="center"/>
            <w:hideMark/>
          </w:tcPr>
          <w:p w14:paraId="70D91D77"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8.86</w:t>
            </w:r>
          </w:p>
        </w:tc>
        <w:tc>
          <w:tcPr>
            <w:tcW w:w="0" w:type="auto"/>
            <w:vMerge/>
            <w:tcBorders>
              <w:bottom w:val="single" w:sz="4" w:space="0" w:color="auto"/>
            </w:tcBorders>
            <w:vAlign w:val="center"/>
          </w:tcPr>
          <w:p w14:paraId="544C4255"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p>
        </w:tc>
      </w:tr>
      <w:tr w:rsidR="007559A8" w:rsidRPr="00816C29" w14:paraId="7DE3096A" w14:textId="77777777" w:rsidTr="00E1262E">
        <w:tc>
          <w:tcPr>
            <w:tcW w:w="2358" w:type="dxa"/>
            <w:vMerge w:val="restart"/>
            <w:tcBorders>
              <w:top w:val="single" w:sz="4" w:space="0" w:color="auto"/>
            </w:tcBorders>
            <w:hideMark/>
          </w:tcPr>
          <w:p w14:paraId="7E2E8806" w14:textId="77777777" w:rsidR="007559A8" w:rsidRPr="00816C29" w:rsidRDefault="007559A8" w:rsidP="00E1262E">
            <w:pPr>
              <w:spacing w:before="80" w:after="80" w:line="240" w:lineRule="auto"/>
              <w:ind w:left="360" w:hanging="360"/>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 xml:space="preserve">2- </w:t>
            </w:r>
            <w:r w:rsidRPr="00816C29">
              <w:rPr>
                <w:rFonts w:ascii="Times New Roman" w:eastAsia="Times New Roman" w:hAnsi="Times New Roman" w:cs="Times New Roman"/>
                <w:color w:val="000000"/>
                <w:kern w:val="0"/>
                <w:lang w:eastAsia="en-IN"/>
              </w:rPr>
              <w:tab/>
              <w:t>Faculty Readiness</w:t>
            </w:r>
          </w:p>
        </w:tc>
        <w:tc>
          <w:tcPr>
            <w:tcW w:w="2340" w:type="dxa"/>
            <w:tcBorders>
              <w:top w:val="single" w:sz="4" w:space="0" w:color="auto"/>
            </w:tcBorders>
            <w:hideMark/>
          </w:tcPr>
          <w:p w14:paraId="5A254FBB" w14:textId="77777777" w:rsidR="007559A8" w:rsidRPr="00816C29" w:rsidRDefault="007559A8" w:rsidP="00E1262E">
            <w:pPr>
              <w:tabs>
                <w:tab w:val="left" w:pos="314"/>
              </w:tabs>
              <w:spacing w:before="80" w:after="80" w:line="240" w:lineRule="auto"/>
              <w:ind w:left="314" w:hanging="314"/>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w:t>
            </w:r>
            <w:r w:rsidRPr="00816C29">
              <w:rPr>
                <w:rFonts w:ascii="Times New Roman" w:eastAsia="Times New Roman" w:hAnsi="Times New Roman" w:cs="Times New Roman"/>
                <w:color w:val="000000"/>
                <w:kern w:val="0"/>
                <w:lang w:eastAsia="en-IN"/>
              </w:rPr>
              <w:tab/>
              <w:t>Govt./Aided</w:t>
            </w:r>
          </w:p>
        </w:tc>
        <w:tc>
          <w:tcPr>
            <w:tcW w:w="856" w:type="dxa"/>
            <w:tcBorders>
              <w:top w:val="single" w:sz="4" w:space="0" w:color="auto"/>
            </w:tcBorders>
            <w:vAlign w:val="center"/>
          </w:tcPr>
          <w:p w14:paraId="64709505"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248</w:t>
            </w:r>
          </w:p>
        </w:tc>
        <w:tc>
          <w:tcPr>
            <w:tcW w:w="0" w:type="auto"/>
            <w:tcBorders>
              <w:top w:val="single" w:sz="4" w:space="0" w:color="auto"/>
            </w:tcBorders>
            <w:vAlign w:val="center"/>
            <w:hideMark/>
          </w:tcPr>
          <w:p w14:paraId="4E11C3B9"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18.14</w:t>
            </w:r>
          </w:p>
        </w:tc>
        <w:tc>
          <w:tcPr>
            <w:tcW w:w="0" w:type="auto"/>
            <w:tcBorders>
              <w:top w:val="single" w:sz="4" w:space="0" w:color="auto"/>
            </w:tcBorders>
            <w:vAlign w:val="center"/>
            <w:hideMark/>
          </w:tcPr>
          <w:p w14:paraId="1A8E610F"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3.82</w:t>
            </w:r>
          </w:p>
        </w:tc>
        <w:tc>
          <w:tcPr>
            <w:tcW w:w="0" w:type="auto"/>
            <w:vMerge w:val="restart"/>
            <w:tcBorders>
              <w:top w:val="single" w:sz="4" w:space="0" w:color="auto"/>
            </w:tcBorders>
            <w:vAlign w:val="center"/>
            <w:hideMark/>
          </w:tcPr>
          <w:p w14:paraId="632E2F8C"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1.12</w:t>
            </w:r>
          </w:p>
        </w:tc>
      </w:tr>
      <w:tr w:rsidR="007559A8" w:rsidRPr="00816C29" w14:paraId="291B637D" w14:textId="77777777" w:rsidTr="00E1262E">
        <w:tc>
          <w:tcPr>
            <w:tcW w:w="2358" w:type="dxa"/>
            <w:vMerge/>
            <w:tcBorders>
              <w:bottom w:val="single" w:sz="4" w:space="0" w:color="auto"/>
            </w:tcBorders>
          </w:tcPr>
          <w:p w14:paraId="09ED1582" w14:textId="77777777" w:rsidR="007559A8" w:rsidRPr="00816C29" w:rsidRDefault="007559A8" w:rsidP="00E1262E">
            <w:pPr>
              <w:spacing w:before="80" w:after="80" w:line="240" w:lineRule="auto"/>
              <w:ind w:left="360" w:hanging="360"/>
              <w:jc w:val="both"/>
              <w:rPr>
                <w:rFonts w:ascii="Times New Roman" w:eastAsia="Times New Roman" w:hAnsi="Times New Roman" w:cs="Times New Roman"/>
                <w:color w:val="000000"/>
                <w:kern w:val="0"/>
                <w:lang w:eastAsia="en-IN"/>
              </w:rPr>
            </w:pPr>
          </w:p>
        </w:tc>
        <w:tc>
          <w:tcPr>
            <w:tcW w:w="2340" w:type="dxa"/>
            <w:tcBorders>
              <w:bottom w:val="single" w:sz="4" w:space="0" w:color="auto"/>
            </w:tcBorders>
            <w:hideMark/>
          </w:tcPr>
          <w:p w14:paraId="675EC237" w14:textId="77777777" w:rsidR="007559A8" w:rsidRPr="00816C29" w:rsidRDefault="007559A8" w:rsidP="00E1262E">
            <w:pPr>
              <w:tabs>
                <w:tab w:val="left" w:pos="314"/>
              </w:tabs>
              <w:spacing w:before="80" w:after="80" w:line="240" w:lineRule="auto"/>
              <w:ind w:left="314" w:hanging="314"/>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w:t>
            </w:r>
            <w:r w:rsidRPr="00816C29">
              <w:rPr>
                <w:rFonts w:ascii="Times New Roman" w:eastAsia="Times New Roman" w:hAnsi="Times New Roman" w:cs="Times New Roman"/>
                <w:color w:val="000000"/>
                <w:kern w:val="0"/>
                <w:lang w:eastAsia="en-IN"/>
              </w:rPr>
              <w:tab/>
              <w:t>Self-Financing/ University Centres</w:t>
            </w:r>
          </w:p>
        </w:tc>
        <w:tc>
          <w:tcPr>
            <w:tcW w:w="856" w:type="dxa"/>
            <w:tcBorders>
              <w:bottom w:val="single" w:sz="4" w:space="0" w:color="auto"/>
            </w:tcBorders>
            <w:vAlign w:val="center"/>
          </w:tcPr>
          <w:p w14:paraId="394D9558"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552</w:t>
            </w:r>
          </w:p>
        </w:tc>
        <w:tc>
          <w:tcPr>
            <w:tcW w:w="0" w:type="auto"/>
            <w:tcBorders>
              <w:bottom w:val="single" w:sz="4" w:space="0" w:color="auto"/>
            </w:tcBorders>
            <w:vAlign w:val="center"/>
            <w:hideMark/>
          </w:tcPr>
          <w:p w14:paraId="706710E1"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17.84</w:t>
            </w:r>
          </w:p>
        </w:tc>
        <w:tc>
          <w:tcPr>
            <w:tcW w:w="0" w:type="auto"/>
            <w:tcBorders>
              <w:bottom w:val="single" w:sz="4" w:space="0" w:color="auto"/>
            </w:tcBorders>
            <w:vAlign w:val="center"/>
            <w:hideMark/>
          </w:tcPr>
          <w:p w14:paraId="3CFF859E"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3.30</w:t>
            </w:r>
          </w:p>
        </w:tc>
        <w:tc>
          <w:tcPr>
            <w:tcW w:w="0" w:type="auto"/>
            <w:vMerge/>
            <w:tcBorders>
              <w:bottom w:val="single" w:sz="4" w:space="0" w:color="auto"/>
            </w:tcBorders>
            <w:vAlign w:val="center"/>
          </w:tcPr>
          <w:p w14:paraId="31B5DE3C"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p>
        </w:tc>
      </w:tr>
      <w:tr w:rsidR="007559A8" w:rsidRPr="00816C29" w14:paraId="50645AD1" w14:textId="77777777" w:rsidTr="00E1262E">
        <w:tc>
          <w:tcPr>
            <w:tcW w:w="2358" w:type="dxa"/>
            <w:vMerge w:val="restart"/>
            <w:tcBorders>
              <w:top w:val="single" w:sz="4" w:space="0" w:color="auto"/>
            </w:tcBorders>
            <w:hideMark/>
          </w:tcPr>
          <w:p w14:paraId="1AC47506" w14:textId="77777777" w:rsidR="007559A8" w:rsidRPr="00816C29" w:rsidRDefault="007559A8" w:rsidP="00E1262E">
            <w:pPr>
              <w:spacing w:before="80" w:after="80" w:line="240" w:lineRule="auto"/>
              <w:ind w:left="360" w:hanging="360"/>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3-</w:t>
            </w:r>
            <w:r w:rsidRPr="00816C29">
              <w:rPr>
                <w:rFonts w:ascii="Times New Roman" w:eastAsia="Times New Roman" w:hAnsi="Times New Roman" w:cs="Times New Roman"/>
                <w:color w:val="000000"/>
                <w:kern w:val="0"/>
                <w:lang w:eastAsia="en-IN"/>
              </w:rPr>
              <w:tab/>
              <w:t xml:space="preserve">Administrative Readiness </w:t>
            </w:r>
          </w:p>
        </w:tc>
        <w:tc>
          <w:tcPr>
            <w:tcW w:w="2340" w:type="dxa"/>
            <w:tcBorders>
              <w:top w:val="single" w:sz="4" w:space="0" w:color="auto"/>
            </w:tcBorders>
            <w:hideMark/>
          </w:tcPr>
          <w:p w14:paraId="7DCA2D02" w14:textId="77777777" w:rsidR="007559A8" w:rsidRPr="00816C29" w:rsidRDefault="007559A8" w:rsidP="00E1262E">
            <w:pPr>
              <w:tabs>
                <w:tab w:val="left" w:pos="314"/>
              </w:tabs>
              <w:spacing w:before="80" w:after="80" w:line="240" w:lineRule="auto"/>
              <w:ind w:left="314" w:hanging="314"/>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w:t>
            </w:r>
            <w:r w:rsidRPr="00816C29">
              <w:rPr>
                <w:rFonts w:ascii="Times New Roman" w:eastAsia="Times New Roman" w:hAnsi="Times New Roman" w:cs="Times New Roman"/>
                <w:color w:val="000000"/>
                <w:kern w:val="0"/>
                <w:lang w:eastAsia="en-IN"/>
              </w:rPr>
              <w:tab/>
              <w:t>Govt./Aided</w:t>
            </w:r>
          </w:p>
        </w:tc>
        <w:tc>
          <w:tcPr>
            <w:tcW w:w="856" w:type="dxa"/>
            <w:tcBorders>
              <w:top w:val="single" w:sz="4" w:space="0" w:color="auto"/>
            </w:tcBorders>
            <w:vAlign w:val="center"/>
          </w:tcPr>
          <w:p w14:paraId="502DB105"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248</w:t>
            </w:r>
          </w:p>
        </w:tc>
        <w:tc>
          <w:tcPr>
            <w:tcW w:w="0" w:type="auto"/>
            <w:tcBorders>
              <w:top w:val="single" w:sz="4" w:space="0" w:color="auto"/>
            </w:tcBorders>
            <w:vAlign w:val="center"/>
            <w:hideMark/>
          </w:tcPr>
          <w:p w14:paraId="03ECDA12"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17.30</w:t>
            </w:r>
          </w:p>
        </w:tc>
        <w:tc>
          <w:tcPr>
            <w:tcW w:w="0" w:type="auto"/>
            <w:tcBorders>
              <w:top w:val="single" w:sz="4" w:space="0" w:color="auto"/>
            </w:tcBorders>
            <w:vAlign w:val="center"/>
            <w:hideMark/>
          </w:tcPr>
          <w:p w14:paraId="3076A26E"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3.76</w:t>
            </w:r>
          </w:p>
        </w:tc>
        <w:tc>
          <w:tcPr>
            <w:tcW w:w="0" w:type="auto"/>
            <w:vMerge w:val="restart"/>
            <w:tcBorders>
              <w:top w:val="single" w:sz="4" w:space="0" w:color="auto"/>
            </w:tcBorders>
            <w:vAlign w:val="center"/>
            <w:hideMark/>
          </w:tcPr>
          <w:p w14:paraId="52423126"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.327</w:t>
            </w:r>
          </w:p>
        </w:tc>
      </w:tr>
      <w:tr w:rsidR="007559A8" w:rsidRPr="00816C29" w14:paraId="29CCF4B6" w14:textId="77777777" w:rsidTr="00E1262E">
        <w:tc>
          <w:tcPr>
            <w:tcW w:w="2358" w:type="dxa"/>
            <w:vMerge/>
          </w:tcPr>
          <w:p w14:paraId="34FCDFDD" w14:textId="77777777" w:rsidR="007559A8" w:rsidRPr="00816C29" w:rsidRDefault="007559A8" w:rsidP="00E1262E">
            <w:pPr>
              <w:spacing w:before="80" w:after="80" w:line="240" w:lineRule="auto"/>
              <w:ind w:left="360" w:hanging="360"/>
              <w:jc w:val="both"/>
              <w:rPr>
                <w:rFonts w:ascii="Times New Roman" w:eastAsia="Times New Roman" w:hAnsi="Times New Roman" w:cs="Times New Roman"/>
                <w:color w:val="000000"/>
                <w:kern w:val="0"/>
                <w:lang w:eastAsia="en-IN"/>
              </w:rPr>
            </w:pPr>
          </w:p>
        </w:tc>
        <w:tc>
          <w:tcPr>
            <w:tcW w:w="2340" w:type="dxa"/>
            <w:hideMark/>
          </w:tcPr>
          <w:p w14:paraId="6424F641" w14:textId="77777777" w:rsidR="007559A8" w:rsidRPr="00816C29" w:rsidRDefault="007559A8" w:rsidP="00E1262E">
            <w:pPr>
              <w:tabs>
                <w:tab w:val="left" w:pos="314"/>
              </w:tabs>
              <w:spacing w:before="80" w:after="80" w:line="240" w:lineRule="auto"/>
              <w:ind w:left="314" w:hanging="314"/>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w:t>
            </w:r>
            <w:r w:rsidRPr="00816C29">
              <w:rPr>
                <w:rFonts w:ascii="Times New Roman" w:eastAsia="Times New Roman" w:hAnsi="Times New Roman" w:cs="Times New Roman"/>
                <w:color w:val="000000"/>
                <w:kern w:val="0"/>
                <w:lang w:eastAsia="en-IN"/>
              </w:rPr>
              <w:tab/>
              <w:t>Self-Financing/ University Centres</w:t>
            </w:r>
          </w:p>
        </w:tc>
        <w:tc>
          <w:tcPr>
            <w:tcW w:w="856" w:type="dxa"/>
            <w:vAlign w:val="center"/>
          </w:tcPr>
          <w:p w14:paraId="7907F4B3"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552</w:t>
            </w:r>
          </w:p>
        </w:tc>
        <w:tc>
          <w:tcPr>
            <w:tcW w:w="0" w:type="auto"/>
            <w:vAlign w:val="center"/>
            <w:hideMark/>
          </w:tcPr>
          <w:p w14:paraId="4143761B"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17.22</w:t>
            </w:r>
          </w:p>
        </w:tc>
        <w:tc>
          <w:tcPr>
            <w:tcW w:w="0" w:type="auto"/>
            <w:vAlign w:val="center"/>
            <w:hideMark/>
          </w:tcPr>
          <w:p w14:paraId="5416C60B"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2.99</w:t>
            </w:r>
          </w:p>
        </w:tc>
        <w:tc>
          <w:tcPr>
            <w:tcW w:w="0" w:type="auto"/>
            <w:vMerge/>
            <w:vAlign w:val="center"/>
          </w:tcPr>
          <w:p w14:paraId="08B884D8"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p>
        </w:tc>
      </w:tr>
      <w:tr w:rsidR="007559A8" w:rsidRPr="00816C29" w14:paraId="5781FBF1" w14:textId="77777777" w:rsidTr="00E1262E">
        <w:tc>
          <w:tcPr>
            <w:tcW w:w="2358" w:type="dxa"/>
            <w:vMerge w:val="restart"/>
            <w:hideMark/>
          </w:tcPr>
          <w:p w14:paraId="36D4C455" w14:textId="77777777" w:rsidR="007559A8" w:rsidRPr="00816C29" w:rsidRDefault="007559A8" w:rsidP="00E1262E">
            <w:pPr>
              <w:spacing w:before="80" w:after="80" w:line="240" w:lineRule="auto"/>
              <w:ind w:left="360" w:hanging="360"/>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4-</w:t>
            </w:r>
            <w:r w:rsidRPr="00816C29">
              <w:rPr>
                <w:rFonts w:ascii="Times New Roman" w:eastAsia="Times New Roman" w:hAnsi="Times New Roman" w:cs="Times New Roman"/>
                <w:color w:val="000000"/>
                <w:kern w:val="0"/>
                <w:lang w:eastAsia="en-IN"/>
              </w:rPr>
              <w:tab/>
              <w:t xml:space="preserve">Institutional preparedness and Infrastructural readiness </w:t>
            </w:r>
          </w:p>
        </w:tc>
        <w:tc>
          <w:tcPr>
            <w:tcW w:w="2340" w:type="dxa"/>
            <w:hideMark/>
          </w:tcPr>
          <w:p w14:paraId="1B7CBF08" w14:textId="77777777" w:rsidR="007559A8" w:rsidRPr="00816C29" w:rsidRDefault="007559A8" w:rsidP="00E1262E">
            <w:pPr>
              <w:tabs>
                <w:tab w:val="left" w:pos="314"/>
              </w:tabs>
              <w:spacing w:before="80" w:after="80" w:line="240" w:lineRule="auto"/>
              <w:ind w:left="314" w:hanging="314"/>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w:t>
            </w:r>
            <w:r w:rsidRPr="00816C29">
              <w:rPr>
                <w:rFonts w:ascii="Times New Roman" w:eastAsia="Times New Roman" w:hAnsi="Times New Roman" w:cs="Times New Roman"/>
                <w:color w:val="000000"/>
                <w:kern w:val="0"/>
                <w:lang w:eastAsia="en-IN"/>
              </w:rPr>
              <w:tab/>
              <w:t>Govt./Aided</w:t>
            </w:r>
          </w:p>
        </w:tc>
        <w:tc>
          <w:tcPr>
            <w:tcW w:w="856" w:type="dxa"/>
            <w:vAlign w:val="center"/>
          </w:tcPr>
          <w:p w14:paraId="1BB95AB1"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248</w:t>
            </w:r>
          </w:p>
        </w:tc>
        <w:tc>
          <w:tcPr>
            <w:tcW w:w="0" w:type="auto"/>
            <w:vAlign w:val="center"/>
            <w:hideMark/>
          </w:tcPr>
          <w:p w14:paraId="30D90866"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25.81</w:t>
            </w:r>
          </w:p>
        </w:tc>
        <w:tc>
          <w:tcPr>
            <w:tcW w:w="0" w:type="auto"/>
            <w:vAlign w:val="center"/>
            <w:hideMark/>
          </w:tcPr>
          <w:p w14:paraId="11241191"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5.96</w:t>
            </w:r>
          </w:p>
        </w:tc>
        <w:tc>
          <w:tcPr>
            <w:tcW w:w="0" w:type="auto"/>
            <w:vMerge w:val="restart"/>
            <w:vAlign w:val="center"/>
            <w:hideMark/>
          </w:tcPr>
          <w:p w14:paraId="2FC2995B"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1.87</w:t>
            </w:r>
          </w:p>
        </w:tc>
      </w:tr>
      <w:tr w:rsidR="007559A8" w:rsidRPr="00816C29" w14:paraId="67BD8895" w14:textId="77777777" w:rsidTr="00E1262E">
        <w:tc>
          <w:tcPr>
            <w:tcW w:w="2358" w:type="dxa"/>
            <w:vMerge/>
            <w:tcBorders>
              <w:bottom w:val="single" w:sz="4" w:space="0" w:color="auto"/>
            </w:tcBorders>
          </w:tcPr>
          <w:p w14:paraId="30AB3C1F" w14:textId="77777777" w:rsidR="007559A8" w:rsidRPr="00816C29" w:rsidRDefault="007559A8" w:rsidP="00E1262E">
            <w:pPr>
              <w:spacing w:before="80" w:after="80" w:line="240" w:lineRule="auto"/>
              <w:ind w:left="360" w:hanging="360"/>
              <w:jc w:val="both"/>
              <w:rPr>
                <w:rFonts w:ascii="Times New Roman" w:eastAsia="Times New Roman" w:hAnsi="Times New Roman" w:cs="Times New Roman"/>
                <w:color w:val="000000"/>
                <w:kern w:val="0"/>
                <w:lang w:eastAsia="en-IN"/>
              </w:rPr>
            </w:pPr>
          </w:p>
        </w:tc>
        <w:tc>
          <w:tcPr>
            <w:tcW w:w="2340" w:type="dxa"/>
            <w:tcBorders>
              <w:bottom w:val="single" w:sz="4" w:space="0" w:color="auto"/>
            </w:tcBorders>
            <w:hideMark/>
          </w:tcPr>
          <w:p w14:paraId="342E367F" w14:textId="77777777" w:rsidR="007559A8" w:rsidRPr="00816C29" w:rsidRDefault="007559A8" w:rsidP="00E1262E">
            <w:pPr>
              <w:tabs>
                <w:tab w:val="left" w:pos="314"/>
              </w:tabs>
              <w:spacing w:before="80" w:after="80" w:line="240" w:lineRule="auto"/>
              <w:ind w:left="314" w:hanging="314"/>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w:t>
            </w:r>
            <w:r w:rsidRPr="00816C29">
              <w:rPr>
                <w:rFonts w:ascii="Times New Roman" w:eastAsia="Times New Roman" w:hAnsi="Times New Roman" w:cs="Times New Roman"/>
                <w:color w:val="000000"/>
                <w:kern w:val="0"/>
                <w:lang w:eastAsia="en-IN"/>
              </w:rPr>
              <w:tab/>
              <w:t>Self-Financing/ University Centres</w:t>
            </w:r>
          </w:p>
        </w:tc>
        <w:tc>
          <w:tcPr>
            <w:tcW w:w="856" w:type="dxa"/>
            <w:tcBorders>
              <w:bottom w:val="single" w:sz="4" w:space="0" w:color="auto"/>
            </w:tcBorders>
            <w:vAlign w:val="center"/>
          </w:tcPr>
          <w:p w14:paraId="6BED79AE"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552</w:t>
            </w:r>
          </w:p>
        </w:tc>
        <w:tc>
          <w:tcPr>
            <w:tcW w:w="0" w:type="auto"/>
            <w:tcBorders>
              <w:bottom w:val="single" w:sz="4" w:space="0" w:color="auto"/>
            </w:tcBorders>
            <w:vAlign w:val="center"/>
            <w:hideMark/>
          </w:tcPr>
          <w:p w14:paraId="1061F65C"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26.56</w:t>
            </w:r>
          </w:p>
        </w:tc>
        <w:tc>
          <w:tcPr>
            <w:tcW w:w="0" w:type="auto"/>
            <w:tcBorders>
              <w:bottom w:val="single" w:sz="4" w:space="0" w:color="auto"/>
            </w:tcBorders>
            <w:vAlign w:val="center"/>
            <w:hideMark/>
          </w:tcPr>
          <w:p w14:paraId="1934DB80"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4.84</w:t>
            </w:r>
          </w:p>
        </w:tc>
        <w:tc>
          <w:tcPr>
            <w:tcW w:w="0" w:type="auto"/>
            <w:vMerge/>
            <w:tcBorders>
              <w:bottom w:val="single" w:sz="4" w:space="0" w:color="auto"/>
            </w:tcBorders>
            <w:vAlign w:val="center"/>
          </w:tcPr>
          <w:p w14:paraId="1BD57A32"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p>
        </w:tc>
      </w:tr>
      <w:tr w:rsidR="007559A8" w:rsidRPr="00816C29" w14:paraId="2B56B5CE" w14:textId="77777777" w:rsidTr="00E1262E">
        <w:tc>
          <w:tcPr>
            <w:tcW w:w="2358" w:type="dxa"/>
            <w:vMerge w:val="restart"/>
            <w:tcBorders>
              <w:top w:val="single" w:sz="4" w:space="0" w:color="auto"/>
            </w:tcBorders>
            <w:hideMark/>
          </w:tcPr>
          <w:p w14:paraId="6D2DB3B6" w14:textId="77777777" w:rsidR="007559A8" w:rsidRPr="00816C29" w:rsidRDefault="007559A8" w:rsidP="00E1262E">
            <w:pPr>
              <w:spacing w:before="80" w:after="80" w:line="240" w:lineRule="auto"/>
              <w:ind w:left="360" w:hanging="360"/>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5-</w:t>
            </w:r>
            <w:r w:rsidRPr="00816C29">
              <w:rPr>
                <w:rFonts w:ascii="Times New Roman" w:eastAsia="Times New Roman" w:hAnsi="Times New Roman" w:cs="Times New Roman"/>
                <w:color w:val="000000"/>
                <w:kern w:val="0"/>
                <w:lang w:eastAsia="en-IN"/>
              </w:rPr>
              <w:tab/>
            </w:r>
            <w:r>
              <w:rPr>
                <w:rFonts w:ascii="Times New Roman" w:eastAsia="Times New Roman" w:hAnsi="Times New Roman" w:cs="Times New Roman"/>
                <w:color w:val="000000"/>
                <w:kern w:val="0"/>
                <w:lang w:eastAsia="en-IN"/>
              </w:rPr>
              <w:t>Opportunities and Challenges</w:t>
            </w:r>
            <w:r w:rsidRPr="00816C29">
              <w:rPr>
                <w:rFonts w:ascii="Times New Roman" w:eastAsia="Times New Roman" w:hAnsi="Times New Roman" w:cs="Times New Roman"/>
                <w:color w:val="000000"/>
                <w:kern w:val="0"/>
                <w:lang w:eastAsia="en-IN"/>
              </w:rPr>
              <w:t xml:space="preserve"> </w:t>
            </w:r>
          </w:p>
        </w:tc>
        <w:tc>
          <w:tcPr>
            <w:tcW w:w="2340" w:type="dxa"/>
            <w:tcBorders>
              <w:top w:val="single" w:sz="4" w:space="0" w:color="auto"/>
            </w:tcBorders>
            <w:hideMark/>
          </w:tcPr>
          <w:p w14:paraId="0D54496D" w14:textId="77777777" w:rsidR="007559A8" w:rsidRPr="00816C29" w:rsidRDefault="007559A8" w:rsidP="00E1262E">
            <w:pPr>
              <w:tabs>
                <w:tab w:val="left" w:pos="314"/>
              </w:tabs>
              <w:spacing w:before="80" w:after="80" w:line="240" w:lineRule="auto"/>
              <w:ind w:left="314" w:hanging="314"/>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w:t>
            </w:r>
            <w:r w:rsidRPr="00816C29">
              <w:rPr>
                <w:rFonts w:ascii="Times New Roman" w:eastAsia="Times New Roman" w:hAnsi="Times New Roman" w:cs="Times New Roman"/>
                <w:color w:val="000000"/>
                <w:kern w:val="0"/>
                <w:lang w:eastAsia="en-IN"/>
              </w:rPr>
              <w:tab/>
              <w:t>Govt./Aided</w:t>
            </w:r>
          </w:p>
        </w:tc>
        <w:tc>
          <w:tcPr>
            <w:tcW w:w="856" w:type="dxa"/>
            <w:tcBorders>
              <w:top w:val="single" w:sz="4" w:space="0" w:color="auto"/>
            </w:tcBorders>
            <w:vAlign w:val="center"/>
          </w:tcPr>
          <w:p w14:paraId="75919B42"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248</w:t>
            </w:r>
          </w:p>
        </w:tc>
        <w:tc>
          <w:tcPr>
            <w:tcW w:w="0" w:type="auto"/>
            <w:tcBorders>
              <w:top w:val="single" w:sz="4" w:space="0" w:color="auto"/>
            </w:tcBorders>
            <w:vAlign w:val="center"/>
            <w:hideMark/>
          </w:tcPr>
          <w:p w14:paraId="6DFE29CF"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16.10</w:t>
            </w:r>
          </w:p>
        </w:tc>
        <w:tc>
          <w:tcPr>
            <w:tcW w:w="0" w:type="auto"/>
            <w:tcBorders>
              <w:top w:val="single" w:sz="4" w:space="0" w:color="auto"/>
            </w:tcBorders>
            <w:vAlign w:val="center"/>
            <w:hideMark/>
          </w:tcPr>
          <w:p w14:paraId="4A96EDB3"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3.30</w:t>
            </w:r>
          </w:p>
        </w:tc>
        <w:tc>
          <w:tcPr>
            <w:tcW w:w="0" w:type="auto"/>
            <w:vMerge w:val="restart"/>
            <w:tcBorders>
              <w:top w:val="single" w:sz="4" w:space="0" w:color="auto"/>
            </w:tcBorders>
            <w:vAlign w:val="center"/>
            <w:hideMark/>
          </w:tcPr>
          <w:p w14:paraId="1B29BD7A"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.985</w:t>
            </w:r>
          </w:p>
        </w:tc>
      </w:tr>
      <w:tr w:rsidR="007559A8" w:rsidRPr="00816C29" w14:paraId="45CCFBAF" w14:textId="77777777" w:rsidTr="00E1262E">
        <w:tc>
          <w:tcPr>
            <w:tcW w:w="2358" w:type="dxa"/>
            <w:vMerge/>
            <w:tcBorders>
              <w:bottom w:val="single" w:sz="4" w:space="0" w:color="auto"/>
            </w:tcBorders>
          </w:tcPr>
          <w:p w14:paraId="38897A6D" w14:textId="77777777" w:rsidR="007559A8" w:rsidRPr="00816C29" w:rsidRDefault="007559A8" w:rsidP="00E1262E">
            <w:pPr>
              <w:spacing w:before="80" w:after="80" w:line="240" w:lineRule="auto"/>
              <w:jc w:val="both"/>
              <w:rPr>
                <w:rFonts w:ascii="Times New Roman" w:eastAsia="Times New Roman" w:hAnsi="Times New Roman" w:cs="Times New Roman"/>
                <w:color w:val="000000"/>
                <w:kern w:val="0"/>
                <w:lang w:eastAsia="en-IN"/>
              </w:rPr>
            </w:pPr>
          </w:p>
        </w:tc>
        <w:tc>
          <w:tcPr>
            <w:tcW w:w="2340" w:type="dxa"/>
            <w:tcBorders>
              <w:bottom w:val="single" w:sz="4" w:space="0" w:color="auto"/>
            </w:tcBorders>
            <w:hideMark/>
          </w:tcPr>
          <w:p w14:paraId="0D2A723B" w14:textId="77777777" w:rsidR="007559A8" w:rsidRPr="00816C29" w:rsidRDefault="007559A8" w:rsidP="00E1262E">
            <w:pPr>
              <w:tabs>
                <w:tab w:val="left" w:pos="314"/>
              </w:tabs>
              <w:spacing w:before="80" w:after="80" w:line="240" w:lineRule="auto"/>
              <w:ind w:left="314" w:hanging="314"/>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w:t>
            </w:r>
            <w:r w:rsidRPr="00816C29">
              <w:rPr>
                <w:rFonts w:ascii="Times New Roman" w:eastAsia="Times New Roman" w:hAnsi="Times New Roman" w:cs="Times New Roman"/>
                <w:color w:val="000000"/>
                <w:kern w:val="0"/>
                <w:lang w:eastAsia="en-IN"/>
              </w:rPr>
              <w:tab/>
              <w:t>Self-Financing/ University Centres</w:t>
            </w:r>
          </w:p>
        </w:tc>
        <w:tc>
          <w:tcPr>
            <w:tcW w:w="856" w:type="dxa"/>
            <w:tcBorders>
              <w:bottom w:val="single" w:sz="4" w:space="0" w:color="auto"/>
            </w:tcBorders>
            <w:vAlign w:val="center"/>
          </w:tcPr>
          <w:p w14:paraId="306CF19D"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552</w:t>
            </w:r>
          </w:p>
        </w:tc>
        <w:tc>
          <w:tcPr>
            <w:tcW w:w="0" w:type="auto"/>
            <w:tcBorders>
              <w:bottom w:val="single" w:sz="4" w:space="0" w:color="auto"/>
            </w:tcBorders>
            <w:vAlign w:val="center"/>
            <w:hideMark/>
          </w:tcPr>
          <w:p w14:paraId="5E7DE601"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16.36</w:t>
            </w:r>
          </w:p>
        </w:tc>
        <w:tc>
          <w:tcPr>
            <w:tcW w:w="0" w:type="auto"/>
            <w:tcBorders>
              <w:bottom w:val="single" w:sz="4" w:space="0" w:color="auto"/>
            </w:tcBorders>
            <w:vAlign w:val="center"/>
            <w:hideMark/>
          </w:tcPr>
          <w:p w14:paraId="1EEDA9A1"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3.33</w:t>
            </w:r>
          </w:p>
        </w:tc>
        <w:tc>
          <w:tcPr>
            <w:tcW w:w="0" w:type="auto"/>
            <w:vMerge/>
            <w:tcBorders>
              <w:bottom w:val="single" w:sz="4" w:space="0" w:color="auto"/>
            </w:tcBorders>
            <w:vAlign w:val="center"/>
          </w:tcPr>
          <w:p w14:paraId="1E91433B" w14:textId="77777777" w:rsidR="007559A8" w:rsidRPr="00816C29" w:rsidRDefault="007559A8" w:rsidP="00E1262E">
            <w:pPr>
              <w:spacing w:before="80" w:after="80" w:line="240" w:lineRule="auto"/>
              <w:jc w:val="center"/>
              <w:rPr>
                <w:rFonts w:ascii="Times New Roman" w:eastAsia="Times New Roman" w:hAnsi="Times New Roman" w:cs="Times New Roman"/>
                <w:color w:val="000000"/>
                <w:kern w:val="0"/>
                <w:lang w:eastAsia="en-IN"/>
              </w:rPr>
            </w:pPr>
          </w:p>
        </w:tc>
      </w:tr>
    </w:tbl>
    <w:p w14:paraId="02D0A986" w14:textId="77777777" w:rsidR="007559A8" w:rsidRPr="00580FCB" w:rsidRDefault="007559A8" w:rsidP="00BC30F4">
      <w:pPr>
        <w:jc w:val="both"/>
        <w:rPr>
          <w:rFonts w:ascii="Times New Roman" w:hAnsi="Times New Roman" w:cs="Times New Roman"/>
        </w:rPr>
      </w:pPr>
    </w:p>
    <w:p w14:paraId="6B263E84" w14:textId="77777777" w:rsidR="00BC30F4" w:rsidRPr="00BC30F4" w:rsidRDefault="00BC30F4" w:rsidP="00BC30F4">
      <w:pPr>
        <w:jc w:val="both"/>
        <w:rPr>
          <w:rFonts w:ascii="Times New Roman" w:hAnsi="Times New Roman" w:cs="Times New Roman"/>
        </w:rPr>
      </w:pPr>
      <w:r w:rsidRPr="00BC30F4">
        <w:rPr>
          <w:rFonts w:ascii="Times New Roman" w:hAnsi="Times New Roman" w:cs="Times New Roman"/>
        </w:rPr>
        <w:lastRenderedPageBreak/>
        <w:t>The perception of teacher educators regarding the implementation of ITEP was compared based on the type of management of their institutions, namely Government/Aided and Self-Financing/University Centres. The results revealed no significant difference in the overall perception scores between the two groups (t = 0.160, p &gt; .05). This indicates that teacher educators, irrespective of the type of institution in which they work, hold similar perceptions regarding the implementation of ITEP.</w:t>
      </w:r>
    </w:p>
    <w:p w14:paraId="35392DCA" w14:textId="77777777" w:rsidR="00BC30F4" w:rsidRPr="00BC30F4" w:rsidRDefault="00BC30F4" w:rsidP="00BC30F4">
      <w:pPr>
        <w:jc w:val="both"/>
        <w:rPr>
          <w:rFonts w:ascii="Times New Roman" w:hAnsi="Times New Roman" w:cs="Times New Roman"/>
        </w:rPr>
      </w:pPr>
      <w:r w:rsidRPr="00BC30F4">
        <w:rPr>
          <w:rFonts w:ascii="Times New Roman" w:hAnsi="Times New Roman" w:cs="Times New Roman"/>
        </w:rPr>
        <w:t>Dimension-wise analysis also showed no significant differences between the two groups in Understanding of NEP/ITEP (t = 0.607), Faculty Readiness (t = 1.12), Administrative Readiness (t = 0.327), Institutional Preparedness and Infrastructural Readiness (t = 1.87), and Opportunities and Challenges (t = 0.985). Although minor variations in mean scores were observed, these differences were not statistically significant.</w:t>
      </w:r>
    </w:p>
    <w:p w14:paraId="6D9E5E25" w14:textId="77777777" w:rsidR="00BC30F4" w:rsidRPr="00BC30F4" w:rsidRDefault="00BC30F4" w:rsidP="00BC30F4">
      <w:pPr>
        <w:jc w:val="both"/>
        <w:rPr>
          <w:rFonts w:ascii="Times New Roman" w:hAnsi="Times New Roman" w:cs="Times New Roman"/>
        </w:rPr>
      </w:pPr>
      <w:r w:rsidRPr="00BC30F4">
        <w:rPr>
          <w:rFonts w:ascii="Times New Roman" w:hAnsi="Times New Roman" w:cs="Times New Roman"/>
        </w:rPr>
        <w:t>The findings suggest that the perception of teacher educators towards ITEP implementation is largely independent of institutional management. Teacher educators across Government, Aided, Self-Financing institutions, and University Centres demonstrate comparable levels of understanding, readiness, and perception regarding the reform. Hence, the type of management does not appear to influence teacher educators' perceptions of ITEP implementation in Kerala.</w:t>
      </w:r>
    </w:p>
    <w:p w14:paraId="6C322DB1" w14:textId="77777777" w:rsidR="003139CE" w:rsidRPr="0037341B" w:rsidRDefault="003139CE" w:rsidP="003139CE">
      <w:pPr>
        <w:spacing w:line="432" w:lineRule="auto"/>
        <w:jc w:val="both"/>
        <w:rPr>
          <w:rFonts w:ascii="Times New Roman" w:hAnsi="Times New Roman" w:cs="Times New Roman"/>
          <w:b/>
          <w:bCs/>
          <w:color w:val="000000"/>
        </w:rPr>
      </w:pPr>
      <w:r w:rsidRPr="0037341B">
        <w:rPr>
          <w:rFonts w:ascii="Times New Roman" w:hAnsi="Times New Roman" w:cs="Times New Roman"/>
          <w:b/>
          <w:bCs/>
          <w:color w:val="000000"/>
        </w:rPr>
        <w:t xml:space="preserve">Comparison of Perception of Teacher Educators in Kerala Regarding Implementation of ITEP in Alignment with NEP 2020 Based on </w:t>
      </w:r>
      <w:r>
        <w:rPr>
          <w:rFonts w:ascii="Times New Roman" w:hAnsi="Times New Roman" w:cs="Times New Roman"/>
          <w:b/>
          <w:bCs/>
          <w:color w:val="000000"/>
        </w:rPr>
        <w:t xml:space="preserve">the </w:t>
      </w:r>
      <w:r w:rsidRPr="0037341B">
        <w:rPr>
          <w:rFonts w:ascii="Times New Roman" w:hAnsi="Times New Roman" w:cs="Times New Roman"/>
          <w:b/>
          <w:bCs/>
          <w:color w:val="000000"/>
        </w:rPr>
        <w:t>Subject of teaching</w:t>
      </w:r>
    </w:p>
    <w:p w14:paraId="5C0FC700" w14:textId="77777777" w:rsidR="003139CE" w:rsidRPr="0037341B" w:rsidRDefault="003139CE" w:rsidP="003139CE">
      <w:pPr>
        <w:spacing w:line="432" w:lineRule="auto"/>
        <w:jc w:val="both"/>
        <w:rPr>
          <w:rFonts w:ascii="Times New Roman" w:hAnsi="Times New Roman" w:cs="Times New Roman"/>
          <w:color w:val="000000"/>
        </w:rPr>
      </w:pPr>
      <w:r w:rsidRPr="0037341B">
        <w:rPr>
          <w:rFonts w:ascii="Times New Roman" w:hAnsi="Times New Roman" w:cs="Times New Roman"/>
          <w:color w:val="000000"/>
        </w:rPr>
        <w:tab/>
        <w:t>To examine whether perception</w:t>
      </w:r>
      <w:r>
        <w:rPr>
          <w:rFonts w:ascii="Times New Roman" w:hAnsi="Times New Roman" w:cs="Times New Roman"/>
          <w:color w:val="000000"/>
        </w:rPr>
        <w:t xml:space="preserve"> of teacher educators</w:t>
      </w:r>
      <w:r w:rsidRPr="0037341B">
        <w:rPr>
          <w:rFonts w:ascii="Times New Roman" w:hAnsi="Times New Roman" w:cs="Times New Roman"/>
          <w:color w:val="000000"/>
        </w:rPr>
        <w:t xml:space="preserve"> differs based on subject</w:t>
      </w:r>
      <w:r>
        <w:rPr>
          <w:rFonts w:ascii="Times New Roman" w:hAnsi="Times New Roman" w:cs="Times New Roman"/>
          <w:color w:val="000000"/>
        </w:rPr>
        <w:t xml:space="preserve"> of </w:t>
      </w:r>
      <w:r w:rsidRPr="0037341B">
        <w:rPr>
          <w:rFonts w:ascii="Times New Roman" w:hAnsi="Times New Roman" w:cs="Times New Roman"/>
          <w:color w:val="000000"/>
        </w:rPr>
        <w:t>specialization, teacher educators were categorized into three groups</w:t>
      </w:r>
      <w:r>
        <w:rPr>
          <w:rFonts w:ascii="Times New Roman" w:hAnsi="Times New Roman" w:cs="Times New Roman"/>
          <w:color w:val="000000"/>
        </w:rPr>
        <w:t xml:space="preserve"> namely</w:t>
      </w:r>
      <w:r w:rsidRPr="0037341B">
        <w:rPr>
          <w:rFonts w:ascii="Times New Roman" w:hAnsi="Times New Roman" w:cs="Times New Roman"/>
          <w:color w:val="000000"/>
        </w:rPr>
        <w:t xml:space="preserve"> </w:t>
      </w:r>
      <w:r w:rsidRPr="0037341B">
        <w:rPr>
          <w:rFonts w:ascii="Times New Roman" w:hAnsi="Times New Roman" w:cs="Times New Roman"/>
          <w:b/>
          <w:bCs/>
          <w:color w:val="000000"/>
        </w:rPr>
        <w:t>Language</w:t>
      </w:r>
      <w:r w:rsidRPr="0037341B">
        <w:rPr>
          <w:rFonts w:ascii="Times New Roman" w:hAnsi="Times New Roman" w:cs="Times New Roman"/>
          <w:color w:val="000000"/>
        </w:rPr>
        <w:t xml:space="preserve">, </w:t>
      </w:r>
      <w:r w:rsidRPr="0037341B">
        <w:rPr>
          <w:rFonts w:ascii="Times New Roman" w:hAnsi="Times New Roman" w:cs="Times New Roman"/>
          <w:b/>
          <w:bCs/>
          <w:color w:val="000000"/>
        </w:rPr>
        <w:t>Science</w:t>
      </w:r>
      <w:r w:rsidRPr="0037341B">
        <w:rPr>
          <w:rFonts w:ascii="Times New Roman" w:hAnsi="Times New Roman" w:cs="Times New Roman"/>
          <w:color w:val="000000"/>
        </w:rPr>
        <w:t xml:space="preserve">, and </w:t>
      </w:r>
      <w:r w:rsidRPr="0037341B">
        <w:rPr>
          <w:rFonts w:ascii="Times New Roman" w:hAnsi="Times New Roman" w:cs="Times New Roman"/>
          <w:b/>
          <w:bCs/>
          <w:color w:val="000000"/>
        </w:rPr>
        <w:t>Social Science</w:t>
      </w:r>
      <w:r w:rsidRPr="0037341B">
        <w:rPr>
          <w:rFonts w:ascii="Times New Roman" w:hAnsi="Times New Roman" w:cs="Times New Roman"/>
          <w:color w:val="000000"/>
        </w:rPr>
        <w:t xml:space="preserve">. Since more than two groups were involved, a one-way Analysis of Variance (ANOVA) was employed to test whether there </w:t>
      </w:r>
      <w:r>
        <w:rPr>
          <w:rFonts w:ascii="Times New Roman" w:hAnsi="Times New Roman" w:cs="Times New Roman"/>
          <w:color w:val="000000"/>
        </w:rPr>
        <w:t>are</w:t>
      </w:r>
      <w:r w:rsidRPr="0037341B">
        <w:rPr>
          <w:rFonts w:ascii="Times New Roman" w:hAnsi="Times New Roman" w:cs="Times New Roman"/>
          <w:color w:val="000000"/>
        </w:rPr>
        <w:t xml:space="preserve"> statistically significant differences in mean perception scores among the three subject groups </w:t>
      </w:r>
      <w:r>
        <w:rPr>
          <w:rFonts w:ascii="Times New Roman" w:hAnsi="Times New Roman" w:cs="Times New Roman"/>
          <w:color w:val="000000"/>
        </w:rPr>
        <w:t xml:space="preserve">and </w:t>
      </w:r>
      <w:r w:rsidRPr="0037341B">
        <w:rPr>
          <w:rFonts w:ascii="Times New Roman" w:hAnsi="Times New Roman" w:cs="Times New Roman"/>
          <w:color w:val="000000"/>
        </w:rPr>
        <w:t xml:space="preserve">across </w:t>
      </w:r>
      <w:r>
        <w:rPr>
          <w:rFonts w:ascii="Times New Roman" w:hAnsi="Times New Roman" w:cs="Times New Roman"/>
          <w:color w:val="000000"/>
        </w:rPr>
        <w:t>its five</w:t>
      </w:r>
      <w:r w:rsidRPr="0037341B">
        <w:rPr>
          <w:rFonts w:ascii="Times New Roman" w:hAnsi="Times New Roman" w:cs="Times New Roman"/>
          <w:color w:val="000000"/>
        </w:rPr>
        <w:t xml:space="preserve"> dimensions.</w:t>
      </w:r>
    </w:p>
    <w:p w14:paraId="645233D3" w14:textId="1DA21DB5" w:rsidR="003139CE" w:rsidRPr="0037341B" w:rsidRDefault="003139CE" w:rsidP="003139CE">
      <w:pPr>
        <w:spacing w:after="100" w:line="324" w:lineRule="auto"/>
        <w:jc w:val="both"/>
        <w:rPr>
          <w:rFonts w:ascii="Times New Roman" w:hAnsi="Times New Roman" w:cs="Times New Roman"/>
          <w:b/>
          <w:bCs/>
          <w:color w:val="000000"/>
        </w:rPr>
      </w:pPr>
      <w:r w:rsidRPr="0037341B">
        <w:rPr>
          <w:rFonts w:ascii="Times New Roman" w:hAnsi="Times New Roman" w:cs="Times New Roman"/>
          <w:b/>
          <w:bCs/>
          <w:color w:val="000000"/>
        </w:rPr>
        <w:t>Table 2</w:t>
      </w:r>
    </w:p>
    <w:p w14:paraId="409B03EA" w14:textId="77777777" w:rsidR="003139CE" w:rsidRPr="0037341B" w:rsidRDefault="003139CE" w:rsidP="003139CE">
      <w:pPr>
        <w:spacing w:after="100" w:line="324" w:lineRule="auto"/>
        <w:jc w:val="both"/>
        <w:rPr>
          <w:rFonts w:ascii="Times New Roman" w:hAnsi="Times New Roman" w:cs="Times New Roman"/>
          <w:color w:val="000000"/>
        </w:rPr>
      </w:pPr>
      <w:r w:rsidRPr="0037341B">
        <w:rPr>
          <w:rFonts w:ascii="Times New Roman" w:hAnsi="Times New Roman" w:cs="Times New Roman"/>
          <w:i/>
          <w:color w:val="000000"/>
        </w:rPr>
        <w:t xml:space="preserve">Result of ANOVA on </w:t>
      </w:r>
      <w:r w:rsidRPr="0037341B">
        <w:rPr>
          <w:rFonts w:ascii="Times New Roman" w:hAnsi="Times New Roman" w:cs="Times New Roman"/>
          <w:i/>
          <w:iCs/>
          <w:color w:val="000000"/>
        </w:rPr>
        <w:t xml:space="preserve">Mean Scores of </w:t>
      </w:r>
      <w:r w:rsidRPr="0037341B">
        <w:rPr>
          <w:rFonts w:ascii="Times New Roman" w:hAnsi="Times New Roman" w:cs="Times New Roman"/>
          <w:i/>
          <w:color w:val="000000"/>
        </w:rPr>
        <w:t>the Variable Perception of Teacher Educator on ITEP Implementation</w:t>
      </w:r>
      <w:r w:rsidRPr="0037341B">
        <w:rPr>
          <w:rFonts w:ascii="Times New Roman" w:hAnsi="Times New Roman" w:cs="Times New Roman"/>
          <w:i/>
          <w:iCs/>
          <w:color w:val="000000"/>
        </w:rPr>
        <w:t xml:space="preserve"> based Subject of Teaching</w:t>
      </w:r>
    </w:p>
    <w:tbl>
      <w:tblPr>
        <w:tblW w:w="5000" w:type="pct"/>
        <w:tblBorders>
          <w:top w:val="single" w:sz="4" w:space="0" w:color="auto"/>
          <w:bottom w:val="single" w:sz="4" w:space="0" w:color="auto"/>
          <w:insideH w:val="single" w:sz="4" w:space="0" w:color="auto"/>
        </w:tblBorders>
        <w:tblLook w:val="0400" w:firstRow="0" w:lastRow="0" w:firstColumn="0" w:lastColumn="0" w:noHBand="0" w:noVBand="1"/>
      </w:tblPr>
      <w:tblGrid>
        <w:gridCol w:w="3118"/>
        <w:gridCol w:w="2010"/>
        <w:gridCol w:w="1476"/>
        <w:gridCol w:w="541"/>
        <w:gridCol w:w="1155"/>
        <w:gridCol w:w="726"/>
      </w:tblGrid>
      <w:tr w:rsidR="003139CE" w:rsidRPr="00816C29" w14:paraId="26AE994D" w14:textId="77777777" w:rsidTr="00E1262E">
        <w:trPr>
          <w:trHeight w:val="291"/>
        </w:trPr>
        <w:tc>
          <w:tcPr>
            <w:tcW w:w="1728" w:type="pct"/>
            <w:tcBorders>
              <w:bottom w:val="single" w:sz="4" w:space="0" w:color="auto"/>
            </w:tcBorders>
            <w:vAlign w:val="center"/>
            <w:hideMark/>
          </w:tcPr>
          <w:p w14:paraId="15F1EED1"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Dimensions</w:t>
            </w:r>
          </w:p>
        </w:tc>
        <w:tc>
          <w:tcPr>
            <w:tcW w:w="1114" w:type="pct"/>
            <w:tcBorders>
              <w:bottom w:val="nil"/>
            </w:tcBorders>
            <w:vAlign w:val="center"/>
          </w:tcPr>
          <w:p w14:paraId="7D639459"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Source of Variance</w:t>
            </w:r>
          </w:p>
        </w:tc>
        <w:tc>
          <w:tcPr>
            <w:tcW w:w="818" w:type="pct"/>
            <w:tcBorders>
              <w:bottom w:val="nil"/>
            </w:tcBorders>
            <w:vAlign w:val="center"/>
            <w:hideMark/>
          </w:tcPr>
          <w:p w14:paraId="703F2506"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Sum of Squares</w:t>
            </w:r>
          </w:p>
        </w:tc>
        <w:tc>
          <w:tcPr>
            <w:tcW w:w="297" w:type="pct"/>
            <w:tcBorders>
              <w:bottom w:val="nil"/>
            </w:tcBorders>
            <w:vAlign w:val="center"/>
            <w:hideMark/>
          </w:tcPr>
          <w:p w14:paraId="417C3969"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df</w:t>
            </w:r>
          </w:p>
        </w:tc>
        <w:tc>
          <w:tcPr>
            <w:tcW w:w="640" w:type="pct"/>
            <w:tcBorders>
              <w:bottom w:val="nil"/>
            </w:tcBorders>
            <w:vAlign w:val="center"/>
            <w:hideMark/>
          </w:tcPr>
          <w:p w14:paraId="55B35014"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Mean Square</w:t>
            </w:r>
          </w:p>
        </w:tc>
        <w:tc>
          <w:tcPr>
            <w:tcW w:w="402" w:type="pct"/>
            <w:tcBorders>
              <w:bottom w:val="nil"/>
            </w:tcBorders>
            <w:vAlign w:val="center"/>
            <w:hideMark/>
          </w:tcPr>
          <w:p w14:paraId="5B13EE6C"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F</w:t>
            </w:r>
          </w:p>
        </w:tc>
      </w:tr>
      <w:tr w:rsidR="003139CE" w:rsidRPr="00816C29" w14:paraId="19FE8289" w14:textId="77777777" w:rsidTr="00E1262E">
        <w:trPr>
          <w:trHeight w:val="291"/>
        </w:trPr>
        <w:tc>
          <w:tcPr>
            <w:tcW w:w="1728" w:type="pct"/>
            <w:vMerge w:val="restart"/>
            <w:vAlign w:val="center"/>
          </w:tcPr>
          <w:p w14:paraId="133BE050"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Pr>
                <w:rFonts w:ascii="Times New Roman" w:eastAsia="Times New Roman" w:hAnsi="Times New Roman" w:cs="Times New Roman"/>
                <w:color w:val="000000"/>
                <w:spacing w:val="-2"/>
                <w:kern w:val="0"/>
                <w:lang w:eastAsia="en-IN"/>
              </w:rPr>
              <w:t xml:space="preserve">Overall </w:t>
            </w:r>
          </w:p>
        </w:tc>
        <w:tc>
          <w:tcPr>
            <w:tcW w:w="1114" w:type="pct"/>
            <w:tcBorders>
              <w:top w:val="nil"/>
              <w:bottom w:val="nil"/>
            </w:tcBorders>
          </w:tcPr>
          <w:p w14:paraId="7B191F85"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Between groups</w:t>
            </w:r>
          </w:p>
        </w:tc>
        <w:tc>
          <w:tcPr>
            <w:tcW w:w="818" w:type="pct"/>
            <w:tcBorders>
              <w:top w:val="nil"/>
              <w:bottom w:val="nil"/>
            </w:tcBorders>
            <w:vAlign w:val="center"/>
          </w:tcPr>
          <w:p w14:paraId="0DDB35F1"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Pr>
                <w:rFonts w:ascii="Times New Roman" w:eastAsia="Times New Roman" w:hAnsi="Times New Roman" w:cs="Times New Roman"/>
                <w:color w:val="000000"/>
                <w:spacing w:val="-2"/>
                <w:kern w:val="0"/>
                <w:lang w:eastAsia="en-IN"/>
              </w:rPr>
              <w:t>252.721</w:t>
            </w:r>
          </w:p>
        </w:tc>
        <w:tc>
          <w:tcPr>
            <w:tcW w:w="297" w:type="pct"/>
            <w:tcBorders>
              <w:top w:val="nil"/>
              <w:bottom w:val="nil"/>
            </w:tcBorders>
            <w:vAlign w:val="center"/>
          </w:tcPr>
          <w:p w14:paraId="2DB12582"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Pr>
                <w:rFonts w:ascii="Times New Roman" w:eastAsia="Times New Roman" w:hAnsi="Times New Roman" w:cs="Times New Roman"/>
                <w:color w:val="000000"/>
                <w:spacing w:val="-2"/>
                <w:kern w:val="0"/>
                <w:lang w:eastAsia="en-IN"/>
              </w:rPr>
              <w:t>2</w:t>
            </w:r>
          </w:p>
        </w:tc>
        <w:tc>
          <w:tcPr>
            <w:tcW w:w="640" w:type="pct"/>
            <w:tcBorders>
              <w:top w:val="nil"/>
              <w:bottom w:val="nil"/>
            </w:tcBorders>
          </w:tcPr>
          <w:p w14:paraId="7FF8C696"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9016D5">
              <w:t xml:space="preserve">126.360 </w:t>
            </w:r>
          </w:p>
        </w:tc>
        <w:tc>
          <w:tcPr>
            <w:tcW w:w="402" w:type="pct"/>
            <w:vMerge w:val="restart"/>
            <w:tcBorders>
              <w:top w:val="nil"/>
            </w:tcBorders>
          </w:tcPr>
          <w:p w14:paraId="05E76AF2"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9016D5">
              <w:t xml:space="preserve"> .415</w:t>
            </w:r>
          </w:p>
        </w:tc>
      </w:tr>
      <w:tr w:rsidR="003139CE" w:rsidRPr="00816C29" w14:paraId="6D04D11E" w14:textId="77777777" w:rsidTr="00E1262E">
        <w:trPr>
          <w:trHeight w:val="291"/>
        </w:trPr>
        <w:tc>
          <w:tcPr>
            <w:tcW w:w="1728" w:type="pct"/>
            <w:vMerge/>
            <w:vAlign w:val="center"/>
          </w:tcPr>
          <w:p w14:paraId="53E27339" w14:textId="77777777" w:rsidR="003139CE"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p>
        </w:tc>
        <w:tc>
          <w:tcPr>
            <w:tcW w:w="1114" w:type="pct"/>
            <w:tcBorders>
              <w:top w:val="nil"/>
              <w:bottom w:val="single" w:sz="4" w:space="0" w:color="auto"/>
            </w:tcBorders>
          </w:tcPr>
          <w:p w14:paraId="316B270D"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Within groups</w:t>
            </w:r>
          </w:p>
        </w:tc>
        <w:tc>
          <w:tcPr>
            <w:tcW w:w="818" w:type="pct"/>
            <w:tcBorders>
              <w:top w:val="nil"/>
              <w:bottom w:val="single" w:sz="4" w:space="0" w:color="auto"/>
            </w:tcBorders>
          </w:tcPr>
          <w:p w14:paraId="76C5F34A"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A612BC">
              <w:t>242457.</w:t>
            </w:r>
            <w:r>
              <w:t>20</w:t>
            </w:r>
            <w:r w:rsidRPr="00A612BC">
              <w:t xml:space="preserve"> </w:t>
            </w:r>
          </w:p>
        </w:tc>
        <w:tc>
          <w:tcPr>
            <w:tcW w:w="297" w:type="pct"/>
            <w:tcBorders>
              <w:top w:val="nil"/>
              <w:bottom w:val="single" w:sz="4" w:space="0" w:color="auto"/>
            </w:tcBorders>
          </w:tcPr>
          <w:p w14:paraId="2313485C"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Pr>
                <w:rFonts w:ascii="Times New Roman" w:eastAsia="Times New Roman" w:hAnsi="Times New Roman" w:cs="Times New Roman"/>
                <w:color w:val="000000"/>
                <w:spacing w:val="-2"/>
                <w:kern w:val="0"/>
                <w:lang w:eastAsia="en-IN"/>
              </w:rPr>
              <w:t>797</w:t>
            </w:r>
          </w:p>
        </w:tc>
        <w:tc>
          <w:tcPr>
            <w:tcW w:w="640" w:type="pct"/>
            <w:tcBorders>
              <w:top w:val="nil"/>
              <w:bottom w:val="single" w:sz="4" w:space="0" w:color="auto"/>
            </w:tcBorders>
          </w:tcPr>
          <w:p w14:paraId="35CBA93F"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A612BC">
              <w:t>304.212</w:t>
            </w:r>
          </w:p>
        </w:tc>
        <w:tc>
          <w:tcPr>
            <w:tcW w:w="402" w:type="pct"/>
            <w:vMerge/>
            <w:vAlign w:val="center"/>
          </w:tcPr>
          <w:p w14:paraId="612895B9"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p>
        </w:tc>
      </w:tr>
      <w:tr w:rsidR="003139CE" w:rsidRPr="00816C29" w14:paraId="0C1219BD" w14:textId="77777777" w:rsidTr="00E1262E">
        <w:trPr>
          <w:trHeight w:val="291"/>
        </w:trPr>
        <w:tc>
          <w:tcPr>
            <w:tcW w:w="1728" w:type="pct"/>
            <w:vMerge/>
            <w:tcBorders>
              <w:bottom w:val="single" w:sz="4" w:space="0" w:color="auto"/>
            </w:tcBorders>
            <w:vAlign w:val="center"/>
          </w:tcPr>
          <w:p w14:paraId="6CD74FDA" w14:textId="77777777" w:rsidR="003139CE"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p>
        </w:tc>
        <w:tc>
          <w:tcPr>
            <w:tcW w:w="1114" w:type="pct"/>
            <w:tcBorders>
              <w:top w:val="single" w:sz="4" w:space="0" w:color="auto"/>
              <w:bottom w:val="single" w:sz="4" w:space="0" w:color="auto"/>
            </w:tcBorders>
          </w:tcPr>
          <w:p w14:paraId="1B1F4407"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Total</w:t>
            </w:r>
          </w:p>
        </w:tc>
        <w:tc>
          <w:tcPr>
            <w:tcW w:w="818" w:type="pct"/>
            <w:tcBorders>
              <w:top w:val="single" w:sz="4" w:space="0" w:color="auto"/>
              <w:bottom w:val="single" w:sz="4" w:space="0" w:color="auto"/>
            </w:tcBorders>
            <w:vAlign w:val="center"/>
          </w:tcPr>
          <w:p w14:paraId="19816E54"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B35F91">
              <w:rPr>
                <w:rFonts w:ascii="Times New Roman" w:eastAsia="Times New Roman" w:hAnsi="Times New Roman" w:cs="Times New Roman"/>
                <w:color w:val="000000"/>
                <w:spacing w:val="-2"/>
                <w:kern w:val="0"/>
                <w:lang w:eastAsia="en-IN"/>
              </w:rPr>
              <w:t>242709.920</w:t>
            </w:r>
          </w:p>
        </w:tc>
        <w:tc>
          <w:tcPr>
            <w:tcW w:w="297" w:type="pct"/>
            <w:tcBorders>
              <w:top w:val="single" w:sz="4" w:space="0" w:color="auto"/>
              <w:bottom w:val="single" w:sz="4" w:space="0" w:color="auto"/>
            </w:tcBorders>
            <w:vAlign w:val="center"/>
          </w:tcPr>
          <w:p w14:paraId="15723F52"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Pr>
                <w:rFonts w:ascii="Times New Roman" w:eastAsia="Times New Roman" w:hAnsi="Times New Roman" w:cs="Times New Roman"/>
                <w:color w:val="000000"/>
                <w:spacing w:val="-2"/>
                <w:kern w:val="0"/>
                <w:lang w:eastAsia="en-IN"/>
              </w:rPr>
              <w:t>799</w:t>
            </w:r>
          </w:p>
        </w:tc>
        <w:tc>
          <w:tcPr>
            <w:tcW w:w="640" w:type="pct"/>
            <w:tcBorders>
              <w:top w:val="single" w:sz="4" w:space="0" w:color="auto"/>
              <w:bottom w:val="single" w:sz="4" w:space="0" w:color="auto"/>
            </w:tcBorders>
            <w:vAlign w:val="center"/>
          </w:tcPr>
          <w:p w14:paraId="5AF3E61C"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p>
        </w:tc>
        <w:tc>
          <w:tcPr>
            <w:tcW w:w="402" w:type="pct"/>
            <w:vMerge/>
            <w:tcBorders>
              <w:bottom w:val="single" w:sz="4" w:space="0" w:color="auto"/>
            </w:tcBorders>
            <w:vAlign w:val="center"/>
          </w:tcPr>
          <w:p w14:paraId="59CF9849"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p>
        </w:tc>
      </w:tr>
      <w:tr w:rsidR="003139CE" w:rsidRPr="00816C29" w14:paraId="3985ED01" w14:textId="77777777" w:rsidTr="00E1262E">
        <w:trPr>
          <w:trHeight w:val="291"/>
        </w:trPr>
        <w:tc>
          <w:tcPr>
            <w:tcW w:w="1728" w:type="pct"/>
            <w:vMerge w:val="restart"/>
            <w:hideMark/>
          </w:tcPr>
          <w:p w14:paraId="2D722CBF" w14:textId="77777777" w:rsidR="003139CE" w:rsidRPr="00816C29" w:rsidRDefault="003139CE" w:rsidP="003139CE">
            <w:pPr>
              <w:numPr>
                <w:ilvl w:val="0"/>
                <w:numId w:val="1"/>
              </w:numPr>
              <w:tabs>
                <w:tab w:val="left" w:pos="231"/>
              </w:tabs>
              <w:spacing w:before="80" w:after="80" w:line="240" w:lineRule="auto"/>
              <w:ind w:right="-43"/>
              <w:rPr>
                <w:rFonts w:ascii="Times New Roman" w:eastAsia="Times New Roman" w:hAnsi="Times New Roman" w:cs="Times New Roman"/>
                <w:color w:val="000000"/>
                <w:spacing w:val="-2"/>
                <w:kern w:val="0"/>
                <w:lang w:eastAsia="en-IN"/>
              </w:rPr>
            </w:pPr>
            <w:r>
              <w:rPr>
                <w:rFonts w:ascii="Times New Roman" w:eastAsia="Times New Roman" w:hAnsi="Times New Roman" w:cs="Times New Roman"/>
                <w:color w:val="000000"/>
                <w:spacing w:val="-2"/>
                <w:kern w:val="0"/>
                <w:lang w:eastAsia="en-IN"/>
              </w:rPr>
              <w:t xml:space="preserve">Understanding of </w:t>
            </w:r>
            <w:r w:rsidRPr="00816C29">
              <w:rPr>
                <w:rFonts w:ascii="Times New Roman" w:eastAsia="Times New Roman" w:hAnsi="Times New Roman" w:cs="Times New Roman"/>
                <w:color w:val="000000"/>
                <w:spacing w:val="-2"/>
                <w:kern w:val="0"/>
                <w:lang w:eastAsia="en-IN"/>
              </w:rPr>
              <w:t xml:space="preserve">NEP/ITEP </w:t>
            </w:r>
          </w:p>
        </w:tc>
        <w:tc>
          <w:tcPr>
            <w:tcW w:w="1114" w:type="pct"/>
            <w:tcBorders>
              <w:bottom w:val="nil"/>
            </w:tcBorders>
          </w:tcPr>
          <w:p w14:paraId="102B6100" w14:textId="77777777" w:rsidR="003139CE" w:rsidRPr="00816C29" w:rsidRDefault="003139CE" w:rsidP="00E1262E">
            <w:pPr>
              <w:spacing w:before="80" w:after="80" w:line="240" w:lineRule="auto"/>
              <w:ind w:left="-29" w:right="-43"/>
              <w:jc w:val="both"/>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Between groups</w:t>
            </w:r>
          </w:p>
        </w:tc>
        <w:tc>
          <w:tcPr>
            <w:tcW w:w="818" w:type="pct"/>
            <w:tcBorders>
              <w:bottom w:val="nil"/>
            </w:tcBorders>
            <w:vAlign w:val="center"/>
            <w:hideMark/>
          </w:tcPr>
          <w:p w14:paraId="6B34E6A8" w14:textId="77777777" w:rsidR="003139CE" w:rsidRPr="00816C29" w:rsidRDefault="003139CE" w:rsidP="00E1262E">
            <w:pPr>
              <w:spacing w:before="80" w:after="80" w:line="240" w:lineRule="auto"/>
              <w:ind w:left="-29" w:right="-43"/>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68.872</w:t>
            </w:r>
          </w:p>
        </w:tc>
        <w:tc>
          <w:tcPr>
            <w:tcW w:w="297" w:type="pct"/>
            <w:tcBorders>
              <w:bottom w:val="nil"/>
            </w:tcBorders>
            <w:vAlign w:val="center"/>
            <w:hideMark/>
          </w:tcPr>
          <w:p w14:paraId="6781BAEF"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2</w:t>
            </w:r>
          </w:p>
        </w:tc>
        <w:tc>
          <w:tcPr>
            <w:tcW w:w="640" w:type="pct"/>
            <w:tcBorders>
              <w:bottom w:val="nil"/>
            </w:tcBorders>
            <w:vAlign w:val="center"/>
            <w:hideMark/>
          </w:tcPr>
          <w:p w14:paraId="76ED3F0F"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34.436</w:t>
            </w:r>
          </w:p>
        </w:tc>
        <w:tc>
          <w:tcPr>
            <w:tcW w:w="402" w:type="pct"/>
            <w:tcBorders>
              <w:bottom w:val="nil"/>
            </w:tcBorders>
            <w:vAlign w:val="center"/>
            <w:hideMark/>
          </w:tcPr>
          <w:p w14:paraId="0699134C"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0.443</w:t>
            </w:r>
          </w:p>
        </w:tc>
      </w:tr>
      <w:tr w:rsidR="003139CE" w:rsidRPr="00816C29" w14:paraId="22668C7D" w14:textId="77777777" w:rsidTr="00E1262E">
        <w:trPr>
          <w:trHeight w:val="291"/>
        </w:trPr>
        <w:tc>
          <w:tcPr>
            <w:tcW w:w="1728" w:type="pct"/>
            <w:vMerge/>
          </w:tcPr>
          <w:p w14:paraId="61E20126" w14:textId="77777777" w:rsidR="003139CE" w:rsidRPr="00816C29" w:rsidRDefault="003139CE" w:rsidP="00E1262E">
            <w:pPr>
              <w:tabs>
                <w:tab w:val="left" w:pos="231"/>
              </w:tabs>
              <w:spacing w:before="80" w:after="80" w:line="240" w:lineRule="auto"/>
              <w:ind w:left="231" w:right="-43" w:hanging="231"/>
              <w:rPr>
                <w:rFonts w:ascii="Times New Roman" w:eastAsia="Times New Roman" w:hAnsi="Times New Roman" w:cs="Times New Roman"/>
                <w:color w:val="000000"/>
                <w:spacing w:val="-2"/>
                <w:kern w:val="0"/>
                <w:lang w:eastAsia="en-IN"/>
              </w:rPr>
            </w:pPr>
          </w:p>
        </w:tc>
        <w:tc>
          <w:tcPr>
            <w:tcW w:w="1114" w:type="pct"/>
            <w:tcBorders>
              <w:top w:val="nil"/>
            </w:tcBorders>
          </w:tcPr>
          <w:p w14:paraId="3652FB14" w14:textId="77777777" w:rsidR="003139CE" w:rsidRPr="00816C29" w:rsidRDefault="003139CE" w:rsidP="00E1262E">
            <w:pPr>
              <w:spacing w:before="80" w:after="80" w:line="240" w:lineRule="auto"/>
              <w:ind w:left="-29" w:right="-43"/>
              <w:jc w:val="both"/>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Within groups</w:t>
            </w:r>
          </w:p>
        </w:tc>
        <w:tc>
          <w:tcPr>
            <w:tcW w:w="818" w:type="pct"/>
            <w:tcBorders>
              <w:top w:val="nil"/>
            </w:tcBorders>
            <w:vAlign w:val="center"/>
            <w:hideMark/>
          </w:tcPr>
          <w:p w14:paraId="2876F3CD" w14:textId="77777777" w:rsidR="003139CE" w:rsidRPr="00816C29" w:rsidRDefault="003139CE" w:rsidP="00E1262E">
            <w:pPr>
              <w:spacing w:before="80" w:after="80" w:line="240" w:lineRule="auto"/>
              <w:ind w:left="-29" w:right="-43"/>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61916.917</w:t>
            </w:r>
          </w:p>
        </w:tc>
        <w:tc>
          <w:tcPr>
            <w:tcW w:w="297" w:type="pct"/>
            <w:tcBorders>
              <w:top w:val="nil"/>
            </w:tcBorders>
            <w:vAlign w:val="center"/>
            <w:hideMark/>
          </w:tcPr>
          <w:p w14:paraId="7673C886"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797</w:t>
            </w:r>
          </w:p>
        </w:tc>
        <w:tc>
          <w:tcPr>
            <w:tcW w:w="640" w:type="pct"/>
            <w:tcBorders>
              <w:top w:val="nil"/>
            </w:tcBorders>
            <w:vAlign w:val="center"/>
          </w:tcPr>
          <w:p w14:paraId="52E0C0B4"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77.687</w:t>
            </w:r>
          </w:p>
        </w:tc>
        <w:tc>
          <w:tcPr>
            <w:tcW w:w="402" w:type="pct"/>
            <w:tcBorders>
              <w:top w:val="nil"/>
            </w:tcBorders>
            <w:vAlign w:val="center"/>
          </w:tcPr>
          <w:p w14:paraId="134D9555"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p>
        </w:tc>
      </w:tr>
      <w:tr w:rsidR="003139CE" w:rsidRPr="00816C29" w14:paraId="04BA46DF" w14:textId="77777777" w:rsidTr="00E1262E">
        <w:trPr>
          <w:trHeight w:val="291"/>
        </w:trPr>
        <w:tc>
          <w:tcPr>
            <w:tcW w:w="1728" w:type="pct"/>
            <w:vMerge/>
            <w:tcBorders>
              <w:bottom w:val="single" w:sz="4" w:space="0" w:color="auto"/>
            </w:tcBorders>
          </w:tcPr>
          <w:p w14:paraId="53284A23" w14:textId="77777777" w:rsidR="003139CE" w:rsidRPr="00816C29" w:rsidRDefault="003139CE" w:rsidP="00E1262E">
            <w:pPr>
              <w:tabs>
                <w:tab w:val="left" w:pos="231"/>
              </w:tabs>
              <w:spacing w:before="80" w:after="80" w:line="240" w:lineRule="auto"/>
              <w:ind w:left="231" w:right="-43" w:hanging="231"/>
              <w:rPr>
                <w:rFonts w:ascii="Times New Roman" w:eastAsia="Times New Roman" w:hAnsi="Times New Roman" w:cs="Times New Roman"/>
                <w:color w:val="000000"/>
                <w:spacing w:val="-2"/>
                <w:kern w:val="0"/>
                <w:lang w:eastAsia="en-IN"/>
              </w:rPr>
            </w:pPr>
          </w:p>
        </w:tc>
        <w:tc>
          <w:tcPr>
            <w:tcW w:w="1114" w:type="pct"/>
            <w:tcBorders>
              <w:bottom w:val="single" w:sz="4" w:space="0" w:color="auto"/>
            </w:tcBorders>
            <w:hideMark/>
          </w:tcPr>
          <w:p w14:paraId="4BB0F96E" w14:textId="77777777" w:rsidR="003139CE" w:rsidRPr="00816C29" w:rsidRDefault="003139CE" w:rsidP="00E1262E">
            <w:pPr>
              <w:spacing w:before="80" w:after="80" w:line="240" w:lineRule="auto"/>
              <w:ind w:left="-29" w:right="-43"/>
              <w:jc w:val="both"/>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Total</w:t>
            </w:r>
          </w:p>
        </w:tc>
        <w:tc>
          <w:tcPr>
            <w:tcW w:w="818" w:type="pct"/>
            <w:tcBorders>
              <w:bottom w:val="single" w:sz="4" w:space="0" w:color="auto"/>
            </w:tcBorders>
            <w:vAlign w:val="center"/>
            <w:hideMark/>
          </w:tcPr>
          <w:p w14:paraId="5F5DCD32" w14:textId="77777777" w:rsidR="003139CE" w:rsidRPr="00816C29" w:rsidRDefault="003139CE" w:rsidP="00E1262E">
            <w:pPr>
              <w:spacing w:before="80" w:after="80" w:line="240" w:lineRule="auto"/>
              <w:ind w:left="-29" w:right="-43"/>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61985.789</w:t>
            </w:r>
          </w:p>
        </w:tc>
        <w:tc>
          <w:tcPr>
            <w:tcW w:w="297" w:type="pct"/>
            <w:tcBorders>
              <w:bottom w:val="single" w:sz="4" w:space="0" w:color="auto"/>
            </w:tcBorders>
            <w:vAlign w:val="center"/>
            <w:hideMark/>
          </w:tcPr>
          <w:p w14:paraId="2C95E802"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799</w:t>
            </w:r>
          </w:p>
        </w:tc>
        <w:tc>
          <w:tcPr>
            <w:tcW w:w="640" w:type="pct"/>
            <w:tcBorders>
              <w:bottom w:val="single" w:sz="4" w:space="0" w:color="auto"/>
            </w:tcBorders>
            <w:vAlign w:val="center"/>
          </w:tcPr>
          <w:p w14:paraId="0DF25D56"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p>
        </w:tc>
        <w:tc>
          <w:tcPr>
            <w:tcW w:w="402" w:type="pct"/>
            <w:tcBorders>
              <w:bottom w:val="single" w:sz="4" w:space="0" w:color="auto"/>
            </w:tcBorders>
            <w:vAlign w:val="center"/>
          </w:tcPr>
          <w:p w14:paraId="25F36018"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p>
        </w:tc>
      </w:tr>
      <w:tr w:rsidR="003139CE" w:rsidRPr="00816C29" w14:paraId="34496B5F" w14:textId="77777777" w:rsidTr="00E1262E">
        <w:trPr>
          <w:trHeight w:val="291"/>
        </w:trPr>
        <w:tc>
          <w:tcPr>
            <w:tcW w:w="1728" w:type="pct"/>
            <w:vMerge w:val="restart"/>
            <w:hideMark/>
          </w:tcPr>
          <w:p w14:paraId="793D9DCB" w14:textId="77777777" w:rsidR="003139CE" w:rsidRPr="00816C29" w:rsidRDefault="003139CE" w:rsidP="00E1262E">
            <w:pPr>
              <w:tabs>
                <w:tab w:val="left" w:pos="231"/>
              </w:tabs>
              <w:spacing w:before="80" w:after="80" w:line="240" w:lineRule="auto"/>
              <w:ind w:left="231" w:right="-43" w:hanging="231"/>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2-</w:t>
            </w:r>
            <w:r w:rsidRPr="00816C29">
              <w:rPr>
                <w:rFonts w:ascii="Times New Roman" w:eastAsia="Times New Roman" w:hAnsi="Times New Roman" w:cs="Times New Roman"/>
                <w:color w:val="000000"/>
                <w:spacing w:val="-2"/>
                <w:kern w:val="0"/>
                <w:lang w:eastAsia="en-IN"/>
              </w:rPr>
              <w:tab/>
              <w:t>Faculty Readiness</w:t>
            </w:r>
          </w:p>
        </w:tc>
        <w:tc>
          <w:tcPr>
            <w:tcW w:w="1114" w:type="pct"/>
            <w:tcBorders>
              <w:bottom w:val="nil"/>
            </w:tcBorders>
            <w:hideMark/>
          </w:tcPr>
          <w:p w14:paraId="4BDB6B35" w14:textId="77777777" w:rsidR="003139CE" w:rsidRPr="00816C29" w:rsidRDefault="003139CE" w:rsidP="00E1262E">
            <w:pPr>
              <w:spacing w:before="80" w:after="80" w:line="240" w:lineRule="auto"/>
              <w:ind w:left="-29" w:right="-43"/>
              <w:jc w:val="both"/>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Between groups</w:t>
            </w:r>
          </w:p>
        </w:tc>
        <w:tc>
          <w:tcPr>
            <w:tcW w:w="818" w:type="pct"/>
            <w:tcBorders>
              <w:bottom w:val="nil"/>
            </w:tcBorders>
            <w:vAlign w:val="center"/>
            <w:hideMark/>
          </w:tcPr>
          <w:p w14:paraId="3BACB0D6" w14:textId="77777777" w:rsidR="003139CE" w:rsidRPr="00816C29" w:rsidRDefault="003139CE" w:rsidP="00E1262E">
            <w:pPr>
              <w:spacing w:before="80" w:after="80" w:line="240" w:lineRule="auto"/>
              <w:ind w:left="-29" w:right="-43"/>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3.997</w:t>
            </w:r>
          </w:p>
        </w:tc>
        <w:tc>
          <w:tcPr>
            <w:tcW w:w="297" w:type="pct"/>
            <w:tcBorders>
              <w:bottom w:val="nil"/>
            </w:tcBorders>
            <w:vAlign w:val="center"/>
            <w:hideMark/>
          </w:tcPr>
          <w:p w14:paraId="6B08E0C0"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2</w:t>
            </w:r>
          </w:p>
        </w:tc>
        <w:tc>
          <w:tcPr>
            <w:tcW w:w="640" w:type="pct"/>
            <w:tcBorders>
              <w:bottom w:val="nil"/>
            </w:tcBorders>
            <w:vAlign w:val="center"/>
            <w:hideMark/>
          </w:tcPr>
          <w:p w14:paraId="4EA30BE0"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34.074</w:t>
            </w:r>
          </w:p>
        </w:tc>
        <w:tc>
          <w:tcPr>
            <w:tcW w:w="402" w:type="pct"/>
            <w:tcBorders>
              <w:bottom w:val="nil"/>
            </w:tcBorders>
            <w:vAlign w:val="center"/>
            <w:hideMark/>
          </w:tcPr>
          <w:p w14:paraId="600B8064"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2.838</w:t>
            </w:r>
          </w:p>
        </w:tc>
      </w:tr>
      <w:tr w:rsidR="003139CE" w:rsidRPr="00816C29" w14:paraId="385FAD2C" w14:textId="77777777" w:rsidTr="00E1262E">
        <w:trPr>
          <w:trHeight w:val="291"/>
        </w:trPr>
        <w:tc>
          <w:tcPr>
            <w:tcW w:w="1728" w:type="pct"/>
            <w:vMerge/>
          </w:tcPr>
          <w:p w14:paraId="7FA8FCB1" w14:textId="77777777" w:rsidR="003139CE" w:rsidRPr="00816C29" w:rsidRDefault="003139CE" w:rsidP="00E1262E">
            <w:pPr>
              <w:tabs>
                <w:tab w:val="left" w:pos="231"/>
              </w:tabs>
              <w:spacing w:before="80" w:after="80" w:line="240" w:lineRule="auto"/>
              <w:ind w:left="231" w:right="-43" w:hanging="231"/>
              <w:rPr>
                <w:rFonts w:ascii="Times New Roman" w:eastAsia="Times New Roman" w:hAnsi="Times New Roman" w:cs="Times New Roman"/>
                <w:color w:val="000000"/>
                <w:spacing w:val="-2"/>
                <w:kern w:val="0"/>
                <w:lang w:eastAsia="en-IN"/>
              </w:rPr>
            </w:pPr>
          </w:p>
        </w:tc>
        <w:tc>
          <w:tcPr>
            <w:tcW w:w="1114" w:type="pct"/>
            <w:tcBorders>
              <w:top w:val="nil"/>
            </w:tcBorders>
            <w:hideMark/>
          </w:tcPr>
          <w:p w14:paraId="10F302B2" w14:textId="77777777" w:rsidR="003139CE" w:rsidRPr="00816C29" w:rsidRDefault="003139CE" w:rsidP="00E1262E">
            <w:pPr>
              <w:spacing w:before="80" w:after="80" w:line="240" w:lineRule="auto"/>
              <w:ind w:left="-29" w:right="-43"/>
              <w:jc w:val="both"/>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Within groups</w:t>
            </w:r>
          </w:p>
        </w:tc>
        <w:tc>
          <w:tcPr>
            <w:tcW w:w="818" w:type="pct"/>
            <w:tcBorders>
              <w:top w:val="nil"/>
            </w:tcBorders>
            <w:vAlign w:val="center"/>
            <w:hideMark/>
          </w:tcPr>
          <w:p w14:paraId="55BB2BD2" w14:textId="77777777" w:rsidR="003139CE" w:rsidRPr="00816C29" w:rsidRDefault="003139CE" w:rsidP="00E1262E">
            <w:pPr>
              <w:spacing w:before="80" w:after="80" w:line="240" w:lineRule="auto"/>
              <w:ind w:left="-29" w:right="-43"/>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4.123</w:t>
            </w:r>
          </w:p>
        </w:tc>
        <w:tc>
          <w:tcPr>
            <w:tcW w:w="297" w:type="pct"/>
            <w:tcBorders>
              <w:top w:val="nil"/>
            </w:tcBorders>
            <w:vAlign w:val="center"/>
            <w:hideMark/>
          </w:tcPr>
          <w:p w14:paraId="088D0A3C"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797</w:t>
            </w:r>
          </w:p>
        </w:tc>
        <w:tc>
          <w:tcPr>
            <w:tcW w:w="640" w:type="pct"/>
            <w:tcBorders>
              <w:top w:val="nil"/>
            </w:tcBorders>
            <w:vAlign w:val="center"/>
          </w:tcPr>
          <w:p w14:paraId="25CE4556"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12.007</w:t>
            </w:r>
          </w:p>
        </w:tc>
        <w:tc>
          <w:tcPr>
            <w:tcW w:w="402" w:type="pct"/>
            <w:tcBorders>
              <w:top w:val="nil"/>
            </w:tcBorders>
            <w:vAlign w:val="center"/>
          </w:tcPr>
          <w:p w14:paraId="7546CE27"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p>
        </w:tc>
      </w:tr>
      <w:tr w:rsidR="003139CE" w:rsidRPr="00816C29" w14:paraId="3132BDBC" w14:textId="77777777" w:rsidTr="00E1262E">
        <w:trPr>
          <w:trHeight w:val="291"/>
        </w:trPr>
        <w:tc>
          <w:tcPr>
            <w:tcW w:w="1728" w:type="pct"/>
            <w:vMerge/>
          </w:tcPr>
          <w:p w14:paraId="49834654" w14:textId="77777777" w:rsidR="003139CE" w:rsidRPr="00816C29" w:rsidRDefault="003139CE" w:rsidP="00E1262E">
            <w:pPr>
              <w:tabs>
                <w:tab w:val="left" w:pos="231"/>
              </w:tabs>
              <w:spacing w:before="80" w:after="80" w:line="240" w:lineRule="auto"/>
              <w:ind w:left="231" w:right="-43" w:hanging="231"/>
              <w:rPr>
                <w:rFonts w:ascii="Times New Roman" w:eastAsia="Times New Roman" w:hAnsi="Times New Roman" w:cs="Times New Roman"/>
                <w:color w:val="000000"/>
                <w:spacing w:val="-2"/>
                <w:kern w:val="0"/>
                <w:lang w:eastAsia="en-IN"/>
              </w:rPr>
            </w:pPr>
          </w:p>
        </w:tc>
        <w:tc>
          <w:tcPr>
            <w:tcW w:w="1114" w:type="pct"/>
            <w:tcBorders>
              <w:bottom w:val="single" w:sz="4" w:space="0" w:color="auto"/>
            </w:tcBorders>
            <w:hideMark/>
          </w:tcPr>
          <w:p w14:paraId="4C2DDA15" w14:textId="77777777" w:rsidR="003139CE" w:rsidRPr="00816C29" w:rsidRDefault="003139CE" w:rsidP="00E1262E">
            <w:pPr>
              <w:spacing w:before="80" w:after="80" w:line="240" w:lineRule="auto"/>
              <w:ind w:left="-29" w:right="-43"/>
              <w:jc w:val="both"/>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Total</w:t>
            </w:r>
          </w:p>
        </w:tc>
        <w:tc>
          <w:tcPr>
            <w:tcW w:w="818" w:type="pct"/>
            <w:tcBorders>
              <w:bottom w:val="single" w:sz="4" w:space="0" w:color="auto"/>
            </w:tcBorders>
            <w:vAlign w:val="center"/>
            <w:hideMark/>
          </w:tcPr>
          <w:p w14:paraId="1614421B" w14:textId="77777777" w:rsidR="003139CE" w:rsidRPr="00816C29" w:rsidRDefault="003139CE" w:rsidP="00E1262E">
            <w:pPr>
              <w:spacing w:before="80" w:after="80" w:line="240" w:lineRule="auto"/>
              <w:ind w:left="-29" w:right="-43"/>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4.152</w:t>
            </w:r>
          </w:p>
        </w:tc>
        <w:tc>
          <w:tcPr>
            <w:tcW w:w="297" w:type="pct"/>
            <w:tcBorders>
              <w:bottom w:val="single" w:sz="4" w:space="0" w:color="auto"/>
            </w:tcBorders>
            <w:vAlign w:val="center"/>
            <w:hideMark/>
          </w:tcPr>
          <w:p w14:paraId="2238BD8F"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799</w:t>
            </w:r>
          </w:p>
        </w:tc>
        <w:tc>
          <w:tcPr>
            <w:tcW w:w="640" w:type="pct"/>
            <w:tcBorders>
              <w:bottom w:val="single" w:sz="4" w:space="0" w:color="auto"/>
            </w:tcBorders>
            <w:vAlign w:val="center"/>
          </w:tcPr>
          <w:p w14:paraId="75CCCFD1"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p>
        </w:tc>
        <w:tc>
          <w:tcPr>
            <w:tcW w:w="402" w:type="pct"/>
            <w:tcBorders>
              <w:bottom w:val="single" w:sz="4" w:space="0" w:color="auto"/>
            </w:tcBorders>
            <w:vAlign w:val="center"/>
          </w:tcPr>
          <w:p w14:paraId="4D4D7FF5"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p>
        </w:tc>
      </w:tr>
      <w:tr w:rsidR="003139CE" w:rsidRPr="00816C29" w14:paraId="11BEC202" w14:textId="77777777" w:rsidTr="00E1262E">
        <w:trPr>
          <w:trHeight w:val="291"/>
        </w:trPr>
        <w:tc>
          <w:tcPr>
            <w:tcW w:w="1728" w:type="pct"/>
            <w:vMerge w:val="restart"/>
            <w:hideMark/>
          </w:tcPr>
          <w:p w14:paraId="02A5A613" w14:textId="77777777" w:rsidR="003139CE" w:rsidRPr="00816C29" w:rsidRDefault="003139CE" w:rsidP="00E1262E">
            <w:pPr>
              <w:tabs>
                <w:tab w:val="left" w:pos="231"/>
              </w:tabs>
              <w:spacing w:before="80" w:after="80" w:line="240" w:lineRule="auto"/>
              <w:ind w:left="231" w:right="-43" w:hanging="231"/>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3-</w:t>
            </w:r>
            <w:r w:rsidRPr="00816C29">
              <w:rPr>
                <w:rFonts w:ascii="Times New Roman" w:eastAsia="Times New Roman" w:hAnsi="Times New Roman" w:cs="Times New Roman"/>
                <w:color w:val="000000"/>
                <w:spacing w:val="-2"/>
                <w:kern w:val="0"/>
                <w:lang w:eastAsia="en-IN"/>
              </w:rPr>
              <w:tab/>
              <w:t>Administrative Readiness</w:t>
            </w:r>
          </w:p>
        </w:tc>
        <w:tc>
          <w:tcPr>
            <w:tcW w:w="1114" w:type="pct"/>
            <w:tcBorders>
              <w:bottom w:val="nil"/>
            </w:tcBorders>
            <w:hideMark/>
          </w:tcPr>
          <w:p w14:paraId="27E0D309" w14:textId="77777777" w:rsidR="003139CE" w:rsidRPr="00816C29" w:rsidRDefault="003139CE" w:rsidP="00E1262E">
            <w:pPr>
              <w:spacing w:before="80" w:after="80" w:line="240" w:lineRule="auto"/>
              <w:ind w:left="-29" w:right="-43"/>
              <w:jc w:val="both"/>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Between groups</w:t>
            </w:r>
          </w:p>
        </w:tc>
        <w:tc>
          <w:tcPr>
            <w:tcW w:w="818" w:type="pct"/>
            <w:tcBorders>
              <w:bottom w:val="nil"/>
            </w:tcBorders>
            <w:vAlign w:val="center"/>
            <w:hideMark/>
          </w:tcPr>
          <w:p w14:paraId="770CD995" w14:textId="77777777" w:rsidR="003139CE" w:rsidRPr="00816C29" w:rsidRDefault="003139CE" w:rsidP="00E1262E">
            <w:pPr>
              <w:spacing w:before="80" w:after="80" w:line="240" w:lineRule="auto"/>
              <w:ind w:left="-29" w:right="-43"/>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3.737</w:t>
            </w:r>
          </w:p>
        </w:tc>
        <w:tc>
          <w:tcPr>
            <w:tcW w:w="297" w:type="pct"/>
            <w:tcBorders>
              <w:bottom w:val="nil"/>
            </w:tcBorders>
            <w:vAlign w:val="center"/>
            <w:hideMark/>
          </w:tcPr>
          <w:p w14:paraId="43042DC1"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2</w:t>
            </w:r>
          </w:p>
        </w:tc>
        <w:tc>
          <w:tcPr>
            <w:tcW w:w="640" w:type="pct"/>
            <w:tcBorders>
              <w:bottom w:val="nil"/>
            </w:tcBorders>
            <w:vAlign w:val="center"/>
            <w:hideMark/>
          </w:tcPr>
          <w:p w14:paraId="125C0C13"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11.762</w:t>
            </w:r>
          </w:p>
        </w:tc>
        <w:tc>
          <w:tcPr>
            <w:tcW w:w="402" w:type="pct"/>
            <w:tcBorders>
              <w:bottom w:val="nil"/>
            </w:tcBorders>
            <w:vAlign w:val="center"/>
            <w:hideMark/>
          </w:tcPr>
          <w:p w14:paraId="7047E8E6"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1.113</w:t>
            </w:r>
          </w:p>
        </w:tc>
      </w:tr>
      <w:tr w:rsidR="003139CE" w:rsidRPr="00816C29" w14:paraId="65ADCA2A" w14:textId="77777777" w:rsidTr="00E1262E">
        <w:trPr>
          <w:trHeight w:val="291"/>
        </w:trPr>
        <w:tc>
          <w:tcPr>
            <w:tcW w:w="1728" w:type="pct"/>
            <w:vMerge/>
          </w:tcPr>
          <w:p w14:paraId="5E258358" w14:textId="77777777" w:rsidR="003139CE" w:rsidRPr="00816C29" w:rsidRDefault="003139CE" w:rsidP="00E1262E">
            <w:pPr>
              <w:tabs>
                <w:tab w:val="left" w:pos="231"/>
              </w:tabs>
              <w:spacing w:before="80" w:after="80" w:line="240" w:lineRule="auto"/>
              <w:ind w:left="231" w:right="-43" w:hanging="231"/>
              <w:rPr>
                <w:rFonts w:ascii="Times New Roman" w:eastAsia="Times New Roman" w:hAnsi="Times New Roman" w:cs="Times New Roman"/>
                <w:color w:val="000000"/>
                <w:spacing w:val="-2"/>
                <w:kern w:val="0"/>
                <w:lang w:eastAsia="en-IN"/>
              </w:rPr>
            </w:pPr>
          </w:p>
        </w:tc>
        <w:tc>
          <w:tcPr>
            <w:tcW w:w="1114" w:type="pct"/>
            <w:tcBorders>
              <w:top w:val="nil"/>
            </w:tcBorders>
            <w:hideMark/>
          </w:tcPr>
          <w:p w14:paraId="602C9EC8" w14:textId="77777777" w:rsidR="003139CE" w:rsidRPr="00816C29" w:rsidRDefault="003139CE" w:rsidP="00E1262E">
            <w:pPr>
              <w:spacing w:before="80" w:after="80" w:line="240" w:lineRule="auto"/>
              <w:ind w:left="-29" w:right="-43"/>
              <w:jc w:val="both"/>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Within groups</w:t>
            </w:r>
          </w:p>
        </w:tc>
        <w:tc>
          <w:tcPr>
            <w:tcW w:w="818" w:type="pct"/>
            <w:tcBorders>
              <w:top w:val="nil"/>
            </w:tcBorders>
            <w:vAlign w:val="center"/>
            <w:hideMark/>
          </w:tcPr>
          <w:p w14:paraId="2AD45A5D" w14:textId="77777777" w:rsidR="003139CE" w:rsidRPr="00816C29" w:rsidRDefault="003139CE" w:rsidP="00E1262E">
            <w:pPr>
              <w:spacing w:before="80" w:after="80" w:line="240" w:lineRule="auto"/>
              <w:ind w:left="-29" w:right="-43"/>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4.076</w:t>
            </w:r>
          </w:p>
        </w:tc>
        <w:tc>
          <w:tcPr>
            <w:tcW w:w="297" w:type="pct"/>
            <w:tcBorders>
              <w:top w:val="nil"/>
            </w:tcBorders>
            <w:vAlign w:val="center"/>
            <w:hideMark/>
          </w:tcPr>
          <w:p w14:paraId="2F9B775B"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797</w:t>
            </w:r>
          </w:p>
        </w:tc>
        <w:tc>
          <w:tcPr>
            <w:tcW w:w="640" w:type="pct"/>
            <w:tcBorders>
              <w:top w:val="nil"/>
            </w:tcBorders>
            <w:vAlign w:val="center"/>
          </w:tcPr>
          <w:p w14:paraId="7A3EA22A"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10.566</w:t>
            </w:r>
          </w:p>
        </w:tc>
        <w:tc>
          <w:tcPr>
            <w:tcW w:w="402" w:type="pct"/>
            <w:tcBorders>
              <w:top w:val="nil"/>
            </w:tcBorders>
            <w:vAlign w:val="center"/>
          </w:tcPr>
          <w:p w14:paraId="4FE029BB"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p>
        </w:tc>
      </w:tr>
      <w:tr w:rsidR="003139CE" w:rsidRPr="00816C29" w14:paraId="749C57F2" w14:textId="77777777" w:rsidTr="00E1262E">
        <w:trPr>
          <w:trHeight w:val="544"/>
        </w:trPr>
        <w:tc>
          <w:tcPr>
            <w:tcW w:w="1728" w:type="pct"/>
            <w:vMerge/>
          </w:tcPr>
          <w:p w14:paraId="5731A84A" w14:textId="77777777" w:rsidR="003139CE" w:rsidRPr="00816C29" w:rsidRDefault="003139CE" w:rsidP="00E1262E">
            <w:pPr>
              <w:tabs>
                <w:tab w:val="left" w:pos="231"/>
              </w:tabs>
              <w:spacing w:before="80" w:after="80" w:line="240" w:lineRule="auto"/>
              <w:ind w:left="231" w:right="-43" w:hanging="231"/>
              <w:rPr>
                <w:rFonts w:ascii="Times New Roman" w:eastAsia="Times New Roman" w:hAnsi="Times New Roman" w:cs="Times New Roman"/>
                <w:color w:val="000000"/>
                <w:spacing w:val="-2"/>
                <w:kern w:val="0"/>
                <w:lang w:eastAsia="en-IN"/>
              </w:rPr>
            </w:pPr>
          </w:p>
        </w:tc>
        <w:tc>
          <w:tcPr>
            <w:tcW w:w="1114" w:type="pct"/>
            <w:tcBorders>
              <w:bottom w:val="single" w:sz="4" w:space="0" w:color="auto"/>
            </w:tcBorders>
            <w:vAlign w:val="center"/>
            <w:hideMark/>
          </w:tcPr>
          <w:p w14:paraId="27120277" w14:textId="77777777" w:rsidR="003139CE" w:rsidRPr="00816C29" w:rsidRDefault="003139CE" w:rsidP="00E1262E">
            <w:pPr>
              <w:spacing w:before="80" w:after="80" w:line="240" w:lineRule="auto"/>
              <w:ind w:left="-29" w:right="-43"/>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Total</w:t>
            </w:r>
          </w:p>
        </w:tc>
        <w:tc>
          <w:tcPr>
            <w:tcW w:w="818" w:type="pct"/>
            <w:tcBorders>
              <w:bottom w:val="single" w:sz="4" w:space="0" w:color="auto"/>
            </w:tcBorders>
            <w:vAlign w:val="center"/>
            <w:hideMark/>
          </w:tcPr>
          <w:p w14:paraId="78F55210" w14:textId="77777777" w:rsidR="003139CE" w:rsidRPr="00816C29" w:rsidRDefault="003139CE" w:rsidP="00E1262E">
            <w:pPr>
              <w:spacing w:before="80" w:after="80" w:line="240" w:lineRule="auto"/>
              <w:ind w:left="-29" w:right="-43"/>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4.048</w:t>
            </w:r>
          </w:p>
        </w:tc>
        <w:tc>
          <w:tcPr>
            <w:tcW w:w="297" w:type="pct"/>
            <w:tcBorders>
              <w:bottom w:val="single" w:sz="4" w:space="0" w:color="auto"/>
            </w:tcBorders>
            <w:vAlign w:val="center"/>
            <w:hideMark/>
          </w:tcPr>
          <w:p w14:paraId="765A30E9"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799</w:t>
            </w:r>
          </w:p>
        </w:tc>
        <w:tc>
          <w:tcPr>
            <w:tcW w:w="640" w:type="pct"/>
            <w:tcBorders>
              <w:bottom w:val="single" w:sz="4" w:space="0" w:color="auto"/>
            </w:tcBorders>
            <w:vAlign w:val="center"/>
          </w:tcPr>
          <w:p w14:paraId="7D1359A5"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p>
        </w:tc>
        <w:tc>
          <w:tcPr>
            <w:tcW w:w="402" w:type="pct"/>
            <w:tcBorders>
              <w:bottom w:val="single" w:sz="4" w:space="0" w:color="auto"/>
            </w:tcBorders>
            <w:vAlign w:val="center"/>
          </w:tcPr>
          <w:p w14:paraId="6A630AA5"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p>
        </w:tc>
      </w:tr>
      <w:tr w:rsidR="003139CE" w:rsidRPr="00816C29" w14:paraId="5011D98F" w14:textId="77777777" w:rsidTr="00E1262E">
        <w:trPr>
          <w:trHeight w:val="291"/>
        </w:trPr>
        <w:tc>
          <w:tcPr>
            <w:tcW w:w="1728" w:type="pct"/>
            <w:vMerge w:val="restart"/>
          </w:tcPr>
          <w:p w14:paraId="2CE6D05B" w14:textId="77777777" w:rsidR="003139CE" w:rsidRPr="00816C29" w:rsidRDefault="003139CE" w:rsidP="00E1262E">
            <w:pPr>
              <w:tabs>
                <w:tab w:val="left" w:pos="231"/>
              </w:tabs>
              <w:spacing w:before="80" w:after="80" w:line="240" w:lineRule="auto"/>
              <w:ind w:left="231" w:right="-43" w:hanging="231"/>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4-</w:t>
            </w:r>
            <w:r w:rsidRPr="00816C29">
              <w:rPr>
                <w:rFonts w:ascii="Times New Roman" w:eastAsia="Times New Roman" w:hAnsi="Times New Roman" w:cs="Times New Roman"/>
                <w:color w:val="000000"/>
                <w:spacing w:val="-2"/>
                <w:kern w:val="0"/>
                <w:lang w:eastAsia="en-IN"/>
              </w:rPr>
              <w:tab/>
              <w:t>Institutional preparedness and Infrastructural readiness</w:t>
            </w:r>
          </w:p>
        </w:tc>
        <w:tc>
          <w:tcPr>
            <w:tcW w:w="1114" w:type="pct"/>
            <w:tcBorders>
              <w:bottom w:val="nil"/>
            </w:tcBorders>
          </w:tcPr>
          <w:p w14:paraId="2DD40D33" w14:textId="77777777" w:rsidR="003139CE" w:rsidRPr="00816C29" w:rsidRDefault="003139CE" w:rsidP="00E1262E">
            <w:pPr>
              <w:spacing w:before="80" w:after="80" w:line="240" w:lineRule="auto"/>
              <w:ind w:left="-29" w:right="-43"/>
              <w:jc w:val="both"/>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Between groups</w:t>
            </w:r>
          </w:p>
        </w:tc>
        <w:tc>
          <w:tcPr>
            <w:tcW w:w="818" w:type="pct"/>
            <w:tcBorders>
              <w:bottom w:val="nil"/>
            </w:tcBorders>
            <w:vAlign w:val="center"/>
          </w:tcPr>
          <w:p w14:paraId="3B0B24B6" w14:textId="77777777" w:rsidR="003139CE" w:rsidRPr="00816C29" w:rsidRDefault="003139CE" w:rsidP="00E1262E">
            <w:pPr>
              <w:spacing w:before="80" w:after="80" w:line="240" w:lineRule="auto"/>
              <w:ind w:left="-29" w:right="-43"/>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3.775</w:t>
            </w:r>
          </w:p>
        </w:tc>
        <w:tc>
          <w:tcPr>
            <w:tcW w:w="297" w:type="pct"/>
            <w:tcBorders>
              <w:bottom w:val="nil"/>
            </w:tcBorders>
            <w:vAlign w:val="center"/>
          </w:tcPr>
          <w:p w14:paraId="358C2306"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2</w:t>
            </w:r>
          </w:p>
        </w:tc>
        <w:tc>
          <w:tcPr>
            <w:tcW w:w="640" w:type="pct"/>
            <w:tcBorders>
              <w:bottom w:val="nil"/>
            </w:tcBorders>
            <w:vAlign w:val="center"/>
          </w:tcPr>
          <w:p w14:paraId="5C286CE7"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.422</w:t>
            </w:r>
          </w:p>
        </w:tc>
        <w:tc>
          <w:tcPr>
            <w:tcW w:w="402" w:type="pct"/>
            <w:tcBorders>
              <w:bottom w:val="nil"/>
            </w:tcBorders>
            <w:vAlign w:val="center"/>
          </w:tcPr>
          <w:p w14:paraId="15E6BDF3"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0.016</w:t>
            </w:r>
          </w:p>
        </w:tc>
      </w:tr>
      <w:tr w:rsidR="003139CE" w:rsidRPr="00816C29" w14:paraId="31B49EF3" w14:textId="77777777" w:rsidTr="00E1262E">
        <w:trPr>
          <w:trHeight w:val="291"/>
        </w:trPr>
        <w:tc>
          <w:tcPr>
            <w:tcW w:w="1728" w:type="pct"/>
            <w:vMerge/>
          </w:tcPr>
          <w:p w14:paraId="57D42B53" w14:textId="77777777" w:rsidR="003139CE" w:rsidRPr="00816C29" w:rsidRDefault="003139CE" w:rsidP="00E1262E">
            <w:pPr>
              <w:tabs>
                <w:tab w:val="left" w:pos="231"/>
              </w:tabs>
              <w:spacing w:before="80" w:after="80" w:line="240" w:lineRule="auto"/>
              <w:ind w:left="231" w:right="-43" w:hanging="231"/>
              <w:rPr>
                <w:rFonts w:ascii="Times New Roman" w:eastAsia="Times New Roman" w:hAnsi="Times New Roman" w:cs="Times New Roman"/>
                <w:color w:val="000000"/>
                <w:spacing w:val="-2"/>
                <w:kern w:val="0"/>
                <w:lang w:eastAsia="en-IN"/>
              </w:rPr>
            </w:pPr>
          </w:p>
        </w:tc>
        <w:tc>
          <w:tcPr>
            <w:tcW w:w="1114" w:type="pct"/>
            <w:tcBorders>
              <w:top w:val="nil"/>
            </w:tcBorders>
            <w:hideMark/>
          </w:tcPr>
          <w:p w14:paraId="018EE9F8" w14:textId="77777777" w:rsidR="003139CE" w:rsidRPr="00816C29" w:rsidRDefault="003139CE" w:rsidP="00E1262E">
            <w:pPr>
              <w:spacing w:before="80" w:after="80" w:line="240" w:lineRule="auto"/>
              <w:ind w:left="-29" w:right="-43"/>
              <w:jc w:val="both"/>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Within groups</w:t>
            </w:r>
          </w:p>
        </w:tc>
        <w:tc>
          <w:tcPr>
            <w:tcW w:w="818" w:type="pct"/>
            <w:tcBorders>
              <w:top w:val="nil"/>
            </w:tcBorders>
            <w:vAlign w:val="center"/>
            <w:hideMark/>
          </w:tcPr>
          <w:p w14:paraId="62B28843" w14:textId="77777777" w:rsidR="003139CE" w:rsidRPr="00816C29" w:rsidRDefault="003139CE" w:rsidP="00E1262E">
            <w:pPr>
              <w:spacing w:before="80" w:after="80" w:line="240" w:lineRule="auto"/>
              <w:ind w:left="-29" w:right="-43"/>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3.968</w:t>
            </w:r>
          </w:p>
        </w:tc>
        <w:tc>
          <w:tcPr>
            <w:tcW w:w="297" w:type="pct"/>
            <w:tcBorders>
              <w:top w:val="nil"/>
            </w:tcBorders>
            <w:vAlign w:val="center"/>
            <w:hideMark/>
          </w:tcPr>
          <w:p w14:paraId="762262E1"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797</w:t>
            </w:r>
          </w:p>
        </w:tc>
        <w:tc>
          <w:tcPr>
            <w:tcW w:w="640" w:type="pct"/>
            <w:tcBorders>
              <w:top w:val="nil"/>
            </w:tcBorders>
            <w:vAlign w:val="center"/>
          </w:tcPr>
          <w:p w14:paraId="203856AA"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27.316</w:t>
            </w:r>
          </w:p>
        </w:tc>
        <w:tc>
          <w:tcPr>
            <w:tcW w:w="402" w:type="pct"/>
            <w:tcBorders>
              <w:top w:val="nil"/>
            </w:tcBorders>
            <w:vAlign w:val="center"/>
          </w:tcPr>
          <w:p w14:paraId="2C61743A"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p>
        </w:tc>
      </w:tr>
      <w:tr w:rsidR="003139CE" w:rsidRPr="00816C29" w14:paraId="01318CE7" w14:textId="77777777" w:rsidTr="00E1262E">
        <w:trPr>
          <w:trHeight w:val="56"/>
        </w:trPr>
        <w:tc>
          <w:tcPr>
            <w:tcW w:w="1728" w:type="pct"/>
            <w:vMerge/>
          </w:tcPr>
          <w:p w14:paraId="7942ADDC" w14:textId="77777777" w:rsidR="003139CE" w:rsidRPr="00816C29" w:rsidRDefault="003139CE" w:rsidP="00E1262E">
            <w:pPr>
              <w:tabs>
                <w:tab w:val="left" w:pos="231"/>
              </w:tabs>
              <w:spacing w:before="80" w:after="80" w:line="240" w:lineRule="auto"/>
              <w:ind w:left="231" w:right="-43" w:hanging="231"/>
              <w:rPr>
                <w:rFonts w:ascii="Times New Roman" w:eastAsia="Times New Roman" w:hAnsi="Times New Roman" w:cs="Times New Roman"/>
                <w:color w:val="000000"/>
                <w:spacing w:val="-2"/>
                <w:kern w:val="0"/>
                <w:lang w:eastAsia="en-IN"/>
              </w:rPr>
            </w:pPr>
          </w:p>
        </w:tc>
        <w:tc>
          <w:tcPr>
            <w:tcW w:w="1114" w:type="pct"/>
            <w:tcBorders>
              <w:bottom w:val="single" w:sz="4" w:space="0" w:color="auto"/>
            </w:tcBorders>
            <w:hideMark/>
          </w:tcPr>
          <w:p w14:paraId="0E14CC1B" w14:textId="77777777" w:rsidR="003139CE" w:rsidRPr="00816C29" w:rsidRDefault="003139CE" w:rsidP="00E1262E">
            <w:pPr>
              <w:spacing w:before="80" w:after="80" w:line="240" w:lineRule="auto"/>
              <w:ind w:left="-29" w:right="-43"/>
              <w:jc w:val="both"/>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Total</w:t>
            </w:r>
          </w:p>
        </w:tc>
        <w:tc>
          <w:tcPr>
            <w:tcW w:w="818" w:type="pct"/>
            <w:tcBorders>
              <w:bottom w:val="single" w:sz="4" w:space="0" w:color="auto"/>
            </w:tcBorders>
            <w:vAlign w:val="center"/>
            <w:hideMark/>
          </w:tcPr>
          <w:p w14:paraId="4EE6F2F6" w14:textId="77777777" w:rsidR="003139CE" w:rsidRPr="00816C29" w:rsidRDefault="003139CE" w:rsidP="00E1262E">
            <w:pPr>
              <w:spacing w:before="80" w:after="80" w:line="240" w:lineRule="auto"/>
              <w:ind w:left="-29" w:right="-43"/>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3.980</w:t>
            </w:r>
          </w:p>
        </w:tc>
        <w:tc>
          <w:tcPr>
            <w:tcW w:w="297" w:type="pct"/>
            <w:tcBorders>
              <w:bottom w:val="single" w:sz="4" w:space="0" w:color="auto"/>
            </w:tcBorders>
            <w:vAlign w:val="center"/>
            <w:hideMark/>
          </w:tcPr>
          <w:p w14:paraId="0D03A854"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799</w:t>
            </w:r>
          </w:p>
        </w:tc>
        <w:tc>
          <w:tcPr>
            <w:tcW w:w="640" w:type="pct"/>
            <w:tcBorders>
              <w:bottom w:val="single" w:sz="4" w:space="0" w:color="auto"/>
            </w:tcBorders>
            <w:vAlign w:val="center"/>
          </w:tcPr>
          <w:p w14:paraId="605D53A3"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p>
        </w:tc>
        <w:tc>
          <w:tcPr>
            <w:tcW w:w="402" w:type="pct"/>
            <w:tcBorders>
              <w:bottom w:val="single" w:sz="4" w:space="0" w:color="auto"/>
            </w:tcBorders>
            <w:vAlign w:val="center"/>
          </w:tcPr>
          <w:p w14:paraId="775E8C19"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p>
        </w:tc>
      </w:tr>
      <w:tr w:rsidR="003139CE" w:rsidRPr="00816C29" w14:paraId="31C04D91" w14:textId="77777777" w:rsidTr="00E1262E">
        <w:trPr>
          <w:trHeight w:val="291"/>
        </w:trPr>
        <w:tc>
          <w:tcPr>
            <w:tcW w:w="1728" w:type="pct"/>
            <w:vMerge w:val="restart"/>
            <w:hideMark/>
          </w:tcPr>
          <w:p w14:paraId="64F72A18" w14:textId="77777777" w:rsidR="003139CE" w:rsidRPr="00816C29" w:rsidRDefault="003139CE" w:rsidP="00E1262E">
            <w:pPr>
              <w:tabs>
                <w:tab w:val="left" w:pos="231"/>
              </w:tabs>
              <w:spacing w:before="80" w:after="80" w:line="240" w:lineRule="auto"/>
              <w:ind w:left="231" w:right="-43" w:hanging="231"/>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5-</w:t>
            </w:r>
            <w:r w:rsidRPr="00816C29">
              <w:rPr>
                <w:rFonts w:ascii="Times New Roman" w:eastAsia="Times New Roman" w:hAnsi="Times New Roman" w:cs="Times New Roman"/>
                <w:color w:val="000000"/>
                <w:spacing w:val="-2"/>
                <w:kern w:val="0"/>
                <w:lang w:eastAsia="en-IN"/>
              </w:rPr>
              <w:tab/>
            </w:r>
            <w:r>
              <w:rPr>
                <w:rFonts w:ascii="Times New Roman" w:eastAsia="Times New Roman" w:hAnsi="Times New Roman" w:cs="Times New Roman"/>
                <w:color w:val="000000"/>
                <w:spacing w:val="-2"/>
                <w:kern w:val="0"/>
                <w:lang w:eastAsia="en-IN"/>
              </w:rPr>
              <w:t>Opportunities and Challenges</w:t>
            </w:r>
          </w:p>
        </w:tc>
        <w:tc>
          <w:tcPr>
            <w:tcW w:w="1114" w:type="pct"/>
            <w:tcBorders>
              <w:bottom w:val="nil"/>
            </w:tcBorders>
            <w:hideMark/>
          </w:tcPr>
          <w:p w14:paraId="7916D30D" w14:textId="77777777" w:rsidR="003139CE" w:rsidRPr="00816C29" w:rsidRDefault="003139CE" w:rsidP="00E1262E">
            <w:pPr>
              <w:spacing w:before="80" w:after="80" w:line="240" w:lineRule="auto"/>
              <w:ind w:left="-29" w:right="-43"/>
              <w:jc w:val="both"/>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Between groups</w:t>
            </w:r>
          </w:p>
        </w:tc>
        <w:tc>
          <w:tcPr>
            <w:tcW w:w="818" w:type="pct"/>
            <w:tcBorders>
              <w:bottom w:val="nil"/>
            </w:tcBorders>
            <w:vAlign w:val="center"/>
            <w:hideMark/>
          </w:tcPr>
          <w:p w14:paraId="7BAB9A72" w14:textId="77777777" w:rsidR="003139CE" w:rsidRPr="00816C29" w:rsidRDefault="003139CE" w:rsidP="00E1262E">
            <w:pPr>
              <w:spacing w:before="80" w:after="80" w:line="240" w:lineRule="auto"/>
              <w:ind w:left="-29" w:right="-43"/>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4.085</w:t>
            </w:r>
          </w:p>
        </w:tc>
        <w:tc>
          <w:tcPr>
            <w:tcW w:w="297" w:type="pct"/>
            <w:tcBorders>
              <w:bottom w:val="nil"/>
            </w:tcBorders>
            <w:vAlign w:val="center"/>
            <w:hideMark/>
          </w:tcPr>
          <w:p w14:paraId="01510A05"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2</w:t>
            </w:r>
          </w:p>
        </w:tc>
        <w:tc>
          <w:tcPr>
            <w:tcW w:w="640" w:type="pct"/>
            <w:tcBorders>
              <w:bottom w:val="nil"/>
            </w:tcBorders>
            <w:vAlign w:val="center"/>
            <w:hideMark/>
          </w:tcPr>
          <w:p w14:paraId="1CFA0602"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10.856</w:t>
            </w:r>
          </w:p>
        </w:tc>
        <w:tc>
          <w:tcPr>
            <w:tcW w:w="402" w:type="pct"/>
            <w:tcBorders>
              <w:bottom w:val="nil"/>
            </w:tcBorders>
            <w:vAlign w:val="center"/>
            <w:hideMark/>
          </w:tcPr>
          <w:p w14:paraId="3EC54A4D"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0.983</w:t>
            </w:r>
          </w:p>
        </w:tc>
      </w:tr>
      <w:tr w:rsidR="003139CE" w:rsidRPr="00816C29" w14:paraId="52A1E116" w14:textId="77777777" w:rsidTr="00E1262E">
        <w:trPr>
          <w:trHeight w:val="291"/>
        </w:trPr>
        <w:tc>
          <w:tcPr>
            <w:tcW w:w="1728" w:type="pct"/>
            <w:vMerge/>
          </w:tcPr>
          <w:p w14:paraId="396C90E3" w14:textId="77777777" w:rsidR="003139CE" w:rsidRPr="00816C29" w:rsidRDefault="003139CE" w:rsidP="00E1262E">
            <w:pPr>
              <w:spacing w:before="80" w:after="80" w:line="240" w:lineRule="auto"/>
              <w:ind w:left="-29" w:right="-43"/>
              <w:rPr>
                <w:rFonts w:ascii="Times New Roman" w:eastAsia="Times New Roman" w:hAnsi="Times New Roman" w:cs="Times New Roman"/>
                <w:color w:val="000000"/>
                <w:spacing w:val="-2"/>
                <w:kern w:val="0"/>
                <w:lang w:eastAsia="en-IN"/>
              </w:rPr>
            </w:pPr>
          </w:p>
        </w:tc>
        <w:tc>
          <w:tcPr>
            <w:tcW w:w="1114" w:type="pct"/>
            <w:tcBorders>
              <w:top w:val="nil"/>
            </w:tcBorders>
            <w:hideMark/>
          </w:tcPr>
          <w:p w14:paraId="14FF2CCF" w14:textId="77777777" w:rsidR="003139CE" w:rsidRPr="00816C29" w:rsidRDefault="003139CE" w:rsidP="00E1262E">
            <w:pPr>
              <w:spacing w:before="80" w:after="80" w:line="240" w:lineRule="auto"/>
              <w:ind w:left="-29" w:right="-43"/>
              <w:jc w:val="both"/>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Within groups</w:t>
            </w:r>
          </w:p>
        </w:tc>
        <w:tc>
          <w:tcPr>
            <w:tcW w:w="818" w:type="pct"/>
            <w:tcBorders>
              <w:top w:val="nil"/>
            </w:tcBorders>
            <w:vAlign w:val="center"/>
            <w:hideMark/>
          </w:tcPr>
          <w:p w14:paraId="1C66BA99" w14:textId="77777777" w:rsidR="003139CE" w:rsidRPr="00816C29" w:rsidRDefault="003139CE" w:rsidP="00E1262E">
            <w:pPr>
              <w:spacing w:before="80" w:after="80" w:line="240" w:lineRule="auto"/>
              <w:ind w:left="-29" w:right="-43"/>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4.143</w:t>
            </w:r>
          </w:p>
        </w:tc>
        <w:tc>
          <w:tcPr>
            <w:tcW w:w="297" w:type="pct"/>
            <w:tcBorders>
              <w:top w:val="nil"/>
            </w:tcBorders>
            <w:vAlign w:val="center"/>
            <w:hideMark/>
          </w:tcPr>
          <w:p w14:paraId="2C11384E"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797</w:t>
            </w:r>
          </w:p>
        </w:tc>
        <w:tc>
          <w:tcPr>
            <w:tcW w:w="640" w:type="pct"/>
            <w:tcBorders>
              <w:top w:val="nil"/>
            </w:tcBorders>
            <w:vAlign w:val="center"/>
          </w:tcPr>
          <w:p w14:paraId="2BA9CF12"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11.045</w:t>
            </w:r>
          </w:p>
        </w:tc>
        <w:tc>
          <w:tcPr>
            <w:tcW w:w="402" w:type="pct"/>
            <w:tcBorders>
              <w:top w:val="nil"/>
            </w:tcBorders>
            <w:vAlign w:val="center"/>
          </w:tcPr>
          <w:p w14:paraId="2C79AB00"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p>
        </w:tc>
      </w:tr>
      <w:tr w:rsidR="003139CE" w:rsidRPr="00816C29" w14:paraId="051ACF6C" w14:textId="77777777" w:rsidTr="00E1262E">
        <w:trPr>
          <w:trHeight w:val="291"/>
        </w:trPr>
        <w:tc>
          <w:tcPr>
            <w:tcW w:w="1728" w:type="pct"/>
            <w:vMerge/>
          </w:tcPr>
          <w:p w14:paraId="2744EAC7" w14:textId="77777777" w:rsidR="003139CE" w:rsidRPr="00816C29" w:rsidRDefault="003139CE" w:rsidP="00E1262E">
            <w:pPr>
              <w:spacing w:before="80" w:after="80" w:line="240" w:lineRule="auto"/>
              <w:ind w:left="-29" w:right="-43"/>
              <w:rPr>
                <w:rFonts w:ascii="Times New Roman" w:eastAsia="Times New Roman" w:hAnsi="Times New Roman" w:cs="Times New Roman"/>
                <w:color w:val="000000"/>
                <w:spacing w:val="-2"/>
                <w:kern w:val="0"/>
                <w:lang w:eastAsia="en-IN"/>
              </w:rPr>
            </w:pPr>
          </w:p>
        </w:tc>
        <w:tc>
          <w:tcPr>
            <w:tcW w:w="1114" w:type="pct"/>
            <w:hideMark/>
          </w:tcPr>
          <w:p w14:paraId="19EF8958" w14:textId="77777777" w:rsidR="003139CE" w:rsidRPr="00816C29" w:rsidRDefault="003139CE" w:rsidP="00E1262E">
            <w:pPr>
              <w:spacing w:before="80" w:after="80" w:line="240" w:lineRule="auto"/>
              <w:ind w:left="-29" w:right="-43"/>
              <w:jc w:val="both"/>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Total</w:t>
            </w:r>
          </w:p>
        </w:tc>
        <w:tc>
          <w:tcPr>
            <w:tcW w:w="818" w:type="pct"/>
            <w:vAlign w:val="center"/>
            <w:hideMark/>
          </w:tcPr>
          <w:p w14:paraId="1574BF86" w14:textId="77777777" w:rsidR="003139CE" w:rsidRPr="00816C29" w:rsidRDefault="003139CE" w:rsidP="00E1262E">
            <w:pPr>
              <w:spacing w:before="80" w:after="80" w:line="240" w:lineRule="auto"/>
              <w:ind w:left="-29" w:right="-43"/>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4.155</w:t>
            </w:r>
          </w:p>
        </w:tc>
        <w:tc>
          <w:tcPr>
            <w:tcW w:w="297" w:type="pct"/>
            <w:vAlign w:val="center"/>
            <w:hideMark/>
          </w:tcPr>
          <w:p w14:paraId="3AE44741"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r w:rsidRPr="00816C29">
              <w:rPr>
                <w:rFonts w:ascii="Times New Roman" w:eastAsia="Times New Roman" w:hAnsi="Times New Roman" w:cs="Times New Roman"/>
                <w:color w:val="000000"/>
                <w:spacing w:val="-2"/>
                <w:kern w:val="0"/>
                <w:lang w:eastAsia="en-IN"/>
              </w:rPr>
              <w:t>799</w:t>
            </w:r>
          </w:p>
        </w:tc>
        <w:tc>
          <w:tcPr>
            <w:tcW w:w="640" w:type="pct"/>
            <w:vAlign w:val="center"/>
          </w:tcPr>
          <w:p w14:paraId="628E5EB4"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p>
        </w:tc>
        <w:tc>
          <w:tcPr>
            <w:tcW w:w="402" w:type="pct"/>
            <w:vAlign w:val="center"/>
          </w:tcPr>
          <w:p w14:paraId="0AD41448" w14:textId="77777777" w:rsidR="003139CE" w:rsidRPr="00816C29" w:rsidRDefault="003139CE" w:rsidP="00E1262E">
            <w:pPr>
              <w:spacing w:before="80" w:after="80" w:line="240" w:lineRule="auto"/>
              <w:ind w:left="-29" w:right="-43"/>
              <w:jc w:val="center"/>
              <w:rPr>
                <w:rFonts w:ascii="Times New Roman" w:eastAsia="Times New Roman" w:hAnsi="Times New Roman" w:cs="Times New Roman"/>
                <w:color w:val="000000"/>
                <w:spacing w:val="-2"/>
                <w:kern w:val="0"/>
                <w:lang w:eastAsia="en-IN"/>
              </w:rPr>
            </w:pPr>
          </w:p>
        </w:tc>
      </w:tr>
    </w:tbl>
    <w:p w14:paraId="508F4017" w14:textId="715A5E57" w:rsidR="00EC3965" w:rsidRDefault="00EC3965" w:rsidP="00BC30F4">
      <w:pPr>
        <w:jc w:val="both"/>
        <w:rPr>
          <w:rFonts w:ascii="Times New Roman" w:hAnsi="Times New Roman" w:cs="Times New Roman"/>
        </w:rPr>
      </w:pPr>
    </w:p>
    <w:p w14:paraId="6FB550C4" w14:textId="08D5A790" w:rsidR="007F4FDC" w:rsidRDefault="007F4FDC" w:rsidP="00BC30F4">
      <w:pPr>
        <w:jc w:val="both"/>
        <w:rPr>
          <w:rFonts w:ascii="Times New Roman" w:hAnsi="Times New Roman" w:cs="Times New Roman"/>
        </w:rPr>
      </w:pPr>
      <w:r>
        <w:rPr>
          <w:rFonts w:ascii="Times New Roman" w:hAnsi="Times New Roman" w:cs="Times New Roman"/>
        </w:rPr>
        <w:t>T</w:t>
      </w:r>
      <w:r w:rsidRPr="007F4FDC">
        <w:rPr>
          <w:rFonts w:ascii="Times New Roman" w:hAnsi="Times New Roman" w:cs="Times New Roman"/>
        </w:rPr>
        <w:t xml:space="preserve">able 2 </w:t>
      </w:r>
      <w:r w:rsidR="001C368E" w:rsidRPr="001C368E">
        <w:rPr>
          <w:rFonts w:ascii="Times New Roman" w:hAnsi="Times New Roman" w:cs="Times New Roman"/>
        </w:rPr>
        <w:t>presents the results of the one-way Analysis of Variance (ANOVA) conducted to examine whether teacher educators belonging to different subject specializations (Language, Science, and Social Science) differ in their perception regarding the implementation of ITEP in alignment with NEP 2020. The obtained F-value for the overall perception score was found to be non-significant at the 0.05 level, indicating that teacher educators across the three subject groups hold similar perceptions regarding ITEP implementation. Likewise, the F-values obtained for all five dimensions of the scale—Understanding of NEP/ITEP, Faculty Readiness, Administrative Readiness, Institutional Preparedness and Infrastructural Readiness, and Opportunities and Challenges—were also found to be non-significant. These findings indicate that subject specialization does not have a significant influence on teacher educators’ understanding of ITEP, their readiness for implementation, or their perception of the opportunities and challenges associated with the programme. Therefore, it can be concluded that teacher educators, irrespective of their subject background, share similar views regarding the implementation of ITEP in Kerala</w:t>
      </w:r>
      <w:r w:rsidRPr="007F4FDC">
        <w:rPr>
          <w:rFonts w:ascii="Times New Roman" w:hAnsi="Times New Roman" w:cs="Times New Roman"/>
        </w:rPr>
        <w:t>.</w:t>
      </w:r>
    </w:p>
    <w:p w14:paraId="406FDAE4" w14:textId="77777777" w:rsidR="00027D8D" w:rsidRPr="0037341B" w:rsidRDefault="00027D8D" w:rsidP="00027D8D">
      <w:pPr>
        <w:spacing w:line="432" w:lineRule="auto"/>
        <w:jc w:val="both"/>
        <w:rPr>
          <w:rFonts w:ascii="Times New Roman" w:hAnsi="Times New Roman" w:cs="Times New Roman"/>
          <w:b/>
          <w:bCs/>
          <w:color w:val="000000"/>
        </w:rPr>
      </w:pPr>
      <w:r w:rsidRPr="0037341B">
        <w:rPr>
          <w:rFonts w:ascii="Times New Roman" w:hAnsi="Times New Roman" w:cs="Times New Roman"/>
          <w:b/>
          <w:bCs/>
          <w:color w:val="000000"/>
        </w:rPr>
        <w:t>Comparison of Perception of Teacher Educators in Kerala Regarding Implementation of ITEP in Alignment with NEP 2020 Based on Teaching Experience</w:t>
      </w:r>
    </w:p>
    <w:p w14:paraId="1E2D2C08" w14:textId="77777777" w:rsidR="00027D8D" w:rsidRPr="00030E32" w:rsidRDefault="00027D8D" w:rsidP="00027D8D">
      <w:pPr>
        <w:spacing w:line="432" w:lineRule="auto"/>
        <w:jc w:val="both"/>
        <w:rPr>
          <w:rFonts w:ascii="Times New Roman" w:hAnsi="Times New Roman" w:cs="Times New Roman"/>
          <w:color w:val="000000"/>
        </w:rPr>
      </w:pPr>
      <w:r w:rsidRPr="0037341B">
        <w:rPr>
          <w:rFonts w:ascii="Times New Roman" w:hAnsi="Times New Roman" w:cs="Times New Roman"/>
          <w:color w:val="000000"/>
        </w:rPr>
        <w:tab/>
      </w:r>
      <w:r>
        <w:rPr>
          <w:rFonts w:ascii="Times New Roman" w:hAnsi="Times New Roman" w:cs="Times New Roman"/>
          <w:color w:val="000000"/>
        </w:rPr>
        <w:t xml:space="preserve">Teacher educators in Kerala were classified in to four categories based on their teaching experience namely less than two years, 2-5 years, 5-10 years and above 10 years. Accordingly, four groups were identified from the total sample to investigate the influence of their </w:t>
      </w:r>
      <w:r>
        <w:rPr>
          <w:rFonts w:ascii="Times New Roman" w:hAnsi="Times New Roman" w:cs="Times New Roman"/>
          <w:color w:val="000000"/>
        </w:rPr>
        <w:lastRenderedPageBreak/>
        <w:t xml:space="preserve">experience on their perception regrading implementation of ITEP. </w:t>
      </w:r>
      <w:r w:rsidRPr="0037341B">
        <w:rPr>
          <w:rFonts w:ascii="Times New Roman" w:hAnsi="Times New Roman" w:cs="Times New Roman"/>
          <w:color w:val="000000"/>
        </w:rPr>
        <w:t xml:space="preserve">To examine whether </w:t>
      </w:r>
      <w:r>
        <w:rPr>
          <w:rFonts w:ascii="Times New Roman" w:hAnsi="Times New Roman" w:cs="Times New Roman"/>
          <w:color w:val="000000"/>
        </w:rPr>
        <w:t xml:space="preserve">their perception </w:t>
      </w:r>
      <w:r w:rsidRPr="0037341B">
        <w:rPr>
          <w:rFonts w:ascii="Times New Roman" w:hAnsi="Times New Roman" w:cs="Times New Roman"/>
          <w:color w:val="000000"/>
        </w:rPr>
        <w:t>varies according to teaching experience</w:t>
      </w:r>
      <w:r>
        <w:rPr>
          <w:rFonts w:ascii="Times New Roman" w:hAnsi="Times New Roman" w:cs="Times New Roman"/>
          <w:color w:val="000000"/>
        </w:rPr>
        <w:t xml:space="preserve"> a comparison was made among these four groups namely</w:t>
      </w:r>
      <w:r w:rsidRPr="0037341B">
        <w:rPr>
          <w:rFonts w:ascii="Times New Roman" w:hAnsi="Times New Roman" w:cs="Times New Roman"/>
          <w:color w:val="000000"/>
        </w:rPr>
        <w:t xml:space="preserve"> </w:t>
      </w:r>
      <w:r w:rsidRPr="00030E32">
        <w:rPr>
          <w:rFonts w:ascii="Times New Roman" w:hAnsi="Times New Roman" w:cs="Times New Roman"/>
          <w:color w:val="000000"/>
        </w:rPr>
        <w:t xml:space="preserve">Less than 2 years (n = 122, 15.3%), 2–5 years (n = 234, 29.3%), 5–10 years (n = 240, 30.0%), and </w:t>
      </w:r>
      <w:r>
        <w:rPr>
          <w:rFonts w:ascii="Times New Roman" w:hAnsi="Times New Roman" w:cs="Times New Roman"/>
          <w:color w:val="000000"/>
        </w:rPr>
        <w:t>a</w:t>
      </w:r>
      <w:r w:rsidRPr="00030E32">
        <w:rPr>
          <w:rFonts w:ascii="Times New Roman" w:hAnsi="Times New Roman" w:cs="Times New Roman"/>
          <w:color w:val="000000"/>
        </w:rPr>
        <w:t>bove 10 years (n = 204, 25.4%).</w:t>
      </w:r>
    </w:p>
    <w:p w14:paraId="45FEE228" w14:textId="77777777" w:rsidR="00027D8D" w:rsidRPr="0075189E" w:rsidRDefault="00027D8D" w:rsidP="00027D8D">
      <w:pPr>
        <w:spacing w:line="432" w:lineRule="auto"/>
        <w:jc w:val="both"/>
        <w:rPr>
          <w:rFonts w:ascii="Times New Roman" w:hAnsi="Times New Roman" w:cs="Times New Roman"/>
          <w:color w:val="000000"/>
        </w:rPr>
      </w:pPr>
      <w:r w:rsidRPr="0037341B">
        <w:rPr>
          <w:rFonts w:ascii="Times New Roman" w:hAnsi="Times New Roman" w:cs="Times New Roman"/>
          <w:color w:val="000000"/>
        </w:rPr>
        <w:tab/>
        <w:t xml:space="preserve">Since more than two independent groups were compared, a one-way Analysis of Variance (ANOVA) was considered appropriate to test whether significant differences exist in mean perception scores across the four </w:t>
      </w:r>
      <w:r>
        <w:rPr>
          <w:rFonts w:ascii="Times New Roman" w:hAnsi="Times New Roman" w:cs="Times New Roman"/>
          <w:color w:val="000000"/>
        </w:rPr>
        <w:t xml:space="preserve">groups of teacher educators based on their teaching </w:t>
      </w:r>
      <w:r w:rsidRPr="0037341B">
        <w:rPr>
          <w:rFonts w:ascii="Times New Roman" w:hAnsi="Times New Roman" w:cs="Times New Roman"/>
          <w:color w:val="000000"/>
        </w:rPr>
        <w:t>experience.</w:t>
      </w:r>
    </w:p>
    <w:p w14:paraId="5E36FBA9" w14:textId="22ABA613" w:rsidR="00027D8D" w:rsidRPr="0037341B" w:rsidRDefault="00027D8D" w:rsidP="00027D8D">
      <w:pPr>
        <w:spacing w:after="100" w:line="312" w:lineRule="auto"/>
        <w:jc w:val="both"/>
        <w:rPr>
          <w:rFonts w:ascii="Times New Roman" w:hAnsi="Times New Roman" w:cs="Times New Roman"/>
          <w:b/>
          <w:bCs/>
          <w:color w:val="000000"/>
        </w:rPr>
      </w:pPr>
      <w:r w:rsidRPr="0037341B">
        <w:rPr>
          <w:rFonts w:ascii="Times New Roman" w:hAnsi="Times New Roman" w:cs="Times New Roman"/>
          <w:b/>
          <w:bCs/>
          <w:color w:val="000000"/>
        </w:rPr>
        <w:t xml:space="preserve">Table </w:t>
      </w:r>
      <w:r w:rsidR="000D2DB9">
        <w:rPr>
          <w:rFonts w:ascii="Times New Roman" w:hAnsi="Times New Roman" w:cs="Times New Roman"/>
          <w:b/>
          <w:bCs/>
          <w:color w:val="000000"/>
        </w:rPr>
        <w:t>3</w:t>
      </w:r>
    </w:p>
    <w:p w14:paraId="7E616825" w14:textId="77777777" w:rsidR="00027D8D" w:rsidRPr="0037341B" w:rsidRDefault="00027D8D" w:rsidP="00027D8D">
      <w:pPr>
        <w:spacing w:after="100" w:line="312" w:lineRule="auto"/>
        <w:jc w:val="both"/>
        <w:rPr>
          <w:rFonts w:ascii="Times New Roman" w:hAnsi="Times New Roman" w:cs="Times New Roman"/>
          <w:color w:val="000000"/>
        </w:rPr>
      </w:pPr>
      <w:r w:rsidRPr="0037341B">
        <w:rPr>
          <w:rFonts w:ascii="Times New Roman" w:hAnsi="Times New Roman" w:cs="Times New Roman"/>
          <w:i/>
          <w:color w:val="000000"/>
        </w:rPr>
        <w:t xml:space="preserve">Result of ANOVA on </w:t>
      </w:r>
      <w:r w:rsidRPr="0037341B">
        <w:rPr>
          <w:rFonts w:ascii="Times New Roman" w:hAnsi="Times New Roman" w:cs="Times New Roman"/>
          <w:i/>
          <w:iCs/>
          <w:color w:val="000000"/>
        </w:rPr>
        <w:t xml:space="preserve">Mean Scores of </w:t>
      </w:r>
      <w:r w:rsidRPr="0037341B">
        <w:rPr>
          <w:rFonts w:ascii="Times New Roman" w:hAnsi="Times New Roman" w:cs="Times New Roman"/>
          <w:i/>
          <w:color w:val="000000"/>
        </w:rPr>
        <w:t>the Variable Perception of Teacher Educator on ITEP Implementation</w:t>
      </w:r>
      <w:r w:rsidRPr="0037341B">
        <w:rPr>
          <w:rFonts w:ascii="Times New Roman" w:hAnsi="Times New Roman" w:cs="Times New Roman"/>
          <w:i/>
          <w:iCs/>
          <w:color w:val="000000"/>
        </w:rPr>
        <w:t xml:space="preserve"> based on Experience</w:t>
      </w:r>
    </w:p>
    <w:tbl>
      <w:tblPr>
        <w:tblW w:w="5000" w:type="pct"/>
        <w:tblBorders>
          <w:top w:val="single" w:sz="4" w:space="0" w:color="auto"/>
          <w:bottom w:val="single" w:sz="4" w:space="0" w:color="auto"/>
          <w:insideH w:val="single" w:sz="4" w:space="0" w:color="auto"/>
        </w:tblBorders>
        <w:tblLook w:val="0400" w:firstRow="0" w:lastRow="0" w:firstColumn="0" w:lastColumn="0" w:noHBand="0" w:noVBand="1"/>
      </w:tblPr>
      <w:tblGrid>
        <w:gridCol w:w="2831"/>
        <w:gridCol w:w="2043"/>
        <w:gridCol w:w="1527"/>
        <w:gridCol w:w="621"/>
        <w:gridCol w:w="1190"/>
        <w:gridCol w:w="814"/>
      </w:tblGrid>
      <w:tr w:rsidR="00027D8D" w:rsidRPr="00816C29" w14:paraId="6E731394" w14:textId="77777777" w:rsidTr="00E1262E">
        <w:trPr>
          <w:trHeight w:val="291"/>
        </w:trPr>
        <w:tc>
          <w:tcPr>
            <w:tcW w:w="1568" w:type="pct"/>
            <w:tcBorders>
              <w:bottom w:val="single" w:sz="4" w:space="0" w:color="auto"/>
            </w:tcBorders>
            <w:vAlign w:val="center"/>
            <w:hideMark/>
          </w:tcPr>
          <w:p w14:paraId="79E546E7" w14:textId="77777777" w:rsidR="00027D8D" w:rsidRPr="00816C29" w:rsidRDefault="00027D8D" w:rsidP="00E1262E">
            <w:pPr>
              <w:tabs>
                <w:tab w:val="left" w:pos="270"/>
              </w:tabs>
              <w:spacing w:before="80" w:after="80" w:line="240" w:lineRule="auto"/>
              <w:ind w:left="270" w:hanging="270"/>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Dimensions</w:t>
            </w:r>
          </w:p>
        </w:tc>
        <w:tc>
          <w:tcPr>
            <w:tcW w:w="1132" w:type="pct"/>
            <w:tcBorders>
              <w:bottom w:val="single" w:sz="4" w:space="0" w:color="auto"/>
            </w:tcBorders>
            <w:vAlign w:val="center"/>
          </w:tcPr>
          <w:p w14:paraId="6BDE08AC"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Source of variance</w:t>
            </w:r>
          </w:p>
        </w:tc>
        <w:tc>
          <w:tcPr>
            <w:tcW w:w="846" w:type="pct"/>
            <w:tcBorders>
              <w:bottom w:val="single" w:sz="4" w:space="0" w:color="auto"/>
            </w:tcBorders>
            <w:vAlign w:val="center"/>
            <w:hideMark/>
          </w:tcPr>
          <w:p w14:paraId="3FFF98F5"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Sum of Squares</w:t>
            </w:r>
          </w:p>
        </w:tc>
        <w:tc>
          <w:tcPr>
            <w:tcW w:w="344" w:type="pct"/>
            <w:tcBorders>
              <w:bottom w:val="single" w:sz="4" w:space="0" w:color="auto"/>
            </w:tcBorders>
            <w:vAlign w:val="center"/>
            <w:hideMark/>
          </w:tcPr>
          <w:p w14:paraId="4B9BCD30"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df</w:t>
            </w:r>
          </w:p>
        </w:tc>
        <w:tc>
          <w:tcPr>
            <w:tcW w:w="659" w:type="pct"/>
            <w:tcBorders>
              <w:bottom w:val="single" w:sz="4" w:space="0" w:color="auto"/>
            </w:tcBorders>
            <w:vAlign w:val="center"/>
            <w:hideMark/>
          </w:tcPr>
          <w:p w14:paraId="331B90A4"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Mean Square</w:t>
            </w:r>
          </w:p>
        </w:tc>
        <w:tc>
          <w:tcPr>
            <w:tcW w:w="451" w:type="pct"/>
            <w:tcBorders>
              <w:bottom w:val="single" w:sz="4" w:space="0" w:color="auto"/>
            </w:tcBorders>
            <w:vAlign w:val="center"/>
            <w:hideMark/>
          </w:tcPr>
          <w:p w14:paraId="4388B420"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F</w:t>
            </w:r>
          </w:p>
        </w:tc>
      </w:tr>
      <w:tr w:rsidR="00027D8D" w:rsidRPr="00816C29" w14:paraId="7FBC8ABB" w14:textId="77777777" w:rsidTr="00E1262E">
        <w:trPr>
          <w:trHeight w:val="291"/>
        </w:trPr>
        <w:tc>
          <w:tcPr>
            <w:tcW w:w="1568" w:type="pct"/>
            <w:vMerge w:val="restart"/>
            <w:vAlign w:val="center"/>
          </w:tcPr>
          <w:p w14:paraId="4FC2FA71" w14:textId="77777777" w:rsidR="00027D8D" w:rsidRPr="00816C29" w:rsidRDefault="00027D8D" w:rsidP="00E1262E">
            <w:pPr>
              <w:tabs>
                <w:tab w:val="left" w:pos="270"/>
              </w:tabs>
              <w:spacing w:before="80" w:after="80" w:line="240" w:lineRule="auto"/>
              <w:ind w:left="270" w:hanging="270"/>
              <w:jc w:val="center"/>
              <w:rPr>
                <w:rFonts w:ascii="Times New Roman" w:eastAsia="Times New Roman" w:hAnsi="Times New Roman" w:cs="Times New Roman"/>
                <w:color w:val="000000"/>
                <w:kern w:val="0"/>
                <w:lang w:eastAsia="en-IN"/>
              </w:rPr>
            </w:pPr>
            <w:r>
              <w:rPr>
                <w:rFonts w:ascii="Times New Roman" w:eastAsia="Times New Roman" w:hAnsi="Times New Roman" w:cs="Times New Roman"/>
                <w:color w:val="000000"/>
                <w:kern w:val="0"/>
                <w:lang w:eastAsia="en-IN"/>
              </w:rPr>
              <w:t>Overall</w:t>
            </w:r>
          </w:p>
        </w:tc>
        <w:tc>
          <w:tcPr>
            <w:tcW w:w="1132" w:type="pct"/>
            <w:tcBorders>
              <w:top w:val="single" w:sz="4" w:space="0" w:color="auto"/>
              <w:bottom w:val="nil"/>
            </w:tcBorders>
          </w:tcPr>
          <w:p w14:paraId="060EADA0"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Between groups</w:t>
            </w:r>
          </w:p>
        </w:tc>
        <w:tc>
          <w:tcPr>
            <w:tcW w:w="846" w:type="pct"/>
            <w:tcBorders>
              <w:top w:val="single" w:sz="4" w:space="0" w:color="auto"/>
              <w:bottom w:val="nil"/>
            </w:tcBorders>
            <w:vAlign w:val="center"/>
          </w:tcPr>
          <w:p w14:paraId="7C278E2A"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75189E">
              <w:rPr>
                <w:rFonts w:ascii="Times New Roman" w:eastAsia="Times New Roman" w:hAnsi="Times New Roman" w:cs="Times New Roman"/>
                <w:color w:val="000000"/>
                <w:kern w:val="0"/>
                <w:lang w:eastAsia="en-IN"/>
              </w:rPr>
              <w:t>977.252</w:t>
            </w:r>
          </w:p>
        </w:tc>
        <w:tc>
          <w:tcPr>
            <w:tcW w:w="344" w:type="pct"/>
            <w:tcBorders>
              <w:top w:val="single" w:sz="4" w:space="0" w:color="auto"/>
              <w:bottom w:val="nil"/>
            </w:tcBorders>
            <w:vAlign w:val="center"/>
          </w:tcPr>
          <w:p w14:paraId="1485E68F"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Pr>
                <w:rFonts w:ascii="Times New Roman" w:eastAsia="Times New Roman" w:hAnsi="Times New Roman" w:cs="Times New Roman"/>
                <w:color w:val="000000"/>
                <w:kern w:val="0"/>
                <w:lang w:eastAsia="en-IN"/>
              </w:rPr>
              <w:t>3</w:t>
            </w:r>
          </w:p>
        </w:tc>
        <w:tc>
          <w:tcPr>
            <w:tcW w:w="659" w:type="pct"/>
            <w:tcBorders>
              <w:top w:val="single" w:sz="4" w:space="0" w:color="auto"/>
              <w:bottom w:val="nil"/>
            </w:tcBorders>
            <w:vAlign w:val="center"/>
          </w:tcPr>
          <w:p w14:paraId="6FEAB4D1"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p>
        </w:tc>
        <w:tc>
          <w:tcPr>
            <w:tcW w:w="451" w:type="pct"/>
            <w:vMerge w:val="restart"/>
            <w:vAlign w:val="center"/>
          </w:tcPr>
          <w:p w14:paraId="1A27B0F6"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75189E">
              <w:rPr>
                <w:rFonts w:ascii="Times New Roman" w:eastAsia="Times New Roman" w:hAnsi="Times New Roman" w:cs="Times New Roman"/>
                <w:color w:val="000000"/>
                <w:kern w:val="0"/>
                <w:lang w:eastAsia="en-IN"/>
              </w:rPr>
              <w:t>1.073</w:t>
            </w:r>
          </w:p>
        </w:tc>
      </w:tr>
      <w:tr w:rsidR="00027D8D" w:rsidRPr="00816C29" w14:paraId="6EE5DC4E" w14:textId="77777777" w:rsidTr="00E1262E">
        <w:trPr>
          <w:trHeight w:val="291"/>
        </w:trPr>
        <w:tc>
          <w:tcPr>
            <w:tcW w:w="1568" w:type="pct"/>
            <w:vMerge/>
            <w:vAlign w:val="center"/>
          </w:tcPr>
          <w:p w14:paraId="7F231F11" w14:textId="77777777" w:rsidR="00027D8D" w:rsidRPr="00816C29" w:rsidRDefault="00027D8D" w:rsidP="00E1262E">
            <w:pPr>
              <w:tabs>
                <w:tab w:val="left" w:pos="270"/>
              </w:tabs>
              <w:spacing w:before="80" w:after="80" w:line="240" w:lineRule="auto"/>
              <w:ind w:left="270" w:hanging="270"/>
              <w:jc w:val="center"/>
              <w:rPr>
                <w:rFonts w:ascii="Times New Roman" w:eastAsia="Times New Roman" w:hAnsi="Times New Roman" w:cs="Times New Roman"/>
                <w:color w:val="000000"/>
                <w:kern w:val="0"/>
                <w:lang w:eastAsia="en-IN"/>
              </w:rPr>
            </w:pPr>
          </w:p>
        </w:tc>
        <w:tc>
          <w:tcPr>
            <w:tcW w:w="1132" w:type="pct"/>
            <w:tcBorders>
              <w:top w:val="nil"/>
              <w:bottom w:val="single" w:sz="4" w:space="0" w:color="auto"/>
            </w:tcBorders>
          </w:tcPr>
          <w:p w14:paraId="016BC830"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Within groups</w:t>
            </w:r>
          </w:p>
        </w:tc>
        <w:tc>
          <w:tcPr>
            <w:tcW w:w="846" w:type="pct"/>
            <w:tcBorders>
              <w:top w:val="nil"/>
              <w:bottom w:val="single" w:sz="4" w:space="0" w:color="auto"/>
            </w:tcBorders>
            <w:vAlign w:val="center"/>
          </w:tcPr>
          <w:p w14:paraId="1EEB9A67"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75189E">
              <w:rPr>
                <w:rFonts w:ascii="Times New Roman" w:eastAsia="Times New Roman" w:hAnsi="Times New Roman" w:cs="Times New Roman"/>
                <w:color w:val="000000"/>
                <w:kern w:val="0"/>
                <w:lang w:eastAsia="en-IN"/>
              </w:rPr>
              <w:t>241732.668</w:t>
            </w:r>
          </w:p>
        </w:tc>
        <w:tc>
          <w:tcPr>
            <w:tcW w:w="344" w:type="pct"/>
            <w:tcBorders>
              <w:top w:val="nil"/>
              <w:bottom w:val="single" w:sz="4" w:space="0" w:color="auto"/>
            </w:tcBorders>
            <w:vAlign w:val="center"/>
          </w:tcPr>
          <w:p w14:paraId="4F8F2767"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Pr>
                <w:rFonts w:ascii="Times New Roman" w:eastAsia="Times New Roman" w:hAnsi="Times New Roman" w:cs="Times New Roman"/>
                <w:color w:val="000000"/>
                <w:kern w:val="0"/>
                <w:lang w:eastAsia="en-IN"/>
              </w:rPr>
              <w:t>796</w:t>
            </w:r>
          </w:p>
        </w:tc>
        <w:tc>
          <w:tcPr>
            <w:tcW w:w="659" w:type="pct"/>
            <w:tcBorders>
              <w:top w:val="nil"/>
              <w:bottom w:val="single" w:sz="4" w:space="0" w:color="auto"/>
            </w:tcBorders>
            <w:vAlign w:val="center"/>
          </w:tcPr>
          <w:p w14:paraId="41E7726C"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p>
        </w:tc>
        <w:tc>
          <w:tcPr>
            <w:tcW w:w="451" w:type="pct"/>
            <w:vMerge/>
            <w:vAlign w:val="center"/>
          </w:tcPr>
          <w:p w14:paraId="671D6CDA"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p>
        </w:tc>
      </w:tr>
      <w:tr w:rsidR="00027D8D" w:rsidRPr="00816C29" w14:paraId="14B16C7C" w14:textId="77777777" w:rsidTr="00E1262E">
        <w:trPr>
          <w:trHeight w:val="291"/>
        </w:trPr>
        <w:tc>
          <w:tcPr>
            <w:tcW w:w="1568" w:type="pct"/>
            <w:vMerge/>
            <w:tcBorders>
              <w:bottom w:val="single" w:sz="4" w:space="0" w:color="auto"/>
            </w:tcBorders>
            <w:vAlign w:val="center"/>
          </w:tcPr>
          <w:p w14:paraId="034198DF" w14:textId="77777777" w:rsidR="00027D8D" w:rsidRPr="00816C29" w:rsidRDefault="00027D8D" w:rsidP="00E1262E">
            <w:pPr>
              <w:tabs>
                <w:tab w:val="left" w:pos="270"/>
              </w:tabs>
              <w:spacing w:before="80" w:after="80" w:line="240" w:lineRule="auto"/>
              <w:ind w:left="270" w:hanging="270"/>
              <w:jc w:val="center"/>
              <w:rPr>
                <w:rFonts w:ascii="Times New Roman" w:eastAsia="Times New Roman" w:hAnsi="Times New Roman" w:cs="Times New Roman"/>
                <w:color w:val="000000"/>
                <w:kern w:val="0"/>
                <w:lang w:eastAsia="en-IN"/>
              </w:rPr>
            </w:pPr>
          </w:p>
        </w:tc>
        <w:tc>
          <w:tcPr>
            <w:tcW w:w="1132" w:type="pct"/>
            <w:tcBorders>
              <w:bottom w:val="single" w:sz="4" w:space="0" w:color="auto"/>
            </w:tcBorders>
          </w:tcPr>
          <w:p w14:paraId="0692524C"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Total</w:t>
            </w:r>
          </w:p>
        </w:tc>
        <w:tc>
          <w:tcPr>
            <w:tcW w:w="846" w:type="pct"/>
            <w:tcBorders>
              <w:bottom w:val="single" w:sz="4" w:space="0" w:color="auto"/>
            </w:tcBorders>
            <w:vAlign w:val="center"/>
          </w:tcPr>
          <w:p w14:paraId="366BD254"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75189E">
              <w:rPr>
                <w:rFonts w:ascii="Times New Roman" w:eastAsia="Times New Roman" w:hAnsi="Times New Roman" w:cs="Times New Roman"/>
                <w:color w:val="000000"/>
                <w:kern w:val="0"/>
                <w:lang w:eastAsia="en-IN"/>
              </w:rPr>
              <w:t>242709.920</w:t>
            </w:r>
          </w:p>
        </w:tc>
        <w:tc>
          <w:tcPr>
            <w:tcW w:w="344" w:type="pct"/>
            <w:tcBorders>
              <w:bottom w:val="single" w:sz="4" w:space="0" w:color="auto"/>
            </w:tcBorders>
            <w:vAlign w:val="center"/>
          </w:tcPr>
          <w:p w14:paraId="6170AB22"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Pr>
                <w:rFonts w:ascii="Times New Roman" w:eastAsia="Times New Roman" w:hAnsi="Times New Roman" w:cs="Times New Roman"/>
                <w:color w:val="000000"/>
                <w:kern w:val="0"/>
                <w:lang w:eastAsia="en-IN"/>
              </w:rPr>
              <w:t>799</w:t>
            </w:r>
          </w:p>
        </w:tc>
        <w:tc>
          <w:tcPr>
            <w:tcW w:w="659" w:type="pct"/>
            <w:tcBorders>
              <w:bottom w:val="single" w:sz="4" w:space="0" w:color="auto"/>
            </w:tcBorders>
            <w:vAlign w:val="center"/>
          </w:tcPr>
          <w:p w14:paraId="3A6224F9"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p>
        </w:tc>
        <w:tc>
          <w:tcPr>
            <w:tcW w:w="451" w:type="pct"/>
            <w:vMerge/>
            <w:tcBorders>
              <w:bottom w:val="single" w:sz="4" w:space="0" w:color="auto"/>
            </w:tcBorders>
            <w:vAlign w:val="center"/>
          </w:tcPr>
          <w:p w14:paraId="62313454"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p>
        </w:tc>
      </w:tr>
      <w:tr w:rsidR="00027D8D" w:rsidRPr="00816C29" w14:paraId="79AE966B" w14:textId="77777777" w:rsidTr="00E1262E">
        <w:trPr>
          <w:trHeight w:val="291"/>
        </w:trPr>
        <w:tc>
          <w:tcPr>
            <w:tcW w:w="1568" w:type="pct"/>
            <w:vMerge w:val="restart"/>
            <w:hideMark/>
          </w:tcPr>
          <w:p w14:paraId="759B8F16" w14:textId="77777777" w:rsidR="00027D8D" w:rsidRPr="00816C29" w:rsidRDefault="00027D8D" w:rsidP="00E1262E">
            <w:pPr>
              <w:tabs>
                <w:tab w:val="left" w:pos="270"/>
              </w:tabs>
              <w:spacing w:before="80" w:after="80" w:line="240" w:lineRule="auto"/>
              <w:ind w:left="270" w:hanging="270"/>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w:t>
            </w:r>
            <w:r w:rsidRPr="00816C29">
              <w:rPr>
                <w:rFonts w:ascii="Times New Roman" w:eastAsia="Times New Roman" w:hAnsi="Times New Roman" w:cs="Times New Roman"/>
                <w:color w:val="000000"/>
                <w:kern w:val="0"/>
                <w:lang w:eastAsia="en-IN"/>
              </w:rPr>
              <w:tab/>
            </w:r>
            <w:r>
              <w:rPr>
                <w:rFonts w:ascii="Times New Roman" w:eastAsia="Times New Roman" w:hAnsi="Times New Roman" w:cs="Times New Roman"/>
                <w:color w:val="000000"/>
                <w:kern w:val="0"/>
                <w:lang w:eastAsia="en-IN"/>
              </w:rPr>
              <w:t xml:space="preserve">Undersetting of </w:t>
            </w:r>
            <w:r w:rsidRPr="00816C29">
              <w:rPr>
                <w:rFonts w:ascii="Times New Roman" w:eastAsia="Times New Roman" w:hAnsi="Times New Roman" w:cs="Times New Roman"/>
                <w:color w:val="000000"/>
                <w:kern w:val="0"/>
                <w:lang w:eastAsia="en-IN"/>
              </w:rPr>
              <w:t xml:space="preserve">NEP/ITEP </w:t>
            </w:r>
          </w:p>
        </w:tc>
        <w:tc>
          <w:tcPr>
            <w:tcW w:w="1132" w:type="pct"/>
            <w:tcBorders>
              <w:bottom w:val="nil"/>
            </w:tcBorders>
          </w:tcPr>
          <w:p w14:paraId="6BCD281D"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Between groups</w:t>
            </w:r>
          </w:p>
        </w:tc>
        <w:tc>
          <w:tcPr>
            <w:tcW w:w="846" w:type="pct"/>
            <w:tcBorders>
              <w:bottom w:val="nil"/>
            </w:tcBorders>
            <w:hideMark/>
          </w:tcPr>
          <w:p w14:paraId="3888DABE"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145.619</w:t>
            </w:r>
          </w:p>
        </w:tc>
        <w:tc>
          <w:tcPr>
            <w:tcW w:w="344" w:type="pct"/>
            <w:tcBorders>
              <w:bottom w:val="nil"/>
            </w:tcBorders>
            <w:hideMark/>
          </w:tcPr>
          <w:p w14:paraId="753C8EC0"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3</w:t>
            </w:r>
          </w:p>
        </w:tc>
        <w:tc>
          <w:tcPr>
            <w:tcW w:w="659" w:type="pct"/>
            <w:tcBorders>
              <w:bottom w:val="nil"/>
            </w:tcBorders>
            <w:hideMark/>
          </w:tcPr>
          <w:p w14:paraId="2F3D52E3"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48.540</w:t>
            </w:r>
          </w:p>
        </w:tc>
        <w:tc>
          <w:tcPr>
            <w:tcW w:w="451" w:type="pct"/>
            <w:tcBorders>
              <w:bottom w:val="nil"/>
            </w:tcBorders>
            <w:hideMark/>
          </w:tcPr>
          <w:p w14:paraId="5EA1A11C"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0.665</w:t>
            </w:r>
          </w:p>
        </w:tc>
      </w:tr>
      <w:tr w:rsidR="00027D8D" w:rsidRPr="00816C29" w14:paraId="60ABEDAF" w14:textId="77777777" w:rsidTr="00E1262E">
        <w:trPr>
          <w:trHeight w:val="291"/>
        </w:trPr>
        <w:tc>
          <w:tcPr>
            <w:tcW w:w="1568" w:type="pct"/>
            <w:vMerge/>
          </w:tcPr>
          <w:p w14:paraId="39CD929D" w14:textId="77777777" w:rsidR="00027D8D" w:rsidRPr="00816C29" w:rsidRDefault="00027D8D" w:rsidP="00E1262E">
            <w:pPr>
              <w:tabs>
                <w:tab w:val="left" w:pos="270"/>
              </w:tabs>
              <w:spacing w:before="80" w:after="80" w:line="240" w:lineRule="auto"/>
              <w:ind w:left="270" w:hanging="270"/>
              <w:jc w:val="both"/>
              <w:rPr>
                <w:rFonts w:ascii="Times New Roman" w:eastAsia="Times New Roman" w:hAnsi="Times New Roman" w:cs="Times New Roman"/>
                <w:color w:val="000000"/>
                <w:kern w:val="0"/>
                <w:lang w:eastAsia="en-IN"/>
              </w:rPr>
            </w:pPr>
          </w:p>
        </w:tc>
        <w:tc>
          <w:tcPr>
            <w:tcW w:w="1132" w:type="pct"/>
            <w:tcBorders>
              <w:top w:val="nil"/>
            </w:tcBorders>
          </w:tcPr>
          <w:p w14:paraId="1E7E61BC"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Within groups</w:t>
            </w:r>
          </w:p>
        </w:tc>
        <w:tc>
          <w:tcPr>
            <w:tcW w:w="846" w:type="pct"/>
            <w:tcBorders>
              <w:top w:val="nil"/>
            </w:tcBorders>
            <w:hideMark/>
          </w:tcPr>
          <w:p w14:paraId="717834D2"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61840.170</w:t>
            </w:r>
          </w:p>
        </w:tc>
        <w:tc>
          <w:tcPr>
            <w:tcW w:w="344" w:type="pct"/>
            <w:tcBorders>
              <w:top w:val="nil"/>
            </w:tcBorders>
            <w:hideMark/>
          </w:tcPr>
          <w:p w14:paraId="2B8F6017"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796</w:t>
            </w:r>
          </w:p>
        </w:tc>
        <w:tc>
          <w:tcPr>
            <w:tcW w:w="659" w:type="pct"/>
            <w:tcBorders>
              <w:top w:val="nil"/>
            </w:tcBorders>
          </w:tcPr>
          <w:p w14:paraId="36661950"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77.689</w:t>
            </w:r>
          </w:p>
        </w:tc>
        <w:tc>
          <w:tcPr>
            <w:tcW w:w="451" w:type="pct"/>
            <w:tcBorders>
              <w:top w:val="nil"/>
            </w:tcBorders>
          </w:tcPr>
          <w:p w14:paraId="05E5EC6E"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p>
        </w:tc>
      </w:tr>
      <w:tr w:rsidR="00027D8D" w:rsidRPr="00816C29" w14:paraId="5020F1B1" w14:textId="77777777" w:rsidTr="00E1262E">
        <w:trPr>
          <w:trHeight w:val="291"/>
        </w:trPr>
        <w:tc>
          <w:tcPr>
            <w:tcW w:w="1568" w:type="pct"/>
            <w:vMerge/>
            <w:tcBorders>
              <w:bottom w:val="single" w:sz="4" w:space="0" w:color="auto"/>
            </w:tcBorders>
          </w:tcPr>
          <w:p w14:paraId="3ECA357B" w14:textId="77777777" w:rsidR="00027D8D" w:rsidRPr="00816C29" w:rsidRDefault="00027D8D" w:rsidP="00E1262E">
            <w:pPr>
              <w:tabs>
                <w:tab w:val="left" w:pos="270"/>
              </w:tabs>
              <w:spacing w:before="80" w:after="80" w:line="240" w:lineRule="auto"/>
              <w:ind w:left="270" w:hanging="270"/>
              <w:jc w:val="both"/>
              <w:rPr>
                <w:rFonts w:ascii="Times New Roman" w:eastAsia="Times New Roman" w:hAnsi="Times New Roman" w:cs="Times New Roman"/>
                <w:color w:val="000000"/>
                <w:kern w:val="0"/>
                <w:lang w:eastAsia="en-IN"/>
              </w:rPr>
            </w:pPr>
          </w:p>
        </w:tc>
        <w:tc>
          <w:tcPr>
            <w:tcW w:w="1132" w:type="pct"/>
            <w:tcBorders>
              <w:bottom w:val="single" w:sz="4" w:space="0" w:color="auto"/>
            </w:tcBorders>
            <w:hideMark/>
          </w:tcPr>
          <w:p w14:paraId="6E728087"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Total</w:t>
            </w:r>
          </w:p>
        </w:tc>
        <w:tc>
          <w:tcPr>
            <w:tcW w:w="846" w:type="pct"/>
            <w:tcBorders>
              <w:bottom w:val="single" w:sz="4" w:space="0" w:color="auto"/>
            </w:tcBorders>
            <w:hideMark/>
          </w:tcPr>
          <w:p w14:paraId="39B9BADF"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61985.789</w:t>
            </w:r>
          </w:p>
        </w:tc>
        <w:tc>
          <w:tcPr>
            <w:tcW w:w="344" w:type="pct"/>
            <w:tcBorders>
              <w:bottom w:val="single" w:sz="4" w:space="0" w:color="auto"/>
            </w:tcBorders>
            <w:hideMark/>
          </w:tcPr>
          <w:p w14:paraId="2542D25B"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799</w:t>
            </w:r>
          </w:p>
        </w:tc>
        <w:tc>
          <w:tcPr>
            <w:tcW w:w="659" w:type="pct"/>
            <w:tcBorders>
              <w:bottom w:val="single" w:sz="4" w:space="0" w:color="auto"/>
            </w:tcBorders>
          </w:tcPr>
          <w:p w14:paraId="0F8CC2A1"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p>
        </w:tc>
        <w:tc>
          <w:tcPr>
            <w:tcW w:w="451" w:type="pct"/>
            <w:tcBorders>
              <w:bottom w:val="single" w:sz="4" w:space="0" w:color="auto"/>
            </w:tcBorders>
          </w:tcPr>
          <w:p w14:paraId="26135E9A"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p>
        </w:tc>
      </w:tr>
      <w:tr w:rsidR="00027D8D" w:rsidRPr="00816C29" w14:paraId="4E657BE2" w14:textId="77777777" w:rsidTr="00E1262E">
        <w:trPr>
          <w:trHeight w:val="291"/>
        </w:trPr>
        <w:tc>
          <w:tcPr>
            <w:tcW w:w="1568" w:type="pct"/>
            <w:vMerge w:val="restart"/>
            <w:hideMark/>
          </w:tcPr>
          <w:p w14:paraId="1AE4F28A" w14:textId="77777777" w:rsidR="00027D8D" w:rsidRPr="00816C29" w:rsidRDefault="00027D8D" w:rsidP="00E1262E">
            <w:pPr>
              <w:tabs>
                <w:tab w:val="left" w:pos="270"/>
              </w:tabs>
              <w:spacing w:before="80" w:after="80" w:line="240" w:lineRule="auto"/>
              <w:ind w:left="270" w:hanging="270"/>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w:t>
            </w:r>
            <w:r w:rsidRPr="00816C29">
              <w:rPr>
                <w:rFonts w:ascii="Times New Roman" w:eastAsia="Times New Roman" w:hAnsi="Times New Roman" w:cs="Times New Roman"/>
                <w:color w:val="000000"/>
                <w:kern w:val="0"/>
                <w:lang w:eastAsia="en-IN"/>
              </w:rPr>
              <w:tab/>
              <w:t>Faculty Readiness</w:t>
            </w:r>
          </w:p>
        </w:tc>
        <w:tc>
          <w:tcPr>
            <w:tcW w:w="1132" w:type="pct"/>
            <w:tcBorders>
              <w:bottom w:val="nil"/>
            </w:tcBorders>
            <w:hideMark/>
          </w:tcPr>
          <w:p w14:paraId="5C394670"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Between groups</w:t>
            </w:r>
          </w:p>
        </w:tc>
        <w:tc>
          <w:tcPr>
            <w:tcW w:w="846" w:type="pct"/>
            <w:tcBorders>
              <w:bottom w:val="nil"/>
            </w:tcBorders>
            <w:hideMark/>
          </w:tcPr>
          <w:p w14:paraId="1C501A45"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15.940</w:t>
            </w:r>
          </w:p>
        </w:tc>
        <w:tc>
          <w:tcPr>
            <w:tcW w:w="344" w:type="pct"/>
            <w:tcBorders>
              <w:bottom w:val="nil"/>
            </w:tcBorders>
            <w:hideMark/>
          </w:tcPr>
          <w:p w14:paraId="480C8BE7"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3</w:t>
            </w:r>
          </w:p>
        </w:tc>
        <w:tc>
          <w:tcPr>
            <w:tcW w:w="659" w:type="pct"/>
            <w:tcBorders>
              <w:bottom w:val="nil"/>
            </w:tcBorders>
            <w:hideMark/>
          </w:tcPr>
          <w:p w14:paraId="245FF7A8"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5.313</w:t>
            </w:r>
          </w:p>
        </w:tc>
        <w:tc>
          <w:tcPr>
            <w:tcW w:w="451" w:type="pct"/>
            <w:tcBorders>
              <w:bottom w:val="nil"/>
            </w:tcBorders>
            <w:hideMark/>
          </w:tcPr>
          <w:p w14:paraId="10ACC09A"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0.440</w:t>
            </w:r>
          </w:p>
        </w:tc>
      </w:tr>
      <w:tr w:rsidR="00027D8D" w:rsidRPr="00816C29" w14:paraId="77A0971B" w14:textId="77777777" w:rsidTr="00E1262E">
        <w:trPr>
          <w:trHeight w:val="291"/>
        </w:trPr>
        <w:tc>
          <w:tcPr>
            <w:tcW w:w="1568" w:type="pct"/>
            <w:vMerge/>
          </w:tcPr>
          <w:p w14:paraId="264E5FD3" w14:textId="77777777" w:rsidR="00027D8D" w:rsidRPr="00816C29" w:rsidRDefault="00027D8D" w:rsidP="00E1262E">
            <w:pPr>
              <w:tabs>
                <w:tab w:val="left" w:pos="270"/>
              </w:tabs>
              <w:spacing w:before="80" w:after="80" w:line="240" w:lineRule="auto"/>
              <w:ind w:left="270" w:hanging="270"/>
              <w:jc w:val="both"/>
              <w:rPr>
                <w:rFonts w:ascii="Times New Roman" w:eastAsia="Times New Roman" w:hAnsi="Times New Roman" w:cs="Times New Roman"/>
                <w:color w:val="000000"/>
                <w:kern w:val="0"/>
                <w:lang w:eastAsia="en-IN"/>
              </w:rPr>
            </w:pPr>
          </w:p>
        </w:tc>
        <w:tc>
          <w:tcPr>
            <w:tcW w:w="1132" w:type="pct"/>
            <w:tcBorders>
              <w:top w:val="nil"/>
            </w:tcBorders>
            <w:hideMark/>
          </w:tcPr>
          <w:p w14:paraId="27BEE983"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Within groups</w:t>
            </w:r>
          </w:p>
        </w:tc>
        <w:tc>
          <w:tcPr>
            <w:tcW w:w="846" w:type="pct"/>
            <w:tcBorders>
              <w:top w:val="nil"/>
            </w:tcBorders>
            <w:hideMark/>
          </w:tcPr>
          <w:p w14:paraId="6211017B"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9621.809</w:t>
            </w:r>
          </w:p>
        </w:tc>
        <w:tc>
          <w:tcPr>
            <w:tcW w:w="344" w:type="pct"/>
            <w:tcBorders>
              <w:top w:val="nil"/>
            </w:tcBorders>
            <w:hideMark/>
          </w:tcPr>
          <w:p w14:paraId="4172C30B"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796</w:t>
            </w:r>
          </w:p>
        </w:tc>
        <w:tc>
          <w:tcPr>
            <w:tcW w:w="659" w:type="pct"/>
            <w:tcBorders>
              <w:top w:val="nil"/>
            </w:tcBorders>
          </w:tcPr>
          <w:p w14:paraId="6AB16465"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12.088</w:t>
            </w:r>
          </w:p>
        </w:tc>
        <w:tc>
          <w:tcPr>
            <w:tcW w:w="451" w:type="pct"/>
            <w:tcBorders>
              <w:top w:val="nil"/>
            </w:tcBorders>
          </w:tcPr>
          <w:p w14:paraId="32656A02"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p>
        </w:tc>
      </w:tr>
      <w:tr w:rsidR="00027D8D" w:rsidRPr="00816C29" w14:paraId="250B0A04" w14:textId="77777777" w:rsidTr="00E1262E">
        <w:trPr>
          <w:trHeight w:val="291"/>
        </w:trPr>
        <w:tc>
          <w:tcPr>
            <w:tcW w:w="1568" w:type="pct"/>
            <w:vMerge/>
            <w:tcBorders>
              <w:bottom w:val="single" w:sz="4" w:space="0" w:color="auto"/>
            </w:tcBorders>
          </w:tcPr>
          <w:p w14:paraId="66D1D27A" w14:textId="77777777" w:rsidR="00027D8D" w:rsidRPr="00816C29" w:rsidRDefault="00027D8D" w:rsidP="00E1262E">
            <w:pPr>
              <w:tabs>
                <w:tab w:val="left" w:pos="270"/>
              </w:tabs>
              <w:spacing w:before="80" w:after="80" w:line="240" w:lineRule="auto"/>
              <w:ind w:left="270" w:hanging="270"/>
              <w:jc w:val="both"/>
              <w:rPr>
                <w:rFonts w:ascii="Times New Roman" w:eastAsia="Times New Roman" w:hAnsi="Times New Roman" w:cs="Times New Roman"/>
                <w:color w:val="000000"/>
                <w:kern w:val="0"/>
                <w:lang w:eastAsia="en-IN"/>
              </w:rPr>
            </w:pPr>
          </w:p>
        </w:tc>
        <w:tc>
          <w:tcPr>
            <w:tcW w:w="1132" w:type="pct"/>
            <w:tcBorders>
              <w:bottom w:val="single" w:sz="4" w:space="0" w:color="auto"/>
            </w:tcBorders>
            <w:hideMark/>
          </w:tcPr>
          <w:p w14:paraId="1A849346"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Total</w:t>
            </w:r>
          </w:p>
        </w:tc>
        <w:tc>
          <w:tcPr>
            <w:tcW w:w="846" w:type="pct"/>
            <w:tcBorders>
              <w:bottom w:val="single" w:sz="4" w:space="0" w:color="auto"/>
            </w:tcBorders>
            <w:hideMark/>
          </w:tcPr>
          <w:p w14:paraId="6B12AF0E"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9637.749</w:t>
            </w:r>
          </w:p>
        </w:tc>
        <w:tc>
          <w:tcPr>
            <w:tcW w:w="344" w:type="pct"/>
            <w:tcBorders>
              <w:bottom w:val="single" w:sz="4" w:space="0" w:color="auto"/>
            </w:tcBorders>
            <w:hideMark/>
          </w:tcPr>
          <w:p w14:paraId="46D2A8FE"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799</w:t>
            </w:r>
          </w:p>
        </w:tc>
        <w:tc>
          <w:tcPr>
            <w:tcW w:w="659" w:type="pct"/>
            <w:tcBorders>
              <w:bottom w:val="single" w:sz="4" w:space="0" w:color="auto"/>
            </w:tcBorders>
          </w:tcPr>
          <w:p w14:paraId="1AA9EA53"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p>
        </w:tc>
        <w:tc>
          <w:tcPr>
            <w:tcW w:w="451" w:type="pct"/>
            <w:tcBorders>
              <w:bottom w:val="single" w:sz="4" w:space="0" w:color="auto"/>
            </w:tcBorders>
          </w:tcPr>
          <w:p w14:paraId="038F21A9"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p>
        </w:tc>
      </w:tr>
      <w:tr w:rsidR="00027D8D" w:rsidRPr="00816C29" w14:paraId="7B8EB364" w14:textId="77777777" w:rsidTr="00E1262E">
        <w:trPr>
          <w:trHeight w:val="291"/>
        </w:trPr>
        <w:tc>
          <w:tcPr>
            <w:tcW w:w="1568" w:type="pct"/>
            <w:vMerge w:val="restart"/>
            <w:hideMark/>
          </w:tcPr>
          <w:p w14:paraId="338C0914" w14:textId="77777777" w:rsidR="00027D8D" w:rsidRPr="00816C29" w:rsidRDefault="00027D8D" w:rsidP="00E1262E">
            <w:pPr>
              <w:tabs>
                <w:tab w:val="left" w:pos="270"/>
              </w:tabs>
              <w:spacing w:before="80" w:after="80" w:line="240" w:lineRule="auto"/>
              <w:ind w:left="270" w:hanging="270"/>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3-</w:t>
            </w:r>
            <w:r w:rsidRPr="00816C29">
              <w:rPr>
                <w:rFonts w:ascii="Times New Roman" w:eastAsia="Times New Roman" w:hAnsi="Times New Roman" w:cs="Times New Roman"/>
                <w:color w:val="000000"/>
                <w:kern w:val="0"/>
                <w:lang w:eastAsia="en-IN"/>
              </w:rPr>
              <w:tab/>
              <w:t>Administrative Readiness</w:t>
            </w:r>
          </w:p>
        </w:tc>
        <w:tc>
          <w:tcPr>
            <w:tcW w:w="1132" w:type="pct"/>
            <w:tcBorders>
              <w:bottom w:val="nil"/>
            </w:tcBorders>
            <w:hideMark/>
          </w:tcPr>
          <w:p w14:paraId="1E452500"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Between groups</w:t>
            </w:r>
          </w:p>
        </w:tc>
        <w:tc>
          <w:tcPr>
            <w:tcW w:w="846" w:type="pct"/>
            <w:tcBorders>
              <w:bottom w:val="nil"/>
            </w:tcBorders>
            <w:hideMark/>
          </w:tcPr>
          <w:p w14:paraId="5DA93795"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167.813</w:t>
            </w:r>
          </w:p>
        </w:tc>
        <w:tc>
          <w:tcPr>
            <w:tcW w:w="344" w:type="pct"/>
            <w:tcBorders>
              <w:bottom w:val="nil"/>
            </w:tcBorders>
            <w:hideMark/>
          </w:tcPr>
          <w:p w14:paraId="3FC62D04"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3</w:t>
            </w:r>
          </w:p>
        </w:tc>
        <w:tc>
          <w:tcPr>
            <w:tcW w:w="659" w:type="pct"/>
            <w:tcBorders>
              <w:bottom w:val="nil"/>
            </w:tcBorders>
            <w:hideMark/>
          </w:tcPr>
          <w:p w14:paraId="30B9BCC9"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55.938</w:t>
            </w:r>
          </w:p>
        </w:tc>
        <w:tc>
          <w:tcPr>
            <w:tcW w:w="451" w:type="pct"/>
            <w:tcBorders>
              <w:bottom w:val="nil"/>
            </w:tcBorders>
            <w:hideMark/>
          </w:tcPr>
          <w:p w14:paraId="608C25B0"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5.38*</w:t>
            </w:r>
          </w:p>
        </w:tc>
      </w:tr>
      <w:tr w:rsidR="00027D8D" w:rsidRPr="00816C29" w14:paraId="464889CB" w14:textId="77777777" w:rsidTr="00E1262E">
        <w:trPr>
          <w:trHeight w:val="291"/>
        </w:trPr>
        <w:tc>
          <w:tcPr>
            <w:tcW w:w="1568" w:type="pct"/>
            <w:vMerge/>
          </w:tcPr>
          <w:p w14:paraId="2C84F718" w14:textId="77777777" w:rsidR="00027D8D" w:rsidRPr="00816C29" w:rsidRDefault="00027D8D" w:rsidP="00E1262E">
            <w:pPr>
              <w:tabs>
                <w:tab w:val="left" w:pos="270"/>
              </w:tabs>
              <w:spacing w:before="80" w:after="80" w:line="240" w:lineRule="auto"/>
              <w:ind w:left="270" w:hanging="270"/>
              <w:jc w:val="both"/>
              <w:rPr>
                <w:rFonts w:ascii="Times New Roman" w:eastAsia="Times New Roman" w:hAnsi="Times New Roman" w:cs="Times New Roman"/>
                <w:color w:val="000000"/>
                <w:kern w:val="0"/>
                <w:lang w:eastAsia="en-IN"/>
              </w:rPr>
            </w:pPr>
          </w:p>
        </w:tc>
        <w:tc>
          <w:tcPr>
            <w:tcW w:w="1132" w:type="pct"/>
            <w:tcBorders>
              <w:top w:val="nil"/>
            </w:tcBorders>
            <w:hideMark/>
          </w:tcPr>
          <w:p w14:paraId="04081FA0"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Within groups</w:t>
            </w:r>
          </w:p>
        </w:tc>
        <w:tc>
          <w:tcPr>
            <w:tcW w:w="846" w:type="pct"/>
            <w:tcBorders>
              <w:top w:val="nil"/>
            </w:tcBorders>
            <w:hideMark/>
          </w:tcPr>
          <w:p w14:paraId="46B1F0AD"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8276.676</w:t>
            </w:r>
          </w:p>
        </w:tc>
        <w:tc>
          <w:tcPr>
            <w:tcW w:w="344" w:type="pct"/>
            <w:tcBorders>
              <w:top w:val="nil"/>
            </w:tcBorders>
            <w:hideMark/>
          </w:tcPr>
          <w:p w14:paraId="336AF57D"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796</w:t>
            </w:r>
          </w:p>
        </w:tc>
        <w:tc>
          <w:tcPr>
            <w:tcW w:w="659" w:type="pct"/>
            <w:tcBorders>
              <w:top w:val="nil"/>
            </w:tcBorders>
          </w:tcPr>
          <w:p w14:paraId="295891AE"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10.398</w:t>
            </w:r>
          </w:p>
        </w:tc>
        <w:tc>
          <w:tcPr>
            <w:tcW w:w="451" w:type="pct"/>
            <w:tcBorders>
              <w:top w:val="nil"/>
            </w:tcBorders>
          </w:tcPr>
          <w:p w14:paraId="45D98ED0"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p>
        </w:tc>
      </w:tr>
      <w:tr w:rsidR="00027D8D" w:rsidRPr="00816C29" w14:paraId="50F8D8CC" w14:textId="77777777" w:rsidTr="00E1262E">
        <w:trPr>
          <w:trHeight w:val="56"/>
        </w:trPr>
        <w:tc>
          <w:tcPr>
            <w:tcW w:w="1568" w:type="pct"/>
            <w:vMerge/>
            <w:tcBorders>
              <w:bottom w:val="single" w:sz="4" w:space="0" w:color="auto"/>
            </w:tcBorders>
          </w:tcPr>
          <w:p w14:paraId="67DB0E7B" w14:textId="77777777" w:rsidR="00027D8D" w:rsidRPr="00816C29" w:rsidRDefault="00027D8D" w:rsidP="00E1262E">
            <w:pPr>
              <w:tabs>
                <w:tab w:val="left" w:pos="270"/>
              </w:tabs>
              <w:spacing w:before="80" w:after="80" w:line="240" w:lineRule="auto"/>
              <w:ind w:left="270" w:hanging="270"/>
              <w:jc w:val="both"/>
              <w:rPr>
                <w:rFonts w:ascii="Times New Roman" w:eastAsia="Times New Roman" w:hAnsi="Times New Roman" w:cs="Times New Roman"/>
                <w:color w:val="000000"/>
                <w:kern w:val="0"/>
                <w:lang w:eastAsia="en-IN"/>
              </w:rPr>
            </w:pPr>
          </w:p>
        </w:tc>
        <w:tc>
          <w:tcPr>
            <w:tcW w:w="1132" w:type="pct"/>
            <w:tcBorders>
              <w:bottom w:val="single" w:sz="4" w:space="0" w:color="auto"/>
            </w:tcBorders>
            <w:hideMark/>
          </w:tcPr>
          <w:p w14:paraId="59C76770"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Total</w:t>
            </w:r>
          </w:p>
        </w:tc>
        <w:tc>
          <w:tcPr>
            <w:tcW w:w="846" w:type="pct"/>
            <w:tcBorders>
              <w:bottom w:val="single" w:sz="4" w:space="0" w:color="auto"/>
            </w:tcBorders>
            <w:hideMark/>
          </w:tcPr>
          <w:p w14:paraId="51D81CF6"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8444.489</w:t>
            </w:r>
          </w:p>
        </w:tc>
        <w:tc>
          <w:tcPr>
            <w:tcW w:w="344" w:type="pct"/>
            <w:tcBorders>
              <w:bottom w:val="single" w:sz="4" w:space="0" w:color="auto"/>
            </w:tcBorders>
            <w:hideMark/>
          </w:tcPr>
          <w:p w14:paraId="6ADBEB12"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799</w:t>
            </w:r>
          </w:p>
        </w:tc>
        <w:tc>
          <w:tcPr>
            <w:tcW w:w="659" w:type="pct"/>
            <w:tcBorders>
              <w:bottom w:val="single" w:sz="4" w:space="0" w:color="auto"/>
            </w:tcBorders>
          </w:tcPr>
          <w:p w14:paraId="11D60C5A"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p>
        </w:tc>
        <w:tc>
          <w:tcPr>
            <w:tcW w:w="451" w:type="pct"/>
            <w:tcBorders>
              <w:bottom w:val="single" w:sz="4" w:space="0" w:color="auto"/>
            </w:tcBorders>
          </w:tcPr>
          <w:p w14:paraId="5BA48115"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p>
        </w:tc>
      </w:tr>
      <w:tr w:rsidR="00027D8D" w:rsidRPr="00816C29" w14:paraId="60633204" w14:textId="77777777" w:rsidTr="00E1262E">
        <w:trPr>
          <w:trHeight w:val="291"/>
        </w:trPr>
        <w:tc>
          <w:tcPr>
            <w:tcW w:w="1568" w:type="pct"/>
            <w:vMerge w:val="restart"/>
            <w:tcBorders>
              <w:bottom w:val="nil"/>
            </w:tcBorders>
          </w:tcPr>
          <w:p w14:paraId="75A1DF99" w14:textId="77777777" w:rsidR="00027D8D" w:rsidRPr="00816C29" w:rsidRDefault="00027D8D" w:rsidP="00E1262E">
            <w:pPr>
              <w:tabs>
                <w:tab w:val="left" w:pos="270"/>
              </w:tabs>
              <w:spacing w:before="80" w:after="80" w:line="240" w:lineRule="auto"/>
              <w:ind w:left="270" w:hanging="270"/>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4-</w:t>
            </w:r>
            <w:r w:rsidRPr="00816C29">
              <w:rPr>
                <w:rFonts w:ascii="Times New Roman" w:eastAsia="Times New Roman" w:hAnsi="Times New Roman" w:cs="Times New Roman"/>
                <w:color w:val="000000"/>
                <w:kern w:val="0"/>
                <w:lang w:eastAsia="en-IN"/>
              </w:rPr>
              <w:tab/>
              <w:t>Institutional preparedness and Infrastructural readiness</w:t>
            </w:r>
          </w:p>
        </w:tc>
        <w:tc>
          <w:tcPr>
            <w:tcW w:w="1132" w:type="pct"/>
            <w:tcBorders>
              <w:bottom w:val="nil"/>
            </w:tcBorders>
          </w:tcPr>
          <w:p w14:paraId="5E0BFA73"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Between groups</w:t>
            </w:r>
          </w:p>
        </w:tc>
        <w:tc>
          <w:tcPr>
            <w:tcW w:w="846" w:type="pct"/>
            <w:tcBorders>
              <w:bottom w:val="nil"/>
            </w:tcBorders>
          </w:tcPr>
          <w:p w14:paraId="0C93F003"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156.534</w:t>
            </w:r>
          </w:p>
        </w:tc>
        <w:tc>
          <w:tcPr>
            <w:tcW w:w="344" w:type="pct"/>
            <w:tcBorders>
              <w:bottom w:val="nil"/>
            </w:tcBorders>
          </w:tcPr>
          <w:p w14:paraId="226B5B97"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3</w:t>
            </w:r>
          </w:p>
        </w:tc>
        <w:tc>
          <w:tcPr>
            <w:tcW w:w="659" w:type="pct"/>
            <w:tcBorders>
              <w:bottom w:val="nil"/>
            </w:tcBorders>
          </w:tcPr>
          <w:p w14:paraId="0BA561B0"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52.178</w:t>
            </w:r>
          </w:p>
        </w:tc>
        <w:tc>
          <w:tcPr>
            <w:tcW w:w="451" w:type="pct"/>
            <w:tcBorders>
              <w:bottom w:val="nil"/>
            </w:tcBorders>
          </w:tcPr>
          <w:p w14:paraId="62A14865"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1.92</w:t>
            </w:r>
          </w:p>
        </w:tc>
      </w:tr>
      <w:tr w:rsidR="00027D8D" w:rsidRPr="00816C29" w14:paraId="1BA7047C" w14:textId="77777777" w:rsidTr="00E1262E">
        <w:trPr>
          <w:trHeight w:val="291"/>
        </w:trPr>
        <w:tc>
          <w:tcPr>
            <w:tcW w:w="1568" w:type="pct"/>
            <w:vMerge/>
            <w:tcBorders>
              <w:top w:val="nil"/>
            </w:tcBorders>
          </w:tcPr>
          <w:p w14:paraId="5882AFCC" w14:textId="77777777" w:rsidR="00027D8D" w:rsidRPr="00816C29" w:rsidRDefault="00027D8D" w:rsidP="00E1262E">
            <w:pPr>
              <w:tabs>
                <w:tab w:val="left" w:pos="270"/>
              </w:tabs>
              <w:spacing w:before="80" w:after="80" w:line="240" w:lineRule="auto"/>
              <w:ind w:left="270" w:hanging="270"/>
              <w:jc w:val="both"/>
              <w:rPr>
                <w:rFonts w:ascii="Times New Roman" w:eastAsia="Times New Roman" w:hAnsi="Times New Roman" w:cs="Times New Roman"/>
                <w:color w:val="000000"/>
                <w:kern w:val="0"/>
                <w:lang w:eastAsia="en-IN"/>
              </w:rPr>
            </w:pPr>
          </w:p>
        </w:tc>
        <w:tc>
          <w:tcPr>
            <w:tcW w:w="1132" w:type="pct"/>
            <w:tcBorders>
              <w:top w:val="nil"/>
            </w:tcBorders>
            <w:hideMark/>
          </w:tcPr>
          <w:p w14:paraId="289F17FA"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Within groups</w:t>
            </w:r>
          </w:p>
        </w:tc>
        <w:tc>
          <w:tcPr>
            <w:tcW w:w="846" w:type="pct"/>
            <w:tcBorders>
              <w:top w:val="nil"/>
            </w:tcBorders>
            <w:hideMark/>
          </w:tcPr>
          <w:p w14:paraId="7A6796C0"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21615.314</w:t>
            </w:r>
          </w:p>
        </w:tc>
        <w:tc>
          <w:tcPr>
            <w:tcW w:w="344" w:type="pct"/>
            <w:tcBorders>
              <w:top w:val="nil"/>
            </w:tcBorders>
            <w:hideMark/>
          </w:tcPr>
          <w:p w14:paraId="730F4825"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796</w:t>
            </w:r>
          </w:p>
        </w:tc>
        <w:tc>
          <w:tcPr>
            <w:tcW w:w="659" w:type="pct"/>
            <w:tcBorders>
              <w:top w:val="nil"/>
            </w:tcBorders>
          </w:tcPr>
          <w:p w14:paraId="2C4FB226"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27.155</w:t>
            </w:r>
          </w:p>
        </w:tc>
        <w:tc>
          <w:tcPr>
            <w:tcW w:w="451" w:type="pct"/>
            <w:tcBorders>
              <w:top w:val="nil"/>
            </w:tcBorders>
          </w:tcPr>
          <w:p w14:paraId="08721547"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p>
        </w:tc>
      </w:tr>
      <w:tr w:rsidR="00027D8D" w:rsidRPr="00816C29" w14:paraId="1FBAF089" w14:textId="77777777" w:rsidTr="00E1262E">
        <w:trPr>
          <w:trHeight w:val="56"/>
        </w:trPr>
        <w:tc>
          <w:tcPr>
            <w:tcW w:w="1568" w:type="pct"/>
            <w:vMerge/>
            <w:tcBorders>
              <w:bottom w:val="single" w:sz="4" w:space="0" w:color="auto"/>
            </w:tcBorders>
          </w:tcPr>
          <w:p w14:paraId="7163CBA8" w14:textId="77777777" w:rsidR="00027D8D" w:rsidRPr="00816C29" w:rsidRDefault="00027D8D" w:rsidP="00E1262E">
            <w:pPr>
              <w:tabs>
                <w:tab w:val="left" w:pos="270"/>
              </w:tabs>
              <w:spacing w:before="80" w:after="80" w:line="240" w:lineRule="auto"/>
              <w:ind w:left="270" w:hanging="270"/>
              <w:jc w:val="both"/>
              <w:rPr>
                <w:rFonts w:ascii="Times New Roman" w:eastAsia="Times New Roman" w:hAnsi="Times New Roman" w:cs="Times New Roman"/>
                <w:color w:val="000000"/>
                <w:kern w:val="0"/>
                <w:lang w:eastAsia="en-IN"/>
              </w:rPr>
            </w:pPr>
          </w:p>
        </w:tc>
        <w:tc>
          <w:tcPr>
            <w:tcW w:w="1132" w:type="pct"/>
            <w:tcBorders>
              <w:bottom w:val="single" w:sz="4" w:space="0" w:color="auto"/>
            </w:tcBorders>
            <w:hideMark/>
          </w:tcPr>
          <w:p w14:paraId="1C88D83B"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Total</w:t>
            </w:r>
          </w:p>
        </w:tc>
        <w:tc>
          <w:tcPr>
            <w:tcW w:w="846" w:type="pct"/>
            <w:tcBorders>
              <w:bottom w:val="single" w:sz="4" w:space="0" w:color="auto"/>
            </w:tcBorders>
            <w:hideMark/>
          </w:tcPr>
          <w:p w14:paraId="48DC0E00"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21771.849</w:t>
            </w:r>
          </w:p>
        </w:tc>
        <w:tc>
          <w:tcPr>
            <w:tcW w:w="344" w:type="pct"/>
            <w:tcBorders>
              <w:bottom w:val="single" w:sz="4" w:space="0" w:color="auto"/>
            </w:tcBorders>
            <w:hideMark/>
          </w:tcPr>
          <w:p w14:paraId="3D11E32D"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799</w:t>
            </w:r>
          </w:p>
        </w:tc>
        <w:tc>
          <w:tcPr>
            <w:tcW w:w="659" w:type="pct"/>
            <w:tcBorders>
              <w:bottom w:val="single" w:sz="4" w:space="0" w:color="auto"/>
            </w:tcBorders>
          </w:tcPr>
          <w:p w14:paraId="724512A1"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p>
        </w:tc>
        <w:tc>
          <w:tcPr>
            <w:tcW w:w="451" w:type="pct"/>
            <w:tcBorders>
              <w:bottom w:val="single" w:sz="4" w:space="0" w:color="auto"/>
            </w:tcBorders>
          </w:tcPr>
          <w:p w14:paraId="5EE8B029"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p>
        </w:tc>
      </w:tr>
      <w:tr w:rsidR="00027D8D" w:rsidRPr="00816C29" w14:paraId="2769FCFC" w14:textId="77777777" w:rsidTr="00E1262E">
        <w:trPr>
          <w:trHeight w:val="291"/>
        </w:trPr>
        <w:tc>
          <w:tcPr>
            <w:tcW w:w="1568" w:type="pct"/>
            <w:vMerge w:val="restart"/>
            <w:hideMark/>
          </w:tcPr>
          <w:p w14:paraId="61AA70DD" w14:textId="77777777" w:rsidR="00027D8D" w:rsidRPr="00816C29" w:rsidRDefault="00027D8D" w:rsidP="00E1262E">
            <w:pPr>
              <w:tabs>
                <w:tab w:val="left" w:pos="270"/>
              </w:tabs>
              <w:spacing w:before="80" w:after="80" w:line="240" w:lineRule="auto"/>
              <w:ind w:left="270" w:hanging="270"/>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5-</w:t>
            </w:r>
            <w:r w:rsidRPr="00816C29">
              <w:rPr>
                <w:rFonts w:ascii="Times New Roman" w:eastAsia="Times New Roman" w:hAnsi="Times New Roman" w:cs="Times New Roman"/>
                <w:color w:val="000000"/>
                <w:kern w:val="0"/>
                <w:lang w:eastAsia="en-IN"/>
              </w:rPr>
              <w:tab/>
            </w:r>
            <w:r>
              <w:rPr>
                <w:rFonts w:ascii="Times New Roman" w:eastAsia="Times New Roman" w:hAnsi="Times New Roman" w:cs="Times New Roman"/>
                <w:color w:val="000000"/>
                <w:kern w:val="0"/>
                <w:lang w:eastAsia="en-IN"/>
              </w:rPr>
              <w:t>Opportunities and Challenegs</w:t>
            </w:r>
          </w:p>
        </w:tc>
        <w:tc>
          <w:tcPr>
            <w:tcW w:w="1132" w:type="pct"/>
            <w:tcBorders>
              <w:bottom w:val="nil"/>
            </w:tcBorders>
            <w:hideMark/>
          </w:tcPr>
          <w:p w14:paraId="62B8B7DB"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Between groups</w:t>
            </w:r>
          </w:p>
        </w:tc>
        <w:tc>
          <w:tcPr>
            <w:tcW w:w="846" w:type="pct"/>
            <w:tcBorders>
              <w:bottom w:val="nil"/>
            </w:tcBorders>
            <w:hideMark/>
          </w:tcPr>
          <w:p w14:paraId="63724A23"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76.099</w:t>
            </w:r>
          </w:p>
        </w:tc>
        <w:tc>
          <w:tcPr>
            <w:tcW w:w="344" w:type="pct"/>
            <w:tcBorders>
              <w:bottom w:val="nil"/>
            </w:tcBorders>
            <w:hideMark/>
          </w:tcPr>
          <w:p w14:paraId="32930B0A"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3</w:t>
            </w:r>
          </w:p>
        </w:tc>
        <w:tc>
          <w:tcPr>
            <w:tcW w:w="659" w:type="pct"/>
            <w:tcBorders>
              <w:bottom w:val="nil"/>
            </w:tcBorders>
            <w:hideMark/>
          </w:tcPr>
          <w:p w14:paraId="4E1B4ECE"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25.366</w:t>
            </w:r>
          </w:p>
        </w:tc>
        <w:tc>
          <w:tcPr>
            <w:tcW w:w="451" w:type="pct"/>
            <w:tcBorders>
              <w:bottom w:val="nil"/>
            </w:tcBorders>
            <w:hideMark/>
          </w:tcPr>
          <w:p w14:paraId="08AB1C51"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2.31</w:t>
            </w:r>
          </w:p>
        </w:tc>
      </w:tr>
      <w:tr w:rsidR="00027D8D" w:rsidRPr="00816C29" w14:paraId="15315695" w14:textId="77777777" w:rsidTr="00E1262E">
        <w:trPr>
          <w:trHeight w:val="291"/>
        </w:trPr>
        <w:tc>
          <w:tcPr>
            <w:tcW w:w="1568" w:type="pct"/>
            <w:vMerge/>
          </w:tcPr>
          <w:p w14:paraId="281B13CF" w14:textId="77777777" w:rsidR="00027D8D" w:rsidRPr="00816C29" w:rsidRDefault="00027D8D" w:rsidP="00E1262E">
            <w:pPr>
              <w:tabs>
                <w:tab w:val="left" w:pos="270"/>
              </w:tabs>
              <w:spacing w:before="80" w:after="80" w:line="240" w:lineRule="auto"/>
              <w:ind w:left="270" w:hanging="270"/>
              <w:jc w:val="both"/>
              <w:rPr>
                <w:rFonts w:ascii="Times New Roman" w:eastAsia="Times New Roman" w:hAnsi="Times New Roman" w:cs="Times New Roman"/>
                <w:color w:val="000000"/>
                <w:kern w:val="0"/>
                <w:lang w:eastAsia="en-IN"/>
              </w:rPr>
            </w:pPr>
          </w:p>
        </w:tc>
        <w:tc>
          <w:tcPr>
            <w:tcW w:w="1132" w:type="pct"/>
            <w:tcBorders>
              <w:top w:val="nil"/>
            </w:tcBorders>
            <w:hideMark/>
          </w:tcPr>
          <w:p w14:paraId="31D3B1E2"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Within groups</w:t>
            </w:r>
          </w:p>
        </w:tc>
        <w:tc>
          <w:tcPr>
            <w:tcW w:w="846" w:type="pct"/>
            <w:tcBorders>
              <w:top w:val="nil"/>
            </w:tcBorders>
            <w:hideMark/>
          </w:tcPr>
          <w:p w14:paraId="215C0218"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8748.296</w:t>
            </w:r>
          </w:p>
        </w:tc>
        <w:tc>
          <w:tcPr>
            <w:tcW w:w="344" w:type="pct"/>
            <w:tcBorders>
              <w:top w:val="nil"/>
            </w:tcBorders>
            <w:hideMark/>
          </w:tcPr>
          <w:p w14:paraId="61C92823"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796</w:t>
            </w:r>
          </w:p>
        </w:tc>
        <w:tc>
          <w:tcPr>
            <w:tcW w:w="659" w:type="pct"/>
            <w:tcBorders>
              <w:top w:val="nil"/>
            </w:tcBorders>
          </w:tcPr>
          <w:p w14:paraId="7D15A33F"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10.990</w:t>
            </w:r>
          </w:p>
        </w:tc>
        <w:tc>
          <w:tcPr>
            <w:tcW w:w="451" w:type="pct"/>
            <w:tcBorders>
              <w:top w:val="nil"/>
            </w:tcBorders>
          </w:tcPr>
          <w:p w14:paraId="4224B49A"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p>
        </w:tc>
      </w:tr>
      <w:tr w:rsidR="00027D8D" w:rsidRPr="00816C29" w14:paraId="16EA8F04" w14:textId="77777777" w:rsidTr="00E1262E">
        <w:trPr>
          <w:trHeight w:val="291"/>
        </w:trPr>
        <w:tc>
          <w:tcPr>
            <w:tcW w:w="1568" w:type="pct"/>
            <w:vMerge/>
          </w:tcPr>
          <w:p w14:paraId="20D3556B" w14:textId="77777777" w:rsidR="00027D8D" w:rsidRPr="00816C29" w:rsidRDefault="00027D8D" w:rsidP="00E1262E">
            <w:pPr>
              <w:tabs>
                <w:tab w:val="left" w:pos="270"/>
              </w:tabs>
              <w:spacing w:before="80" w:after="80" w:line="240" w:lineRule="auto"/>
              <w:ind w:left="270" w:hanging="270"/>
              <w:jc w:val="both"/>
              <w:rPr>
                <w:rFonts w:ascii="Times New Roman" w:eastAsia="Times New Roman" w:hAnsi="Times New Roman" w:cs="Times New Roman"/>
                <w:color w:val="000000"/>
                <w:kern w:val="0"/>
                <w:lang w:eastAsia="en-IN"/>
              </w:rPr>
            </w:pPr>
          </w:p>
        </w:tc>
        <w:tc>
          <w:tcPr>
            <w:tcW w:w="1132" w:type="pct"/>
            <w:hideMark/>
          </w:tcPr>
          <w:p w14:paraId="6680A1B1"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Total</w:t>
            </w:r>
          </w:p>
        </w:tc>
        <w:tc>
          <w:tcPr>
            <w:tcW w:w="846" w:type="pct"/>
            <w:hideMark/>
          </w:tcPr>
          <w:p w14:paraId="6FC7E980" w14:textId="77777777" w:rsidR="00027D8D" w:rsidRPr="00816C29" w:rsidRDefault="00027D8D"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8824.395</w:t>
            </w:r>
          </w:p>
        </w:tc>
        <w:tc>
          <w:tcPr>
            <w:tcW w:w="344" w:type="pct"/>
            <w:hideMark/>
          </w:tcPr>
          <w:p w14:paraId="6355CA69"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799</w:t>
            </w:r>
          </w:p>
        </w:tc>
        <w:tc>
          <w:tcPr>
            <w:tcW w:w="659" w:type="pct"/>
          </w:tcPr>
          <w:p w14:paraId="6D43022C"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p>
        </w:tc>
        <w:tc>
          <w:tcPr>
            <w:tcW w:w="451" w:type="pct"/>
          </w:tcPr>
          <w:p w14:paraId="3EB73EA1" w14:textId="77777777" w:rsidR="00027D8D" w:rsidRPr="00816C29" w:rsidRDefault="00027D8D" w:rsidP="00E1262E">
            <w:pPr>
              <w:spacing w:before="80" w:after="80" w:line="240" w:lineRule="auto"/>
              <w:jc w:val="center"/>
              <w:rPr>
                <w:rFonts w:ascii="Times New Roman" w:eastAsia="Times New Roman" w:hAnsi="Times New Roman" w:cs="Times New Roman"/>
                <w:color w:val="000000"/>
                <w:kern w:val="0"/>
                <w:lang w:eastAsia="en-IN"/>
              </w:rPr>
            </w:pPr>
          </w:p>
        </w:tc>
      </w:tr>
    </w:tbl>
    <w:p w14:paraId="5AAD2BA2" w14:textId="74426940" w:rsidR="00027D8D" w:rsidRDefault="000D2DB9" w:rsidP="00BC30F4">
      <w:pPr>
        <w:jc w:val="both"/>
        <w:rPr>
          <w:rFonts w:ascii="Times New Roman" w:hAnsi="Times New Roman" w:cs="Times New Roman"/>
        </w:rPr>
      </w:pPr>
      <w:r w:rsidRPr="000D2DB9">
        <w:rPr>
          <w:rFonts w:ascii="Times New Roman" w:hAnsi="Times New Roman" w:cs="Times New Roman"/>
        </w:rPr>
        <w:t xml:space="preserve">Table </w:t>
      </w:r>
      <w:r>
        <w:rPr>
          <w:rFonts w:ascii="Times New Roman" w:hAnsi="Times New Roman" w:cs="Times New Roman"/>
        </w:rPr>
        <w:t>3</w:t>
      </w:r>
      <w:r w:rsidRPr="000D2DB9">
        <w:rPr>
          <w:rFonts w:ascii="Times New Roman" w:hAnsi="Times New Roman" w:cs="Times New Roman"/>
        </w:rPr>
        <w:t xml:space="preserve"> presents the results of the one-way Analysis of Variance (ANOVA) conducted to examine whether teacher educators belonging to different categories of teaching experience differ in their perception regarding the implementation of ITEP in alignment with NEP 2020. The obtained F-value for the overall perception score was found to be non-significant at the 0.05 level, indicating that teacher educators with varying years of teaching experience hold similar perceptions regarding ITEP implementation. Likewise, no significant differences were observed in the dimensions of Understanding of NEP/ITEP, Faculty Readiness, Institutional Preparedness and Infrastructural Readiness, and Opportunities and Challenges. However, a significant difference was found in the dimension of Administrative Readiness (F = 5.38, p &lt; .05), suggesting that perceptions regarding administrative preparedness vary across different experience groups. Overall, the findings indicate that teaching experience does not significantly influence teacher educators’ perception of ITEP implementation, except in the area of administrative readiness, where experienced teacher educators appear to differ in their assessment of institutional preparedness and support.</w:t>
      </w:r>
    </w:p>
    <w:p w14:paraId="31C4FCC7" w14:textId="77777777" w:rsidR="00431EEA" w:rsidRPr="0037341B" w:rsidRDefault="00431EEA" w:rsidP="00431EEA">
      <w:pPr>
        <w:spacing w:line="432" w:lineRule="auto"/>
        <w:jc w:val="both"/>
        <w:rPr>
          <w:rFonts w:ascii="Times New Roman" w:hAnsi="Times New Roman" w:cs="Times New Roman"/>
          <w:b/>
          <w:bCs/>
          <w:color w:val="000000"/>
        </w:rPr>
      </w:pPr>
      <w:r w:rsidRPr="0037341B">
        <w:rPr>
          <w:rFonts w:ascii="Times New Roman" w:hAnsi="Times New Roman" w:cs="Times New Roman"/>
          <w:b/>
          <w:bCs/>
          <w:color w:val="000000"/>
        </w:rPr>
        <w:t>Post Hoc Analysis Based on the Component Administrative Readiness</w:t>
      </w:r>
    </w:p>
    <w:p w14:paraId="6D222459" w14:textId="77777777" w:rsidR="00431EEA" w:rsidRPr="0037341B" w:rsidRDefault="00431EEA" w:rsidP="00431EEA">
      <w:pPr>
        <w:spacing w:line="432" w:lineRule="auto"/>
        <w:jc w:val="both"/>
        <w:rPr>
          <w:rFonts w:ascii="Times New Roman" w:hAnsi="Times New Roman" w:cs="Times New Roman"/>
          <w:color w:val="000000"/>
        </w:rPr>
      </w:pPr>
      <w:r w:rsidRPr="0037341B">
        <w:rPr>
          <w:rFonts w:ascii="Times New Roman" w:hAnsi="Times New Roman" w:cs="Times New Roman"/>
          <w:color w:val="000000"/>
        </w:rPr>
        <w:tab/>
        <w:t xml:space="preserve">The one-way ANOVA results revealed a statistically significant difference among teacher educators with different levels of teaching experience in the component </w:t>
      </w:r>
      <w:r w:rsidRPr="0037341B">
        <w:rPr>
          <w:rFonts w:ascii="Times New Roman" w:hAnsi="Times New Roman" w:cs="Times New Roman"/>
          <w:b/>
          <w:bCs/>
          <w:color w:val="000000"/>
        </w:rPr>
        <w:t>Administrative Readiness</w:t>
      </w:r>
      <w:r w:rsidRPr="0037341B">
        <w:rPr>
          <w:rFonts w:ascii="Times New Roman" w:hAnsi="Times New Roman" w:cs="Times New Roman"/>
          <w:color w:val="000000"/>
        </w:rPr>
        <w:t xml:space="preserve"> (F = 5.38, p &lt; 0.05). Since ANOVA only indicates the presence of a significant difference without specifying the groups between which the difference exists, a post hoc analysis was conducted.</w:t>
      </w:r>
    </w:p>
    <w:p w14:paraId="51D9642A" w14:textId="77777777" w:rsidR="00431EEA" w:rsidRPr="0037341B" w:rsidRDefault="00431EEA" w:rsidP="00431EEA">
      <w:pPr>
        <w:spacing w:after="100" w:line="312" w:lineRule="auto"/>
        <w:jc w:val="both"/>
        <w:rPr>
          <w:rFonts w:ascii="Times New Roman" w:hAnsi="Times New Roman" w:cs="Times New Roman"/>
          <w:b/>
          <w:bCs/>
          <w:color w:val="000000"/>
        </w:rPr>
      </w:pPr>
      <w:r w:rsidRPr="0037341B">
        <w:rPr>
          <w:rFonts w:ascii="Times New Roman" w:hAnsi="Times New Roman" w:cs="Times New Roman"/>
          <w:b/>
          <w:bCs/>
          <w:color w:val="000000"/>
        </w:rPr>
        <w:t>Table 23</w:t>
      </w:r>
    </w:p>
    <w:p w14:paraId="1BE48696" w14:textId="77777777" w:rsidR="00431EEA" w:rsidRPr="0037341B" w:rsidRDefault="00431EEA" w:rsidP="00431EEA">
      <w:pPr>
        <w:spacing w:after="100" w:line="312" w:lineRule="auto"/>
        <w:jc w:val="both"/>
        <w:rPr>
          <w:rFonts w:ascii="Times New Roman" w:hAnsi="Times New Roman" w:cs="Times New Roman"/>
          <w:i/>
          <w:iCs/>
          <w:color w:val="000000"/>
        </w:rPr>
      </w:pPr>
      <w:r w:rsidRPr="0037341B">
        <w:rPr>
          <w:rFonts w:ascii="Times New Roman" w:hAnsi="Times New Roman" w:cs="Times New Roman"/>
          <w:i/>
          <w:iCs/>
          <w:color w:val="000000"/>
        </w:rPr>
        <w:t>Summary of the Comparison with Matrix of Ordered Means for Various Categories of Teacher Educators based on Administrative Readiness</w:t>
      </w:r>
    </w:p>
    <w:tbl>
      <w:tblPr>
        <w:tblW w:w="5000" w:type="pct"/>
        <w:tblBorders>
          <w:top w:val="single" w:sz="4" w:space="0" w:color="auto"/>
          <w:bottom w:val="single" w:sz="4" w:space="0" w:color="auto"/>
        </w:tblBorders>
        <w:tblLook w:val="0400" w:firstRow="0" w:lastRow="0" w:firstColumn="0" w:lastColumn="0" w:noHBand="0" w:noVBand="1"/>
      </w:tblPr>
      <w:tblGrid>
        <w:gridCol w:w="2074"/>
        <w:gridCol w:w="2220"/>
        <w:gridCol w:w="2396"/>
        <w:gridCol w:w="1511"/>
        <w:gridCol w:w="825"/>
      </w:tblGrid>
      <w:tr w:rsidR="00431EEA" w:rsidRPr="00816C29" w14:paraId="681B477D" w14:textId="77777777" w:rsidTr="00E1262E">
        <w:tc>
          <w:tcPr>
            <w:tcW w:w="1149" w:type="pct"/>
            <w:tcBorders>
              <w:top w:val="single" w:sz="4" w:space="0" w:color="auto"/>
              <w:bottom w:val="single" w:sz="4" w:space="0" w:color="auto"/>
            </w:tcBorders>
            <w:vAlign w:val="center"/>
            <w:hideMark/>
          </w:tcPr>
          <w:p w14:paraId="290BEE7A"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(I) Experience</w:t>
            </w:r>
          </w:p>
        </w:tc>
        <w:tc>
          <w:tcPr>
            <w:tcW w:w="1230" w:type="pct"/>
            <w:tcBorders>
              <w:top w:val="single" w:sz="4" w:space="0" w:color="auto"/>
              <w:bottom w:val="single" w:sz="4" w:space="0" w:color="auto"/>
            </w:tcBorders>
            <w:vAlign w:val="center"/>
            <w:hideMark/>
          </w:tcPr>
          <w:p w14:paraId="49C88AD2"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(J) Experience</w:t>
            </w:r>
          </w:p>
        </w:tc>
        <w:tc>
          <w:tcPr>
            <w:tcW w:w="1327" w:type="pct"/>
            <w:tcBorders>
              <w:top w:val="single" w:sz="4" w:space="0" w:color="auto"/>
              <w:bottom w:val="single" w:sz="4" w:space="0" w:color="auto"/>
            </w:tcBorders>
            <w:vAlign w:val="center"/>
            <w:hideMark/>
          </w:tcPr>
          <w:p w14:paraId="2D828596"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 xml:space="preserve">Mean Difference </w:t>
            </w:r>
            <w:r w:rsidRPr="00816C29">
              <w:rPr>
                <w:rFonts w:ascii="Times New Roman" w:hAnsi="Times New Roman" w:cs="Times New Roman"/>
                <w:color w:val="000000"/>
              </w:rPr>
              <w:br/>
              <w:t>(I-J)</w:t>
            </w:r>
          </w:p>
        </w:tc>
        <w:tc>
          <w:tcPr>
            <w:tcW w:w="837" w:type="pct"/>
            <w:tcBorders>
              <w:top w:val="single" w:sz="4" w:space="0" w:color="auto"/>
              <w:bottom w:val="single" w:sz="4" w:space="0" w:color="auto"/>
            </w:tcBorders>
            <w:vAlign w:val="center"/>
            <w:hideMark/>
          </w:tcPr>
          <w:p w14:paraId="034BA988"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Std. Error</w:t>
            </w:r>
          </w:p>
        </w:tc>
        <w:tc>
          <w:tcPr>
            <w:tcW w:w="458" w:type="pct"/>
            <w:tcBorders>
              <w:top w:val="single" w:sz="4" w:space="0" w:color="auto"/>
              <w:bottom w:val="single" w:sz="4" w:space="0" w:color="auto"/>
            </w:tcBorders>
            <w:vAlign w:val="center"/>
            <w:hideMark/>
          </w:tcPr>
          <w:p w14:paraId="08B37850"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Sig.</w:t>
            </w:r>
          </w:p>
        </w:tc>
      </w:tr>
      <w:tr w:rsidR="00431EEA" w:rsidRPr="00816C29" w14:paraId="7BB43EEE" w14:textId="77777777" w:rsidTr="00E1262E">
        <w:tc>
          <w:tcPr>
            <w:tcW w:w="1149" w:type="pct"/>
            <w:tcBorders>
              <w:top w:val="single" w:sz="4" w:space="0" w:color="auto"/>
            </w:tcBorders>
            <w:vAlign w:val="center"/>
            <w:hideMark/>
          </w:tcPr>
          <w:p w14:paraId="7992809B"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Less than 2</w:t>
            </w:r>
          </w:p>
        </w:tc>
        <w:tc>
          <w:tcPr>
            <w:tcW w:w="1230" w:type="pct"/>
            <w:tcBorders>
              <w:top w:val="single" w:sz="4" w:space="0" w:color="auto"/>
            </w:tcBorders>
            <w:vAlign w:val="center"/>
            <w:hideMark/>
          </w:tcPr>
          <w:p w14:paraId="045CB50C"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2 to 5</w:t>
            </w:r>
          </w:p>
        </w:tc>
        <w:tc>
          <w:tcPr>
            <w:tcW w:w="1327" w:type="pct"/>
            <w:tcBorders>
              <w:top w:val="single" w:sz="4" w:space="0" w:color="auto"/>
            </w:tcBorders>
            <w:vAlign w:val="center"/>
            <w:hideMark/>
          </w:tcPr>
          <w:p w14:paraId="739A2ED9"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-.159</w:t>
            </w:r>
          </w:p>
        </w:tc>
        <w:tc>
          <w:tcPr>
            <w:tcW w:w="837" w:type="pct"/>
            <w:tcBorders>
              <w:top w:val="single" w:sz="4" w:space="0" w:color="auto"/>
            </w:tcBorders>
            <w:vAlign w:val="center"/>
            <w:hideMark/>
          </w:tcPr>
          <w:p w14:paraId="7D044273"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.360</w:t>
            </w:r>
          </w:p>
        </w:tc>
        <w:tc>
          <w:tcPr>
            <w:tcW w:w="458" w:type="pct"/>
            <w:tcBorders>
              <w:top w:val="single" w:sz="4" w:space="0" w:color="auto"/>
            </w:tcBorders>
            <w:vAlign w:val="center"/>
            <w:hideMark/>
          </w:tcPr>
          <w:p w14:paraId="27762D4A"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.978</w:t>
            </w:r>
          </w:p>
        </w:tc>
      </w:tr>
      <w:tr w:rsidR="00431EEA" w:rsidRPr="00816C29" w14:paraId="470723CF" w14:textId="77777777" w:rsidTr="00E1262E">
        <w:tc>
          <w:tcPr>
            <w:tcW w:w="1149" w:type="pct"/>
            <w:vAlign w:val="center"/>
            <w:hideMark/>
          </w:tcPr>
          <w:p w14:paraId="4CDF2280"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Less than 2</w:t>
            </w:r>
          </w:p>
        </w:tc>
        <w:tc>
          <w:tcPr>
            <w:tcW w:w="1230" w:type="pct"/>
            <w:vAlign w:val="center"/>
            <w:hideMark/>
          </w:tcPr>
          <w:p w14:paraId="273B7406"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5 to 10</w:t>
            </w:r>
          </w:p>
        </w:tc>
        <w:tc>
          <w:tcPr>
            <w:tcW w:w="1327" w:type="pct"/>
            <w:vAlign w:val="center"/>
            <w:hideMark/>
          </w:tcPr>
          <w:p w14:paraId="2EDED6C2"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.609</w:t>
            </w:r>
          </w:p>
        </w:tc>
        <w:tc>
          <w:tcPr>
            <w:tcW w:w="837" w:type="pct"/>
            <w:vAlign w:val="center"/>
            <w:hideMark/>
          </w:tcPr>
          <w:p w14:paraId="35E19C61"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.359</w:t>
            </w:r>
          </w:p>
        </w:tc>
        <w:tc>
          <w:tcPr>
            <w:tcW w:w="458" w:type="pct"/>
            <w:vAlign w:val="center"/>
            <w:hideMark/>
          </w:tcPr>
          <w:p w14:paraId="2B390F27"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.411</w:t>
            </w:r>
          </w:p>
        </w:tc>
      </w:tr>
      <w:tr w:rsidR="00431EEA" w:rsidRPr="00816C29" w14:paraId="0DA1932D" w14:textId="77777777" w:rsidTr="00E1262E">
        <w:tc>
          <w:tcPr>
            <w:tcW w:w="1149" w:type="pct"/>
            <w:vAlign w:val="center"/>
            <w:hideMark/>
          </w:tcPr>
          <w:p w14:paraId="77F59177"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Less than 2</w:t>
            </w:r>
          </w:p>
        </w:tc>
        <w:tc>
          <w:tcPr>
            <w:tcW w:w="1230" w:type="pct"/>
            <w:vAlign w:val="center"/>
            <w:hideMark/>
          </w:tcPr>
          <w:p w14:paraId="22DA7732"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Greater than 10</w:t>
            </w:r>
          </w:p>
        </w:tc>
        <w:tc>
          <w:tcPr>
            <w:tcW w:w="1327" w:type="pct"/>
            <w:vAlign w:val="center"/>
            <w:hideMark/>
          </w:tcPr>
          <w:p w14:paraId="321B8179"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-.599</w:t>
            </w:r>
          </w:p>
        </w:tc>
        <w:tc>
          <w:tcPr>
            <w:tcW w:w="837" w:type="pct"/>
            <w:vAlign w:val="center"/>
            <w:hideMark/>
          </w:tcPr>
          <w:p w14:paraId="6442BD4C"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.369</w:t>
            </w:r>
          </w:p>
        </w:tc>
        <w:tc>
          <w:tcPr>
            <w:tcW w:w="458" w:type="pct"/>
            <w:vAlign w:val="center"/>
            <w:hideMark/>
          </w:tcPr>
          <w:p w14:paraId="6F64EB3E"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.452</w:t>
            </w:r>
          </w:p>
        </w:tc>
      </w:tr>
      <w:tr w:rsidR="00431EEA" w:rsidRPr="00816C29" w14:paraId="07D59C7F" w14:textId="77777777" w:rsidTr="00E1262E">
        <w:tc>
          <w:tcPr>
            <w:tcW w:w="1149" w:type="pct"/>
            <w:vAlign w:val="center"/>
            <w:hideMark/>
          </w:tcPr>
          <w:p w14:paraId="0A97DD53"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2 to 5</w:t>
            </w:r>
          </w:p>
        </w:tc>
        <w:tc>
          <w:tcPr>
            <w:tcW w:w="1230" w:type="pct"/>
            <w:vAlign w:val="center"/>
            <w:hideMark/>
          </w:tcPr>
          <w:p w14:paraId="7F126090"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5 to 10</w:t>
            </w:r>
          </w:p>
        </w:tc>
        <w:tc>
          <w:tcPr>
            <w:tcW w:w="1327" w:type="pct"/>
            <w:vAlign w:val="center"/>
            <w:hideMark/>
          </w:tcPr>
          <w:p w14:paraId="7F0F62FA"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.768</w:t>
            </w:r>
          </w:p>
        </w:tc>
        <w:tc>
          <w:tcPr>
            <w:tcW w:w="837" w:type="pct"/>
            <w:vAlign w:val="center"/>
            <w:hideMark/>
          </w:tcPr>
          <w:p w14:paraId="0C551BF7"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.296</w:t>
            </w:r>
          </w:p>
        </w:tc>
        <w:tc>
          <w:tcPr>
            <w:tcW w:w="458" w:type="pct"/>
            <w:vAlign w:val="center"/>
            <w:hideMark/>
          </w:tcPr>
          <w:p w14:paraId="381E920C"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.082</w:t>
            </w:r>
          </w:p>
        </w:tc>
      </w:tr>
      <w:tr w:rsidR="00431EEA" w:rsidRPr="00816C29" w14:paraId="4B08449A" w14:textId="77777777" w:rsidTr="00E1262E">
        <w:tc>
          <w:tcPr>
            <w:tcW w:w="1149" w:type="pct"/>
            <w:vAlign w:val="center"/>
            <w:hideMark/>
          </w:tcPr>
          <w:p w14:paraId="28E16837"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2 to 5</w:t>
            </w:r>
          </w:p>
        </w:tc>
        <w:tc>
          <w:tcPr>
            <w:tcW w:w="1230" w:type="pct"/>
            <w:vAlign w:val="center"/>
            <w:hideMark/>
          </w:tcPr>
          <w:p w14:paraId="6A67C2AC"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Greater than 10</w:t>
            </w:r>
          </w:p>
        </w:tc>
        <w:tc>
          <w:tcPr>
            <w:tcW w:w="1327" w:type="pct"/>
            <w:vAlign w:val="center"/>
            <w:hideMark/>
          </w:tcPr>
          <w:p w14:paraId="29A41F45"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-.440</w:t>
            </w:r>
          </w:p>
        </w:tc>
        <w:tc>
          <w:tcPr>
            <w:tcW w:w="837" w:type="pct"/>
            <w:vAlign w:val="center"/>
            <w:hideMark/>
          </w:tcPr>
          <w:p w14:paraId="18506B4B"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.309</w:t>
            </w:r>
          </w:p>
        </w:tc>
        <w:tc>
          <w:tcPr>
            <w:tcW w:w="458" w:type="pct"/>
            <w:vAlign w:val="center"/>
            <w:hideMark/>
          </w:tcPr>
          <w:p w14:paraId="6030CBD3"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.567</w:t>
            </w:r>
          </w:p>
        </w:tc>
      </w:tr>
      <w:tr w:rsidR="00431EEA" w:rsidRPr="00816C29" w14:paraId="0C5C2E95" w14:textId="77777777" w:rsidTr="00E1262E">
        <w:tc>
          <w:tcPr>
            <w:tcW w:w="1149" w:type="pct"/>
            <w:vAlign w:val="center"/>
            <w:hideMark/>
          </w:tcPr>
          <w:p w14:paraId="173CB7D1"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5 to 10</w:t>
            </w:r>
          </w:p>
        </w:tc>
        <w:tc>
          <w:tcPr>
            <w:tcW w:w="1230" w:type="pct"/>
            <w:vAlign w:val="center"/>
            <w:hideMark/>
          </w:tcPr>
          <w:p w14:paraId="0F6487AC"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Greater than 10</w:t>
            </w:r>
          </w:p>
        </w:tc>
        <w:tc>
          <w:tcPr>
            <w:tcW w:w="1327" w:type="pct"/>
            <w:vAlign w:val="center"/>
            <w:hideMark/>
          </w:tcPr>
          <w:p w14:paraId="1EB5948C"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-1.21</w:t>
            </w:r>
            <w:r w:rsidRPr="00816C29">
              <w:rPr>
                <w:rFonts w:ascii="Times New Roman" w:hAnsi="Times New Roman" w:cs="Times New Roman"/>
                <w:color w:val="000000"/>
                <w:vertAlign w:val="superscript"/>
              </w:rPr>
              <w:t>*</w:t>
            </w:r>
          </w:p>
        </w:tc>
        <w:tc>
          <w:tcPr>
            <w:tcW w:w="837" w:type="pct"/>
            <w:vAlign w:val="center"/>
            <w:hideMark/>
          </w:tcPr>
          <w:p w14:paraId="37108824"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.307</w:t>
            </w:r>
          </w:p>
        </w:tc>
        <w:tc>
          <w:tcPr>
            <w:tcW w:w="458" w:type="pct"/>
            <w:vAlign w:val="center"/>
            <w:hideMark/>
          </w:tcPr>
          <w:p w14:paraId="10439949" w14:textId="77777777" w:rsidR="00431EEA" w:rsidRPr="00816C29" w:rsidRDefault="00431EEA" w:rsidP="00E1262E">
            <w:pPr>
              <w:spacing w:before="80" w:after="80" w:line="240" w:lineRule="auto"/>
              <w:jc w:val="center"/>
              <w:rPr>
                <w:rFonts w:ascii="Times New Roman" w:hAnsi="Times New Roman" w:cs="Times New Roman"/>
                <w:color w:val="000000"/>
              </w:rPr>
            </w:pPr>
            <w:r w:rsidRPr="00816C29">
              <w:rPr>
                <w:rFonts w:ascii="Times New Roman" w:hAnsi="Times New Roman" w:cs="Times New Roman"/>
                <w:color w:val="000000"/>
              </w:rPr>
              <w:t>.002</w:t>
            </w:r>
          </w:p>
        </w:tc>
      </w:tr>
    </w:tbl>
    <w:p w14:paraId="4773D249" w14:textId="77777777" w:rsidR="00431EEA" w:rsidRPr="0037341B" w:rsidRDefault="00431EEA" w:rsidP="00431EEA">
      <w:pPr>
        <w:spacing w:line="240" w:lineRule="auto"/>
        <w:jc w:val="both"/>
        <w:rPr>
          <w:rFonts w:ascii="Times New Roman" w:hAnsi="Times New Roman" w:cs="Times New Roman"/>
          <w:color w:val="000000"/>
        </w:rPr>
      </w:pPr>
    </w:p>
    <w:p w14:paraId="41571149" w14:textId="77777777" w:rsidR="00431EEA" w:rsidRDefault="00431EEA" w:rsidP="00431EEA">
      <w:pPr>
        <w:rPr>
          <w:rFonts w:ascii="Times New Roman" w:hAnsi="Times New Roman" w:cs="Times New Roman"/>
          <w:b/>
          <w:bCs/>
          <w:color w:val="000000"/>
        </w:rPr>
      </w:pPr>
    </w:p>
    <w:p w14:paraId="443F0465" w14:textId="77777777" w:rsidR="00431EEA" w:rsidRPr="00D76126" w:rsidRDefault="00431EEA" w:rsidP="00431EEA">
      <w:pPr>
        <w:spacing w:line="480" w:lineRule="auto"/>
        <w:jc w:val="both"/>
        <w:rPr>
          <w:rFonts w:ascii="Times New Roman" w:hAnsi="Times New Roman" w:cs="Times New Roman"/>
          <w:color w:val="000000"/>
        </w:rPr>
      </w:pPr>
      <w:r>
        <w:rPr>
          <w:rFonts w:ascii="Times New Roman" w:hAnsi="Times New Roman" w:cs="Times New Roman"/>
          <w:color w:val="000000"/>
        </w:rPr>
        <w:lastRenderedPageBreak/>
        <w:t>The data presented in the table indicate the mean difference between each pair of four categories of teacher educators classified based on their teaching experience with respect to their perception of administrative readiness. A difference is observed between two groups namely those with 5-10 years of experience and those with more than 10 years’ experience. The results of Post Hoc analysis are presented in the following table</w:t>
      </w:r>
    </w:p>
    <w:p w14:paraId="40987F97" w14:textId="77777777" w:rsidR="00431EEA" w:rsidRPr="0037341B" w:rsidRDefault="00431EEA" w:rsidP="00431EEA">
      <w:pPr>
        <w:spacing w:after="100" w:line="312" w:lineRule="auto"/>
        <w:jc w:val="both"/>
        <w:rPr>
          <w:rFonts w:ascii="Times New Roman" w:hAnsi="Times New Roman" w:cs="Times New Roman"/>
          <w:b/>
          <w:bCs/>
          <w:color w:val="000000"/>
        </w:rPr>
      </w:pPr>
      <w:r w:rsidRPr="0037341B">
        <w:rPr>
          <w:rFonts w:ascii="Times New Roman" w:hAnsi="Times New Roman" w:cs="Times New Roman"/>
          <w:b/>
          <w:bCs/>
          <w:color w:val="000000"/>
        </w:rPr>
        <w:t xml:space="preserve">Table 24 </w:t>
      </w:r>
    </w:p>
    <w:p w14:paraId="3563A916" w14:textId="77777777" w:rsidR="00431EEA" w:rsidRPr="0037341B" w:rsidRDefault="00431EEA" w:rsidP="00431EEA">
      <w:pPr>
        <w:spacing w:after="100" w:line="312" w:lineRule="auto"/>
        <w:jc w:val="both"/>
        <w:rPr>
          <w:rFonts w:ascii="Times New Roman" w:hAnsi="Times New Roman" w:cs="Times New Roman"/>
          <w:i/>
          <w:iCs/>
          <w:color w:val="000000"/>
        </w:rPr>
      </w:pPr>
      <w:r w:rsidRPr="0037341B">
        <w:rPr>
          <w:rFonts w:ascii="Times New Roman" w:hAnsi="Times New Roman" w:cs="Times New Roman"/>
          <w:i/>
          <w:iCs/>
          <w:color w:val="000000"/>
        </w:rPr>
        <w:t>Summary of Scheffe’s Test of Post Hoc Comparison with Matrix of Ordered Means for Various Categories of Teacher Educators based on Administrative Readiness</w:t>
      </w:r>
    </w:p>
    <w:tbl>
      <w:tblPr>
        <w:tblW w:w="5000" w:type="pct"/>
        <w:tblBorders>
          <w:top w:val="single" w:sz="4" w:space="0" w:color="auto"/>
          <w:bottom w:val="single" w:sz="4" w:space="0" w:color="auto"/>
        </w:tblBorders>
        <w:tblLook w:val="04A0" w:firstRow="1" w:lastRow="0" w:firstColumn="1" w:lastColumn="0" w:noHBand="0" w:noVBand="1"/>
      </w:tblPr>
      <w:tblGrid>
        <w:gridCol w:w="3256"/>
        <w:gridCol w:w="1098"/>
        <w:gridCol w:w="2336"/>
        <w:gridCol w:w="2336"/>
      </w:tblGrid>
      <w:tr w:rsidR="00431EEA" w:rsidRPr="00816C29" w14:paraId="79DA8B1A" w14:textId="77777777" w:rsidTr="00E1262E">
        <w:tc>
          <w:tcPr>
            <w:tcW w:w="1804" w:type="pct"/>
            <w:vMerge w:val="restart"/>
            <w:tcBorders>
              <w:top w:val="single" w:sz="4" w:space="0" w:color="auto"/>
              <w:bottom w:val="single" w:sz="4" w:space="0" w:color="auto"/>
            </w:tcBorders>
            <w:vAlign w:val="center"/>
            <w:hideMark/>
          </w:tcPr>
          <w:p w14:paraId="4B5A73AE" w14:textId="77777777" w:rsidR="00431EEA" w:rsidRPr="00816C29" w:rsidRDefault="00431EEA"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Experience</w:t>
            </w:r>
          </w:p>
        </w:tc>
        <w:tc>
          <w:tcPr>
            <w:tcW w:w="608" w:type="pct"/>
            <w:vMerge w:val="restart"/>
            <w:tcBorders>
              <w:top w:val="single" w:sz="4" w:space="0" w:color="auto"/>
              <w:bottom w:val="single" w:sz="4" w:space="0" w:color="auto"/>
            </w:tcBorders>
            <w:vAlign w:val="center"/>
            <w:hideMark/>
          </w:tcPr>
          <w:p w14:paraId="6814A703" w14:textId="77777777" w:rsidR="00431EEA" w:rsidRPr="00816C29" w:rsidRDefault="00431EEA"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N</w:t>
            </w:r>
          </w:p>
        </w:tc>
        <w:tc>
          <w:tcPr>
            <w:tcW w:w="2588" w:type="pct"/>
            <w:gridSpan w:val="2"/>
            <w:tcBorders>
              <w:top w:val="single" w:sz="4" w:space="0" w:color="auto"/>
              <w:bottom w:val="single" w:sz="4" w:space="0" w:color="auto"/>
            </w:tcBorders>
            <w:vAlign w:val="center"/>
            <w:hideMark/>
          </w:tcPr>
          <w:p w14:paraId="7B57FEE5" w14:textId="77777777" w:rsidR="00431EEA" w:rsidRPr="00816C29" w:rsidRDefault="00431EEA"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Subset for alpha = 0.05</w:t>
            </w:r>
          </w:p>
        </w:tc>
      </w:tr>
      <w:tr w:rsidR="00431EEA" w:rsidRPr="00816C29" w14:paraId="67F8946C" w14:textId="77777777" w:rsidTr="00E1262E">
        <w:tc>
          <w:tcPr>
            <w:tcW w:w="1804" w:type="pct"/>
            <w:vMerge/>
            <w:tcBorders>
              <w:top w:val="single" w:sz="4" w:space="0" w:color="auto"/>
              <w:bottom w:val="single" w:sz="4" w:space="0" w:color="auto"/>
            </w:tcBorders>
            <w:vAlign w:val="center"/>
            <w:hideMark/>
          </w:tcPr>
          <w:p w14:paraId="501764A6" w14:textId="77777777" w:rsidR="00431EEA" w:rsidRPr="00816C29" w:rsidRDefault="00431EEA" w:rsidP="00E1262E">
            <w:pPr>
              <w:spacing w:before="80" w:after="80" w:line="240" w:lineRule="auto"/>
              <w:jc w:val="center"/>
              <w:rPr>
                <w:rFonts w:ascii="Times New Roman" w:eastAsia="Times New Roman" w:hAnsi="Times New Roman" w:cs="Times New Roman"/>
                <w:color w:val="000000"/>
                <w:kern w:val="0"/>
                <w:lang w:eastAsia="en-IN"/>
              </w:rPr>
            </w:pPr>
          </w:p>
        </w:tc>
        <w:tc>
          <w:tcPr>
            <w:tcW w:w="608" w:type="pct"/>
            <w:vMerge/>
            <w:tcBorders>
              <w:top w:val="single" w:sz="4" w:space="0" w:color="auto"/>
              <w:bottom w:val="single" w:sz="4" w:space="0" w:color="auto"/>
            </w:tcBorders>
            <w:vAlign w:val="center"/>
            <w:hideMark/>
          </w:tcPr>
          <w:p w14:paraId="2C7D060E" w14:textId="77777777" w:rsidR="00431EEA" w:rsidRPr="00816C29" w:rsidRDefault="00431EEA" w:rsidP="00E1262E">
            <w:pPr>
              <w:spacing w:before="80" w:after="80" w:line="240" w:lineRule="auto"/>
              <w:jc w:val="center"/>
              <w:rPr>
                <w:rFonts w:ascii="Times New Roman" w:eastAsia="Times New Roman" w:hAnsi="Times New Roman" w:cs="Times New Roman"/>
                <w:color w:val="000000"/>
                <w:kern w:val="0"/>
                <w:lang w:eastAsia="en-IN"/>
              </w:rPr>
            </w:pPr>
          </w:p>
        </w:tc>
        <w:tc>
          <w:tcPr>
            <w:tcW w:w="1294" w:type="pct"/>
            <w:tcBorders>
              <w:top w:val="single" w:sz="4" w:space="0" w:color="auto"/>
              <w:bottom w:val="single" w:sz="4" w:space="0" w:color="auto"/>
            </w:tcBorders>
            <w:vAlign w:val="center"/>
            <w:hideMark/>
          </w:tcPr>
          <w:p w14:paraId="535E0114" w14:textId="77777777" w:rsidR="00431EEA" w:rsidRPr="00816C29" w:rsidRDefault="00431EEA"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w:t>
            </w:r>
          </w:p>
        </w:tc>
        <w:tc>
          <w:tcPr>
            <w:tcW w:w="1294" w:type="pct"/>
            <w:tcBorders>
              <w:top w:val="single" w:sz="4" w:space="0" w:color="auto"/>
              <w:bottom w:val="single" w:sz="4" w:space="0" w:color="auto"/>
            </w:tcBorders>
            <w:vAlign w:val="center"/>
            <w:hideMark/>
          </w:tcPr>
          <w:p w14:paraId="585C4CBB" w14:textId="77777777" w:rsidR="00431EEA" w:rsidRPr="00816C29" w:rsidRDefault="00431EEA"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w:t>
            </w:r>
          </w:p>
        </w:tc>
      </w:tr>
      <w:tr w:rsidR="00431EEA" w:rsidRPr="00816C29" w14:paraId="0B4BEF88" w14:textId="77777777" w:rsidTr="00E1262E">
        <w:tc>
          <w:tcPr>
            <w:tcW w:w="1804" w:type="pct"/>
            <w:tcBorders>
              <w:top w:val="single" w:sz="4" w:space="0" w:color="auto"/>
            </w:tcBorders>
            <w:hideMark/>
          </w:tcPr>
          <w:p w14:paraId="4662E20E" w14:textId="77777777" w:rsidR="00431EEA" w:rsidRPr="00816C29" w:rsidRDefault="00431EEA"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5 to 10</w:t>
            </w:r>
          </w:p>
        </w:tc>
        <w:tc>
          <w:tcPr>
            <w:tcW w:w="608" w:type="pct"/>
            <w:tcBorders>
              <w:top w:val="single" w:sz="4" w:space="0" w:color="auto"/>
            </w:tcBorders>
            <w:hideMark/>
          </w:tcPr>
          <w:p w14:paraId="5A86FF5D" w14:textId="77777777" w:rsidR="00431EEA" w:rsidRPr="00816C29" w:rsidRDefault="00431EEA"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240</w:t>
            </w:r>
          </w:p>
        </w:tc>
        <w:tc>
          <w:tcPr>
            <w:tcW w:w="1294" w:type="pct"/>
            <w:tcBorders>
              <w:top w:val="single" w:sz="4" w:space="0" w:color="auto"/>
            </w:tcBorders>
            <w:hideMark/>
          </w:tcPr>
          <w:p w14:paraId="07FF692E" w14:textId="77777777" w:rsidR="00431EEA" w:rsidRPr="00816C29" w:rsidRDefault="00431EEA"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16.62</w:t>
            </w:r>
          </w:p>
        </w:tc>
        <w:tc>
          <w:tcPr>
            <w:tcW w:w="1294" w:type="pct"/>
            <w:tcBorders>
              <w:top w:val="single" w:sz="4" w:space="0" w:color="auto"/>
            </w:tcBorders>
          </w:tcPr>
          <w:p w14:paraId="6C72CDBE" w14:textId="77777777" w:rsidR="00431EEA" w:rsidRPr="00816C29" w:rsidRDefault="00431EEA" w:rsidP="00E1262E">
            <w:pPr>
              <w:spacing w:before="80" w:after="80" w:line="240" w:lineRule="auto"/>
              <w:jc w:val="center"/>
              <w:rPr>
                <w:rFonts w:ascii="Times New Roman" w:eastAsia="Times New Roman" w:hAnsi="Times New Roman" w:cs="Times New Roman"/>
                <w:color w:val="000000"/>
                <w:kern w:val="0"/>
                <w:lang w:eastAsia="en-IN"/>
              </w:rPr>
            </w:pPr>
          </w:p>
        </w:tc>
      </w:tr>
      <w:tr w:rsidR="00431EEA" w:rsidRPr="00816C29" w14:paraId="2AC60F38" w14:textId="77777777" w:rsidTr="00E1262E">
        <w:tc>
          <w:tcPr>
            <w:tcW w:w="1804" w:type="pct"/>
            <w:hideMark/>
          </w:tcPr>
          <w:p w14:paraId="7B30F178" w14:textId="77777777" w:rsidR="00431EEA" w:rsidRPr="00816C29" w:rsidRDefault="00431EEA"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Less than 2</w:t>
            </w:r>
          </w:p>
        </w:tc>
        <w:tc>
          <w:tcPr>
            <w:tcW w:w="608" w:type="pct"/>
            <w:hideMark/>
          </w:tcPr>
          <w:p w14:paraId="1FAC8A39" w14:textId="77777777" w:rsidR="00431EEA" w:rsidRPr="00816C29" w:rsidRDefault="00431EEA"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122</w:t>
            </w:r>
          </w:p>
        </w:tc>
        <w:tc>
          <w:tcPr>
            <w:tcW w:w="1294" w:type="pct"/>
            <w:hideMark/>
          </w:tcPr>
          <w:p w14:paraId="393F697A" w14:textId="77777777" w:rsidR="00431EEA" w:rsidRPr="00816C29" w:rsidRDefault="00431EEA"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17.23</w:t>
            </w:r>
          </w:p>
        </w:tc>
        <w:tc>
          <w:tcPr>
            <w:tcW w:w="1294" w:type="pct"/>
            <w:hideMark/>
          </w:tcPr>
          <w:p w14:paraId="50BE2CB5" w14:textId="77777777" w:rsidR="00431EEA" w:rsidRPr="00816C29" w:rsidRDefault="00431EEA"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17.23</w:t>
            </w:r>
          </w:p>
        </w:tc>
      </w:tr>
      <w:tr w:rsidR="00431EEA" w:rsidRPr="00816C29" w14:paraId="14E954BB" w14:textId="77777777" w:rsidTr="00E1262E">
        <w:tc>
          <w:tcPr>
            <w:tcW w:w="1804" w:type="pct"/>
            <w:hideMark/>
          </w:tcPr>
          <w:p w14:paraId="0B42ADAA" w14:textId="77777777" w:rsidR="00431EEA" w:rsidRPr="00816C29" w:rsidRDefault="00431EEA"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 to 5</w:t>
            </w:r>
          </w:p>
        </w:tc>
        <w:tc>
          <w:tcPr>
            <w:tcW w:w="608" w:type="pct"/>
            <w:hideMark/>
          </w:tcPr>
          <w:p w14:paraId="180D0FD4" w14:textId="77777777" w:rsidR="00431EEA" w:rsidRPr="00816C29" w:rsidRDefault="00431EEA"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234</w:t>
            </w:r>
          </w:p>
        </w:tc>
        <w:tc>
          <w:tcPr>
            <w:tcW w:w="1294" w:type="pct"/>
            <w:hideMark/>
          </w:tcPr>
          <w:p w14:paraId="4824ECEA" w14:textId="77777777" w:rsidR="00431EEA" w:rsidRPr="00816C29" w:rsidRDefault="00431EEA"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17.39</w:t>
            </w:r>
          </w:p>
        </w:tc>
        <w:tc>
          <w:tcPr>
            <w:tcW w:w="1294" w:type="pct"/>
            <w:hideMark/>
          </w:tcPr>
          <w:p w14:paraId="4BA1AFFD" w14:textId="77777777" w:rsidR="00431EEA" w:rsidRPr="00816C29" w:rsidRDefault="00431EEA"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17.39</w:t>
            </w:r>
          </w:p>
        </w:tc>
      </w:tr>
      <w:tr w:rsidR="00431EEA" w:rsidRPr="00816C29" w14:paraId="28CD3648" w14:textId="77777777" w:rsidTr="00E1262E">
        <w:tc>
          <w:tcPr>
            <w:tcW w:w="1804" w:type="pct"/>
            <w:hideMark/>
          </w:tcPr>
          <w:p w14:paraId="566438EA" w14:textId="77777777" w:rsidR="00431EEA" w:rsidRPr="00816C29" w:rsidRDefault="00431EEA"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Greater than 10</w:t>
            </w:r>
          </w:p>
        </w:tc>
        <w:tc>
          <w:tcPr>
            <w:tcW w:w="608" w:type="pct"/>
            <w:hideMark/>
          </w:tcPr>
          <w:p w14:paraId="5DE83E93" w14:textId="77777777" w:rsidR="00431EEA" w:rsidRPr="00816C29" w:rsidRDefault="00431EEA"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204</w:t>
            </w:r>
          </w:p>
        </w:tc>
        <w:tc>
          <w:tcPr>
            <w:tcW w:w="1294" w:type="pct"/>
          </w:tcPr>
          <w:p w14:paraId="31B577E0" w14:textId="77777777" w:rsidR="00431EEA" w:rsidRPr="00816C29" w:rsidRDefault="00431EEA" w:rsidP="00E1262E">
            <w:pPr>
              <w:spacing w:before="80" w:after="80" w:line="240" w:lineRule="auto"/>
              <w:jc w:val="center"/>
              <w:rPr>
                <w:rFonts w:ascii="Times New Roman" w:eastAsia="Times New Roman" w:hAnsi="Times New Roman" w:cs="Times New Roman"/>
                <w:color w:val="000000"/>
                <w:kern w:val="0"/>
                <w:lang w:eastAsia="en-IN"/>
              </w:rPr>
            </w:pPr>
          </w:p>
        </w:tc>
        <w:tc>
          <w:tcPr>
            <w:tcW w:w="1294" w:type="pct"/>
            <w:hideMark/>
          </w:tcPr>
          <w:p w14:paraId="19C4AA7D" w14:textId="77777777" w:rsidR="00431EEA" w:rsidRPr="00816C29" w:rsidRDefault="00431EEA"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17.83</w:t>
            </w:r>
          </w:p>
        </w:tc>
      </w:tr>
      <w:tr w:rsidR="00431EEA" w:rsidRPr="00816C29" w14:paraId="0D45BC6D" w14:textId="77777777" w:rsidTr="00E1262E">
        <w:tc>
          <w:tcPr>
            <w:tcW w:w="1804" w:type="pct"/>
            <w:hideMark/>
          </w:tcPr>
          <w:p w14:paraId="63A83CD3" w14:textId="77777777" w:rsidR="00431EEA" w:rsidRPr="00816C29" w:rsidRDefault="00431EEA" w:rsidP="00E1262E">
            <w:pPr>
              <w:spacing w:before="80" w:after="80" w:line="240" w:lineRule="auto"/>
              <w:jc w:val="both"/>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Sig.</w:t>
            </w:r>
          </w:p>
        </w:tc>
        <w:tc>
          <w:tcPr>
            <w:tcW w:w="608" w:type="pct"/>
          </w:tcPr>
          <w:p w14:paraId="48324E3B" w14:textId="77777777" w:rsidR="00431EEA" w:rsidRPr="00816C29" w:rsidRDefault="00431EEA" w:rsidP="00E1262E">
            <w:pPr>
              <w:spacing w:before="80" w:after="80" w:line="240" w:lineRule="auto"/>
              <w:jc w:val="center"/>
              <w:rPr>
                <w:rFonts w:ascii="Times New Roman" w:eastAsia="Times New Roman" w:hAnsi="Times New Roman" w:cs="Times New Roman"/>
                <w:color w:val="000000"/>
                <w:kern w:val="0"/>
                <w:lang w:eastAsia="en-IN"/>
              </w:rPr>
            </w:pPr>
          </w:p>
        </w:tc>
        <w:tc>
          <w:tcPr>
            <w:tcW w:w="1294" w:type="pct"/>
            <w:hideMark/>
          </w:tcPr>
          <w:p w14:paraId="4CF016A2" w14:textId="77777777" w:rsidR="00431EEA" w:rsidRPr="00816C29" w:rsidRDefault="00431EEA"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.154</w:t>
            </w:r>
          </w:p>
        </w:tc>
        <w:tc>
          <w:tcPr>
            <w:tcW w:w="1294" w:type="pct"/>
            <w:hideMark/>
          </w:tcPr>
          <w:p w14:paraId="31A11F97" w14:textId="77777777" w:rsidR="00431EEA" w:rsidRPr="00816C29" w:rsidRDefault="00431EEA" w:rsidP="00E1262E">
            <w:pPr>
              <w:spacing w:before="80" w:after="80" w:line="240" w:lineRule="auto"/>
              <w:jc w:val="center"/>
              <w:rPr>
                <w:rFonts w:ascii="Times New Roman" w:eastAsia="Times New Roman" w:hAnsi="Times New Roman" w:cs="Times New Roman"/>
                <w:color w:val="000000"/>
                <w:kern w:val="0"/>
                <w:lang w:eastAsia="en-IN"/>
              </w:rPr>
            </w:pPr>
            <w:r w:rsidRPr="00816C29">
              <w:rPr>
                <w:rFonts w:ascii="Times New Roman" w:eastAsia="Times New Roman" w:hAnsi="Times New Roman" w:cs="Times New Roman"/>
                <w:color w:val="000000"/>
                <w:kern w:val="0"/>
                <w:lang w:eastAsia="en-IN"/>
              </w:rPr>
              <w:t>.362</w:t>
            </w:r>
          </w:p>
        </w:tc>
      </w:tr>
    </w:tbl>
    <w:p w14:paraId="37EFB058" w14:textId="77777777" w:rsidR="00614270" w:rsidRPr="00614270" w:rsidRDefault="00614270" w:rsidP="00614270">
      <w:pPr>
        <w:jc w:val="both"/>
        <w:rPr>
          <w:rFonts w:ascii="Times New Roman" w:hAnsi="Times New Roman" w:cs="Times New Roman"/>
        </w:rPr>
      </w:pPr>
      <w:r w:rsidRPr="00614270">
        <w:rPr>
          <w:rFonts w:ascii="Times New Roman" w:hAnsi="Times New Roman" w:cs="Times New Roman"/>
        </w:rPr>
        <w:t>The post-hoc analysis revealed a significant difference in Administrative Readiness between teacher educators with 5–10 years of teaching experience and those with more than 10 years of experience. Teacher educators with 5–10 years of experience reported significantly lower levels of administrative readiness (Mean Difference = -1.21, p = .002) compared to their more experienced counterparts. The group with 5–10 years of experience recorded the lowest mean score (M = 16.62), whereas teacher educators with more than 10 years of experience reported the highest mean score (M = 17.83). This finding suggests that experienced teacher educators may possess greater confidence in evaluating institutional leadership, administrative support, and organizational preparedness for ITEP implementation.</w:t>
      </w:r>
    </w:p>
    <w:p w14:paraId="014CFC96" w14:textId="77777777" w:rsidR="00614270" w:rsidRPr="00614270" w:rsidRDefault="00614270" w:rsidP="00614270">
      <w:pPr>
        <w:jc w:val="both"/>
        <w:rPr>
          <w:rFonts w:ascii="Times New Roman" w:hAnsi="Times New Roman" w:cs="Times New Roman"/>
        </w:rPr>
      </w:pPr>
      <w:r w:rsidRPr="00614270">
        <w:rPr>
          <w:rFonts w:ascii="Times New Roman" w:hAnsi="Times New Roman" w:cs="Times New Roman"/>
        </w:rPr>
        <w:t>Overall, the quantitative analysis of data collected from 800 teacher educators indicates a moderate level of perception regarding the implementation of ITEP in alignment with NEP 2020 in Kerala (M = 137 out of a maximum score of 225). The findings suggest that teacher educators possess a generally positive orientation towards the proposed reform. Component-wise analysis revealed a high level of understanding of NEP 2020 and ITEP, while faculty readiness, administrative readiness, and institutional preparedness were found to be moderate. The dimension Opportunities and Challenges recorded the lowest mean score, indicating concerns regarding the practical aspects of implementation.</w:t>
      </w:r>
    </w:p>
    <w:p w14:paraId="0182A717" w14:textId="77777777" w:rsidR="00614270" w:rsidRPr="00614270" w:rsidRDefault="00614270" w:rsidP="00614270">
      <w:pPr>
        <w:jc w:val="both"/>
        <w:rPr>
          <w:rFonts w:ascii="Times New Roman" w:hAnsi="Times New Roman" w:cs="Times New Roman"/>
        </w:rPr>
      </w:pPr>
      <w:r w:rsidRPr="00614270">
        <w:rPr>
          <w:rFonts w:ascii="Times New Roman" w:hAnsi="Times New Roman" w:cs="Times New Roman"/>
        </w:rPr>
        <w:t xml:space="preserve">Further analysis showed that teacher educators’ perceptions did not differ significantly based on the type of management of the institution or subject specialization. However, teaching experience was found to influence perceptions related to administrative readiness. Overall, the </w:t>
      </w:r>
      <w:r w:rsidRPr="00614270">
        <w:rPr>
          <w:rFonts w:ascii="Times New Roman" w:hAnsi="Times New Roman" w:cs="Times New Roman"/>
        </w:rPr>
        <w:lastRenderedPageBreak/>
        <w:t>findings suggest that while teacher educators are supportive of ITEP and understand its objectives, greater attention is required to strengthen institutional preparedness, administrative support, and capacity-building initiatives for the effective implementation of the programme in Kerala.</w:t>
      </w:r>
    </w:p>
    <w:p w14:paraId="53956271" w14:textId="77777777" w:rsidR="00F96FED" w:rsidRPr="00F96FED" w:rsidRDefault="00F96FED" w:rsidP="00F96FED">
      <w:pPr>
        <w:jc w:val="center"/>
        <w:rPr>
          <w:rFonts w:ascii="Times New Roman" w:hAnsi="Times New Roman" w:cs="Times New Roman"/>
          <w:b/>
          <w:bCs/>
        </w:rPr>
      </w:pPr>
      <w:r w:rsidRPr="00F96FED">
        <w:rPr>
          <w:rFonts w:ascii="Times New Roman" w:hAnsi="Times New Roman" w:cs="Times New Roman"/>
          <w:b/>
          <w:bCs/>
        </w:rPr>
        <w:t>Educational Implications of the Study</w:t>
      </w:r>
    </w:p>
    <w:p w14:paraId="24EE5C26" w14:textId="56A1B8FF" w:rsidR="00F96FED" w:rsidRPr="00F96FED" w:rsidRDefault="00F96FED" w:rsidP="00F96FED">
      <w:pPr>
        <w:jc w:val="both"/>
        <w:rPr>
          <w:rFonts w:ascii="Times New Roman" w:hAnsi="Times New Roman" w:cs="Times New Roman"/>
          <w:b/>
          <w:bCs/>
        </w:rPr>
      </w:pPr>
      <w:r w:rsidRPr="00F96FED">
        <w:rPr>
          <w:rFonts w:ascii="Times New Roman" w:hAnsi="Times New Roman" w:cs="Times New Roman"/>
          <w:b/>
          <w:bCs/>
        </w:rPr>
        <w:t>Need for Comprehensive Faculty Training:</w:t>
      </w:r>
      <w:r w:rsidR="00B26184">
        <w:rPr>
          <w:rFonts w:ascii="Times New Roman" w:hAnsi="Times New Roman" w:cs="Times New Roman"/>
          <w:b/>
          <w:bCs/>
        </w:rPr>
        <w:t xml:space="preserve"> </w:t>
      </w:r>
      <w:r w:rsidRPr="00F96FED">
        <w:rPr>
          <w:rFonts w:ascii="Times New Roman" w:hAnsi="Times New Roman" w:cs="Times New Roman"/>
        </w:rPr>
        <w:t xml:space="preserve">Since faculty readiness was found to be only moderate, universities, SCERT, NCTE, and teacher education institutions should organize systematic orientation programmes, workshops,and capacity-building initiatives to familiarize teacher educators with the philosophy, curriculum, and pedagogical requirements of ITEP. </w:t>
      </w:r>
    </w:p>
    <w:p w14:paraId="6751E223" w14:textId="49FBC908" w:rsidR="00F96FED" w:rsidRPr="00CB2F7C" w:rsidRDefault="00F96FED" w:rsidP="00F96FED">
      <w:pPr>
        <w:jc w:val="both"/>
        <w:rPr>
          <w:rFonts w:ascii="Times New Roman" w:hAnsi="Times New Roman" w:cs="Times New Roman"/>
          <w:b/>
          <w:bCs/>
        </w:rPr>
      </w:pPr>
      <w:r w:rsidRPr="00F96FED">
        <w:rPr>
          <w:rFonts w:ascii="Times New Roman" w:hAnsi="Times New Roman" w:cs="Times New Roman"/>
          <w:b/>
          <w:bCs/>
        </w:rPr>
        <w:t>Strengthening Institutional Preparedness:</w:t>
      </w:r>
      <w:r w:rsidR="00CB2F7C">
        <w:rPr>
          <w:rFonts w:ascii="Times New Roman" w:hAnsi="Times New Roman" w:cs="Times New Roman"/>
          <w:b/>
          <w:bCs/>
        </w:rPr>
        <w:t xml:space="preserve"> </w:t>
      </w:r>
      <w:r w:rsidRPr="00F96FED">
        <w:rPr>
          <w:rFonts w:ascii="Times New Roman" w:hAnsi="Times New Roman" w:cs="Times New Roman"/>
        </w:rPr>
        <w:t xml:space="preserve">The moderate level of institutional and infrastructural readiness indicates the need for improving physical infrastructure, ICT facilities, library resources and multidisciplinary learning environments necessary for the successful implementation of ITEP. </w:t>
      </w:r>
    </w:p>
    <w:p w14:paraId="4B5D4BBB" w14:textId="781E5BE2" w:rsidR="00F96FED" w:rsidRPr="00CB2F7C" w:rsidRDefault="00F96FED" w:rsidP="00CB2F7C">
      <w:pPr>
        <w:rPr>
          <w:rFonts w:ascii="Times New Roman" w:hAnsi="Times New Roman" w:cs="Times New Roman"/>
          <w:b/>
          <w:bCs/>
        </w:rPr>
      </w:pPr>
      <w:r w:rsidRPr="00F96FED">
        <w:rPr>
          <w:rFonts w:ascii="Times New Roman" w:hAnsi="Times New Roman" w:cs="Times New Roman"/>
          <w:b/>
          <w:bCs/>
        </w:rPr>
        <w:t>Enhancing Administrative Support:</w:t>
      </w:r>
      <w:r w:rsidR="00CB2F7C">
        <w:rPr>
          <w:rFonts w:ascii="Times New Roman" w:hAnsi="Times New Roman" w:cs="Times New Roman"/>
          <w:b/>
          <w:bCs/>
        </w:rPr>
        <w:t xml:space="preserve"> </w:t>
      </w:r>
      <w:r w:rsidRPr="00F96FED">
        <w:rPr>
          <w:rFonts w:ascii="Times New Roman" w:hAnsi="Times New Roman" w:cs="Times New Roman"/>
        </w:rPr>
        <w:t xml:space="preserve">The significant difference observed in administrative readiness based on teaching experience highlights the importance of effective institutional leadership, planning and administrative coordination. Institutions should develop clear implementation strategies and support systems for faculty members. </w:t>
      </w:r>
    </w:p>
    <w:p w14:paraId="552F17CE" w14:textId="73B5CD4B" w:rsidR="00F96FED" w:rsidRPr="002F603E" w:rsidRDefault="00F96FED" w:rsidP="00F96FED">
      <w:pPr>
        <w:jc w:val="both"/>
        <w:rPr>
          <w:rFonts w:ascii="Times New Roman" w:hAnsi="Times New Roman" w:cs="Times New Roman"/>
          <w:b/>
          <w:bCs/>
        </w:rPr>
      </w:pPr>
      <w:r w:rsidRPr="00F96FED">
        <w:rPr>
          <w:rFonts w:ascii="Times New Roman" w:hAnsi="Times New Roman" w:cs="Times New Roman"/>
          <w:b/>
          <w:bCs/>
        </w:rPr>
        <w:t>Continuous Professional Development:</w:t>
      </w:r>
      <w:r w:rsidRPr="00F96FED">
        <w:rPr>
          <w:rFonts w:ascii="Times New Roman" w:hAnsi="Times New Roman" w:cs="Times New Roman"/>
        </w:rPr>
        <w:t xml:space="preserve">Teacher educators require regular professional development programmes focusing on interdisciplinary teaching, competency-based education, inclusive practices, educational technology, and research skills in accordance with NEP 2020. </w:t>
      </w:r>
    </w:p>
    <w:p w14:paraId="3DF70C3E" w14:textId="50D481D8" w:rsidR="00F96FED" w:rsidRDefault="00F96FED" w:rsidP="00F96FED">
      <w:pPr>
        <w:rPr>
          <w:rFonts w:ascii="Times New Roman" w:hAnsi="Times New Roman" w:cs="Times New Roman"/>
          <w:b/>
          <w:bCs/>
        </w:rPr>
      </w:pPr>
      <w:r w:rsidRPr="00F96FED">
        <w:rPr>
          <w:rFonts w:ascii="Times New Roman" w:hAnsi="Times New Roman" w:cs="Times New Roman"/>
          <w:b/>
          <w:bCs/>
        </w:rPr>
        <w:t>Policy-Level Support for Implementation:</w:t>
      </w:r>
      <w:r w:rsidR="002F603E">
        <w:rPr>
          <w:rFonts w:ascii="Times New Roman" w:hAnsi="Times New Roman" w:cs="Times New Roman"/>
          <w:b/>
          <w:bCs/>
        </w:rPr>
        <w:t xml:space="preserve"> </w:t>
      </w:r>
      <w:r w:rsidRPr="00F96FED">
        <w:rPr>
          <w:rFonts w:ascii="Times New Roman" w:hAnsi="Times New Roman" w:cs="Times New Roman"/>
        </w:rPr>
        <w:t xml:space="preserve">The findings suggest the need for a clear state-level roadmap for ITEP implementation in Kerala. Financial assistance, academic support and institutional mentoring should be provided to ensure a smooth transition to the new programme. </w:t>
      </w:r>
    </w:p>
    <w:p w14:paraId="45B16C81" w14:textId="16CBF31A" w:rsidR="00F96FED" w:rsidRPr="0004437B" w:rsidRDefault="00F96FED" w:rsidP="00F96FED">
      <w:pPr>
        <w:jc w:val="both"/>
        <w:rPr>
          <w:rFonts w:ascii="Times New Roman" w:hAnsi="Times New Roman" w:cs="Times New Roman"/>
          <w:b/>
          <w:bCs/>
        </w:rPr>
      </w:pPr>
      <w:r w:rsidRPr="00F96FED">
        <w:rPr>
          <w:rFonts w:ascii="Times New Roman" w:hAnsi="Times New Roman" w:cs="Times New Roman"/>
          <w:b/>
          <w:bCs/>
        </w:rPr>
        <w:t>Awareness and Orientation Programmes:</w:t>
      </w:r>
      <w:r w:rsidR="0004437B">
        <w:rPr>
          <w:rFonts w:ascii="Times New Roman" w:hAnsi="Times New Roman" w:cs="Times New Roman"/>
          <w:b/>
          <w:bCs/>
        </w:rPr>
        <w:t xml:space="preserve"> </w:t>
      </w:r>
      <w:r w:rsidRPr="00F96FED">
        <w:rPr>
          <w:rFonts w:ascii="Times New Roman" w:hAnsi="Times New Roman" w:cs="Times New Roman"/>
        </w:rPr>
        <w:t xml:space="preserve">Although teacher educators demonstrated a good understanding of NEP 2020 and ITEP, continuous awareness programmes are necessary to address misconceptions and promote a deeper understanding of the objectives and expected outcomes of the reform. </w:t>
      </w:r>
    </w:p>
    <w:p w14:paraId="0AC384E8" w14:textId="18B57083" w:rsidR="00F96FED" w:rsidRDefault="00F96FED" w:rsidP="000D7CE8">
      <w:pPr>
        <w:jc w:val="both"/>
        <w:rPr>
          <w:rFonts w:ascii="Times New Roman" w:hAnsi="Times New Roman" w:cs="Times New Roman"/>
          <w:b/>
          <w:bCs/>
        </w:rPr>
      </w:pPr>
      <w:r w:rsidRPr="00F96FED">
        <w:rPr>
          <w:rFonts w:ascii="Times New Roman" w:hAnsi="Times New Roman" w:cs="Times New Roman"/>
          <w:b/>
          <w:bCs/>
        </w:rPr>
        <w:t>Support for Multidisciplinary Transformation:</w:t>
      </w:r>
      <w:r w:rsidR="000D7CE8">
        <w:rPr>
          <w:rFonts w:ascii="Times New Roman" w:hAnsi="Times New Roman" w:cs="Times New Roman"/>
          <w:b/>
          <w:bCs/>
        </w:rPr>
        <w:t xml:space="preserve"> </w:t>
      </w:r>
      <w:r w:rsidRPr="00F96FED">
        <w:rPr>
          <w:rFonts w:ascii="Times New Roman" w:hAnsi="Times New Roman" w:cs="Times New Roman"/>
        </w:rPr>
        <w:t xml:space="preserve">Since ITEP is to be offered through multidisciplinary institutions, teacher education institutions should be supported in establishing academic collaborations and restructuring their programmes in accordance with NEP 2020 requirements. </w:t>
      </w:r>
    </w:p>
    <w:p w14:paraId="047FDB09" w14:textId="13CC0C0F" w:rsidR="00F96FED" w:rsidRPr="000D7CE8" w:rsidRDefault="00F96FED" w:rsidP="00F96FED">
      <w:pPr>
        <w:jc w:val="both"/>
        <w:rPr>
          <w:rFonts w:ascii="Times New Roman" w:hAnsi="Times New Roman" w:cs="Times New Roman"/>
          <w:b/>
          <w:bCs/>
        </w:rPr>
      </w:pPr>
      <w:r w:rsidRPr="00F96FED">
        <w:rPr>
          <w:rFonts w:ascii="Times New Roman" w:hAnsi="Times New Roman" w:cs="Times New Roman"/>
          <w:b/>
          <w:bCs/>
        </w:rPr>
        <w:t>Evidence-Based Implementation Planning:</w:t>
      </w:r>
      <w:r w:rsidR="000D7CE8">
        <w:rPr>
          <w:rFonts w:ascii="Times New Roman" w:hAnsi="Times New Roman" w:cs="Times New Roman"/>
          <w:b/>
          <w:bCs/>
        </w:rPr>
        <w:t xml:space="preserve"> </w:t>
      </w:r>
      <w:r w:rsidRPr="00F96FED">
        <w:rPr>
          <w:rFonts w:ascii="Times New Roman" w:hAnsi="Times New Roman" w:cs="Times New Roman"/>
        </w:rPr>
        <w:t>Educational authorities may use the findings of the study to identify areas requiring intervention and formulate strategies for strengthening readiness at the faculty, institutional, and administrative levels before large-scale implementation of ITEP.</w:t>
      </w:r>
    </w:p>
    <w:p w14:paraId="751585EB" w14:textId="77777777" w:rsidR="004A55CB" w:rsidRDefault="004A55CB" w:rsidP="00E52184">
      <w:pPr>
        <w:jc w:val="center"/>
        <w:rPr>
          <w:rFonts w:ascii="Times New Roman" w:hAnsi="Times New Roman" w:cs="Times New Roman"/>
          <w:b/>
          <w:bCs/>
        </w:rPr>
      </w:pPr>
    </w:p>
    <w:p w14:paraId="114C4176" w14:textId="16EF4ACE" w:rsidR="00E52184" w:rsidRPr="00E52184" w:rsidRDefault="00E52184" w:rsidP="00E52184">
      <w:pPr>
        <w:jc w:val="center"/>
        <w:rPr>
          <w:rFonts w:ascii="Times New Roman" w:hAnsi="Times New Roman" w:cs="Times New Roman"/>
          <w:b/>
          <w:bCs/>
        </w:rPr>
      </w:pPr>
      <w:r w:rsidRPr="00E52184">
        <w:rPr>
          <w:rFonts w:ascii="Times New Roman" w:hAnsi="Times New Roman" w:cs="Times New Roman"/>
          <w:b/>
          <w:bCs/>
        </w:rPr>
        <w:lastRenderedPageBreak/>
        <w:t xml:space="preserve">References </w:t>
      </w:r>
    </w:p>
    <w:p w14:paraId="642F7589" w14:textId="11E66038" w:rsidR="00240574" w:rsidRPr="00240574" w:rsidRDefault="00240574" w:rsidP="00240574">
      <w:pPr>
        <w:jc w:val="both"/>
        <w:rPr>
          <w:rFonts w:ascii="Times New Roman" w:hAnsi="Times New Roman" w:cs="Times New Roman"/>
        </w:rPr>
      </w:pPr>
      <w:r w:rsidRPr="00240574">
        <w:rPr>
          <w:rFonts w:ascii="Times New Roman" w:hAnsi="Times New Roman" w:cs="Times New Roman"/>
        </w:rPr>
        <w:t xml:space="preserve">Dhupal, S. (2026). </w:t>
      </w:r>
      <w:r w:rsidRPr="00240574">
        <w:rPr>
          <w:rFonts w:ascii="Times New Roman" w:hAnsi="Times New Roman" w:cs="Times New Roman"/>
          <w:i/>
          <w:iCs/>
        </w:rPr>
        <w:t>Relevance of ITEP in transforming teacher education programme in the present context</w:t>
      </w:r>
      <w:r w:rsidRPr="00240574">
        <w:rPr>
          <w:rFonts w:ascii="Times New Roman" w:hAnsi="Times New Roman" w:cs="Times New Roman"/>
        </w:rPr>
        <w:t xml:space="preserve">. </w:t>
      </w:r>
      <w:r w:rsidRPr="00240574">
        <w:rPr>
          <w:rFonts w:ascii="Times New Roman" w:hAnsi="Times New Roman" w:cs="Times New Roman"/>
          <w:i/>
          <w:iCs/>
        </w:rPr>
        <w:t>International Journal of Creative Research Thoughts, 14</w:t>
      </w:r>
      <w:r w:rsidRPr="00240574">
        <w:rPr>
          <w:rFonts w:ascii="Times New Roman" w:hAnsi="Times New Roman" w:cs="Times New Roman"/>
        </w:rPr>
        <w:t xml:space="preserve">(2). </w:t>
      </w:r>
    </w:p>
    <w:p w14:paraId="0BBD00E2" w14:textId="64CD0338" w:rsidR="00240574" w:rsidRPr="00240574" w:rsidRDefault="00240574" w:rsidP="00240574">
      <w:pPr>
        <w:jc w:val="both"/>
        <w:rPr>
          <w:rFonts w:ascii="Times New Roman" w:hAnsi="Times New Roman" w:cs="Times New Roman"/>
        </w:rPr>
      </w:pPr>
      <w:r w:rsidRPr="00240574">
        <w:rPr>
          <w:rFonts w:ascii="Times New Roman" w:hAnsi="Times New Roman" w:cs="Times New Roman"/>
        </w:rPr>
        <w:t xml:space="preserve">Govt. of India. (2020). </w:t>
      </w:r>
      <w:r w:rsidRPr="00240574">
        <w:rPr>
          <w:rFonts w:ascii="Times New Roman" w:hAnsi="Times New Roman" w:cs="Times New Roman"/>
          <w:i/>
          <w:iCs/>
        </w:rPr>
        <w:t>National Education Policy 2020</w:t>
      </w:r>
      <w:r w:rsidRPr="00240574">
        <w:rPr>
          <w:rFonts w:ascii="Times New Roman" w:hAnsi="Times New Roman" w:cs="Times New Roman"/>
        </w:rPr>
        <w:t xml:space="preserve">. Ministry of Education, Government of India. </w:t>
      </w:r>
    </w:p>
    <w:p w14:paraId="6CD79818" w14:textId="0012CF17" w:rsidR="00240574" w:rsidRPr="00240574" w:rsidRDefault="00240574" w:rsidP="00240574">
      <w:pPr>
        <w:jc w:val="both"/>
        <w:rPr>
          <w:rFonts w:ascii="Times New Roman" w:hAnsi="Times New Roman" w:cs="Times New Roman"/>
        </w:rPr>
      </w:pPr>
      <w:r w:rsidRPr="00240574">
        <w:rPr>
          <w:rFonts w:ascii="Times New Roman" w:hAnsi="Times New Roman" w:cs="Times New Roman"/>
        </w:rPr>
        <w:t xml:space="preserve">Gupta, R., &amp; Saxena, P. (2021). </w:t>
      </w:r>
      <w:r w:rsidRPr="00240574">
        <w:rPr>
          <w:rFonts w:ascii="Times New Roman" w:hAnsi="Times New Roman" w:cs="Times New Roman"/>
          <w:i/>
          <w:iCs/>
        </w:rPr>
        <w:t>Redesigning teacher education under NEP 2020: Challenges and prospects</w:t>
      </w:r>
      <w:r w:rsidRPr="00240574">
        <w:rPr>
          <w:rFonts w:ascii="Times New Roman" w:hAnsi="Times New Roman" w:cs="Times New Roman"/>
        </w:rPr>
        <w:t xml:space="preserve">. </w:t>
      </w:r>
      <w:r w:rsidRPr="00240574">
        <w:rPr>
          <w:rFonts w:ascii="Times New Roman" w:hAnsi="Times New Roman" w:cs="Times New Roman"/>
          <w:i/>
          <w:iCs/>
        </w:rPr>
        <w:t>Journal of Educational Planning and Administration, 35</w:t>
      </w:r>
      <w:r w:rsidRPr="00240574">
        <w:rPr>
          <w:rFonts w:ascii="Times New Roman" w:hAnsi="Times New Roman" w:cs="Times New Roman"/>
        </w:rPr>
        <w:t xml:space="preserve">(2), 67–78. </w:t>
      </w:r>
    </w:p>
    <w:p w14:paraId="25F2C130" w14:textId="45888854" w:rsidR="00240574" w:rsidRPr="00240574" w:rsidRDefault="00240574" w:rsidP="00240574">
      <w:pPr>
        <w:jc w:val="both"/>
        <w:rPr>
          <w:rFonts w:ascii="Times New Roman" w:hAnsi="Times New Roman" w:cs="Times New Roman"/>
        </w:rPr>
      </w:pPr>
      <w:r w:rsidRPr="00240574">
        <w:rPr>
          <w:rFonts w:ascii="Times New Roman" w:hAnsi="Times New Roman" w:cs="Times New Roman"/>
        </w:rPr>
        <w:t xml:space="preserve">Jadhav, N. (2022). </w:t>
      </w:r>
      <w:r w:rsidRPr="00240574">
        <w:rPr>
          <w:rFonts w:ascii="Times New Roman" w:hAnsi="Times New Roman" w:cs="Times New Roman"/>
          <w:i/>
          <w:iCs/>
        </w:rPr>
        <w:t>Issues and challenges of National Education Policy (NEP) 2020 implementation in teacher education</w:t>
      </w:r>
      <w:r w:rsidRPr="00240574">
        <w:rPr>
          <w:rFonts w:ascii="Times New Roman" w:hAnsi="Times New Roman" w:cs="Times New Roman"/>
        </w:rPr>
        <w:t xml:space="preserve">. </w:t>
      </w:r>
      <w:r w:rsidRPr="00240574">
        <w:rPr>
          <w:rFonts w:ascii="Times New Roman" w:hAnsi="Times New Roman" w:cs="Times New Roman"/>
          <w:i/>
          <w:iCs/>
        </w:rPr>
        <w:t>International Journal of Enhanced Research in Educational Development, 10</w:t>
      </w:r>
      <w:r w:rsidRPr="00240574">
        <w:rPr>
          <w:rFonts w:ascii="Times New Roman" w:hAnsi="Times New Roman" w:cs="Times New Roman"/>
        </w:rPr>
        <w:t xml:space="preserve">(3), 188. </w:t>
      </w:r>
    </w:p>
    <w:p w14:paraId="6CEA1AA3" w14:textId="4D353BA3" w:rsidR="00240574" w:rsidRPr="00240574" w:rsidRDefault="00240574" w:rsidP="00240574">
      <w:pPr>
        <w:jc w:val="both"/>
        <w:rPr>
          <w:rFonts w:ascii="Times New Roman" w:hAnsi="Times New Roman" w:cs="Times New Roman"/>
        </w:rPr>
      </w:pPr>
      <w:r w:rsidRPr="00240574">
        <w:rPr>
          <w:rFonts w:ascii="Times New Roman" w:hAnsi="Times New Roman" w:cs="Times New Roman"/>
        </w:rPr>
        <w:t xml:space="preserve">Kerala State Higher Education Council. (2024). </w:t>
      </w:r>
      <w:r w:rsidRPr="00240574">
        <w:rPr>
          <w:rFonts w:ascii="Times New Roman" w:hAnsi="Times New Roman" w:cs="Times New Roman"/>
          <w:i/>
          <w:iCs/>
        </w:rPr>
        <w:t>Report on implementation of Integrated Teacher Education Programme (ITEP) in Kerala</w:t>
      </w:r>
      <w:r w:rsidRPr="00240574">
        <w:rPr>
          <w:rFonts w:ascii="Times New Roman" w:hAnsi="Times New Roman" w:cs="Times New Roman"/>
        </w:rPr>
        <w:t xml:space="preserve">. </w:t>
      </w:r>
    </w:p>
    <w:p w14:paraId="6C0CD500" w14:textId="398C2C40" w:rsidR="00240574" w:rsidRPr="00240574" w:rsidRDefault="00240574" w:rsidP="00240574">
      <w:pPr>
        <w:jc w:val="both"/>
        <w:rPr>
          <w:rFonts w:ascii="Times New Roman" w:hAnsi="Times New Roman" w:cs="Times New Roman"/>
        </w:rPr>
      </w:pPr>
      <w:r w:rsidRPr="00240574">
        <w:rPr>
          <w:rFonts w:ascii="Times New Roman" w:hAnsi="Times New Roman" w:cs="Times New Roman"/>
        </w:rPr>
        <w:t xml:space="preserve">Mandal, R., Mete, J., &amp; Biswas, R. M. (2025). </w:t>
      </w:r>
      <w:r w:rsidRPr="00240574">
        <w:rPr>
          <w:rFonts w:ascii="Times New Roman" w:hAnsi="Times New Roman" w:cs="Times New Roman"/>
          <w:i/>
          <w:iCs/>
        </w:rPr>
        <w:t>ITEP in India: Problems and prospects under NEP 2020</w:t>
      </w:r>
      <w:r w:rsidRPr="00240574">
        <w:rPr>
          <w:rFonts w:ascii="Times New Roman" w:hAnsi="Times New Roman" w:cs="Times New Roman"/>
        </w:rPr>
        <w:t xml:space="preserve">. </w:t>
      </w:r>
      <w:r w:rsidRPr="00240574">
        <w:rPr>
          <w:rFonts w:ascii="Times New Roman" w:hAnsi="Times New Roman" w:cs="Times New Roman"/>
          <w:i/>
          <w:iCs/>
        </w:rPr>
        <w:t>International Journal of Innovative Science and Research Technology, 10</w:t>
      </w:r>
      <w:r w:rsidRPr="00240574">
        <w:rPr>
          <w:rFonts w:ascii="Times New Roman" w:hAnsi="Times New Roman" w:cs="Times New Roman"/>
        </w:rPr>
        <w:t xml:space="preserve">(5), 2940. </w:t>
      </w:r>
      <w:hyperlink r:id="rId5" w:tgtFrame="_new" w:history="1">
        <w:r w:rsidRPr="00240574">
          <w:rPr>
            <w:rStyle w:val="Hyperlink"/>
            <w:rFonts w:ascii="Times New Roman" w:hAnsi="Times New Roman" w:cs="Times New Roman"/>
          </w:rPr>
          <w:t>https://doi.org/10.38124/ijisrt/25may1596</w:t>
        </w:r>
      </w:hyperlink>
      <w:r w:rsidRPr="00240574">
        <w:rPr>
          <w:rFonts w:ascii="Times New Roman" w:hAnsi="Times New Roman" w:cs="Times New Roman"/>
        </w:rPr>
        <w:t xml:space="preserve"> </w:t>
      </w:r>
    </w:p>
    <w:p w14:paraId="43544F85" w14:textId="2E42A5A6" w:rsidR="00240574" w:rsidRPr="00240574" w:rsidRDefault="00240574" w:rsidP="00240574">
      <w:pPr>
        <w:jc w:val="both"/>
        <w:rPr>
          <w:rFonts w:ascii="Times New Roman" w:hAnsi="Times New Roman" w:cs="Times New Roman"/>
        </w:rPr>
      </w:pPr>
      <w:r w:rsidRPr="00240574">
        <w:rPr>
          <w:rFonts w:ascii="Times New Roman" w:hAnsi="Times New Roman" w:cs="Times New Roman"/>
        </w:rPr>
        <w:t xml:space="preserve">Narsimulu, G. (2025). </w:t>
      </w:r>
      <w:r w:rsidRPr="00240574">
        <w:rPr>
          <w:rFonts w:ascii="Times New Roman" w:hAnsi="Times New Roman" w:cs="Times New Roman"/>
          <w:i/>
          <w:iCs/>
        </w:rPr>
        <w:t>National education policy 2023: Transforming India’s education landscape</w:t>
      </w:r>
      <w:r w:rsidRPr="00240574">
        <w:rPr>
          <w:rFonts w:ascii="Times New Roman" w:hAnsi="Times New Roman" w:cs="Times New Roman"/>
        </w:rPr>
        <w:t xml:space="preserve">. </w:t>
      </w:r>
      <w:r w:rsidRPr="00240574">
        <w:rPr>
          <w:rFonts w:ascii="Times New Roman" w:hAnsi="Times New Roman" w:cs="Times New Roman"/>
          <w:i/>
          <w:iCs/>
        </w:rPr>
        <w:t>International Journal for Multidisciplinary Research (IJFMR), 7</w:t>
      </w:r>
      <w:r w:rsidRPr="00240574">
        <w:rPr>
          <w:rFonts w:ascii="Times New Roman" w:hAnsi="Times New Roman" w:cs="Times New Roman"/>
        </w:rPr>
        <w:t xml:space="preserve">(4). </w:t>
      </w:r>
    </w:p>
    <w:p w14:paraId="147B7829" w14:textId="481C3A77" w:rsidR="00240574" w:rsidRPr="00240574" w:rsidRDefault="00240574" w:rsidP="00240574">
      <w:pPr>
        <w:jc w:val="both"/>
        <w:rPr>
          <w:rFonts w:ascii="Times New Roman" w:hAnsi="Times New Roman" w:cs="Times New Roman"/>
        </w:rPr>
      </w:pPr>
      <w:r w:rsidRPr="00240574">
        <w:rPr>
          <w:rFonts w:ascii="Times New Roman" w:hAnsi="Times New Roman" w:cs="Times New Roman"/>
        </w:rPr>
        <w:t xml:space="preserve">National Council for Teacher Education. (2023). </w:t>
      </w:r>
      <w:r w:rsidRPr="00240574">
        <w:rPr>
          <w:rFonts w:ascii="Times New Roman" w:hAnsi="Times New Roman" w:cs="Times New Roman"/>
          <w:i/>
          <w:iCs/>
        </w:rPr>
        <w:t>Integrated Teacher Education Programme (ITEP) Guidelines/Regulations</w:t>
      </w:r>
      <w:r w:rsidRPr="00240574">
        <w:rPr>
          <w:rFonts w:ascii="Times New Roman" w:hAnsi="Times New Roman" w:cs="Times New Roman"/>
        </w:rPr>
        <w:t xml:space="preserve">. New Delhi: NCTE. </w:t>
      </w:r>
    </w:p>
    <w:p w14:paraId="5FBD8460" w14:textId="6493CFDA" w:rsidR="00240574" w:rsidRPr="00240574" w:rsidRDefault="00240574" w:rsidP="00240574">
      <w:pPr>
        <w:jc w:val="both"/>
        <w:rPr>
          <w:rFonts w:ascii="Times New Roman" w:hAnsi="Times New Roman" w:cs="Times New Roman"/>
        </w:rPr>
      </w:pPr>
      <w:r w:rsidRPr="00240574">
        <w:rPr>
          <w:rFonts w:ascii="Times New Roman" w:hAnsi="Times New Roman" w:cs="Times New Roman"/>
        </w:rPr>
        <w:t xml:space="preserve">Saha, R. P. (2025). </w:t>
      </w:r>
      <w:r w:rsidRPr="00240574">
        <w:rPr>
          <w:rFonts w:ascii="Times New Roman" w:hAnsi="Times New Roman" w:cs="Times New Roman"/>
          <w:i/>
          <w:iCs/>
        </w:rPr>
        <w:t>Relevance and significance of teacher education in relation to NEP 2020</w:t>
      </w:r>
      <w:r w:rsidRPr="00240574">
        <w:rPr>
          <w:rFonts w:ascii="Times New Roman" w:hAnsi="Times New Roman" w:cs="Times New Roman"/>
        </w:rPr>
        <w:t xml:space="preserve">. </w:t>
      </w:r>
      <w:r w:rsidRPr="00240574">
        <w:rPr>
          <w:rFonts w:ascii="Times New Roman" w:hAnsi="Times New Roman" w:cs="Times New Roman"/>
          <w:i/>
          <w:iCs/>
        </w:rPr>
        <w:t>International Journal for Multidisciplinary Research, 7</w:t>
      </w:r>
      <w:r w:rsidRPr="00240574">
        <w:rPr>
          <w:rFonts w:ascii="Times New Roman" w:hAnsi="Times New Roman" w:cs="Times New Roman"/>
        </w:rPr>
        <w:t xml:space="preserve">(4). </w:t>
      </w:r>
    </w:p>
    <w:p w14:paraId="048C3BA8" w14:textId="6588DBFC" w:rsidR="00240574" w:rsidRPr="00240574" w:rsidRDefault="00240574" w:rsidP="00240574">
      <w:pPr>
        <w:jc w:val="both"/>
        <w:rPr>
          <w:rFonts w:ascii="Times New Roman" w:hAnsi="Times New Roman" w:cs="Times New Roman"/>
        </w:rPr>
      </w:pPr>
      <w:r w:rsidRPr="00240574">
        <w:rPr>
          <w:rFonts w:ascii="Times New Roman" w:hAnsi="Times New Roman" w:cs="Times New Roman"/>
        </w:rPr>
        <w:t xml:space="preserve">Sajan, A., &amp; Thomas, N. (2025). </w:t>
      </w:r>
      <w:r w:rsidRPr="00240574">
        <w:rPr>
          <w:rFonts w:ascii="Times New Roman" w:hAnsi="Times New Roman" w:cs="Times New Roman"/>
          <w:i/>
          <w:iCs/>
        </w:rPr>
        <w:t>A study on teacher readiness towards implementing Integrated Teacher Education Programme in Kerala</w:t>
      </w:r>
      <w:r w:rsidRPr="00240574">
        <w:rPr>
          <w:rFonts w:ascii="Times New Roman" w:hAnsi="Times New Roman" w:cs="Times New Roman"/>
        </w:rPr>
        <w:t xml:space="preserve">. </w:t>
      </w:r>
      <w:r w:rsidRPr="00240574">
        <w:rPr>
          <w:rFonts w:ascii="Times New Roman" w:hAnsi="Times New Roman" w:cs="Times New Roman"/>
          <w:i/>
          <w:iCs/>
        </w:rPr>
        <w:t>The Academic: International Journal of Multidisciplinary Research, 3</w:t>
      </w:r>
      <w:r w:rsidRPr="00240574">
        <w:rPr>
          <w:rFonts w:ascii="Times New Roman" w:hAnsi="Times New Roman" w:cs="Times New Roman"/>
        </w:rPr>
        <w:t xml:space="preserve">(7), 176–186. </w:t>
      </w:r>
    </w:p>
    <w:p w14:paraId="12D95B46" w14:textId="41B8FFD0" w:rsidR="00240574" w:rsidRPr="00240574" w:rsidRDefault="00240574" w:rsidP="00240574">
      <w:pPr>
        <w:jc w:val="both"/>
        <w:rPr>
          <w:rFonts w:ascii="Times New Roman" w:hAnsi="Times New Roman" w:cs="Times New Roman"/>
        </w:rPr>
      </w:pPr>
      <w:r w:rsidRPr="00240574">
        <w:rPr>
          <w:rFonts w:ascii="Times New Roman" w:hAnsi="Times New Roman" w:cs="Times New Roman"/>
        </w:rPr>
        <w:t xml:space="preserve">Sharma, N. K. (2025). </w:t>
      </w:r>
      <w:r w:rsidRPr="00240574">
        <w:rPr>
          <w:rFonts w:ascii="Times New Roman" w:hAnsi="Times New Roman" w:cs="Times New Roman"/>
          <w:i/>
          <w:iCs/>
        </w:rPr>
        <w:t>Teacher education programs, teacher challenges and perspectives on NEP-2020</w:t>
      </w:r>
      <w:r w:rsidRPr="00240574">
        <w:rPr>
          <w:rFonts w:ascii="Times New Roman" w:hAnsi="Times New Roman" w:cs="Times New Roman"/>
        </w:rPr>
        <w:t xml:space="preserve">. </w:t>
      </w:r>
      <w:r w:rsidRPr="00240574">
        <w:rPr>
          <w:rFonts w:ascii="Times New Roman" w:hAnsi="Times New Roman" w:cs="Times New Roman"/>
          <w:i/>
          <w:iCs/>
        </w:rPr>
        <w:t>Techno Learn: An International Journal of Educational Technology, 14</w:t>
      </w:r>
      <w:r w:rsidRPr="00240574">
        <w:rPr>
          <w:rFonts w:ascii="Times New Roman" w:hAnsi="Times New Roman" w:cs="Times New Roman"/>
        </w:rPr>
        <w:t xml:space="preserve">(1), 17–24. </w:t>
      </w:r>
    </w:p>
    <w:p w14:paraId="378F4B98" w14:textId="5AEC56B3" w:rsidR="00240574" w:rsidRPr="00240574" w:rsidRDefault="00240574" w:rsidP="00240574">
      <w:pPr>
        <w:jc w:val="both"/>
        <w:rPr>
          <w:rFonts w:ascii="Times New Roman" w:hAnsi="Times New Roman" w:cs="Times New Roman"/>
        </w:rPr>
      </w:pPr>
      <w:r w:rsidRPr="00240574">
        <w:rPr>
          <w:rFonts w:ascii="Times New Roman" w:hAnsi="Times New Roman" w:cs="Times New Roman"/>
        </w:rPr>
        <w:t xml:space="preserve">Singh, A. (2025). </w:t>
      </w:r>
      <w:r w:rsidRPr="00240574">
        <w:rPr>
          <w:rFonts w:ascii="Times New Roman" w:hAnsi="Times New Roman" w:cs="Times New Roman"/>
          <w:i/>
          <w:iCs/>
        </w:rPr>
        <w:t>Teacher education and NEP 2020: Transforming teacher training programs</w:t>
      </w:r>
      <w:r w:rsidRPr="00240574">
        <w:rPr>
          <w:rFonts w:ascii="Times New Roman" w:hAnsi="Times New Roman" w:cs="Times New Roman"/>
        </w:rPr>
        <w:t xml:space="preserve">. </w:t>
      </w:r>
      <w:r w:rsidRPr="00240574">
        <w:rPr>
          <w:rFonts w:ascii="Times New Roman" w:hAnsi="Times New Roman" w:cs="Times New Roman"/>
          <w:i/>
          <w:iCs/>
        </w:rPr>
        <w:t>International Journal of Advanced Academic Studies, 7</w:t>
      </w:r>
      <w:r w:rsidRPr="00240574">
        <w:rPr>
          <w:rFonts w:ascii="Times New Roman" w:hAnsi="Times New Roman" w:cs="Times New Roman"/>
        </w:rPr>
        <w:t xml:space="preserve">(5), 45–47. </w:t>
      </w:r>
    </w:p>
    <w:p w14:paraId="0F53E4C8" w14:textId="350D9550" w:rsidR="00240574" w:rsidRPr="00240574" w:rsidRDefault="00240574" w:rsidP="00240574">
      <w:pPr>
        <w:jc w:val="both"/>
        <w:rPr>
          <w:rFonts w:ascii="Times New Roman" w:hAnsi="Times New Roman" w:cs="Times New Roman"/>
        </w:rPr>
      </w:pPr>
      <w:r w:rsidRPr="00240574">
        <w:rPr>
          <w:rFonts w:ascii="Times New Roman" w:hAnsi="Times New Roman" w:cs="Times New Roman"/>
        </w:rPr>
        <w:t xml:space="preserve">Soni, R., &amp; Tiwari, D. (2024). </w:t>
      </w:r>
      <w:r w:rsidRPr="00240574">
        <w:rPr>
          <w:rFonts w:ascii="Times New Roman" w:hAnsi="Times New Roman" w:cs="Times New Roman"/>
          <w:i/>
          <w:iCs/>
        </w:rPr>
        <w:t>Evaluating educators' perspectives: A study on teachers' feedback regarding the implementation of the National Education Policy (NEP) 2020</w:t>
      </w:r>
      <w:r w:rsidRPr="00240574">
        <w:rPr>
          <w:rFonts w:ascii="Times New Roman" w:hAnsi="Times New Roman" w:cs="Times New Roman"/>
        </w:rPr>
        <w:t xml:space="preserve">. </w:t>
      </w:r>
      <w:r w:rsidRPr="00240574">
        <w:rPr>
          <w:rFonts w:ascii="Times New Roman" w:hAnsi="Times New Roman" w:cs="Times New Roman"/>
          <w:i/>
          <w:iCs/>
        </w:rPr>
        <w:t>Iris Journal of Educational Research, 3</w:t>
      </w:r>
      <w:r w:rsidRPr="00240574">
        <w:rPr>
          <w:rFonts w:ascii="Times New Roman" w:hAnsi="Times New Roman" w:cs="Times New Roman"/>
        </w:rPr>
        <w:t xml:space="preserve">. </w:t>
      </w:r>
    </w:p>
    <w:p w14:paraId="6EEDBEFE" w14:textId="25C6B1D1" w:rsidR="00431EEA" w:rsidRPr="00EC3965" w:rsidRDefault="00240574" w:rsidP="00240574">
      <w:pPr>
        <w:jc w:val="both"/>
        <w:rPr>
          <w:rFonts w:ascii="Times New Roman" w:hAnsi="Times New Roman" w:cs="Times New Roman"/>
        </w:rPr>
      </w:pPr>
      <w:r w:rsidRPr="00240574">
        <w:rPr>
          <w:rFonts w:ascii="Times New Roman" w:hAnsi="Times New Roman" w:cs="Times New Roman"/>
        </w:rPr>
        <w:t xml:space="preserve">Thompson, M., Carter, J., Williams, R., Anderson, E., &amp; Paul, C. (2024). </w:t>
      </w:r>
      <w:r w:rsidRPr="00240574">
        <w:rPr>
          <w:rFonts w:ascii="Times New Roman" w:hAnsi="Times New Roman" w:cs="Times New Roman"/>
          <w:i/>
          <w:iCs/>
        </w:rPr>
        <w:t>Educational change management: Strategies, challenges, and transformative pathways in modern education systems</w:t>
      </w:r>
      <w:r w:rsidRPr="00240574">
        <w:rPr>
          <w:rFonts w:ascii="Times New Roman" w:hAnsi="Times New Roman" w:cs="Times New Roman"/>
        </w:rPr>
        <w:t>.</w:t>
      </w:r>
    </w:p>
    <w:sectPr w:rsidR="00431EEA" w:rsidRPr="00EC39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E639D"/>
    <w:multiLevelType w:val="hybridMultilevel"/>
    <w:tmpl w:val="72D84468"/>
    <w:lvl w:ilvl="0" w:tplc="4286605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08D6BB6"/>
    <w:multiLevelType w:val="multilevel"/>
    <w:tmpl w:val="CAFA5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8626536">
    <w:abstractNumId w:val="0"/>
  </w:num>
  <w:num w:numId="2" w16cid:durableId="579801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76"/>
    <w:rsid w:val="00024276"/>
    <w:rsid w:val="00027D8D"/>
    <w:rsid w:val="0004437B"/>
    <w:rsid w:val="000C68AD"/>
    <w:rsid w:val="000D2DB9"/>
    <w:rsid w:val="000D7CE8"/>
    <w:rsid w:val="000F256E"/>
    <w:rsid w:val="001C368E"/>
    <w:rsid w:val="0020421D"/>
    <w:rsid w:val="00240574"/>
    <w:rsid w:val="002F603E"/>
    <w:rsid w:val="003139CE"/>
    <w:rsid w:val="003718B5"/>
    <w:rsid w:val="003D311F"/>
    <w:rsid w:val="003D5EED"/>
    <w:rsid w:val="00431EEA"/>
    <w:rsid w:val="004853CC"/>
    <w:rsid w:val="004A55CB"/>
    <w:rsid w:val="004B5F2B"/>
    <w:rsid w:val="004C3F29"/>
    <w:rsid w:val="005075C4"/>
    <w:rsid w:val="00580FCB"/>
    <w:rsid w:val="005A2756"/>
    <w:rsid w:val="005E387D"/>
    <w:rsid w:val="00614270"/>
    <w:rsid w:val="0068421B"/>
    <w:rsid w:val="007559A8"/>
    <w:rsid w:val="007F39FD"/>
    <w:rsid w:val="007F4FDC"/>
    <w:rsid w:val="00881C26"/>
    <w:rsid w:val="008E5771"/>
    <w:rsid w:val="009804AD"/>
    <w:rsid w:val="009A68A3"/>
    <w:rsid w:val="009E5032"/>
    <w:rsid w:val="009F1CDD"/>
    <w:rsid w:val="00A06F2C"/>
    <w:rsid w:val="00A602A6"/>
    <w:rsid w:val="00A90664"/>
    <w:rsid w:val="00AA03BC"/>
    <w:rsid w:val="00AE30D8"/>
    <w:rsid w:val="00AF31FC"/>
    <w:rsid w:val="00B00D96"/>
    <w:rsid w:val="00B15531"/>
    <w:rsid w:val="00B26184"/>
    <w:rsid w:val="00B53884"/>
    <w:rsid w:val="00B816A7"/>
    <w:rsid w:val="00BC30F4"/>
    <w:rsid w:val="00BD0BBC"/>
    <w:rsid w:val="00CA3356"/>
    <w:rsid w:val="00CB2F7C"/>
    <w:rsid w:val="00CC3EF9"/>
    <w:rsid w:val="00D031B3"/>
    <w:rsid w:val="00E52184"/>
    <w:rsid w:val="00EC3965"/>
    <w:rsid w:val="00EE65C1"/>
    <w:rsid w:val="00F6540E"/>
    <w:rsid w:val="00F92A83"/>
    <w:rsid w:val="00F96FED"/>
    <w:rsid w:val="00FD60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1FC7"/>
  <w15:chartTrackingRefBased/>
  <w15:docId w15:val="{9F526642-E8EB-45D5-B2E5-C1AE85CE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2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2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2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2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2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2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2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2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2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2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2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2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2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2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276"/>
    <w:rPr>
      <w:rFonts w:eastAsiaTheme="majorEastAsia" w:cstheme="majorBidi"/>
      <w:color w:val="272727" w:themeColor="text1" w:themeTint="D8"/>
    </w:rPr>
  </w:style>
  <w:style w:type="paragraph" w:styleId="Title">
    <w:name w:val="Title"/>
    <w:basedOn w:val="Normal"/>
    <w:next w:val="Normal"/>
    <w:link w:val="TitleChar"/>
    <w:uiPriority w:val="10"/>
    <w:qFormat/>
    <w:rsid w:val="00024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276"/>
    <w:pPr>
      <w:spacing w:before="160"/>
      <w:jc w:val="center"/>
    </w:pPr>
    <w:rPr>
      <w:i/>
      <w:iCs/>
      <w:color w:val="404040" w:themeColor="text1" w:themeTint="BF"/>
    </w:rPr>
  </w:style>
  <w:style w:type="character" w:customStyle="1" w:styleId="QuoteChar">
    <w:name w:val="Quote Char"/>
    <w:basedOn w:val="DefaultParagraphFont"/>
    <w:link w:val="Quote"/>
    <w:uiPriority w:val="29"/>
    <w:rsid w:val="00024276"/>
    <w:rPr>
      <w:i/>
      <w:iCs/>
      <w:color w:val="404040" w:themeColor="text1" w:themeTint="BF"/>
    </w:rPr>
  </w:style>
  <w:style w:type="paragraph" w:styleId="ListParagraph">
    <w:name w:val="List Paragraph"/>
    <w:basedOn w:val="Normal"/>
    <w:uiPriority w:val="34"/>
    <w:qFormat/>
    <w:rsid w:val="00024276"/>
    <w:pPr>
      <w:ind w:left="720"/>
      <w:contextualSpacing/>
    </w:pPr>
  </w:style>
  <w:style w:type="character" w:styleId="IntenseEmphasis">
    <w:name w:val="Intense Emphasis"/>
    <w:basedOn w:val="DefaultParagraphFont"/>
    <w:uiPriority w:val="21"/>
    <w:qFormat/>
    <w:rsid w:val="00024276"/>
    <w:rPr>
      <w:i/>
      <w:iCs/>
      <w:color w:val="2F5496" w:themeColor="accent1" w:themeShade="BF"/>
    </w:rPr>
  </w:style>
  <w:style w:type="paragraph" w:styleId="IntenseQuote">
    <w:name w:val="Intense Quote"/>
    <w:basedOn w:val="Normal"/>
    <w:next w:val="Normal"/>
    <w:link w:val="IntenseQuoteChar"/>
    <w:uiPriority w:val="30"/>
    <w:qFormat/>
    <w:rsid w:val="000242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276"/>
    <w:rPr>
      <w:i/>
      <w:iCs/>
      <w:color w:val="2F5496" w:themeColor="accent1" w:themeShade="BF"/>
    </w:rPr>
  </w:style>
  <w:style w:type="character" w:styleId="IntenseReference">
    <w:name w:val="Intense Reference"/>
    <w:basedOn w:val="DefaultParagraphFont"/>
    <w:uiPriority w:val="32"/>
    <w:qFormat/>
    <w:rsid w:val="00024276"/>
    <w:rPr>
      <w:b/>
      <w:bCs/>
      <w:smallCaps/>
      <w:color w:val="2F5496" w:themeColor="accent1" w:themeShade="BF"/>
      <w:spacing w:val="5"/>
    </w:rPr>
  </w:style>
  <w:style w:type="character" w:styleId="Hyperlink">
    <w:name w:val="Hyperlink"/>
    <w:basedOn w:val="DefaultParagraphFont"/>
    <w:uiPriority w:val="99"/>
    <w:unhideWhenUsed/>
    <w:rsid w:val="00240574"/>
    <w:rPr>
      <w:color w:val="0563C1" w:themeColor="hyperlink"/>
      <w:u w:val="single"/>
    </w:rPr>
  </w:style>
  <w:style w:type="character" w:styleId="UnresolvedMention">
    <w:name w:val="Unresolved Mention"/>
    <w:basedOn w:val="DefaultParagraphFont"/>
    <w:uiPriority w:val="99"/>
    <w:semiHidden/>
    <w:unhideWhenUsed/>
    <w:rsid w:val="00240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38124/ijisrt/25may159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13</Pages>
  <Words>5116</Words>
  <Characters>29164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Nowfal Chattippara</dc:creator>
  <cp:keywords/>
  <dc:description/>
  <cp:lastModifiedBy>Nowfal Chattippara</cp:lastModifiedBy>
  <cp:revision>55</cp:revision>
  <dcterms:created xsi:type="dcterms:W3CDTF">2026-05-14T04:14:00Z</dcterms:created>
  <dcterms:modified xsi:type="dcterms:W3CDTF">2026-06-10T10:20:00Z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da0fbbb6-b038-4353-9eb1-4a599f660823</vt:lpwstr>
  </property>
</Properties>
</file>