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4A88" w14:textId="48ACFFAE" w:rsidR="008212A5" w:rsidRPr="00977EF3" w:rsidRDefault="00000000">
      <w:pPr>
        <w:spacing w:line="480" w:lineRule="auto"/>
        <w:rPr>
          <w:rFonts w:ascii="Times New Roman" w:hAnsi="Times New Roman"/>
          <w:b/>
          <w:bCs/>
          <w:sz w:val="28"/>
          <w:szCs w:val="28"/>
          <w:lang w:val="en-US"/>
        </w:rPr>
      </w:pPr>
      <w:r w:rsidRPr="00977EF3">
        <w:rPr>
          <w:rFonts w:ascii="Times New Roman" w:hAnsi="Times New Roman"/>
          <w:b/>
          <w:bCs/>
          <w:sz w:val="28"/>
          <w:szCs w:val="28"/>
          <w:lang w:val="en-US"/>
        </w:rPr>
        <w:t xml:space="preserve">When </w:t>
      </w:r>
      <w:r w:rsidR="001B4F9D">
        <w:rPr>
          <w:rFonts w:ascii="Times New Roman" w:hAnsi="Times New Roman"/>
          <w:b/>
          <w:bCs/>
          <w:sz w:val="28"/>
          <w:szCs w:val="28"/>
          <w:lang w:val="en-US"/>
        </w:rPr>
        <w:t>m</w:t>
      </w:r>
      <w:r w:rsidRPr="00977EF3">
        <w:rPr>
          <w:rFonts w:ascii="Times New Roman" w:hAnsi="Times New Roman"/>
          <w:b/>
          <w:bCs/>
          <w:sz w:val="28"/>
          <w:szCs w:val="28"/>
          <w:lang w:val="en-US"/>
        </w:rPr>
        <w:t xml:space="preserve">edicines </w:t>
      </w:r>
      <w:r w:rsidR="001B4F9D">
        <w:rPr>
          <w:rFonts w:ascii="Times New Roman" w:hAnsi="Times New Roman"/>
          <w:b/>
          <w:bCs/>
          <w:sz w:val="28"/>
          <w:szCs w:val="28"/>
          <w:lang w:val="en-US"/>
        </w:rPr>
        <w:t>h</w:t>
      </w:r>
      <w:r w:rsidRPr="00977EF3">
        <w:rPr>
          <w:rFonts w:ascii="Times New Roman" w:hAnsi="Times New Roman"/>
          <w:b/>
          <w:bCs/>
          <w:sz w:val="28"/>
          <w:szCs w:val="28"/>
          <w:lang w:val="en-US"/>
        </w:rPr>
        <w:t xml:space="preserve">arm: A </w:t>
      </w:r>
      <w:r w:rsidR="001B4F9D">
        <w:rPr>
          <w:rFonts w:ascii="Times New Roman" w:hAnsi="Times New Roman"/>
          <w:b/>
          <w:bCs/>
          <w:sz w:val="28"/>
          <w:szCs w:val="28"/>
          <w:lang w:val="en-US"/>
        </w:rPr>
        <w:t>s</w:t>
      </w:r>
      <w:r w:rsidRPr="00977EF3">
        <w:rPr>
          <w:rFonts w:ascii="Times New Roman" w:hAnsi="Times New Roman"/>
          <w:b/>
          <w:bCs/>
          <w:sz w:val="28"/>
          <w:szCs w:val="28"/>
          <w:lang w:val="en-US"/>
        </w:rPr>
        <w:t xml:space="preserve">ystems </w:t>
      </w:r>
      <w:r w:rsidR="001B4F9D">
        <w:rPr>
          <w:rFonts w:ascii="Times New Roman" w:hAnsi="Times New Roman"/>
          <w:b/>
          <w:bCs/>
          <w:sz w:val="28"/>
          <w:szCs w:val="28"/>
          <w:lang w:val="en-US"/>
        </w:rPr>
        <w:t>a</w:t>
      </w:r>
      <w:r w:rsidRPr="00977EF3">
        <w:rPr>
          <w:rFonts w:ascii="Times New Roman" w:hAnsi="Times New Roman"/>
          <w:b/>
          <w:bCs/>
          <w:sz w:val="28"/>
          <w:szCs w:val="28"/>
          <w:lang w:val="en-US"/>
        </w:rPr>
        <w:t xml:space="preserve">nalysis of the 2022 </w:t>
      </w:r>
      <w:proofErr w:type="spellStart"/>
      <w:r w:rsidR="001B4F9D">
        <w:rPr>
          <w:rFonts w:ascii="Times New Roman" w:hAnsi="Times New Roman"/>
          <w:b/>
          <w:bCs/>
          <w:sz w:val="28"/>
          <w:szCs w:val="28"/>
          <w:lang w:val="en-US"/>
        </w:rPr>
        <w:t>p</w:t>
      </w:r>
      <w:r w:rsidRPr="00977EF3">
        <w:rPr>
          <w:rFonts w:ascii="Times New Roman" w:hAnsi="Times New Roman"/>
          <w:b/>
          <w:bCs/>
          <w:sz w:val="28"/>
          <w:szCs w:val="28"/>
          <w:lang w:val="en-US"/>
        </w:rPr>
        <w:t>aediatric</w:t>
      </w:r>
      <w:proofErr w:type="spellEnd"/>
      <w:r w:rsidRPr="00977EF3">
        <w:rPr>
          <w:rFonts w:ascii="Times New Roman" w:hAnsi="Times New Roman"/>
          <w:b/>
          <w:bCs/>
          <w:sz w:val="28"/>
          <w:szCs w:val="28"/>
          <w:lang w:val="en-US"/>
        </w:rPr>
        <w:t xml:space="preserve"> </w:t>
      </w:r>
      <w:r w:rsidR="001B4F9D">
        <w:rPr>
          <w:rFonts w:ascii="Times New Roman" w:hAnsi="Times New Roman"/>
          <w:b/>
          <w:bCs/>
          <w:sz w:val="28"/>
          <w:szCs w:val="28"/>
          <w:lang w:val="en-US"/>
        </w:rPr>
        <w:t>a</w:t>
      </w:r>
      <w:r w:rsidRPr="00977EF3">
        <w:rPr>
          <w:rFonts w:ascii="Times New Roman" w:hAnsi="Times New Roman"/>
          <w:b/>
          <w:bCs/>
          <w:sz w:val="28"/>
          <w:szCs w:val="28"/>
          <w:lang w:val="en-US"/>
        </w:rPr>
        <w:t xml:space="preserve">cute </w:t>
      </w:r>
      <w:r w:rsidR="001B4F9D">
        <w:rPr>
          <w:rFonts w:ascii="Times New Roman" w:hAnsi="Times New Roman"/>
          <w:b/>
          <w:bCs/>
          <w:sz w:val="28"/>
          <w:szCs w:val="28"/>
          <w:lang w:val="en-US"/>
        </w:rPr>
        <w:t>k</w:t>
      </w:r>
      <w:r w:rsidRPr="00977EF3">
        <w:rPr>
          <w:rFonts w:ascii="Times New Roman" w:hAnsi="Times New Roman"/>
          <w:b/>
          <w:bCs/>
          <w:sz w:val="28"/>
          <w:szCs w:val="28"/>
          <w:lang w:val="en-US"/>
        </w:rPr>
        <w:t xml:space="preserve">idney </w:t>
      </w:r>
      <w:r w:rsidR="001B4F9D">
        <w:rPr>
          <w:rFonts w:ascii="Times New Roman" w:hAnsi="Times New Roman"/>
          <w:b/>
          <w:bCs/>
          <w:sz w:val="28"/>
          <w:szCs w:val="28"/>
          <w:lang w:val="en-US"/>
        </w:rPr>
        <w:t>i</w:t>
      </w:r>
      <w:r w:rsidRPr="00977EF3">
        <w:rPr>
          <w:rFonts w:ascii="Times New Roman" w:hAnsi="Times New Roman"/>
          <w:b/>
          <w:bCs/>
          <w:sz w:val="28"/>
          <w:szCs w:val="28"/>
          <w:lang w:val="en-US"/>
        </w:rPr>
        <w:t xml:space="preserve">njury </w:t>
      </w:r>
      <w:r w:rsidR="001B4F9D">
        <w:rPr>
          <w:rFonts w:ascii="Times New Roman" w:hAnsi="Times New Roman"/>
          <w:b/>
          <w:bCs/>
          <w:sz w:val="28"/>
          <w:szCs w:val="28"/>
          <w:lang w:val="en-US"/>
        </w:rPr>
        <w:t>e</w:t>
      </w:r>
      <w:r w:rsidRPr="00977EF3">
        <w:rPr>
          <w:rFonts w:ascii="Times New Roman" w:hAnsi="Times New Roman"/>
          <w:b/>
          <w:bCs/>
          <w:sz w:val="28"/>
          <w:szCs w:val="28"/>
          <w:lang w:val="en-US"/>
        </w:rPr>
        <w:t>pidemic in The Gambia</w:t>
      </w:r>
    </w:p>
    <w:p w14:paraId="3F4C0EDC" w14:textId="77777777" w:rsidR="008212A5" w:rsidRDefault="00000000">
      <w:pPr>
        <w:spacing w:line="480" w:lineRule="auto"/>
        <w:rPr>
          <w:rFonts w:ascii="Times New Roman" w:hAnsi="Times New Roman"/>
          <w:b/>
          <w:bCs/>
          <w:sz w:val="24"/>
          <w:szCs w:val="24"/>
          <w:vertAlign w:val="superscript"/>
        </w:rPr>
      </w:pPr>
      <w:r>
        <w:rPr>
          <w:rFonts w:ascii="Times New Roman" w:hAnsi="Times New Roman"/>
          <w:sz w:val="24"/>
          <w:szCs w:val="24"/>
        </w:rPr>
        <w:t/>
      </w:r>
      <w:r>
        <w:rPr>
          <w:rFonts w:ascii="Times New Roman" w:hAnsi="Times New Roman"/>
          <w:sz w:val="24"/>
          <w:szCs w:val="24"/>
          <w:vertAlign w:val="superscript"/>
        </w:rPr>
        <w:t/>
      </w:r>
    </w:p>
    <w:p w14:paraId="63E2E463" w14:textId="77777777" w:rsidR="008212A5" w:rsidRDefault="00000000">
      <w:pPr>
        <w:spacing w:line="480" w:lineRule="auto"/>
        <w:rPr>
          <w:rFonts w:ascii="Times New Roman" w:hAnsi="Times New Roman"/>
          <w:sz w:val="24"/>
          <w:szCs w:val="24"/>
        </w:rPr>
      </w:pPr>
      <w:r>
        <w:rPr>
          <w:rFonts w:ascii="Times New Roman" w:hAnsi="Times New Roman"/>
          <w:sz w:val="24"/>
          <w:szCs w:val="24"/>
        </w:rPr>
        <w:t/>
      </w:r>
    </w:p>
    <w:p w14:paraId="12609B56" w14:textId="77777777" w:rsidR="008212A5" w:rsidRDefault="00000000">
      <w:pPr>
        <w:numPr>
          <w:ilvl w:val="0"/>
          <w:numId w:val="1"/>
        </w:numPr>
        <w:spacing w:after="0" w:line="480" w:lineRule="auto"/>
        <w:contextualSpacing/>
        <w:rPr>
          <w:rFonts w:ascii="Times New Roman" w:hAnsi="Times New Roman"/>
          <w:sz w:val="24"/>
          <w:szCs w:val="24"/>
        </w:rPr>
      </w:pPr>
      <w:r w:rsidRPr="00977EF3">
        <w:rPr>
          <w:rFonts w:ascii="Times New Roman" w:hAnsi="Times New Roman"/>
          <w:sz w:val="24"/>
          <w:szCs w:val="24"/>
          <w:lang w:val="en-US"/>
        </w:rPr>
        <w:t xml:space="preserve"/>
      </w:r>
      <w:r>
        <w:rPr>
          <w:rFonts w:ascii="Times New Roman" w:hAnsi="Times New Roman"/>
          <w:sz w:val="24"/>
          <w:szCs w:val="24"/>
        </w:rPr>
        <w:t/>
      </w:r>
    </w:p>
    <w:p w14:paraId="1F33DEE7" w14:textId="77777777" w:rsidR="008212A5" w:rsidRPr="00977EF3" w:rsidRDefault="00000000">
      <w:pPr>
        <w:numPr>
          <w:ilvl w:val="0"/>
          <w:numId w:val="1"/>
        </w:numPr>
        <w:spacing w:after="0" w:line="480" w:lineRule="auto"/>
        <w:contextualSpacing/>
        <w:rPr>
          <w:rFonts w:ascii="Times New Roman" w:hAnsi="Times New Roman"/>
          <w:sz w:val="24"/>
          <w:szCs w:val="24"/>
          <w:lang w:val="en-US"/>
        </w:rPr>
      </w:pPr>
      <w:r w:rsidRPr="00977EF3">
        <w:rPr>
          <w:rFonts w:ascii="Times New Roman" w:hAnsi="Times New Roman"/>
          <w:sz w:val="24"/>
          <w:szCs w:val="24"/>
          <w:lang w:val="en-US"/>
        </w:rPr>
        <w:t xml:space="preserve"/>
      </w:r>
      <w:proofErr w:type="spellStart"/>
      <w:r w:rsidRPr="00977EF3">
        <w:rPr>
          <w:rFonts w:ascii="Times New Roman" w:hAnsi="Times New Roman"/>
          <w:sz w:val="24"/>
          <w:szCs w:val="24"/>
          <w:lang w:val="en-US"/>
        </w:rPr>
        <w:t/>
      </w:r>
      <w:proofErr w:type="spellEnd"/>
      <w:r w:rsidRPr="00977EF3">
        <w:rPr>
          <w:rFonts w:ascii="Times New Roman" w:hAnsi="Times New Roman"/>
          <w:sz w:val="24"/>
          <w:szCs w:val="24"/>
          <w:lang w:val="en-US"/>
        </w:rPr>
        <w:t/>
      </w:r>
    </w:p>
    <w:p w14:paraId="23FB0149" w14:textId="71786708" w:rsidR="008212A5" w:rsidRPr="00977EF3" w:rsidRDefault="00000000">
      <w:pPr>
        <w:numPr>
          <w:ilvl w:val="0"/>
          <w:numId w:val="1"/>
        </w:numPr>
        <w:spacing w:after="0" w:line="480" w:lineRule="auto"/>
        <w:contextualSpacing/>
        <w:rPr>
          <w:rFonts w:ascii="Times New Roman" w:hAnsi="Times New Roman"/>
          <w:sz w:val="24"/>
          <w:szCs w:val="24"/>
          <w:lang w:val="en-US"/>
        </w:rPr>
      </w:pPr>
      <w:r w:rsidRPr="00977EF3">
        <w:rPr>
          <w:rFonts w:ascii="Times New Roman" w:hAnsi="Times New Roman"/>
          <w:sz w:val="24"/>
          <w:szCs w:val="24"/>
          <w:lang w:val="en-US"/>
        </w:rPr>
        <w:t/>
      </w:r>
      <w:r>
        <w:rPr>
          <w:rFonts w:ascii="Times New Roman" w:hAnsi="Times New Roman"/>
          <w:sz w:val="24"/>
          <w:szCs w:val="24"/>
          <w:lang w:val="en-US"/>
        </w:rPr>
        <w:t/>
      </w:r>
      <w:r w:rsidR="0003452A">
        <w:rPr>
          <w:rFonts w:ascii="Times New Roman" w:hAnsi="Times New Roman"/>
          <w:sz w:val="24"/>
          <w:szCs w:val="24"/>
          <w:lang w:val="en-US"/>
        </w:rPr>
        <w:t xml:space="preserve"/>
      </w:r>
      <w:r>
        <w:rPr>
          <w:rFonts w:ascii="Times New Roman" w:hAnsi="Times New Roman"/>
          <w:sz w:val="24"/>
          <w:szCs w:val="24"/>
          <w:lang w:val="en-US"/>
        </w:rPr>
        <w:t/>
      </w:r>
      <w:r w:rsidR="0003452A">
        <w:rPr>
          <w:rFonts w:ascii="Times New Roman" w:hAnsi="Times New Roman"/>
          <w:sz w:val="24"/>
          <w:szCs w:val="24"/>
          <w:lang w:val="en-US"/>
        </w:rPr>
        <w:t xml:space="preserve"/>
      </w:r>
      <w:r>
        <w:rPr>
          <w:rFonts w:ascii="Times New Roman" w:hAnsi="Times New Roman"/>
          <w:sz w:val="24"/>
          <w:szCs w:val="24"/>
          <w:lang w:val="en-US"/>
        </w:rPr>
        <w:t/>
      </w:r>
    </w:p>
    <w:p w14:paraId="6F6D1E4A" w14:textId="77777777" w:rsidR="008212A5" w:rsidRPr="00977EF3" w:rsidRDefault="00000000">
      <w:pPr>
        <w:spacing w:line="480" w:lineRule="auto"/>
        <w:ind w:left="720"/>
        <w:contextualSpacing/>
        <w:rPr>
          <w:rFonts w:ascii="Times New Roman" w:hAnsi="Times New Roman"/>
          <w:sz w:val="24"/>
          <w:szCs w:val="24"/>
          <w:lang w:val="en-US"/>
        </w:rPr>
      </w:pPr>
      <w:r w:rsidRPr="00977EF3">
        <w:rPr>
          <w:rFonts w:ascii="Times New Roman" w:hAnsi="Times New Roman"/>
          <w:sz w:val="24"/>
          <w:szCs w:val="24"/>
          <w:lang w:val="en-US"/>
        </w:rPr>
        <w:t xml:space="preserve"> </w:t>
      </w:r>
    </w:p>
    <w:p w14:paraId="482FF5BE" w14:textId="77777777" w:rsidR="008212A5" w:rsidRPr="00977EF3" w:rsidRDefault="00000000">
      <w:pPr>
        <w:spacing w:after="0" w:line="480" w:lineRule="auto"/>
        <w:jc w:val="both"/>
        <w:rPr>
          <w:rFonts w:ascii="Times New Roman" w:hAnsi="Times New Roman"/>
          <w:b/>
          <w:sz w:val="24"/>
          <w:szCs w:val="24"/>
          <w:lang w:val="en-US"/>
        </w:rPr>
      </w:pPr>
      <w:r w:rsidRPr="00977EF3">
        <w:rPr>
          <w:rFonts w:ascii="Times New Roman" w:hAnsi="Times New Roman"/>
          <w:b/>
          <w:sz w:val="24"/>
          <w:szCs w:val="24"/>
          <w:lang w:val="en-US"/>
        </w:rPr>
        <w:t/>
      </w:r>
    </w:p>
    <w:p w14:paraId="72F35369" w14:textId="77777777" w:rsidR="008212A5" w:rsidRPr="00977EF3" w:rsidRDefault="00000000">
      <w:pPr>
        <w:spacing w:after="0" w:line="480" w:lineRule="auto"/>
        <w:jc w:val="both"/>
        <w:rPr>
          <w:rFonts w:ascii="Times New Roman" w:hAnsi="Times New Roman"/>
          <w:sz w:val="24"/>
          <w:szCs w:val="24"/>
          <w:lang w:val="en-US"/>
        </w:rPr>
      </w:pPr>
      <w:r w:rsidRPr="00977EF3">
        <w:rPr>
          <w:rFonts w:ascii="Times New Roman" w:hAnsi="Times New Roman"/>
          <w:sz w:val="24"/>
          <w:szCs w:val="24"/>
          <w:lang w:val="en-US"/>
        </w:rPr>
        <w:t xml:space="preserve"/>
      </w:r>
    </w:p>
    <w:p w14:paraId="7BD3D7BB" w14:textId="77777777" w:rsidR="008212A5" w:rsidRPr="00977EF3" w:rsidRDefault="00000000">
      <w:pPr>
        <w:spacing w:after="0" w:line="480" w:lineRule="auto"/>
        <w:jc w:val="both"/>
        <w:rPr>
          <w:rFonts w:ascii="Times New Roman" w:hAnsi="Times New Roman"/>
          <w:sz w:val="24"/>
          <w:szCs w:val="24"/>
          <w:lang w:val="en-US"/>
        </w:rPr>
      </w:pPr>
      <w:r w:rsidRPr="00977EF3">
        <w:rPr>
          <w:rFonts w:ascii="Times New Roman" w:hAnsi="Times New Roman"/>
          <w:sz w:val="24"/>
          <w:szCs w:val="24"/>
          <w:lang w:val="en-US"/>
        </w:rPr>
        <w:t xml:space="preserve"/>
      </w:r>
      <w:proofErr w:type="spellStart"/>
      <w:r w:rsidRPr="00977EF3">
        <w:rPr>
          <w:rFonts w:ascii="Times New Roman" w:hAnsi="Times New Roman"/>
          <w:sz w:val="24"/>
          <w:szCs w:val="24"/>
          <w:lang w:val="en-US"/>
        </w:rPr>
        <w:t/>
      </w:r>
      <w:proofErr w:type="spellEnd"/>
      <w:r w:rsidRPr="00977EF3">
        <w:rPr>
          <w:rFonts w:ascii="Times New Roman" w:hAnsi="Times New Roman"/>
          <w:sz w:val="24"/>
          <w:szCs w:val="24"/>
          <w:lang w:val="en-US"/>
        </w:rPr>
        <w:t/>
      </w:r>
    </w:p>
    <w:p w14:paraId="0908130E" w14:textId="77777777" w:rsidR="008212A5" w:rsidRPr="00977EF3" w:rsidRDefault="00000000">
      <w:pPr>
        <w:spacing w:after="0" w:line="480" w:lineRule="auto"/>
        <w:jc w:val="both"/>
        <w:rPr>
          <w:rFonts w:ascii="Times New Roman" w:hAnsi="Times New Roman"/>
          <w:sz w:val="24"/>
          <w:szCs w:val="24"/>
          <w:lang w:val="en-US"/>
        </w:rPr>
      </w:pPr>
      <w:r w:rsidRPr="00977EF3">
        <w:rPr>
          <w:rFonts w:ascii="Times New Roman" w:hAnsi="Times New Roman"/>
          <w:sz w:val="24"/>
          <w:szCs w:val="24"/>
          <w:lang w:val="en-US"/>
        </w:rPr>
        <w:t xml:space="preserve"/>
      </w:r>
    </w:p>
    <w:p w14:paraId="15CFA5C7" w14:textId="77777777" w:rsidR="008212A5" w:rsidRPr="00977EF3" w:rsidRDefault="00000000">
      <w:pPr>
        <w:spacing w:after="0" w:line="480" w:lineRule="auto"/>
        <w:jc w:val="both"/>
        <w:rPr>
          <w:rFonts w:ascii="Times New Roman" w:hAnsi="Times New Roman"/>
          <w:b/>
          <w:bCs/>
          <w:kern w:val="0"/>
          <w:sz w:val="28"/>
          <w:szCs w:val="28"/>
          <w:lang w:val="en-US"/>
        </w:rPr>
      </w:pPr>
      <w:r w:rsidRPr="00977EF3">
        <w:rPr>
          <w:rFonts w:ascii="Times New Roman" w:hAnsi="Times New Roman"/>
          <w:sz w:val="24"/>
          <w:szCs w:val="24"/>
          <w:lang w:val="en-US"/>
        </w:rPr>
        <w:t/>
      </w:r>
    </w:p>
    <w:p w14:paraId="5A1784C7" w14:textId="77777777" w:rsidR="008212A5" w:rsidRPr="001B4F9D" w:rsidRDefault="00000000">
      <w:pPr>
        <w:spacing w:after="100" w:afterAutospacing="1" w:line="480" w:lineRule="auto"/>
        <w:outlineLvl w:val="1"/>
        <w:rPr>
          <w:rFonts w:ascii="Times New Roman" w:eastAsia="Times New Roman" w:hAnsi="Times New Roman"/>
          <w:b/>
          <w:bCs/>
          <w:kern w:val="0"/>
          <w:sz w:val="28"/>
          <w:szCs w:val="28"/>
          <w:lang w:val="en-US"/>
        </w:rPr>
      </w:pPr>
      <w:r w:rsidRPr="001B4F9D">
        <w:rPr>
          <w:rFonts w:ascii="Times New Roman" w:eastAsia="Times New Roman" w:hAnsi="Times New Roman"/>
          <w:b/>
          <w:bCs/>
          <w:kern w:val="0"/>
          <w:sz w:val="28"/>
          <w:szCs w:val="28"/>
          <w:lang w:val="en-US"/>
        </w:rPr>
        <w:t>Abstract</w:t>
      </w:r>
    </w:p>
    <w:p w14:paraId="534DBD0E"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b/>
          <w:bCs/>
          <w:kern w:val="0"/>
          <w:sz w:val="24"/>
          <w:szCs w:val="24"/>
          <w:lang w:val="en-US"/>
        </w:rPr>
        <w:t>Background</w:t>
      </w:r>
      <w:r w:rsidRPr="00977EF3">
        <w:rPr>
          <w:rFonts w:ascii="Times New Roman" w:eastAsia="Times New Roman" w:hAnsi="Times New Roman"/>
          <w:kern w:val="0"/>
          <w:sz w:val="24"/>
          <w:szCs w:val="24"/>
          <w:lang w:val="en-US"/>
        </w:rPr>
        <w:br/>
        <w:t xml:space="preserve">Medication-related harm remains a major and preventable contributor to child mortality in low- and middle-income countries (LMICs). In 2022, The Gambia experienced a fatal </w:t>
      </w:r>
      <w:r w:rsidRPr="00977EF3">
        <w:rPr>
          <w:rFonts w:ascii="Times New Roman" w:eastAsia="Times New Roman" w:hAnsi="Times New Roman"/>
          <w:kern w:val="0"/>
          <w:sz w:val="24"/>
          <w:szCs w:val="24"/>
          <w:lang w:val="en-US"/>
        </w:rPr>
        <w:lastRenderedPageBreak/>
        <w:t xml:space="preserve">outbreak of pediatric acute kidney injury (AKI) linked to contaminated paracetamol and cough syrups, exposing critical weaknesses in medicine regulation, pharmacovigilance, and health system preparedness. This epidemic provides an important policy-relevant case for examining medication safety within the framework of the World Health Organization’s (WHO) </w:t>
      </w:r>
      <w:r w:rsidRPr="00130584">
        <w:rPr>
          <w:rFonts w:ascii="Times New Roman" w:eastAsia="Times New Roman" w:hAnsi="Times New Roman"/>
          <w:kern w:val="0"/>
          <w:sz w:val="24"/>
          <w:szCs w:val="24"/>
          <w:lang w:val="en-US"/>
        </w:rPr>
        <w:t>Global Patient Safety Action Plan (2021–2030) and the Global Medication Safety Challenge: Medication Without Harm.</w:t>
      </w:r>
    </w:p>
    <w:p w14:paraId="685A981A"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b/>
          <w:bCs/>
          <w:kern w:val="0"/>
          <w:sz w:val="24"/>
          <w:szCs w:val="24"/>
          <w:lang w:val="en-US"/>
        </w:rPr>
        <w:t>Methods</w:t>
      </w:r>
      <w:r w:rsidRPr="00977EF3">
        <w:rPr>
          <w:rFonts w:ascii="Times New Roman" w:eastAsia="Times New Roman" w:hAnsi="Times New Roman"/>
          <w:kern w:val="0"/>
          <w:sz w:val="24"/>
          <w:szCs w:val="24"/>
          <w:lang w:val="en-US"/>
        </w:rPr>
        <w:br/>
        <w:t>A descriptive, systems-based case analysis was conducted using secondary data sources, including peer-reviewed literature, WHO medical product alerts, and national investigation reports. Established safety and human factors models—the Swiss Cheese, SHELL, SHEEP, and Endsley’s Situational Awareness models—were applied to examine failures across the medicine lifecycle, from importation and regulation to clinical use and public health response.</w:t>
      </w:r>
    </w:p>
    <w:p w14:paraId="768A0B5D"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b/>
          <w:bCs/>
          <w:kern w:val="0"/>
          <w:sz w:val="24"/>
          <w:szCs w:val="24"/>
          <w:lang w:val="en-US"/>
        </w:rPr>
        <w:t>Results</w:t>
      </w:r>
      <w:r w:rsidRPr="00977EF3">
        <w:rPr>
          <w:rFonts w:ascii="Times New Roman" w:eastAsia="Times New Roman" w:hAnsi="Times New Roman"/>
          <w:kern w:val="0"/>
          <w:sz w:val="24"/>
          <w:szCs w:val="24"/>
          <w:lang w:val="en-US"/>
        </w:rPr>
        <w:br/>
        <w:t xml:space="preserve">The analysis identified aligned failures across multiple defensive layers. Weak import regulation and absence of routine quality testing allowed contaminated </w:t>
      </w:r>
      <w:proofErr w:type="spellStart"/>
      <w:r w:rsidRPr="00977EF3">
        <w:rPr>
          <w:rFonts w:ascii="Times New Roman" w:eastAsia="Times New Roman" w:hAnsi="Times New Roman"/>
          <w:kern w:val="0"/>
          <w:sz w:val="24"/>
          <w:szCs w:val="24"/>
          <w:lang w:val="en-US"/>
        </w:rPr>
        <w:t>paediatric</w:t>
      </w:r>
      <w:proofErr w:type="spellEnd"/>
      <w:r w:rsidRPr="00977EF3">
        <w:rPr>
          <w:rFonts w:ascii="Times New Roman" w:eastAsia="Times New Roman" w:hAnsi="Times New Roman"/>
          <w:kern w:val="0"/>
          <w:sz w:val="24"/>
          <w:szCs w:val="24"/>
          <w:lang w:val="en-US"/>
        </w:rPr>
        <w:t xml:space="preserve"> medicines to enter the formal supply chain. Passive pharmacovigilance delayed recognition of early AKI clusters, while deficits in situational awareness, fragmented communication, and limited </w:t>
      </w:r>
      <w:proofErr w:type="spellStart"/>
      <w:r w:rsidRPr="00977EF3">
        <w:rPr>
          <w:rFonts w:ascii="Times New Roman" w:eastAsia="Times New Roman" w:hAnsi="Times New Roman"/>
          <w:kern w:val="0"/>
          <w:sz w:val="24"/>
          <w:szCs w:val="24"/>
          <w:lang w:val="en-US"/>
        </w:rPr>
        <w:t>paediatric</w:t>
      </w:r>
      <w:proofErr w:type="spellEnd"/>
      <w:r w:rsidRPr="00977EF3">
        <w:rPr>
          <w:rFonts w:ascii="Times New Roman" w:eastAsia="Times New Roman" w:hAnsi="Times New Roman"/>
          <w:kern w:val="0"/>
          <w:sz w:val="24"/>
          <w:szCs w:val="24"/>
          <w:lang w:val="en-US"/>
        </w:rPr>
        <w:t xml:space="preserve"> renal care capacity constrained timely response. These interacting failures transformed toxic exposure into widespread and preventable child mortality.</w:t>
      </w:r>
    </w:p>
    <w:p w14:paraId="28E2DA89"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b/>
          <w:bCs/>
          <w:kern w:val="0"/>
          <w:sz w:val="24"/>
          <w:szCs w:val="24"/>
          <w:lang w:val="en-US"/>
        </w:rPr>
        <w:t>Conclusion</w:t>
      </w:r>
      <w:r w:rsidRPr="00977EF3">
        <w:rPr>
          <w:rFonts w:ascii="Times New Roman" w:eastAsia="Times New Roman" w:hAnsi="Times New Roman"/>
          <w:kern w:val="0"/>
          <w:sz w:val="24"/>
          <w:szCs w:val="24"/>
          <w:lang w:val="en-US"/>
        </w:rPr>
        <w:br/>
        <w:t>The Gambian AKI epidemic illustrates how medication safety failures can rapidly escalate into national patient safety crises when governance, surveillance, and preparedness systems are weak. Aligning national reforms with WHO patient safety strategies—through strengthened regulatory oversight, active pharmacovigilance, workforce capacity building, improved situational awareness, and integration of medication safety into emergency preparedness—offers a practical policy roadmap for preventing similar events and protecting children in resource-constrained settings.</w:t>
      </w:r>
    </w:p>
    <w:p w14:paraId="21E6750A"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b/>
          <w:bCs/>
          <w:kern w:val="0"/>
          <w:sz w:val="24"/>
          <w:szCs w:val="24"/>
          <w:lang w:val="en-US"/>
        </w:rPr>
        <w:t>Keywords:</w:t>
      </w:r>
      <w:r w:rsidRPr="00977EF3">
        <w:rPr>
          <w:rFonts w:ascii="Times New Roman" w:eastAsia="Times New Roman" w:hAnsi="Times New Roman"/>
          <w:kern w:val="0"/>
          <w:sz w:val="24"/>
          <w:szCs w:val="24"/>
          <w:lang w:val="en-US"/>
        </w:rPr>
        <w:t xml:space="preserve"> Acute kidney injury; medication safety; pharmacovigilance; patient safety; diethylene glycol; The Gambia; Global Patient Safety Action Plan</w:t>
      </w:r>
    </w:p>
    <w:p w14:paraId="2124CE1C" w14:textId="77777777" w:rsidR="008212A5" w:rsidRPr="001B4F9D" w:rsidRDefault="00000000">
      <w:pPr>
        <w:spacing w:after="100" w:afterAutospacing="1" w:line="480" w:lineRule="auto"/>
        <w:outlineLvl w:val="1"/>
        <w:rPr>
          <w:rFonts w:ascii="Times New Roman" w:eastAsia="Times New Roman" w:hAnsi="Times New Roman"/>
          <w:b/>
          <w:bCs/>
          <w:kern w:val="0"/>
          <w:sz w:val="28"/>
          <w:szCs w:val="28"/>
          <w:lang w:val="en-US"/>
        </w:rPr>
      </w:pPr>
      <w:r w:rsidRPr="001B4F9D">
        <w:rPr>
          <w:rFonts w:ascii="Times New Roman" w:eastAsia="Times New Roman" w:hAnsi="Times New Roman"/>
          <w:b/>
          <w:bCs/>
          <w:kern w:val="0"/>
          <w:sz w:val="28"/>
          <w:szCs w:val="28"/>
          <w:lang w:val="en-US"/>
        </w:rPr>
        <w:t>Introduction</w:t>
      </w:r>
    </w:p>
    <w:p w14:paraId="17C5D796" w14:textId="66DD26BB" w:rsidR="00130584" w:rsidRPr="00130584" w:rsidRDefault="00130584" w:rsidP="00130584">
      <w:pPr>
        <w:pStyle w:val="NormalWeb"/>
        <w:spacing w:line="480" w:lineRule="auto"/>
        <w:rPr>
          <w:lang w:val="en-US"/>
        </w:rPr>
      </w:pPr>
      <w:r w:rsidRPr="00130584">
        <w:rPr>
          <w:lang w:val="en-US"/>
        </w:rPr>
        <w:t xml:space="preserve">Medication-related harm is a leading and largely preventable cause of morbidity and mortality worldwide, with children in low- and middle-income countries (LMICs) disproportionately </w:t>
      </w:r>
      <w:proofErr w:type="gramStart"/>
      <w:r w:rsidRPr="00130584">
        <w:rPr>
          <w:lang w:val="en-US"/>
        </w:rPr>
        <w:t>affected[</w:t>
      </w:r>
      <w:proofErr w:type="gramEnd"/>
      <w:r w:rsidRPr="00130584">
        <w:rPr>
          <w:lang w:val="en-US"/>
        </w:rPr>
        <w:t xml:space="preserve">1]. The World Health Organization’s (WHO) Global Patient Safety Action Plan (GPSAP) 2021–2030 and the Global Medication Safety Challenge: Medication Without Harm emphasize that unsafe medicines, weak pharmacovigilance, and fragile regulatory systems remain major threats to patient safety, particularly in resource-constrained health </w:t>
      </w:r>
      <w:r w:rsidRPr="00130584">
        <w:rPr>
          <w:lang w:val="en-US"/>
        </w:rPr>
        <w:t>systems [</w:t>
      </w:r>
      <w:r w:rsidRPr="00130584">
        <w:rPr>
          <w:lang w:val="en-US"/>
        </w:rPr>
        <w:t>2.3].</w:t>
      </w:r>
    </w:p>
    <w:p w14:paraId="1BEC5B07" w14:textId="27CE54B8" w:rsidR="00130584" w:rsidRPr="00130584" w:rsidRDefault="00130584" w:rsidP="00130584">
      <w:pPr>
        <w:pStyle w:val="NormalWeb"/>
        <w:spacing w:line="480" w:lineRule="auto"/>
        <w:rPr>
          <w:lang w:val="en-US"/>
        </w:rPr>
      </w:pPr>
      <w:r w:rsidRPr="00130584">
        <w:rPr>
          <w:lang w:val="en-US"/>
        </w:rPr>
        <w:t xml:space="preserve">Acute kidney injury (AKI) is a significant contributor to childhood morbidity and mortality globally, and its burden is highest in sub-Saharan Africa, where infections, dehydration, sepsis, nephrotoxic medicines, and toxic exposures are common precipitating </w:t>
      </w:r>
      <w:r w:rsidRPr="00130584">
        <w:rPr>
          <w:lang w:val="en-US"/>
        </w:rPr>
        <w:t>factors [</w:t>
      </w:r>
      <w:r w:rsidRPr="00130584">
        <w:rPr>
          <w:lang w:val="en-US"/>
        </w:rPr>
        <w:t xml:space="preserve">4]. Outcomes are frequently worsened by delayed presentation, limited diagnostic capacity, and restricted access to renal replacement </w:t>
      </w:r>
      <w:proofErr w:type="gramStart"/>
      <w:r w:rsidRPr="00130584">
        <w:rPr>
          <w:lang w:val="en-US"/>
        </w:rPr>
        <w:t>therapy[</w:t>
      </w:r>
      <w:proofErr w:type="gramEnd"/>
      <w:r w:rsidRPr="00130584">
        <w:rPr>
          <w:lang w:val="en-US"/>
        </w:rPr>
        <w:t>5]. Medication-related AKI represents a critical intersection between clinical care and health system governance, where failures in medicine safety can rapidly translate into fatal outcomes.</w:t>
      </w:r>
    </w:p>
    <w:p w14:paraId="556CE499" w14:textId="77777777" w:rsidR="00130584" w:rsidRPr="00130584" w:rsidRDefault="00130584" w:rsidP="00130584">
      <w:pPr>
        <w:pStyle w:val="NormalWeb"/>
        <w:spacing w:line="480" w:lineRule="auto"/>
        <w:rPr>
          <w:lang w:val="en-US"/>
        </w:rPr>
      </w:pPr>
      <w:r w:rsidRPr="00130584">
        <w:rPr>
          <w:lang w:val="en-US"/>
        </w:rPr>
        <w:t xml:space="preserve">The Gambia, a small West African country with a predominantly young population, operates a mixed public–private health system that faces persistent constraints in specialist workforce capacity, diagnostic infrastructure, and access to advanced </w:t>
      </w:r>
      <w:proofErr w:type="spellStart"/>
      <w:r w:rsidRPr="00130584">
        <w:rPr>
          <w:lang w:val="en-US"/>
        </w:rPr>
        <w:t>paediatric</w:t>
      </w:r>
      <w:proofErr w:type="spellEnd"/>
      <w:r w:rsidRPr="00130584">
        <w:rPr>
          <w:lang w:val="en-US"/>
        </w:rPr>
        <w:t xml:space="preserve"> care, including dialysis. While essential medicines are largely imported, regulatory oversight and post-market surveillance systems have historically been developing, reflecting broader challenges common to LMIC settings. These structural conditions increase vulnerability to medicine quality failures and delay the detection and management of emerging health threats.</w:t>
      </w:r>
    </w:p>
    <w:p w14:paraId="4D8A9F3E" w14:textId="20B551A6" w:rsidR="00130584" w:rsidRPr="00130584" w:rsidRDefault="00130584" w:rsidP="00130584">
      <w:pPr>
        <w:pStyle w:val="NormalWeb"/>
        <w:spacing w:line="480" w:lineRule="auto"/>
        <w:rPr>
          <w:lang w:val="en-US"/>
        </w:rPr>
      </w:pPr>
      <w:r w:rsidRPr="00130584">
        <w:rPr>
          <w:lang w:val="en-US"/>
        </w:rPr>
        <w:t xml:space="preserve">In 2022, The Gambia experienced an unprecedented surge in </w:t>
      </w:r>
      <w:proofErr w:type="spellStart"/>
      <w:r w:rsidRPr="00130584">
        <w:rPr>
          <w:lang w:val="en-US"/>
        </w:rPr>
        <w:t>paediatric</w:t>
      </w:r>
      <w:proofErr w:type="spellEnd"/>
      <w:r w:rsidRPr="00130584">
        <w:rPr>
          <w:lang w:val="en-US"/>
        </w:rPr>
        <w:t xml:space="preserve"> AKI cases, many of which were rapidly progressive and </w:t>
      </w:r>
      <w:proofErr w:type="gramStart"/>
      <w:r w:rsidRPr="00130584">
        <w:rPr>
          <w:lang w:val="en-US"/>
        </w:rPr>
        <w:t>fatal[</w:t>
      </w:r>
      <w:proofErr w:type="gramEnd"/>
      <w:r w:rsidRPr="00130584">
        <w:rPr>
          <w:lang w:val="en-US"/>
        </w:rPr>
        <w:t xml:space="preserve">6,7]. Subsequent investigations linked the outbreak to the ingestion of imported paracetamol and cough syrups contaminated with diethylene glycol (DEG) and ethylene glycol (EG)—industrial solvents with well-established nephrotoxic </w:t>
      </w:r>
      <w:r w:rsidRPr="00130584">
        <w:rPr>
          <w:lang w:val="en-US"/>
        </w:rPr>
        <w:t>effects [</w:t>
      </w:r>
      <w:r w:rsidRPr="00130584">
        <w:rPr>
          <w:lang w:val="en-US"/>
        </w:rPr>
        <w:t xml:space="preserve">8]. Similar DEG- and EG-related mass poisoning events have been documented in multiple regions globally, including </w:t>
      </w:r>
      <w:r w:rsidRPr="00130584">
        <w:rPr>
          <w:rStyle w:val="Strong"/>
          <w:rFonts w:eastAsiaTheme="majorEastAsia"/>
          <w:b w:val="0"/>
          <w:bCs w:val="0"/>
          <w:lang w:val="en-US"/>
        </w:rPr>
        <w:t>Nigeria</w:t>
      </w:r>
      <w:r w:rsidRPr="00130584">
        <w:rPr>
          <w:lang w:val="en-US"/>
        </w:rPr>
        <w:t xml:space="preserve">, where contaminated paracetamol-based teething syrups caused fatal acute renal failure among </w:t>
      </w:r>
      <w:r w:rsidRPr="00130584">
        <w:rPr>
          <w:lang w:val="en-US"/>
        </w:rPr>
        <w:t>children [</w:t>
      </w:r>
      <w:r w:rsidRPr="00130584">
        <w:rPr>
          <w:lang w:val="en-US"/>
        </w:rPr>
        <w:t xml:space="preserve">9], and earlier outbreaks in </w:t>
      </w:r>
      <w:r w:rsidRPr="00130584">
        <w:rPr>
          <w:rStyle w:val="Strong"/>
          <w:rFonts w:eastAsiaTheme="majorEastAsia"/>
          <w:b w:val="0"/>
          <w:bCs w:val="0"/>
          <w:lang w:val="en-US"/>
        </w:rPr>
        <w:t>Haiti</w:t>
      </w:r>
      <w:r w:rsidRPr="00130584">
        <w:rPr>
          <w:b/>
          <w:bCs/>
          <w:lang w:val="en-US"/>
        </w:rPr>
        <w:t>,</w:t>
      </w:r>
      <w:r w:rsidRPr="00130584">
        <w:rPr>
          <w:lang w:val="en-US"/>
        </w:rPr>
        <w:t xml:space="preserve"> where contaminated medicinal preparations resulted in widespread </w:t>
      </w:r>
      <w:proofErr w:type="spellStart"/>
      <w:r w:rsidRPr="00130584">
        <w:rPr>
          <w:lang w:val="en-US"/>
        </w:rPr>
        <w:t>paediatric</w:t>
      </w:r>
      <w:proofErr w:type="spellEnd"/>
      <w:r w:rsidRPr="00130584">
        <w:rPr>
          <w:lang w:val="en-US"/>
        </w:rPr>
        <w:t xml:space="preserve"> deaths from renal </w:t>
      </w:r>
      <w:r w:rsidRPr="00130584">
        <w:rPr>
          <w:lang w:val="en-US"/>
        </w:rPr>
        <w:t>failure [</w:t>
      </w:r>
      <w:r w:rsidRPr="00130584">
        <w:rPr>
          <w:lang w:val="en-US"/>
        </w:rPr>
        <w:t xml:space="preserve">10]. Large-scale poisoning events have also been reported in </w:t>
      </w:r>
      <w:r w:rsidRPr="00130584">
        <w:rPr>
          <w:rStyle w:val="Strong"/>
          <w:rFonts w:eastAsiaTheme="majorEastAsia"/>
          <w:b w:val="0"/>
          <w:bCs w:val="0"/>
          <w:lang w:val="en-US"/>
        </w:rPr>
        <w:t>Panama (2006)</w:t>
      </w:r>
      <w:r w:rsidRPr="00130584">
        <w:rPr>
          <w:b/>
          <w:bCs/>
          <w:lang w:val="en-US"/>
        </w:rPr>
        <w:t>,</w:t>
      </w:r>
      <w:r w:rsidRPr="00130584">
        <w:rPr>
          <w:lang w:val="en-US"/>
        </w:rPr>
        <w:t xml:space="preserve"> linked to contaminated cough syrups distributed through the public health </w:t>
      </w:r>
      <w:r w:rsidRPr="00130584">
        <w:rPr>
          <w:lang w:val="en-US"/>
        </w:rPr>
        <w:t>system [</w:t>
      </w:r>
      <w:r w:rsidRPr="00130584">
        <w:rPr>
          <w:lang w:val="en-US"/>
        </w:rPr>
        <w:t xml:space="preserve">11]. More recently, comparable incidents have been reported in </w:t>
      </w:r>
      <w:r w:rsidRPr="00130584">
        <w:rPr>
          <w:rStyle w:val="Strong"/>
          <w:rFonts w:eastAsiaTheme="majorEastAsia"/>
          <w:b w:val="0"/>
          <w:bCs w:val="0"/>
          <w:lang w:val="en-US"/>
        </w:rPr>
        <w:t>Uzbekistan</w:t>
      </w:r>
      <w:r w:rsidRPr="00130584">
        <w:rPr>
          <w:rStyle w:val="Strong"/>
          <w:rFonts w:eastAsiaTheme="majorEastAsia"/>
          <w:lang w:val="en-US"/>
        </w:rPr>
        <w:t xml:space="preserve"> </w:t>
      </w:r>
      <w:r w:rsidRPr="00130584">
        <w:rPr>
          <w:lang w:val="en-US"/>
        </w:rPr>
        <w:t>contributing to hundreds of child deaths globally since 2022 and reinforcing concerns about persistent vulnerabilities in medicine manufacturing and supply chains.</w:t>
      </w:r>
    </w:p>
    <w:p w14:paraId="5A0BE94F" w14:textId="3C466E2F" w:rsidR="00130584" w:rsidRPr="00130584" w:rsidRDefault="00130584" w:rsidP="00130584">
      <w:pPr>
        <w:pStyle w:val="NormalWeb"/>
        <w:spacing w:line="480" w:lineRule="auto"/>
        <w:rPr>
          <w:lang w:val="en-US"/>
        </w:rPr>
      </w:pPr>
      <w:r w:rsidRPr="00130584">
        <w:rPr>
          <w:lang w:val="en-US"/>
        </w:rPr>
        <w:t xml:space="preserve">While such outbreaks are not unique to The Gambia, the 2022 epidemic exposed acute vulnerabilities within national medicine regulatory and surveillance systems, with consequences magnified by limited clinical preparedness. Beyond the immediate clinical impact, the epidemic revealed systemic weaknesses across the medicine lifecycle, including gaps in import regulation, quality assurance, pharmacovigilance, risk communication, and emergency response capacity. Medicines assumed to be safe entered the formal supply chain </w:t>
      </w:r>
      <w:r>
        <w:rPr>
          <w:noProof/>
          <w:lang w:val="en-US"/>
        </w:rPr>
        <mc:AlternateContent>
          <mc:Choice Requires="wpi">
            <w:drawing>
              <wp:anchor distT="0" distB="0" distL="114300" distR="114300" simplePos="0" relativeHeight="251667456" behindDoc="0" locked="0" layoutInCell="1" allowOverlap="1" wp14:anchorId="74FDCB07" wp14:editId="6842A74A">
                <wp:simplePos x="0" y="0"/>
                <wp:positionH relativeFrom="column">
                  <wp:posOffset>8133987</wp:posOffset>
                </wp:positionH>
                <wp:positionV relativeFrom="paragraph">
                  <wp:posOffset>-282400</wp:posOffset>
                </wp:positionV>
                <wp:extent cx="360" cy="360"/>
                <wp:effectExtent l="57150" t="57150" r="57150" b="57150"/>
                <wp:wrapNone/>
                <wp:docPr id="1871447573"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2728E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39.75pt;margin-top:-22.9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">
                <v:imagedata r:id="rId9" o:title=""/>
              </v:shape>
            </w:pict>
          </mc:Fallback>
        </mc:AlternateContent>
      </w:r>
      <w:r w:rsidRPr="00130584">
        <w:rPr>
          <w:lang w:val="en-US"/>
        </w:rPr>
        <w:t xml:space="preserve">and were widely administered before the hazard was detected and contained. These failures reflect broader challenges highlighted by WHO patient safety frameworks, which stress that medication safety must be addressed as a core health system and governance function rather than a peripheral regulatory </w:t>
      </w:r>
      <w:r w:rsidRPr="00130584">
        <w:rPr>
          <w:lang w:val="en-US"/>
        </w:rPr>
        <w:t>task [</w:t>
      </w:r>
      <w:r w:rsidRPr="00130584">
        <w:rPr>
          <w:lang w:val="en-US"/>
        </w:rPr>
        <w:t>9,11].</w:t>
      </w:r>
    </w:p>
    <w:p w14:paraId="16026919" w14:textId="0DBC49A2" w:rsidR="00130584" w:rsidRPr="00130584" w:rsidRDefault="00130584" w:rsidP="00130584">
      <w:pPr>
        <w:pStyle w:val="NormalWeb"/>
        <w:spacing w:line="480" w:lineRule="auto"/>
        <w:rPr>
          <w:lang w:val="en-US"/>
        </w:rPr>
      </w:pPr>
      <w:r w:rsidRPr="00130584">
        <w:rPr>
          <w:lang w:val="en-US"/>
        </w:rPr>
        <w:t xml:space="preserve">Healthcare systems in LMICs operate as safety-critical systems in which latent vulnerabilities can accumulate silently over time. When these vulnerabilities intersect with active failures—such as the circulation of contaminated medicines—harm can escalate rapidly in the absence of robust early warning mechanisms and coordinated response </w:t>
      </w:r>
      <w:r w:rsidRPr="00130584">
        <w:rPr>
          <w:lang w:val="en-US"/>
        </w:rPr>
        <w:t>pathways [</w:t>
      </w:r>
      <w:r w:rsidRPr="00130584">
        <w:rPr>
          <w:lang w:val="en-US"/>
        </w:rPr>
        <w:t>12]. The Gambian AKI epidemic thus serves as a sentinel event illustrating the real-world consequences of gaps identified in global patient safety policy.</w:t>
      </w:r>
    </w:p>
    <w:p w14:paraId="75869F0C" w14:textId="77777777" w:rsidR="00130584" w:rsidRPr="00130584" w:rsidRDefault="00130584" w:rsidP="00130584">
      <w:pPr>
        <w:pStyle w:val="NormalWeb"/>
        <w:spacing w:line="480" w:lineRule="auto"/>
        <w:rPr>
          <w:lang w:val="en-US"/>
        </w:rPr>
      </w:pPr>
      <w:r w:rsidRPr="00130584">
        <w:rPr>
          <w:lang w:val="en-US"/>
        </w:rPr>
        <w:t xml:space="preserve">This paper examines the 2022 </w:t>
      </w:r>
      <w:proofErr w:type="spellStart"/>
      <w:r w:rsidRPr="00130584">
        <w:rPr>
          <w:lang w:val="en-US"/>
        </w:rPr>
        <w:t>paediatric</w:t>
      </w:r>
      <w:proofErr w:type="spellEnd"/>
      <w:r w:rsidRPr="00130584">
        <w:rPr>
          <w:lang w:val="en-US"/>
        </w:rPr>
        <w:t xml:space="preserve"> AKI epidemic in The Gambia through an epidemiological and systems-based policy lens, explicitly aligned with WHO’s Global Patient Safety Action Plan and Medication Without Harm initiative. By analyzing failures in medicine regulation, pharmacovigilance, situational awareness, and health system preparedness, the study aims to identify actionable policy lessons for strengthening medication safety and protecting children in resource-constrained settings</w:t>
      </w:r>
    </w:p>
    <w:p w14:paraId="2DC6FC05" w14:textId="77777777" w:rsidR="008212A5" w:rsidRPr="00977EF3" w:rsidRDefault="00000000">
      <w:pPr>
        <w:spacing w:after="100" w:afterAutospacing="1" w:line="480" w:lineRule="auto"/>
        <w:rPr>
          <w:rFonts w:ascii="Times New Roman" w:eastAsia="Times New Roman" w:hAnsi="Times New Roman"/>
          <w:b/>
          <w:bCs/>
          <w:kern w:val="0"/>
          <w:sz w:val="24"/>
          <w:szCs w:val="24"/>
          <w:lang w:val="en-US"/>
        </w:rPr>
      </w:pPr>
      <w:r w:rsidRPr="00977EF3">
        <w:rPr>
          <w:rFonts w:ascii="Times New Roman" w:eastAsia="Times New Roman" w:hAnsi="Times New Roman"/>
          <w:b/>
          <w:bCs/>
          <w:kern w:val="0"/>
          <w:sz w:val="24"/>
          <w:szCs w:val="24"/>
          <w:lang w:val="en-US"/>
        </w:rPr>
        <w:t>Methods</w:t>
      </w:r>
    </w:p>
    <w:p w14:paraId="45BF25F5" w14:textId="67A5B652" w:rsidR="008212A5" w:rsidRPr="00977EF3" w:rsidRDefault="00000000">
      <w:pPr>
        <w:spacing w:after="100" w:afterAutospacing="1" w:line="480" w:lineRule="auto"/>
        <w:rPr>
          <w:rFonts w:ascii="Times New Roman" w:eastAsia="Times New Roman" w:hAnsi="Times New Roman"/>
          <w:b/>
          <w:bCs/>
          <w:kern w:val="0"/>
          <w:sz w:val="24"/>
          <w:szCs w:val="24"/>
          <w:lang w:val="en-US"/>
        </w:rPr>
      </w:pPr>
      <w:r w:rsidRPr="00977EF3">
        <w:rPr>
          <w:rFonts w:ascii="Times New Roman" w:eastAsia="Times New Roman" w:hAnsi="Times New Roman"/>
          <w:b/>
          <w:bCs/>
          <w:kern w:val="0"/>
          <w:sz w:val="24"/>
          <w:szCs w:val="24"/>
          <w:lang w:val="en-US"/>
        </w:rPr>
        <w:t xml:space="preserve">Study </w:t>
      </w:r>
      <w:r w:rsidR="001B4F9D">
        <w:rPr>
          <w:rFonts w:ascii="Times New Roman" w:eastAsia="Times New Roman" w:hAnsi="Times New Roman"/>
          <w:b/>
          <w:bCs/>
          <w:kern w:val="0"/>
          <w:sz w:val="24"/>
          <w:szCs w:val="24"/>
          <w:lang w:val="en-US"/>
        </w:rPr>
        <w:t>d</w:t>
      </w:r>
      <w:r w:rsidRPr="00977EF3">
        <w:rPr>
          <w:rFonts w:ascii="Times New Roman" w:eastAsia="Times New Roman" w:hAnsi="Times New Roman"/>
          <w:b/>
          <w:bCs/>
          <w:kern w:val="0"/>
          <w:sz w:val="24"/>
          <w:szCs w:val="24"/>
          <w:lang w:val="en-US"/>
        </w:rPr>
        <w:t>esign</w:t>
      </w:r>
    </w:p>
    <w:p w14:paraId="511FEF2F" w14:textId="68B08674"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This study employed a descriptive case analysis to examine systemic failures associated with the 2022 </w:t>
      </w:r>
      <w:proofErr w:type="spellStart"/>
      <w:r w:rsidRPr="00130584">
        <w:rPr>
          <w:rFonts w:ascii="Times New Roman" w:eastAsia="Times New Roman" w:hAnsi="Times New Roman"/>
          <w:kern w:val="0"/>
          <w:sz w:val="24"/>
          <w:szCs w:val="24"/>
          <w:lang w:val="en-US"/>
        </w:rPr>
        <w:t>paediatric</w:t>
      </w:r>
      <w:proofErr w:type="spellEnd"/>
      <w:r w:rsidRPr="00130584">
        <w:rPr>
          <w:rFonts w:ascii="Times New Roman" w:eastAsia="Times New Roman" w:hAnsi="Times New Roman"/>
          <w:kern w:val="0"/>
          <w:sz w:val="24"/>
          <w:szCs w:val="24"/>
          <w:lang w:val="en-US"/>
        </w:rPr>
        <w:t xml:space="preserve"> acute kidney injury (AKI) epidemic in The Gambia. The design was conceptual and interpretive, focusing on systems-level and policy-relevant analysis rather than primary data collection. Consistent with the framing of the WHO Global Patient Safety Action Plan (2021–2030) and the Medication Without Harm initiative, the study sought to identify underlying regulatory, organizational, clinical, and human-factor contributors to medication-related </w:t>
      </w:r>
      <w:proofErr w:type="gramStart"/>
      <w:r w:rsidRPr="00130584">
        <w:rPr>
          <w:rFonts w:ascii="Times New Roman" w:eastAsia="Times New Roman" w:hAnsi="Times New Roman"/>
          <w:kern w:val="0"/>
          <w:sz w:val="24"/>
          <w:szCs w:val="24"/>
          <w:lang w:val="en-US"/>
        </w:rPr>
        <w:t>harm[</w:t>
      </w:r>
      <w:proofErr w:type="gramEnd"/>
      <w:r w:rsidRPr="00130584">
        <w:rPr>
          <w:rFonts w:ascii="Times New Roman" w:eastAsia="Times New Roman" w:hAnsi="Times New Roman"/>
          <w:kern w:val="0"/>
          <w:sz w:val="24"/>
          <w:szCs w:val="24"/>
          <w:lang w:val="en-US"/>
        </w:rPr>
        <w:t>1</w:t>
      </w:r>
      <w:r w:rsidR="00A53766">
        <w:rPr>
          <w:rFonts w:ascii="Times New Roman" w:eastAsia="Times New Roman" w:hAnsi="Times New Roman"/>
          <w:kern w:val="0"/>
          <w:sz w:val="24"/>
          <w:szCs w:val="24"/>
          <w:lang w:val="en-US"/>
        </w:rPr>
        <w:t>3-15</w:t>
      </w:r>
      <w:r w:rsidRPr="00130584">
        <w:rPr>
          <w:rFonts w:ascii="Times New Roman" w:eastAsia="Times New Roman" w:hAnsi="Times New Roman"/>
          <w:kern w:val="0"/>
          <w:sz w:val="24"/>
          <w:szCs w:val="24"/>
          <w:lang w:val="en-US"/>
        </w:rPr>
        <w:t>].</w:t>
      </w:r>
    </w:p>
    <w:p w14:paraId="5127CD58" w14:textId="38CF60E9" w:rsidR="008212A5" w:rsidRPr="00977EF3" w:rsidRDefault="00000000">
      <w:pPr>
        <w:spacing w:after="100" w:afterAutospacing="1" w:line="480" w:lineRule="auto"/>
        <w:rPr>
          <w:rFonts w:ascii="Times New Roman" w:eastAsia="Times New Roman" w:hAnsi="Times New Roman"/>
          <w:b/>
          <w:bCs/>
          <w:kern w:val="0"/>
          <w:sz w:val="24"/>
          <w:szCs w:val="24"/>
          <w:lang w:val="en-US"/>
        </w:rPr>
      </w:pPr>
      <w:r>
        <w:rPr>
          <w:rFonts w:ascii="Times New Roman" w:eastAsia="Times New Roman" w:hAnsi="Times New Roman"/>
          <w:b/>
          <w:bCs/>
          <w:noProof/>
          <w:kern w:val="0"/>
          <w:sz w:val="24"/>
          <w:szCs w:val="24"/>
          <w14:ligatures w14:val="standardContextual"/>
        </w:rPr>
        <mc:AlternateContent>
          <mc:Choice Requires="wps">
            <w:drawing>
              <wp:anchor distT="0" distB="0" distL="114300" distR="114300" simplePos="0" relativeHeight="251663360" behindDoc="0" locked="0" layoutInCell="1" allowOverlap="1" wp14:anchorId="56F9DF42" wp14:editId="4AF6BBCC">
                <wp:simplePos x="0" y="0"/>
                <wp:positionH relativeFrom="column">
                  <wp:posOffset>8227695</wp:posOffset>
                </wp:positionH>
                <wp:positionV relativeFrom="paragraph">
                  <wp:posOffset>478155</wp:posOffset>
                </wp:positionV>
                <wp:extent cx="1270" cy="22225"/>
                <wp:effectExtent l="57150" t="57150" r="55880" b="54610"/>
                <wp:wrapNone/>
                <wp:docPr id="1932177983"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270" cy="21930"/>
                      </w14:xfrm>
                    </w14:contentPart>
                  </a:graphicData>
                </a:graphic>
              </wp:anchor>
            </w:drawing>
          </mc:Choice>
          <mc:Fallback xmlns:wpsCustomData="http://www.wps.cn/officeDocument/2013/wpsCustomData">
            <w:pict>
              <v:shape id="Ink 7" o:spid="_x0000_s1026" o:spt="75" style="position:absolute;left:0pt;margin-left:647.85pt;margin-top:37.65pt;height:1.75pt;width:0.1pt;z-index:251663360;mso-width-relative:page;mso-height-relative:page;" coordsize="21600,21600" o:gfxdata="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">
                <v:imagedata r:id="rId13" o:title=""/>
                <o:lock v:ext="edit"/>
              </v:shape>
            </w:pict>
          </mc:Fallback>
        </mc:AlternateContent>
      </w:r>
      <w:r w:rsidRPr="00977EF3">
        <w:rPr>
          <w:rFonts w:ascii="Times New Roman" w:eastAsia="Times New Roman" w:hAnsi="Times New Roman"/>
          <w:b/>
          <w:bCs/>
          <w:kern w:val="0"/>
          <w:sz w:val="24"/>
          <w:szCs w:val="24"/>
          <w:lang w:val="en-US"/>
        </w:rPr>
        <w:t xml:space="preserve">Data </w:t>
      </w:r>
      <w:r w:rsidR="001B4F9D">
        <w:rPr>
          <w:rFonts w:ascii="Times New Roman" w:eastAsia="Times New Roman" w:hAnsi="Times New Roman"/>
          <w:b/>
          <w:bCs/>
          <w:kern w:val="0"/>
          <w:sz w:val="24"/>
          <w:szCs w:val="24"/>
          <w:lang w:val="en-US"/>
        </w:rPr>
        <w:t>s</w:t>
      </w:r>
      <w:r w:rsidRPr="00977EF3">
        <w:rPr>
          <w:rFonts w:ascii="Times New Roman" w:eastAsia="Times New Roman" w:hAnsi="Times New Roman"/>
          <w:b/>
          <w:bCs/>
          <w:kern w:val="0"/>
          <w:sz w:val="24"/>
          <w:szCs w:val="24"/>
          <w:lang w:val="en-US"/>
        </w:rPr>
        <w:t>ources</w:t>
      </w:r>
    </w:p>
    <w:p w14:paraId="7EFD78B0"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Data were obtained exclusively from secondary sources, including:</w:t>
      </w:r>
    </w:p>
    <w:p w14:paraId="5D0C0254" w14:textId="77777777" w:rsidR="008212A5" w:rsidRPr="00130584" w:rsidRDefault="00000000">
      <w:pPr>
        <w:numPr>
          <w:ilvl w:val="0"/>
          <w:numId w:val="2"/>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Peer-reviewed journal articles addressing </w:t>
      </w:r>
      <w:proofErr w:type="spellStart"/>
      <w:r w:rsidRPr="00130584">
        <w:rPr>
          <w:rFonts w:ascii="Times New Roman" w:eastAsia="Times New Roman" w:hAnsi="Times New Roman"/>
          <w:kern w:val="0"/>
          <w:sz w:val="24"/>
          <w:szCs w:val="24"/>
          <w:lang w:val="en-US"/>
        </w:rPr>
        <w:t>paediatric</w:t>
      </w:r>
      <w:proofErr w:type="spellEnd"/>
      <w:r w:rsidRPr="00130584">
        <w:rPr>
          <w:rFonts w:ascii="Times New Roman" w:eastAsia="Times New Roman" w:hAnsi="Times New Roman"/>
          <w:kern w:val="0"/>
          <w:sz w:val="24"/>
          <w:szCs w:val="24"/>
          <w:lang w:val="en-US"/>
        </w:rPr>
        <w:t xml:space="preserve"> AKI, medication safety, pharmacovigilance, patient safety, and health systems theory</w:t>
      </w:r>
    </w:p>
    <w:p w14:paraId="30C23D3D" w14:textId="5722ECAD" w:rsidR="008212A5" w:rsidRPr="00130584" w:rsidRDefault="00A53766">
      <w:pPr>
        <w:numPr>
          <w:ilvl w:val="0"/>
          <w:numId w:val="2"/>
        </w:numPr>
        <w:spacing w:after="100" w:afterAutospacing="1" w:line="480" w:lineRule="auto"/>
        <w:rPr>
          <w:rFonts w:ascii="Times New Roman" w:eastAsia="Times New Roman" w:hAnsi="Times New Roman"/>
          <w:kern w:val="0"/>
          <w:sz w:val="24"/>
          <w:szCs w:val="24"/>
          <w:lang w:val="en-US"/>
        </w:rPr>
      </w:pPr>
      <w:r>
        <w:rPr>
          <w:rFonts w:ascii="Times New Roman" w:eastAsia="Times New Roman" w:hAnsi="Times New Roman"/>
          <w:noProof/>
          <w:kern w:val="0"/>
          <w:sz w:val="24"/>
          <w:szCs w:val="24"/>
        </w:rPr>
        <mc:AlternateContent>
          <mc:Choice Requires="wpi">
            <w:drawing>
              <wp:anchor distT="0" distB="0" distL="114300" distR="114300" simplePos="0" relativeHeight="251668480" behindDoc="0" locked="0" layoutInCell="1" allowOverlap="1" wp14:anchorId="07A0D328" wp14:editId="60026D19">
                <wp:simplePos x="0" y="0"/>
                <wp:positionH relativeFrom="column">
                  <wp:posOffset>8138667</wp:posOffset>
                </wp:positionH>
                <wp:positionV relativeFrom="paragraph">
                  <wp:posOffset>645240</wp:posOffset>
                </wp:positionV>
                <wp:extent cx="360" cy="360"/>
                <wp:effectExtent l="57150" t="57150" r="57150" b="57150"/>
                <wp:wrapNone/>
                <wp:docPr id="1385904080"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85B17E4" id="Ink 2" o:spid="_x0000_s1026" type="#_x0000_t75" style="position:absolute;margin-left:640.15pt;margin-top:50.1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">
                <v:imagedata r:id="rId9" o:title=""/>
              </v:shape>
            </w:pict>
          </mc:Fallback>
        </mc:AlternateContent>
      </w:r>
      <w:r w:rsidR="00000000" w:rsidRPr="00130584">
        <w:rPr>
          <w:rFonts w:ascii="Times New Roman" w:eastAsia="Times New Roman" w:hAnsi="Times New Roman"/>
          <w:noProof/>
          <w:kern w:val="0"/>
          <w:sz w:val="24"/>
          <w:szCs w:val="24"/>
          <w14:ligatures w14:val="standardContextual"/>
        </w:rPr>
        <mc:AlternateContent>
          <mc:Choice Requires="wps">
            <w:drawing>
              <wp:anchor distT="0" distB="0" distL="114300" distR="114300" simplePos="0" relativeHeight="251661312" behindDoc="0" locked="0" layoutInCell="1" allowOverlap="1" wp14:anchorId="768F4C42" wp14:editId="726D874B">
                <wp:simplePos x="0" y="0"/>
                <wp:positionH relativeFrom="column">
                  <wp:posOffset>8046085</wp:posOffset>
                </wp:positionH>
                <wp:positionV relativeFrom="paragraph">
                  <wp:posOffset>949960</wp:posOffset>
                </wp:positionV>
                <wp:extent cx="635" cy="635"/>
                <wp:effectExtent l="57150" t="57150" r="57150" b="57150"/>
                <wp:wrapNone/>
                <wp:docPr id="971703392"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psCustomData="http://www.wps.cn/officeDocument/2013/wpsCustomData">
            <w:pict>
              <v:shape id="Ink 3" o:spid="_x0000_s1026" o:spt="75" style="position:absolute;left:0pt;margin-left:633.55pt;margin-top:74.8pt;height:0.05pt;width:0.05pt;z-index:251661312;mso-width-relative:page;mso-height-relative:page;" coordsize="21600,21600" o:gfxdata="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">
                <v:imagedata r:id="rId16" o:title=""/>
                <o:lock v:ext="edit"/>
              </v:shape>
            </w:pict>
          </mc:Fallback>
        </mc:AlternateContent>
      </w:r>
      <w:r w:rsidR="00000000" w:rsidRPr="00130584">
        <w:rPr>
          <w:rFonts w:ascii="Times New Roman" w:eastAsia="Times New Roman" w:hAnsi="Times New Roman"/>
          <w:noProof/>
          <w:kern w:val="0"/>
          <w:sz w:val="24"/>
          <w:szCs w:val="24"/>
          <w14:ligatures w14:val="standardContextual"/>
        </w:rPr>
        <mc:AlternateContent>
          <mc:Choice Requires="wps">
            <w:drawing>
              <wp:anchor distT="0" distB="0" distL="114300" distR="114300" simplePos="0" relativeHeight="251660288" behindDoc="0" locked="0" layoutInCell="1" allowOverlap="1" wp14:anchorId="6EEC4A3F" wp14:editId="79E9326B">
                <wp:simplePos x="0" y="0"/>
                <wp:positionH relativeFrom="column">
                  <wp:posOffset>8049895</wp:posOffset>
                </wp:positionH>
                <wp:positionV relativeFrom="paragraph">
                  <wp:posOffset>867410</wp:posOffset>
                </wp:positionV>
                <wp:extent cx="635" cy="635"/>
                <wp:effectExtent l="57150" t="57150" r="57150" b="57150"/>
                <wp:wrapNone/>
                <wp:docPr id="1505484790"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psCustomData="http://www.wps.cn/officeDocument/2013/wpsCustomData">
            <w:pict>
              <v:shape id="Ink 2" o:spid="_x0000_s1026" o:spt="75" style="position:absolute;left:0pt;margin-left:633.85pt;margin-top:68.3pt;height:0.05pt;width:0.05pt;z-index:251660288;mso-width-relative:page;mso-height-relative:page;" coordsize="21600,21600" o:gfxdata="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">
                <v:imagedata r:id="rId18" o:title=""/>
                <o:lock v:ext="edit"/>
              </v:shape>
            </w:pict>
          </mc:Fallback>
        </mc:AlternateContent>
      </w:r>
      <w:r w:rsidR="00000000" w:rsidRPr="00130584">
        <w:rPr>
          <w:rFonts w:ascii="Times New Roman" w:eastAsia="Times New Roman" w:hAnsi="Times New Roman"/>
          <w:kern w:val="0"/>
          <w:sz w:val="24"/>
          <w:szCs w:val="24"/>
          <w:lang w:val="en-US"/>
        </w:rPr>
        <w:t>Official investigation reports and public statements, including WHO Medical Product Alerts and reports from the Gambian Parliamentary Select Committee inquiry</w:t>
      </w:r>
      <w:r>
        <w:rPr>
          <w:rFonts w:ascii="Times New Roman" w:eastAsia="Times New Roman" w:hAnsi="Times New Roman"/>
          <w:kern w:val="0"/>
          <w:sz w:val="24"/>
          <w:szCs w:val="24"/>
          <w:lang w:val="en-US"/>
        </w:rPr>
        <w:t xml:space="preserve"> </w:t>
      </w:r>
      <w:r w:rsidR="00000000" w:rsidRPr="00130584">
        <w:rPr>
          <w:rFonts w:ascii="Times New Roman" w:eastAsia="Times New Roman" w:hAnsi="Times New Roman"/>
          <w:kern w:val="0"/>
          <w:sz w:val="24"/>
          <w:szCs w:val="24"/>
          <w:lang w:val="en-US"/>
        </w:rPr>
        <w:t>[1</w:t>
      </w:r>
      <w:r>
        <w:rPr>
          <w:rFonts w:ascii="Times New Roman" w:eastAsia="Times New Roman" w:hAnsi="Times New Roman"/>
          <w:kern w:val="0"/>
          <w:sz w:val="24"/>
          <w:szCs w:val="24"/>
          <w:lang w:val="en-US"/>
        </w:rPr>
        <w:t>6</w:t>
      </w:r>
      <w:r w:rsidR="00000000" w:rsidRPr="00130584">
        <w:rPr>
          <w:rFonts w:ascii="Times New Roman" w:eastAsia="Times New Roman" w:hAnsi="Times New Roman"/>
          <w:kern w:val="0"/>
          <w:sz w:val="24"/>
          <w:szCs w:val="24"/>
          <w:lang w:val="en-US"/>
        </w:rPr>
        <w:t>].</w:t>
      </w:r>
    </w:p>
    <w:p w14:paraId="65C239C5" w14:textId="71DE8F32" w:rsidR="008212A5" w:rsidRPr="00977EF3"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Sources were purposively selected to ensure comprehensive coverage of the epidemiological, regulatory, clinical, and organizational dimensions of the AKI epidemic, with particular attention to the medicine lifecycle from importation to clinical use and public health response.</w:t>
      </w:r>
    </w:p>
    <w:p w14:paraId="672F1A79" w14:textId="0D6FF48C" w:rsidR="008212A5" w:rsidRPr="00977EF3" w:rsidRDefault="00000000">
      <w:pPr>
        <w:spacing w:after="100" w:afterAutospacing="1" w:line="480" w:lineRule="auto"/>
        <w:rPr>
          <w:rFonts w:ascii="Times New Roman" w:eastAsia="Times New Roman" w:hAnsi="Times New Roman"/>
          <w:b/>
          <w:bCs/>
          <w:kern w:val="0"/>
          <w:sz w:val="24"/>
          <w:szCs w:val="24"/>
          <w:lang w:val="en-US"/>
        </w:rPr>
      </w:pPr>
      <w:r w:rsidRPr="00977EF3">
        <w:rPr>
          <w:rFonts w:ascii="Times New Roman" w:eastAsia="Times New Roman" w:hAnsi="Times New Roman"/>
          <w:b/>
          <w:bCs/>
          <w:kern w:val="0"/>
          <w:sz w:val="24"/>
          <w:szCs w:val="24"/>
          <w:lang w:val="en-US"/>
        </w:rPr>
        <w:t xml:space="preserve">Analytical </w:t>
      </w:r>
      <w:r w:rsidR="001B4F9D">
        <w:rPr>
          <w:rFonts w:ascii="Times New Roman" w:eastAsia="Times New Roman" w:hAnsi="Times New Roman"/>
          <w:b/>
          <w:bCs/>
          <w:kern w:val="0"/>
          <w:sz w:val="24"/>
          <w:szCs w:val="24"/>
          <w:lang w:val="en-US"/>
        </w:rPr>
        <w:t>f</w:t>
      </w:r>
      <w:r w:rsidRPr="00977EF3">
        <w:rPr>
          <w:rFonts w:ascii="Times New Roman" w:eastAsia="Times New Roman" w:hAnsi="Times New Roman"/>
          <w:b/>
          <w:bCs/>
          <w:kern w:val="0"/>
          <w:sz w:val="24"/>
          <w:szCs w:val="24"/>
          <w:lang w:val="en-US"/>
        </w:rPr>
        <w:t>ramework</w:t>
      </w:r>
    </w:p>
    <w:p w14:paraId="151780FB"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To align with a patient safety and health governance perspective, four established safety and human factors models were applied:</w:t>
      </w:r>
    </w:p>
    <w:p w14:paraId="41BBDBAD" w14:textId="3F901282" w:rsidR="008212A5" w:rsidRPr="00130584" w:rsidRDefault="00000000">
      <w:pPr>
        <w:numPr>
          <w:ilvl w:val="0"/>
          <w:numId w:val="3"/>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Swiss Cheese Model – to identify multiple defensive layers within the medicine safety and healthcare system and examine how aligned failures enabled </w:t>
      </w:r>
      <w:proofErr w:type="gramStart"/>
      <w:r w:rsidRPr="00130584">
        <w:rPr>
          <w:rFonts w:ascii="Times New Roman" w:eastAsia="Times New Roman" w:hAnsi="Times New Roman"/>
          <w:kern w:val="0"/>
          <w:sz w:val="24"/>
          <w:szCs w:val="24"/>
          <w:lang w:val="en-US"/>
        </w:rPr>
        <w:t>harm[</w:t>
      </w:r>
      <w:proofErr w:type="gramEnd"/>
      <w:r w:rsidRPr="00130584">
        <w:rPr>
          <w:rFonts w:ascii="Times New Roman" w:eastAsia="Times New Roman" w:hAnsi="Times New Roman"/>
          <w:kern w:val="0"/>
          <w:sz w:val="24"/>
          <w:szCs w:val="24"/>
          <w:lang w:val="en-US"/>
        </w:rPr>
        <w:t>1</w:t>
      </w:r>
      <w:r w:rsidR="00A53766">
        <w:rPr>
          <w:rFonts w:ascii="Times New Roman" w:eastAsia="Times New Roman" w:hAnsi="Times New Roman"/>
          <w:kern w:val="0"/>
          <w:sz w:val="24"/>
          <w:szCs w:val="24"/>
          <w:lang w:val="en-US"/>
        </w:rPr>
        <w:t>7</w:t>
      </w:r>
      <w:r w:rsidRPr="00130584">
        <w:rPr>
          <w:rFonts w:ascii="Times New Roman" w:eastAsia="Times New Roman" w:hAnsi="Times New Roman"/>
          <w:kern w:val="0"/>
          <w:sz w:val="24"/>
          <w:szCs w:val="24"/>
          <w:lang w:val="en-US"/>
        </w:rPr>
        <w:t>].</w:t>
      </w:r>
    </w:p>
    <w:p w14:paraId="5EE7420E" w14:textId="7763EEDE" w:rsidR="008212A5" w:rsidRPr="00130584" w:rsidRDefault="00000000">
      <w:pPr>
        <w:numPr>
          <w:ilvl w:val="0"/>
          <w:numId w:val="3"/>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SHELL Model – to assess interactions between Software (policies, regulations, clinical guidelines), Hardware (diagnostic and treatment resources), Environment (organizational and health system context), and Liveware (healthcare workers, regulators, and decision-</w:t>
      </w:r>
      <w:proofErr w:type="gramStart"/>
      <w:r w:rsidRPr="00130584">
        <w:rPr>
          <w:rFonts w:ascii="Times New Roman" w:eastAsia="Times New Roman" w:hAnsi="Times New Roman"/>
          <w:kern w:val="0"/>
          <w:sz w:val="24"/>
          <w:szCs w:val="24"/>
          <w:lang w:val="en-US"/>
        </w:rPr>
        <w:t>makers[</w:t>
      </w:r>
      <w:proofErr w:type="gramEnd"/>
      <w:r w:rsidRPr="00130584">
        <w:rPr>
          <w:rFonts w:ascii="Times New Roman" w:eastAsia="Times New Roman" w:hAnsi="Times New Roman"/>
          <w:kern w:val="0"/>
          <w:sz w:val="24"/>
          <w:szCs w:val="24"/>
          <w:lang w:val="en-US"/>
        </w:rPr>
        <w:t>1</w:t>
      </w:r>
      <w:r w:rsidR="00A53766">
        <w:rPr>
          <w:rFonts w:ascii="Times New Roman" w:eastAsia="Times New Roman" w:hAnsi="Times New Roman"/>
          <w:kern w:val="0"/>
          <w:sz w:val="24"/>
          <w:szCs w:val="24"/>
          <w:lang w:val="en-US"/>
        </w:rPr>
        <w:t>8</w:t>
      </w:r>
      <w:r w:rsidRPr="00130584">
        <w:rPr>
          <w:rFonts w:ascii="Times New Roman" w:eastAsia="Times New Roman" w:hAnsi="Times New Roman"/>
          <w:kern w:val="0"/>
          <w:sz w:val="24"/>
          <w:szCs w:val="24"/>
          <w:lang w:val="en-US"/>
        </w:rPr>
        <w:t>].</w:t>
      </w:r>
    </w:p>
    <w:p w14:paraId="68DDF47E" w14:textId="65AC0CCB" w:rsidR="008212A5" w:rsidRPr="00130584" w:rsidRDefault="00000000">
      <w:pPr>
        <w:numPr>
          <w:ilvl w:val="0"/>
          <w:numId w:val="3"/>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SHEEP Model – to examine System, Human, Environmental, Equipment, and Process factors contributing to gaps in AKI detection, management, and </w:t>
      </w:r>
      <w:proofErr w:type="gramStart"/>
      <w:r w:rsidRPr="00130584">
        <w:rPr>
          <w:rFonts w:ascii="Times New Roman" w:eastAsia="Times New Roman" w:hAnsi="Times New Roman"/>
          <w:kern w:val="0"/>
          <w:sz w:val="24"/>
          <w:szCs w:val="24"/>
          <w:lang w:val="en-US"/>
        </w:rPr>
        <w:t>response[</w:t>
      </w:r>
      <w:proofErr w:type="gramEnd"/>
      <w:r w:rsidR="00A53766">
        <w:rPr>
          <w:rFonts w:ascii="Times New Roman" w:eastAsia="Times New Roman" w:hAnsi="Times New Roman"/>
          <w:kern w:val="0"/>
          <w:sz w:val="24"/>
          <w:szCs w:val="24"/>
          <w:lang w:val="en-US"/>
        </w:rPr>
        <w:t>19</w:t>
      </w:r>
      <w:r w:rsidRPr="00130584">
        <w:rPr>
          <w:rFonts w:ascii="Times New Roman" w:eastAsia="Times New Roman" w:hAnsi="Times New Roman"/>
          <w:kern w:val="0"/>
          <w:sz w:val="24"/>
          <w:szCs w:val="24"/>
          <w:lang w:val="en-US"/>
        </w:rPr>
        <w:t>,</w:t>
      </w:r>
      <w:r w:rsidR="00A53766">
        <w:rPr>
          <w:rFonts w:ascii="Times New Roman" w:eastAsia="Times New Roman" w:hAnsi="Times New Roman"/>
          <w:kern w:val="0"/>
          <w:sz w:val="24"/>
          <w:szCs w:val="24"/>
          <w:lang w:val="en-US"/>
        </w:rPr>
        <w:t>20</w:t>
      </w:r>
      <w:r w:rsidRPr="00130584">
        <w:rPr>
          <w:rFonts w:ascii="Times New Roman" w:eastAsia="Times New Roman" w:hAnsi="Times New Roman"/>
          <w:kern w:val="0"/>
          <w:sz w:val="24"/>
          <w:szCs w:val="24"/>
          <w:lang w:val="en-US"/>
        </w:rPr>
        <w:t>].</w:t>
      </w:r>
    </w:p>
    <w:p w14:paraId="25F964B6" w14:textId="072BB342" w:rsidR="008212A5" w:rsidRPr="00130584" w:rsidRDefault="00A53766">
      <w:pPr>
        <w:numPr>
          <w:ilvl w:val="0"/>
          <w:numId w:val="3"/>
        </w:numPr>
        <w:spacing w:after="100" w:afterAutospacing="1" w:line="480" w:lineRule="auto"/>
        <w:rPr>
          <w:rFonts w:ascii="Times New Roman" w:eastAsia="Times New Roman" w:hAnsi="Times New Roman"/>
          <w:kern w:val="0"/>
          <w:sz w:val="24"/>
          <w:szCs w:val="24"/>
          <w:lang w:val="en-US"/>
        </w:rPr>
      </w:pPr>
      <w:r>
        <w:rPr>
          <w:rFonts w:ascii="Times New Roman" w:eastAsia="Times New Roman" w:hAnsi="Times New Roman"/>
          <w:noProof/>
          <w:kern w:val="0"/>
          <w:sz w:val="24"/>
          <w:szCs w:val="24"/>
          <w:lang w:val="en-US"/>
        </w:rPr>
        <mc:AlternateContent>
          <mc:Choice Requires="wpi">
            <w:drawing>
              <wp:anchor distT="0" distB="0" distL="114300" distR="114300" simplePos="0" relativeHeight="251669504" behindDoc="0" locked="0" layoutInCell="1" allowOverlap="1" wp14:anchorId="1906C393" wp14:editId="37CB7628">
                <wp:simplePos x="0" y="0"/>
                <wp:positionH relativeFrom="column">
                  <wp:posOffset>1970302</wp:posOffset>
                </wp:positionH>
                <wp:positionV relativeFrom="paragraph">
                  <wp:posOffset>854302</wp:posOffset>
                </wp:positionV>
                <wp:extent cx="360" cy="360"/>
                <wp:effectExtent l="57150" t="57150" r="57150" b="57150"/>
                <wp:wrapNone/>
                <wp:docPr id="216819153"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4D3FBA23" id="Ink 3" o:spid="_x0000_s1026" type="#_x0000_t75" style="position:absolute;margin-left:154.45pt;margin-top:66.5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e6N8N/IBAACMBQAAEAAAAAAAAAAAAAAAAADQAwAAZHJzL2luay9pbmsxLnhtbFBL&#10;AQItABQABgAIAAAAIQBDTCIi3wAAAAsBAAAPAAAAAAAAAAAAAAAAAPAFAABkcnMvZG93bnJldi54&#10;bWxQSwECLQAUAAYACAAAACEAeRi8nb8AAAAhAQAAGQAAAAAAAAAAAAAAAAD8BgAAZHJzL19yZWxz&#10;L2Uyb0RvYy54bWwucmVsc1BLBQYAAAAABgAGAHgBAADyBwAAAAA=&#10;">
                <v:imagedata r:id="rId9" o:title=""/>
              </v:shape>
            </w:pict>
          </mc:Fallback>
        </mc:AlternateContent>
      </w:r>
      <w:r w:rsidR="00000000" w:rsidRPr="00130584">
        <w:rPr>
          <w:rFonts w:ascii="Times New Roman" w:eastAsia="Times New Roman" w:hAnsi="Times New Roman"/>
          <w:kern w:val="0"/>
          <w:sz w:val="24"/>
          <w:szCs w:val="24"/>
          <w:lang w:val="en-US"/>
        </w:rPr>
        <w:t xml:space="preserve">Endsley’s Situational Awareness Model – to evaluate failures in perception, comprehension, and projection of medication-related risk across clinical, regulatory, and public health </w:t>
      </w:r>
      <w:proofErr w:type="gramStart"/>
      <w:r w:rsidR="00000000" w:rsidRPr="00130584">
        <w:rPr>
          <w:rFonts w:ascii="Times New Roman" w:eastAsia="Times New Roman" w:hAnsi="Times New Roman"/>
          <w:kern w:val="0"/>
          <w:sz w:val="24"/>
          <w:szCs w:val="24"/>
          <w:lang w:val="en-US"/>
        </w:rPr>
        <w:t>levels[</w:t>
      </w:r>
      <w:proofErr w:type="gramEnd"/>
      <w:r>
        <w:rPr>
          <w:rFonts w:ascii="Times New Roman" w:eastAsia="Times New Roman" w:hAnsi="Times New Roman"/>
          <w:kern w:val="0"/>
          <w:sz w:val="24"/>
          <w:szCs w:val="24"/>
          <w:lang w:val="en-US"/>
        </w:rPr>
        <w:t>21</w:t>
      </w:r>
      <w:r w:rsidR="00000000" w:rsidRPr="00130584">
        <w:rPr>
          <w:rFonts w:ascii="Times New Roman" w:eastAsia="Times New Roman" w:hAnsi="Times New Roman"/>
          <w:kern w:val="0"/>
          <w:sz w:val="24"/>
          <w:szCs w:val="24"/>
          <w:lang w:val="en-US"/>
        </w:rPr>
        <w:t>].</w:t>
      </w:r>
    </w:p>
    <w:p w14:paraId="740EA8B5" w14:textId="02287604"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These frameworks were selected to reflect WHO-endorsed principles of patient safety, learning systems, and health system resilience</w:t>
      </w:r>
      <w:r>
        <w:rPr>
          <w:rFonts w:ascii="Times New Roman" w:eastAsia="Times New Roman" w:hAnsi="Times New Roman"/>
          <w:kern w:val="0"/>
          <w:sz w:val="24"/>
          <w:szCs w:val="24"/>
          <w:lang w:val="en-US"/>
        </w:rPr>
        <w:t>,</w:t>
      </w:r>
      <w:r>
        <w:rPr>
          <w:rFonts w:ascii="Times New Roman" w:eastAsia="Times New Roman" w:hAnsi="Times New Roman"/>
          <w:b/>
          <w:bCs/>
          <w:kern w:val="0"/>
          <w:sz w:val="24"/>
          <w:szCs w:val="24"/>
          <w:lang w:val="en-US"/>
        </w:rPr>
        <w:t xml:space="preserve"> Table 1</w:t>
      </w:r>
      <w:r w:rsidRPr="00977EF3">
        <w:rPr>
          <w:rFonts w:ascii="Times New Roman" w:eastAsia="Times New Roman" w:hAnsi="Times New Roman"/>
          <w:kern w:val="0"/>
          <w:sz w:val="24"/>
          <w:szCs w:val="24"/>
          <w:lang w:val="en-US"/>
        </w:rPr>
        <w:t>.</w:t>
      </w:r>
    </w:p>
    <w:p w14:paraId="716B0F87" w14:textId="2E1B62A4" w:rsidR="008212A5" w:rsidRPr="00977EF3" w:rsidRDefault="00000000">
      <w:pPr>
        <w:spacing w:after="100" w:afterAutospacing="1" w:line="480" w:lineRule="auto"/>
        <w:rPr>
          <w:rFonts w:ascii="Times New Roman" w:eastAsia="Times New Roman" w:hAnsi="Times New Roman"/>
          <w:b/>
          <w:bCs/>
          <w:kern w:val="0"/>
          <w:sz w:val="24"/>
          <w:szCs w:val="24"/>
          <w:lang w:val="en-US"/>
        </w:rPr>
      </w:pPr>
      <w:r w:rsidRPr="00977EF3">
        <w:rPr>
          <w:rFonts w:ascii="Times New Roman" w:eastAsia="Times New Roman" w:hAnsi="Times New Roman"/>
          <w:b/>
          <w:bCs/>
          <w:kern w:val="0"/>
          <w:sz w:val="24"/>
          <w:szCs w:val="24"/>
          <w:lang w:val="en-US"/>
        </w:rPr>
        <w:t xml:space="preserve">Analytical </w:t>
      </w:r>
      <w:r w:rsidR="001B4F9D">
        <w:rPr>
          <w:rFonts w:ascii="Times New Roman" w:eastAsia="Times New Roman" w:hAnsi="Times New Roman"/>
          <w:b/>
          <w:bCs/>
          <w:kern w:val="0"/>
          <w:sz w:val="24"/>
          <w:szCs w:val="24"/>
          <w:lang w:val="en-US"/>
        </w:rPr>
        <w:t>p</w:t>
      </w:r>
      <w:r w:rsidRPr="00977EF3">
        <w:rPr>
          <w:rFonts w:ascii="Times New Roman" w:eastAsia="Times New Roman" w:hAnsi="Times New Roman"/>
          <w:b/>
          <w:bCs/>
          <w:kern w:val="0"/>
          <w:sz w:val="24"/>
          <w:szCs w:val="24"/>
          <w:lang w:val="en-US"/>
        </w:rPr>
        <w:t>rocedure</w:t>
      </w:r>
    </w:p>
    <w:p w14:paraId="333F9DE9"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The analysis followed three sequential stages:</w:t>
      </w:r>
    </w:p>
    <w:p w14:paraId="2A99D4D4" w14:textId="77777777" w:rsidR="008212A5" w:rsidRPr="00130584" w:rsidRDefault="00000000">
      <w:pPr>
        <w:numPr>
          <w:ilvl w:val="0"/>
          <w:numId w:val="4"/>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Event Profiling – construction of a detailed narrative of the Gambian pediatric AKI epidemic using documentary sources, including timelines of case recognition, medicine importation, regulatory actions, and response measures.</w:t>
      </w:r>
    </w:p>
    <w:p w14:paraId="6A86930B" w14:textId="77777777" w:rsidR="008212A5" w:rsidRPr="00130584" w:rsidRDefault="00000000">
      <w:pPr>
        <w:numPr>
          <w:ilvl w:val="0"/>
          <w:numId w:val="4"/>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Model Application – systematic application of each safety model to identify points of failure and contributory factors across the medicine lifecycle and healthcare response.</w:t>
      </w:r>
    </w:p>
    <w:p w14:paraId="47C3F885" w14:textId="77777777" w:rsidR="008212A5" w:rsidRPr="00130584" w:rsidRDefault="00000000">
      <w:pPr>
        <w:numPr>
          <w:ilvl w:val="0"/>
          <w:numId w:val="4"/>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Systems Synthesis – integration of model-derived insights to identify recurring patterns and policy-relevant lessons for strengthening medication safety, pharmacovigilance, and patient safety governance in resource-limited healthcare systems.</w:t>
      </w:r>
    </w:p>
    <w:p w14:paraId="4421D2E5" w14:textId="77777777" w:rsidR="008212A5" w:rsidRPr="00FA626A" w:rsidRDefault="00000000">
      <w:pPr>
        <w:spacing w:after="100" w:afterAutospacing="1" w:line="480" w:lineRule="auto"/>
        <w:outlineLvl w:val="1"/>
        <w:rPr>
          <w:rFonts w:ascii="Times New Roman" w:eastAsia="Times New Roman" w:hAnsi="Times New Roman"/>
          <w:b/>
          <w:bCs/>
          <w:kern w:val="0"/>
          <w:sz w:val="32"/>
          <w:szCs w:val="32"/>
          <w:lang w:val="en-US"/>
        </w:rPr>
      </w:pPr>
      <w:r w:rsidRPr="00FA626A">
        <w:rPr>
          <w:rFonts w:ascii="Times New Roman" w:eastAsia="Times New Roman" w:hAnsi="Times New Roman"/>
          <w:b/>
          <w:bCs/>
          <w:kern w:val="0"/>
          <w:sz w:val="32"/>
          <w:szCs w:val="32"/>
          <w:lang w:val="en-US"/>
        </w:rPr>
        <w:t>Results</w:t>
      </w:r>
    </w:p>
    <w:p w14:paraId="60A46718" w14:textId="76AC07EA" w:rsidR="008212A5" w:rsidRPr="00FA626A" w:rsidRDefault="00000000">
      <w:pPr>
        <w:spacing w:after="100" w:afterAutospacing="1" w:line="480" w:lineRule="auto"/>
        <w:outlineLvl w:val="2"/>
        <w:rPr>
          <w:rFonts w:ascii="Times New Roman" w:eastAsia="Times New Roman" w:hAnsi="Times New Roman"/>
          <w:b/>
          <w:bCs/>
          <w:kern w:val="0"/>
          <w:sz w:val="28"/>
          <w:szCs w:val="28"/>
          <w:lang w:val="en-US"/>
        </w:rPr>
      </w:pPr>
      <w:r w:rsidRPr="00FA626A">
        <w:rPr>
          <w:rFonts w:ascii="Times New Roman" w:eastAsia="Times New Roman" w:hAnsi="Times New Roman"/>
          <w:b/>
          <w:bCs/>
          <w:kern w:val="0"/>
          <w:sz w:val="28"/>
          <w:szCs w:val="28"/>
          <w:lang w:val="en-US"/>
        </w:rPr>
        <w:t xml:space="preserve">Overview of </w:t>
      </w:r>
      <w:r w:rsidR="00FA626A" w:rsidRPr="00FA626A">
        <w:rPr>
          <w:rFonts w:ascii="Times New Roman" w:eastAsia="Times New Roman" w:hAnsi="Times New Roman"/>
          <w:b/>
          <w:bCs/>
          <w:kern w:val="0"/>
          <w:sz w:val="28"/>
          <w:szCs w:val="28"/>
          <w:lang w:val="en-US"/>
        </w:rPr>
        <w:t>k</w:t>
      </w:r>
      <w:r w:rsidRPr="00FA626A">
        <w:rPr>
          <w:rFonts w:ascii="Times New Roman" w:eastAsia="Times New Roman" w:hAnsi="Times New Roman"/>
          <w:b/>
          <w:bCs/>
          <w:kern w:val="0"/>
          <w:sz w:val="28"/>
          <w:szCs w:val="28"/>
          <w:lang w:val="en-US"/>
        </w:rPr>
        <w:t xml:space="preserve">ey </w:t>
      </w:r>
      <w:r w:rsidR="00FA626A" w:rsidRPr="00FA626A">
        <w:rPr>
          <w:rFonts w:ascii="Times New Roman" w:eastAsia="Times New Roman" w:hAnsi="Times New Roman"/>
          <w:b/>
          <w:bCs/>
          <w:kern w:val="0"/>
          <w:sz w:val="28"/>
          <w:szCs w:val="28"/>
          <w:lang w:val="en-US"/>
        </w:rPr>
        <w:t>s</w:t>
      </w:r>
      <w:r w:rsidRPr="00FA626A">
        <w:rPr>
          <w:rFonts w:ascii="Times New Roman" w:eastAsia="Times New Roman" w:hAnsi="Times New Roman"/>
          <w:b/>
          <w:bCs/>
          <w:kern w:val="0"/>
          <w:sz w:val="28"/>
          <w:szCs w:val="28"/>
          <w:lang w:val="en-US"/>
        </w:rPr>
        <w:t xml:space="preserve">ystemic </w:t>
      </w:r>
      <w:r w:rsidR="00FA626A" w:rsidRPr="00FA626A">
        <w:rPr>
          <w:rFonts w:ascii="Times New Roman" w:eastAsia="Times New Roman" w:hAnsi="Times New Roman"/>
          <w:b/>
          <w:bCs/>
          <w:kern w:val="0"/>
          <w:sz w:val="28"/>
          <w:szCs w:val="28"/>
          <w:lang w:val="en-US"/>
        </w:rPr>
        <w:t>f</w:t>
      </w:r>
      <w:r w:rsidRPr="00FA626A">
        <w:rPr>
          <w:rFonts w:ascii="Times New Roman" w:eastAsia="Times New Roman" w:hAnsi="Times New Roman"/>
          <w:b/>
          <w:bCs/>
          <w:kern w:val="0"/>
          <w:sz w:val="28"/>
          <w:szCs w:val="28"/>
          <w:lang w:val="en-US"/>
        </w:rPr>
        <w:t xml:space="preserve">ailures in the Gambian AKI </w:t>
      </w:r>
      <w:r w:rsidR="00FA626A" w:rsidRPr="00FA626A">
        <w:rPr>
          <w:rFonts w:ascii="Times New Roman" w:eastAsia="Times New Roman" w:hAnsi="Times New Roman"/>
          <w:b/>
          <w:bCs/>
          <w:kern w:val="0"/>
          <w:sz w:val="28"/>
          <w:szCs w:val="28"/>
          <w:lang w:val="en-US"/>
        </w:rPr>
        <w:t>e</w:t>
      </w:r>
      <w:r w:rsidRPr="00FA626A">
        <w:rPr>
          <w:rFonts w:ascii="Times New Roman" w:eastAsia="Times New Roman" w:hAnsi="Times New Roman"/>
          <w:b/>
          <w:bCs/>
          <w:kern w:val="0"/>
          <w:sz w:val="28"/>
          <w:szCs w:val="28"/>
          <w:lang w:val="en-US"/>
        </w:rPr>
        <w:t>pidemic</w:t>
      </w:r>
    </w:p>
    <w:p w14:paraId="7B2A687D" w14:textId="65442CE0" w:rsidR="008212A5" w:rsidRPr="00977EF3" w:rsidRDefault="00000000" w:rsidP="00A53766">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 xml:space="preserve">Application of the selected safety and human factors models revealed multiple, interrelated systemic vulnerabilities underlying the 2022 </w:t>
      </w:r>
      <w:proofErr w:type="spellStart"/>
      <w:r w:rsidRPr="00977EF3">
        <w:rPr>
          <w:rFonts w:ascii="Times New Roman" w:eastAsia="Times New Roman" w:hAnsi="Times New Roman"/>
          <w:kern w:val="0"/>
          <w:sz w:val="24"/>
          <w:szCs w:val="24"/>
          <w:lang w:val="en-US"/>
        </w:rPr>
        <w:t>paediatric</w:t>
      </w:r>
      <w:proofErr w:type="spellEnd"/>
      <w:r w:rsidRPr="00977EF3">
        <w:rPr>
          <w:rFonts w:ascii="Times New Roman" w:eastAsia="Times New Roman" w:hAnsi="Times New Roman"/>
          <w:kern w:val="0"/>
          <w:sz w:val="24"/>
          <w:szCs w:val="24"/>
          <w:lang w:val="en-US"/>
        </w:rPr>
        <w:t xml:space="preserve"> acute kidney injury (AKI) epidemic in The Gambia. Failures were identified across regulatory, clinical, organizational, and operational layers of the healthcare and pharmaceutical safety system. These failures interacted synergistically, allowing contaminated medicines to enter routine clinical use, delaying hazard recognition, and constraining effective clinical and public health response.</w:t>
      </w:r>
    </w:p>
    <w:p w14:paraId="24F77F0B" w14:textId="3DF0B0A0" w:rsidR="008212A5" w:rsidRPr="00977EF3" w:rsidRDefault="00000000">
      <w:pPr>
        <w:spacing w:after="100" w:afterAutospacing="1" w:line="480" w:lineRule="auto"/>
        <w:outlineLvl w:val="2"/>
        <w:rPr>
          <w:rFonts w:ascii="Times New Roman" w:eastAsia="Times New Roman" w:hAnsi="Times New Roman"/>
          <w:b/>
          <w:bCs/>
          <w:kern w:val="0"/>
          <w:sz w:val="27"/>
          <w:szCs w:val="27"/>
          <w:lang w:val="en-US"/>
        </w:rPr>
      </w:pPr>
      <w:r w:rsidRPr="00977EF3">
        <w:rPr>
          <w:rFonts w:ascii="Times New Roman" w:eastAsia="Times New Roman" w:hAnsi="Times New Roman"/>
          <w:b/>
          <w:bCs/>
          <w:kern w:val="0"/>
          <w:sz w:val="27"/>
          <w:szCs w:val="27"/>
          <w:lang w:val="en-US"/>
        </w:rPr>
        <w:t xml:space="preserve">1. </w:t>
      </w:r>
      <w:r w:rsidRPr="00FA626A">
        <w:rPr>
          <w:rFonts w:ascii="Times New Roman" w:eastAsia="Times New Roman" w:hAnsi="Times New Roman"/>
          <w:b/>
          <w:bCs/>
          <w:kern w:val="0"/>
          <w:sz w:val="28"/>
          <w:szCs w:val="28"/>
          <w:lang w:val="en-US"/>
        </w:rPr>
        <w:t xml:space="preserve">Swiss </w:t>
      </w:r>
      <w:r w:rsidR="00FA626A" w:rsidRPr="00FA626A">
        <w:rPr>
          <w:rFonts w:ascii="Times New Roman" w:eastAsia="Times New Roman" w:hAnsi="Times New Roman"/>
          <w:b/>
          <w:bCs/>
          <w:kern w:val="0"/>
          <w:sz w:val="28"/>
          <w:szCs w:val="28"/>
          <w:lang w:val="en-US"/>
        </w:rPr>
        <w:t>c</w:t>
      </w:r>
      <w:r w:rsidRPr="00FA626A">
        <w:rPr>
          <w:rFonts w:ascii="Times New Roman" w:eastAsia="Times New Roman" w:hAnsi="Times New Roman"/>
          <w:b/>
          <w:bCs/>
          <w:kern w:val="0"/>
          <w:sz w:val="28"/>
          <w:szCs w:val="28"/>
          <w:lang w:val="en-US"/>
        </w:rPr>
        <w:t xml:space="preserve">heese </w:t>
      </w:r>
      <w:r w:rsidR="00FA626A" w:rsidRPr="00FA626A">
        <w:rPr>
          <w:rFonts w:ascii="Times New Roman" w:eastAsia="Times New Roman" w:hAnsi="Times New Roman"/>
          <w:b/>
          <w:bCs/>
          <w:kern w:val="0"/>
          <w:sz w:val="28"/>
          <w:szCs w:val="28"/>
          <w:lang w:val="en-US"/>
        </w:rPr>
        <w:t>m</w:t>
      </w:r>
      <w:r w:rsidRPr="00FA626A">
        <w:rPr>
          <w:rFonts w:ascii="Times New Roman" w:eastAsia="Times New Roman" w:hAnsi="Times New Roman"/>
          <w:b/>
          <w:bCs/>
          <w:kern w:val="0"/>
          <w:sz w:val="28"/>
          <w:szCs w:val="28"/>
          <w:lang w:val="en-US"/>
        </w:rPr>
        <w:t xml:space="preserve">odel </w:t>
      </w:r>
      <w:r w:rsidR="00FA626A" w:rsidRPr="00FA626A">
        <w:rPr>
          <w:rFonts w:ascii="Times New Roman" w:eastAsia="Times New Roman" w:hAnsi="Times New Roman"/>
          <w:b/>
          <w:bCs/>
          <w:kern w:val="0"/>
          <w:sz w:val="28"/>
          <w:szCs w:val="28"/>
          <w:lang w:val="en-US"/>
        </w:rPr>
        <w:t>a</w:t>
      </w:r>
      <w:r w:rsidRPr="00FA626A">
        <w:rPr>
          <w:rFonts w:ascii="Times New Roman" w:eastAsia="Times New Roman" w:hAnsi="Times New Roman"/>
          <w:b/>
          <w:bCs/>
          <w:kern w:val="0"/>
          <w:sz w:val="28"/>
          <w:szCs w:val="28"/>
          <w:lang w:val="en-US"/>
        </w:rPr>
        <w:t>nalysis</w:t>
      </w:r>
    </w:p>
    <w:p w14:paraId="45D197BF" w14:textId="77777777" w:rsidR="008212A5" w:rsidRPr="00130584" w:rsidRDefault="00000000">
      <w:pPr>
        <w:spacing w:after="100" w:afterAutospacing="1" w:line="480" w:lineRule="auto"/>
        <w:rPr>
          <w:rFonts w:ascii="Times New Roman" w:eastAsia="Times New Roman" w:hAnsi="Times New Roman"/>
          <w:kern w:val="0"/>
          <w:sz w:val="24"/>
          <w:szCs w:val="24"/>
        </w:rPr>
      </w:pPr>
      <w:r w:rsidRPr="00130584">
        <w:rPr>
          <w:rFonts w:ascii="Times New Roman" w:eastAsia="Times New Roman" w:hAnsi="Times New Roman"/>
          <w:noProof/>
          <w:kern w:val="0"/>
          <w:sz w:val="24"/>
          <w:szCs w:val="24"/>
          <w14:ligatures w14:val="standardContextual"/>
        </w:rPr>
        <mc:AlternateContent>
          <mc:Choice Requires="wps">
            <w:drawing>
              <wp:anchor distT="0" distB="0" distL="114300" distR="114300" simplePos="0" relativeHeight="251664384" behindDoc="0" locked="0" layoutInCell="1" allowOverlap="1" wp14:anchorId="0240237E" wp14:editId="719E4C8C">
                <wp:simplePos x="0" y="0"/>
                <wp:positionH relativeFrom="column">
                  <wp:posOffset>8471535</wp:posOffset>
                </wp:positionH>
                <wp:positionV relativeFrom="paragraph">
                  <wp:posOffset>589280</wp:posOffset>
                </wp:positionV>
                <wp:extent cx="635" cy="635"/>
                <wp:effectExtent l="57150" t="57150" r="57150" b="57150"/>
                <wp:wrapNone/>
                <wp:docPr id="1954577032"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psCustomData="http://www.wps.cn/officeDocument/2013/wpsCustomData">
            <w:pict>
              <v:shape id="Ink 9" o:spid="_x0000_s1026" o:spt="75" style="position:absolute;left:0pt;margin-left:667.05pt;margin-top:46.4pt;height:0.05pt;width:0.05pt;z-index:251664384;mso-width-relative:page;mso-height-relative:page;" coordsize="21600,21600" o:gfxdata="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">
                <v:imagedata r:id="rId21" o:title=""/>
                <o:lock v:ext="edit"/>
              </v:shape>
            </w:pict>
          </mc:Fallback>
        </mc:AlternateContent>
      </w:r>
      <w:r w:rsidRPr="00130584">
        <w:rPr>
          <w:rFonts w:ascii="Times New Roman" w:eastAsia="Times New Roman" w:hAnsi="Times New Roman"/>
          <w:kern w:val="0"/>
          <w:sz w:val="24"/>
          <w:szCs w:val="24"/>
          <w:lang w:val="en-US"/>
        </w:rPr>
        <w:t xml:space="preserve">Analysis using the Swiss Cheese Model demonstrated that multiple defensive layers intended to protect children from unsafe medicines were simultaneously breached. </w:t>
      </w:r>
      <w:r w:rsidRPr="00130584">
        <w:rPr>
          <w:rFonts w:ascii="Times New Roman" w:eastAsia="Times New Roman" w:hAnsi="Times New Roman"/>
          <w:kern w:val="0"/>
          <w:sz w:val="24"/>
          <w:szCs w:val="24"/>
        </w:rPr>
        <w:t>Key failures were observed at several levels:</w:t>
      </w:r>
    </w:p>
    <w:p w14:paraId="14B7508F" w14:textId="77777777" w:rsidR="008212A5" w:rsidRPr="00130584" w:rsidRDefault="00000000">
      <w:pPr>
        <w:numPr>
          <w:ilvl w:val="0"/>
          <w:numId w:val="5"/>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Pre-market defenses: Inadequate quality assurance and absence of routine laboratory testing of imported </w:t>
      </w:r>
      <w:proofErr w:type="spellStart"/>
      <w:r w:rsidRPr="00130584">
        <w:rPr>
          <w:rFonts w:ascii="Times New Roman" w:eastAsia="Times New Roman" w:hAnsi="Times New Roman"/>
          <w:kern w:val="0"/>
          <w:sz w:val="24"/>
          <w:szCs w:val="24"/>
          <w:lang w:val="en-US"/>
        </w:rPr>
        <w:t>paediatric</w:t>
      </w:r>
      <w:proofErr w:type="spellEnd"/>
      <w:r w:rsidRPr="00130584">
        <w:rPr>
          <w:rFonts w:ascii="Times New Roman" w:eastAsia="Times New Roman" w:hAnsi="Times New Roman"/>
          <w:kern w:val="0"/>
          <w:sz w:val="24"/>
          <w:szCs w:val="24"/>
          <w:lang w:val="en-US"/>
        </w:rPr>
        <w:t xml:space="preserve"> medicines allowed contaminated syrups to enter the country undetected.</w:t>
      </w:r>
    </w:p>
    <w:p w14:paraId="579A2D14" w14:textId="77777777" w:rsidR="008212A5" w:rsidRPr="00130584" w:rsidRDefault="00000000">
      <w:pPr>
        <w:numPr>
          <w:ilvl w:val="0"/>
          <w:numId w:val="5"/>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Regulatory oversight: Weak import regulation and limited enforcement capacity hindered early identification of substandard or falsified products.</w:t>
      </w:r>
    </w:p>
    <w:p w14:paraId="50C03BC5" w14:textId="77777777" w:rsidR="008212A5" w:rsidRPr="00130584" w:rsidRDefault="00000000">
      <w:pPr>
        <w:numPr>
          <w:ilvl w:val="0"/>
          <w:numId w:val="5"/>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Pharmacovigilance: Passive surveillance systems failed to detect early clusters of adverse drug reactions, delaying outbreak recognition.</w:t>
      </w:r>
    </w:p>
    <w:p w14:paraId="79C1D6CB" w14:textId="77777777" w:rsidR="008212A5" w:rsidRPr="00130584" w:rsidRDefault="00000000">
      <w:pPr>
        <w:numPr>
          <w:ilvl w:val="0"/>
          <w:numId w:val="5"/>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Public health alert mechanisms: Delays in issuing warnings and recalling products prolonged exposure.</w:t>
      </w:r>
    </w:p>
    <w:p w14:paraId="1C5A2EF9" w14:textId="77777777" w:rsidR="008212A5" w:rsidRPr="00130584" w:rsidRDefault="00000000">
      <w:pPr>
        <w:numPr>
          <w:ilvl w:val="0"/>
          <w:numId w:val="5"/>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Clinical care capacity: Limited access to diagnostic tools, antidotes, and </w:t>
      </w:r>
      <w:proofErr w:type="spellStart"/>
      <w:r w:rsidRPr="00130584">
        <w:rPr>
          <w:rFonts w:ascii="Times New Roman" w:eastAsia="Times New Roman" w:hAnsi="Times New Roman"/>
          <w:kern w:val="0"/>
          <w:sz w:val="24"/>
          <w:szCs w:val="24"/>
          <w:lang w:val="en-US"/>
        </w:rPr>
        <w:t>paediatric</w:t>
      </w:r>
      <w:proofErr w:type="spellEnd"/>
      <w:r w:rsidRPr="00130584">
        <w:rPr>
          <w:rFonts w:ascii="Times New Roman" w:eastAsia="Times New Roman" w:hAnsi="Times New Roman"/>
          <w:kern w:val="0"/>
          <w:sz w:val="24"/>
          <w:szCs w:val="24"/>
          <w:lang w:val="en-US"/>
        </w:rPr>
        <w:t xml:space="preserve"> dialysis reduced the ability to mitigate harm once AKI developed.</w:t>
      </w:r>
    </w:p>
    <w:p w14:paraId="11585A16" w14:textId="037A7AC7" w:rsidR="008212A5" w:rsidRPr="00977EF3" w:rsidRDefault="00000000" w:rsidP="00A53766">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 alignment of these failures created a clear pathway through which toxic syrups were widely distributed and administered before effective containment measures were implemented.</w:t>
      </w:r>
    </w:p>
    <w:p w14:paraId="0584B6B8" w14:textId="6B875AA5" w:rsidR="008212A5" w:rsidRPr="00977EF3" w:rsidRDefault="00000000">
      <w:pPr>
        <w:spacing w:after="100" w:afterAutospacing="1" w:line="480" w:lineRule="auto"/>
        <w:outlineLvl w:val="2"/>
        <w:rPr>
          <w:rFonts w:ascii="Times New Roman" w:eastAsia="Times New Roman" w:hAnsi="Times New Roman"/>
          <w:b/>
          <w:bCs/>
          <w:kern w:val="0"/>
          <w:sz w:val="27"/>
          <w:szCs w:val="27"/>
          <w:lang w:val="en-US"/>
        </w:rPr>
      </w:pPr>
      <w:r w:rsidRPr="00977EF3">
        <w:rPr>
          <w:rFonts w:ascii="Times New Roman" w:eastAsia="Times New Roman" w:hAnsi="Times New Roman"/>
          <w:b/>
          <w:bCs/>
          <w:kern w:val="0"/>
          <w:sz w:val="27"/>
          <w:szCs w:val="27"/>
          <w:lang w:val="en-US"/>
        </w:rPr>
        <w:t xml:space="preserve">2. </w:t>
      </w:r>
      <w:r w:rsidRPr="00FA626A">
        <w:rPr>
          <w:rFonts w:ascii="Times New Roman" w:eastAsia="Times New Roman" w:hAnsi="Times New Roman"/>
          <w:b/>
          <w:bCs/>
          <w:kern w:val="0"/>
          <w:sz w:val="28"/>
          <w:szCs w:val="28"/>
          <w:lang w:val="en-US"/>
        </w:rPr>
        <w:t xml:space="preserve">SHELL </w:t>
      </w:r>
      <w:r w:rsidR="00FA626A" w:rsidRPr="00FA626A">
        <w:rPr>
          <w:rFonts w:ascii="Times New Roman" w:eastAsia="Times New Roman" w:hAnsi="Times New Roman"/>
          <w:b/>
          <w:bCs/>
          <w:kern w:val="0"/>
          <w:sz w:val="28"/>
          <w:szCs w:val="28"/>
          <w:lang w:val="en-US"/>
        </w:rPr>
        <w:t>m</w:t>
      </w:r>
      <w:r w:rsidRPr="00FA626A">
        <w:rPr>
          <w:rFonts w:ascii="Times New Roman" w:eastAsia="Times New Roman" w:hAnsi="Times New Roman"/>
          <w:b/>
          <w:bCs/>
          <w:kern w:val="0"/>
          <w:sz w:val="28"/>
          <w:szCs w:val="28"/>
          <w:lang w:val="en-US"/>
        </w:rPr>
        <w:t xml:space="preserve">odel </w:t>
      </w:r>
      <w:r w:rsidR="00FA626A" w:rsidRPr="00FA626A">
        <w:rPr>
          <w:rFonts w:ascii="Times New Roman" w:eastAsia="Times New Roman" w:hAnsi="Times New Roman"/>
          <w:b/>
          <w:bCs/>
          <w:kern w:val="0"/>
          <w:sz w:val="28"/>
          <w:szCs w:val="28"/>
          <w:lang w:val="en-US"/>
        </w:rPr>
        <w:t>a</w:t>
      </w:r>
      <w:r w:rsidRPr="00FA626A">
        <w:rPr>
          <w:rFonts w:ascii="Times New Roman" w:eastAsia="Times New Roman" w:hAnsi="Times New Roman"/>
          <w:b/>
          <w:bCs/>
          <w:kern w:val="0"/>
          <w:sz w:val="28"/>
          <w:szCs w:val="28"/>
          <w:lang w:val="en-US"/>
        </w:rPr>
        <w:t>nalysis</w:t>
      </w:r>
    </w:p>
    <w:p w14:paraId="4F625136"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 SHELL model highlighted misalignments between system components critical to safe healthcare delivery:</w:t>
      </w:r>
    </w:p>
    <w:p w14:paraId="09D27071" w14:textId="77777777" w:rsidR="008212A5" w:rsidRPr="00130584" w:rsidRDefault="00000000">
      <w:pPr>
        <w:numPr>
          <w:ilvl w:val="0"/>
          <w:numId w:val="6"/>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Software: Regulatory frameworks for medicine quality assurance and clinical guidelines for early AKI detection were incomplete, inconsistently implemented, or poorly disseminated.</w:t>
      </w:r>
    </w:p>
    <w:p w14:paraId="69306123" w14:textId="77777777" w:rsidR="008212A5" w:rsidRPr="00130584" w:rsidRDefault="00000000">
      <w:pPr>
        <w:numPr>
          <w:ilvl w:val="0"/>
          <w:numId w:val="6"/>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Hardware: Health facilities lacked reliable diagnostic tools for early AKI identification, as well as sufficient </w:t>
      </w:r>
      <w:proofErr w:type="spellStart"/>
      <w:r w:rsidRPr="00130584">
        <w:rPr>
          <w:rFonts w:ascii="Times New Roman" w:eastAsia="Times New Roman" w:hAnsi="Times New Roman"/>
          <w:kern w:val="0"/>
          <w:sz w:val="24"/>
          <w:szCs w:val="24"/>
          <w:lang w:val="en-US"/>
        </w:rPr>
        <w:t>paediatric</w:t>
      </w:r>
      <w:proofErr w:type="spellEnd"/>
      <w:r w:rsidRPr="00130584">
        <w:rPr>
          <w:rFonts w:ascii="Times New Roman" w:eastAsia="Times New Roman" w:hAnsi="Times New Roman"/>
          <w:kern w:val="0"/>
          <w:sz w:val="24"/>
          <w:szCs w:val="24"/>
          <w:lang w:val="en-US"/>
        </w:rPr>
        <w:t xml:space="preserve"> dialysis equipment to manage severe cases.</w:t>
      </w:r>
    </w:p>
    <w:p w14:paraId="000B5D80" w14:textId="77777777" w:rsidR="008212A5" w:rsidRPr="00130584" w:rsidRDefault="00000000">
      <w:pPr>
        <w:numPr>
          <w:ilvl w:val="0"/>
          <w:numId w:val="6"/>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Environment: Organizational and institutional environments were characterized by fragmented communication, limited inter-agency coordination, and constrained resources, which discouraged rapid escalation of safety concerns.</w:t>
      </w:r>
    </w:p>
    <w:p w14:paraId="4F0EAC8C" w14:textId="77777777" w:rsidR="008212A5" w:rsidRPr="00130584" w:rsidRDefault="00000000">
      <w:pPr>
        <w:numPr>
          <w:ilvl w:val="0"/>
          <w:numId w:val="6"/>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Liveware: Frontline healthcare workers operated under high cognitive load with limited training in toxin-induced AKI, impairing timely recognition, reporting, and coordinated response.</w:t>
      </w:r>
    </w:p>
    <w:p w14:paraId="3AE01A81" w14:textId="3230E985" w:rsidR="008212A5" w:rsidRPr="00977EF3" w:rsidRDefault="00000000" w:rsidP="00FA626A">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These misalignments collectively weakened the system’s ability to detect, interpret, and respond to emerging risk.</w:t>
      </w:r>
    </w:p>
    <w:p w14:paraId="42659F35" w14:textId="65A5264A" w:rsidR="008212A5" w:rsidRPr="00FA626A" w:rsidRDefault="00000000">
      <w:pPr>
        <w:spacing w:after="100" w:afterAutospacing="1" w:line="480" w:lineRule="auto"/>
        <w:outlineLvl w:val="2"/>
        <w:rPr>
          <w:rFonts w:ascii="Times New Roman" w:eastAsia="Times New Roman" w:hAnsi="Times New Roman"/>
          <w:b/>
          <w:bCs/>
          <w:kern w:val="0"/>
          <w:sz w:val="28"/>
          <w:szCs w:val="28"/>
          <w:lang w:val="en-US"/>
        </w:rPr>
      </w:pPr>
      <w:r w:rsidRPr="00977EF3">
        <w:rPr>
          <w:rFonts w:ascii="Times New Roman" w:eastAsia="Times New Roman" w:hAnsi="Times New Roman"/>
          <w:b/>
          <w:bCs/>
          <w:kern w:val="0"/>
          <w:sz w:val="27"/>
          <w:szCs w:val="27"/>
          <w:lang w:val="en-US"/>
        </w:rPr>
        <w:t xml:space="preserve">3. </w:t>
      </w:r>
      <w:r w:rsidRPr="00FA626A">
        <w:rPr>
          <w:rFonts w:ascii="Times New Roman" w:eastAsia="Times New Roman" w:hAnsi="Times New Roman"/>
          <w:b/>
          <w:bCs/>
          <w:kern w:val="0"/>
          <w:sz w:val="28"/>
          <w:szCs w:val="28"/>
          <w:lang w:val="en-US"/>
        </w:rPr>
        <w:t xml:space="preserve">SHEEP </w:t>
      </w:r>
      <w:r w:rsidR="00FA626A" w:rsidRPr="00FA626A">
        <w:rPr>
          <w:rFonts w:ascii="Times New Roman" w:eastAsia="Times New Roman" w:hAnsi="Times New Roman"/>
          <w:b/>
          <w:bCs/>
          <w:kern w:val="0"/>
          <w:sz w:val="28"/>
          <w:szCs w:val="28"/>
          <w:lang w:val="en-US"/>
        </w:rPr>
        <w:t>m</w:t>
      </w:r>
      <w:r w:rsidRPr="00FA626A">
        <w:rPr>
          <w:rFonts w:ascii="Times New Roman" w:eastAsia="Times New Roman" w:hAnsi="Times New Roman"/>
          <w:b/>
          <w:bCs/>
          <w:kern w:val="0"/>
          <w:sz w:val="28"/>
          <w:szCs w:val="28"/>
          <w:lang w:val="en-US"/>
        </w:rPr>
        <w:t xml:space="preserve">odel </w:t>
      </w:r>
      <w:r w:rsidR="00FA626A" w:rsidRPr="00FA626A">
        <w:rPr>
          <w:rFonts w:ascii="Times New Roman" w:eastAsia="Times New Roman" w:hAnsi="Times New Roman"/>
          <w:b/>
          <w:bCs/>
          <w:kern w:val="0"/>
          <w:sz w:val="28"/>
          <w:szCs w:val="28"/>
          <w:lang w:val="en-US"/>
        </w:rPr>
        <w:t>f</w:t>
      </w:r>
      <w:r w:rsidRPr="00FA626A">
        <w:rPr>
          <w:rFonts w:ascii="Times New Roman" w:eastAsia="Times New Roman" w:hAnsi="Times New Roman"/>
          <w:b/>
          <w:bCs/>
          <w:kern w:val="0"/>
          <w:sz w:val="28"/>
          <w:szCs w:val="28"/>
          <w:lang w:val="en-US"/>
        </w:rPr>
        <w:t xml:space="preserve">indings for </w:t>
      </w:r>
      <w:proofErr w:type="spellStart"/>
      <w:r w:rsidR="00FA626A" w:rsidRPr="00FA626A">
        <w:rPr>
          <w:rFonts w:ascii="Times New Roman" w:eastAsia="Times New Roman" w:hAnsi="Times New Roman"/>
          <w:b/>
          <w:bCs/>
          <w:kern w:val="0"/>
          <w:sz w:val="28"/>
          <w:szCs w:val="28"/>
          <w:lang w:val="en-US"/>
        </w:rPr>
        <w:t>p</w:t>
      </w:r>
      <w:r w:rsidRPr="00FA626A">
        <w:rPr>
          <w:rFonts w:ascii="Times New Roman" w:eastAsia="Times New Roman" w:hAnsi="Times New Roman"/>
          <w:b/>
          <w:bCs/>
          <w:kern w:val="0"/>
          <w:sz w:val="28"/>
          <w:szCs w:val="28"/>
          <w:lang w:val="en-US"/>
        </w:rPr>
        <w:t>aediatric</w:t>
      </w:r>
      <w:proofErr w:type="spellEnd"/>
      <w:r w:rsidRPr="00FA626A">
        <w:rPr>
          <w:rFonts w:ascii="Times New Roman" w:eastAsia="Times New Roman" w:hAnsi="Times New Roman"/>
          <w:b/>
          <w:bCs/>
          <w:kern w:val="0"/>
          <w:sz w:val="28"/>
          <w:szCs w:val="28"/>
          <w:lang w:val="en-US"/>
        </w:rPr>
        <w:t xml:space="preserve"> AKI</w:t>
      </w:r>
    </w:p>
    <w:p w14:paraId="4F99791D"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Application of the SHEEP model further clarified specific contributors to gaps in AKI detection and management:</w:t>
      </w:r>
    </w:p>
    <w:p w14:paraId="4DC8249A" w14:textId="77777777" w:rsidR="008212A5" w:rsidRPr="00130584" w:rsidRDefault="00000000">
      <w:pPr>
        <w:numPr>
          <w:ilvl w:val="0"/>
          <w:numId w:val="7"/>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System: Absence of a national AKI protocol and weak pharmacovigilance infrastructure limited coordinated response.</w:t>
      </w:r>
    </w:p>
    <w:p w14:paraId="12310456" w14:textId="77777777" w:rsidR="008212A5" w:rsidRPr="00130584" w:rsidRDefault="00000000">
      <w:pPr>
        <w:numPr>
          <w:ilvl w:val="0"/>
          <w:numId w:val="7"/>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Human: Limited awareness of AKI risk factors and atypical presentations among primary and secondary healthcare workers delayed diagnosis and referral.</w:t>
      </w:r>
    </w:p>
    <w:p w14:paraId="7D80094A" w14:textId="77777777" w:rsidR="008212A5" w:rsidRPr="00130584" w:rsidRDefault="00000000">
      <w:pPr>
        <w:numPr>
          <w:ilvl w:val="0"/>
          <w:numId w:val="7"/>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Environment: Marked disparities between urban and rural healthcare infrastructure contributed to delayed presentation and uneven access to specialized care.</w:t>
      </w:r>
    </w:p>
    <w:p w14:paraId="33F168F9" w14:textId="77777777" w:rsidR="008212A5" w:rsidRPr="00130584" w:rsidRDefault="00000000">
      <w:pPr>
        <w:numPr>
          <w:ilvl w:val="0"/>
          <w:numId w:val="7"/>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Equipment: Inadequate availability and functionality of dialysis machines and supportive care equipment constrained treatment options.</w:t>
      </w:r>
    </w:p>
    <w:p w14:paraId="4F54F37F" w14:textId="77777777" w:rsidR="008212A5" w:rsidRPr="00130584" w:rsidRDefault="00000000">
      <w:pPr>
        <w:numPr>
          <w:ilvl w:val="0"/>
          <w:numId w:val="7"/>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Process: Inconsistent triage, referral pathways, and case management protocols led to variable clinical outcomes.</w:t>
      </w:r>
    </w:p>
    <w:p w14:paraId="090E1D37" w14:textId="77777777" w:rsidR="008212A5" w:rsidRPr="00977EF3" w:rsidRDefault="00000000">
      <w:pPr>
        <w:spacing w:after="100" w:afterAutospacing="1" w:line="480" w:lineRule="auto"/>
        <w:outlineLvl w:val="2"/>
        <w:rPr>
          <w:rFonts w:ascii="Times New Roman" w:eastAsia="Times New Roman" w:hAnsi="Times New Roman"/>
          <w:b/>
          <w:bCs/>
          <w:kern w:val="0"/>
          <w:sz w:val="27"/>
          <w:szCs w:val="27"/>
          <w:lang w:val="en-US"/>
        </w:rPr>
      </w:pPr>
      <w:r w:rsidRPr="00977EF3">
        <w:rPr>
          <w:rFonts w:ascii="Times New Roman" w:eastAsia="Times New Roman" w:hAnsi="Times New Roman"/>
          <w:b/>
          <w:bCs/>
          <w:kern w:val="0"/>
          <w:sz w:val="27"/>
          <w:szCs w:val="27"/>
          <w:lang w:val="en-US"/>
        </w:rPr>
        <w:t>4. Situational Awareness Gaps</w:t>
      </w:r>
    </w:p>
    <w:p w14:paraId="7D8384CB"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Analysis using Endsley’s Situational Awareness Model revealed deficits at all three levels:</w:t>
      </w:r>
    </w:p>
    <w:p w14:paraId="398A5A54" w14:textId="77777777" w:rsidR="008212A5" w:rsidRPr="00130584" w:rsidRDefault="00000000">
      <w:pPr>
        <w:numPr>
          <w:ilvl w:val="0"/>
          <w:numId w:val="8"/>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Perception: Early warning signs of AKI and clustering of severe cases were consistently recognized.</w:t>
      </w:r>
    </w:p>
    <w:p w14:paraId="0BB828A7" w14:textId="77777777" w:rsidR="008212A5" w:rsidRPr="00130584" w:rsidRDefault="00000000">
      <w:pPr>
        <w:numPr>
          <w:ilvl w:val="0"/>
          <w:numId w:val="8"/>
        </w:numPr>
        <w:spacing w:after="100" w:afterAutospacing="1" w:line="480" w:lineRule="auto"/>
        <w:rPr>
          <w:rFonts w:ascii="Times New Roman" w:eastAsia="Times New Roman" w:hAnsi="Times New Roman"/>
          <w:kern w:val="0"/>
          <w:sz w:val="24"/>
          <w:szCs w:val="24"/>
        </w:rPr>
      </w:pPr>
      <w:r w:rsidRPr="00130584">
        <w:rPr>
          <w:rFonts w:ascii="Times New Roman" w:eastAsia="Times New Roman" w:hAnsi="Times New Roman"/>
          <w:kern w:val="0"/>
          <w:sz w:val="24"/>
          <w:szCs w:val="24"/>
          <w:lang w:val="en-US"/>
        </w:rPr>
        <w:t>Comprehension: The link between medicine exposure and renal injury was immediately understood by all stakeholders. However, laboratory confirmatory were available not in the country</w:t>
      </w:r>
    </w:p>
    <w:p w14:paraId="32FC43DE" w14:textId="77777777" w:rsidR="008212A5" w:rsidRPr="00130584" w:rsidRDefault="00000000">
      <w:pPr>
        <w:numPr>
          <w:ilvl w:val="0"/>
          <w:numId w:val="8"/>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Projection: The potential scale and severity of the epidemic were underestimated, delaying decisive public health action as it was thought to be bacterial cause which added more to the confusion.</w:t>
      </w:r>
    </w:p>
    <w:p w14:paraId="12C47424"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These gaps were exacerbated by information silos, limited real-time data sharing, and insufficient crisis communication mechanisms.</w:t>
      </w:r>
    </w:p>
    <w:p w14:paraId="15A8506A" w14:textId="7E0E03C9" w:rsidR="008212A5" w:rsidRPr="00FA626A" w:rsidRDefault="00000000">
      <w:pPr>
        <w:spacing w:after="100" w:afterAutospacing="1" w:line="480" w:lineRule="auto"/>
        <w:outlineLvl w:val="2"/>
        <w:rPr>
          <w:rFonts w:ascii="Times New Roman" w:eastAsia="Times New Roman" w:hAnsi="Times New Roman"/>
          <w:b/>
          <w:bCs/>
          <w:kern w:val="0"/>
          <w:sz w:val="28"/>
          <w:szCs w:val="28"/>
          <w:lang w:val="en-US"/>
        </w:rPr>
      </w:pPr>
      <w:r w:rsidRPr="00FA626A">
        <w:rPr>
          <w:rFonts w:ascii="Times New Roman" w:eastAsia="Times New Roman" w:hAnsi="Times New Roman"/>
          <w:b/>
          <w:bCs/>
          <w:kern w:val="0"/>
          <w:sz w:val="28"/>
          <w:szCs w:val="28"/>
          <w:lang w:val="en-US"/>
        </w:rPr>
        <w:t>Cross-</w:t>
      </w:r>
      <w:r w:rsidR="00FA626A" w:rsidRPr="00FA626A">
        <w:rPr>
          <w:rFonts w:ascii="Times New Roman" w:eastAsia="Times New Roman" w:hAnsi="Times New Roman"/>
          <w:b/>
          <w:bCs/>
          <w:kern w:val="0"/>
          <w:sz w:val="28"/>
          <w:szCs w:val="28"/>
          <w:lang w:val="en-US"/>
        </w:rPr>
        <w:t>c</w:t>
      </w:r>
      <w:r w:rsidRPr="00FA626A">
        <w:rPr>
          <w:rFonts w:ascii="Times New Roman" w:eastAsia="Times New Roman" w:hAnsi="Times New Roman"/>
          <w:b/>
          <w:bCs/>
          <w:kern w:val="0"/>
          <w:sz w:val="28"/>
          <w:szCs w:val="28"/>
          <w:lang w:val="en-US"/>
        </w:rPr>
        <w:t xml:space="preserve">utting </w:t>
      </w:r>
      <w:r w:rsidR="00FA626A" w:rsidRPr="00FA626A">
        <w:rPr>
          <w:rFonts w:ascii="Times New Roman" w:eastAsia="Times New Roman" w:hAnsi="Times New Roman"/>
          <w:b/>
          <w:bCs/>
          <w:kern w:val="0"/>
          <w:sz w:val="28"/>
          <w:szCs w:val="28"/>
          <w:lang w:val="en-US"/>
        </w:rPr>
        <w:t>s</w:t>
      </w:r>
      <w:r w:rsidRPr="00FA626A">
        <w:rPr>
          <w:rFonts w:ascii="Times New Roman" w:eastAsia="Times New Roman" w:hAnsi="Times New Roman"/>
          <w:b/>
          <w:bCs/>
          <w:kern w:val="0"/>
          <w:sz w:val="28"/>
          <w:szCs w:val="28"/>
          <w:lang w:val="en-US"/>
        </w:rPr>
        <w:t xml:space="preserve">ystemic </w:t>
      </w:r>
      <w:r w:rsidR="00FA626A" w:rsidRPr="00FA626A">
        <w:rPr>
          <w:rFonts w:ascii="Times New Roman" w:eastAsia="Times New Roman" w:hAnsi="Times New Roman"/>
          <w:b/>
          <w:bCs/>
          <w:kern w:val="0"/>
          <w:sz w:val="28"/>
          <w:szCs w:val="28"/>
          <w:lang w:val="en-US"/>
        </w:rPr>
        <w:t>t</w:t>
      </w:r>
      <w:r w:rsidRPr="00FA626A">
        <w:rPr>
          <w:rFonts w:ascii="Times New Roman" w:eastAsia="Times New Roman" w:hAnsi="Times New Roman"/>
          <w:b/>
          <w:bCs/>
          <w:kern w:val="0"/>
          <w:sz w:val="28"/>
          <w:szCs w:val="28"/>
          <w:lang w:val="en-US"/>
        </w:rPr>
        <w:t xml:space="preserve">hemes </w:t>
      </w:r>
      <w:r w:rsidR="00FA626A" w:rsidRPr="00FA626A">
        <w:rPr>
          <w:rFonts w:ascii="Times New Roman" w:eastAsia="Times New Roman" w:hAnsi="Times New Roman"/>
          <w:b/>
          <w:bCs/>
          <w:kern w:val="0"/>
          <w:sz w:val="28"/>
          <w:szCs w:val="28"/>
          <w:lang w:val="en-US"/>
        </w:rPr>
        <w:t>i</w:t>
      </w:r>
      <w:r w:rsidRPr="00FA626A">
        <w:rPr>
          <w:rFonts w:ascii="Times New Roman" w:eastAsia="Times New Roman" w:hAnsi="Times New Roman"/>
          <w:b/>
          <w:bCs/>
          <w:kern w:val="0"/>
          <w:sz w:val="28"/>
          <w:szCs w:val="28"/>
          <w:lang w:val="en-US"/>
        </w:rPr>
        <w:t>dentified</w:t>
      </w:r>
    </w:p>
    <w:p w14:paraId="7521A2FC"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Across all analytical models, five recurring themes emerged:</w:t>
      </w:r>
    </w:p>
    <w:p w14:paraId="26768B65" w14:textId="77777777" w:rsidR="008212A5" w:rsidRPr="00130584" w:rsidRDefault="00000000">
      <w:pPr>
        <w:numPr>
          <w:ilvl w:val="0"/>
          <w:numId w:val="9"/>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Absence or ineffectiveness of redundant safety systems, allowing hazards to progress without interception.</w:t>
      </w:r>
    </w:p>
    <w:p w14:paraId="2CCE6042" w14:textId="77777777" w:rsidR="008212A5" w:rsidRPr="00130584" w:rsidRDefault="00000000">
      <w:pPr>
        <w:numPr>
          <w:ilvl w:val="0"/>
          <w:numId w:val="9"/>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Communication and leadership breakdowns, impairing timely clinical and regulatory decision-making.</w:t>
      </w:r>
    </w:p>
    <w:p w14:paraId="044F9128" w14:textId="77777777" w:rsidR="008212A5" w:rsidRPr="00130584" w:rsidRDefault="00000000">
      <w:pPr>
        <w:numPr>
          <w:ilvl w:val="0"/>
          <w:numId w:val="9"/>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Human factors under stress, including cognitive overload and inadequate training, amplifying risk.</w:t>
      </w:r>
    </w:p>
    <w:p w14:paraId="7B806273" w14:textId="77777777" w:rsidR="008212A5" w:rsidRPr="00130584" w:rsidRDefault="00000000">
      <w:pPr>
        <w:numPr>
          <w:ilvl w:val="0"/>
          <w:numId w:val="9"/>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Weak regulatory oversight, enabling prolonged circulation of hazardous medicines.</w:t>
      </w:r>
    </w:p>
    <w:p w14:paraId="074DDB74" w14:textId="77777777" w:rsidR="008212A5" w:rsidRPr="00130584" w:rsidRDefault="00000000">
      <w:pPr>
        <w:numPr>
          <w:ilvl w:val="0"/>
          <w:numId w:val="9"/>
        </w:num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Limited preparedness and scenario planning, restricting rapid containment and mitigation of the epidemic</w:t>
      </w:r>
    </w:p>
    <w:p w14:paraId="50E8A66A" w14:textId="77777777" w:rsidR="008212A5" w:rsidRPr="00FA626A" w:rsidRDefault="00000000">
      <w:pPr>
        <w:spacing w:after="100" w:afterAutospacing="1" w:line="480" w:lineRule="auto"/>
        <w:outlineLvl w:val="1"/>
        <w:rPr>
          <w:rFonts w:ascii="Times New Roman" w:eastAsia="Times New Roman" w:hAnsi="Times New Roman"/>
          <w:b/>
          <w:bCs/>
          <w:kern w:val="0"/>
          <w:sz w:val="28"/>
          <w:szCs w:val="28"/>
          <w:lang w:val="en-US"/>
        </w:rPr>
      </w:pPr>
      <w:r w:rsidRPr="00FA626A">
        <w:rPr>
          <w:rFonts w:ascii="Times New Roman" w:eastAsia="Times New Roman" w:hAnsi="Times New Roman"/>
          <w:b/>
          <w:bCs/>
          <w:kern w:val="0"/>
          <w:sz w:val="28"/>
          <w:szCs w:val="28"/>
          <w:lang w:val="en-US"/>
        </w:rPr>
        <w:t>Discussions</w:t>
      </w:r>
    </w:p>
    <w:p w14:paraId="08450FF8" w14:textId="40B8FC96"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This study demonstrates that the 2022 pediatric acute kidney injury (AKI) epidemic in The Gambia was not an isolated toxicological incident but the consequence of interacting failures across multiple layers of the healthcare and pharmaceutical safety system [</w:t>
      </w:r>
      <w:r w:rsidR="00A53766">
        <w:rPr>
          <w:rFonts w:ascii="Times New Roman" w:eastAsia="Times New Roman" w:hAnsi="Times New Roman"/>
          <w:kern w:val="0"/>
          <w:sz w:val="24"/>
          <w:szCs w:val="24"/>
          <w:lang w:val="en-US"/>
        </w:rPr>
        <w:t>22</w:t>
      </w:r>
      <w:r w:rsidRPr="00977EF3">
        <w:rPr>
          <w:rFonts w:ascii="Times New Roman" w:eastAsia="Times New Roman" w:hAnsi="Times New Roman"/>
          <w:kern w:val="0"/>
          <w:sz w:val="24"/>
          <w:szCs w:val="24"/>
          <w:lang w:val="en-US"/>
        </w:rPr>
        <w:t>,2</w:t>
      </w:r>
      <w:r w:rsidR="00A53766">
        <w:rPr>
          <w:rFonts w:ascii="Times New Roman" w:eastAsia="Times New Roman" w:hAnsi="Times New Roman"/>
          <w:kern w:val="0"/>
          <w:sz w:val="24"/>
          <w:szCs w:val="24"/>
          <w:lang w:val="en-US"/>
        </w:rPr>
        <w:t>3</w:t>
      </w:r>
      <w:r w:rsidRPr="00977EF3">
        <w:rPr>
          <w:rFonts w:ascii="Times New Roman" w:eastAsia="Times New Roman" w:hAnsi="Times New Roman"/>
          <w:kern w:val="0"/>
          <w:sz w:val="24"/>
          <w:szCs w:val="24"/>
          <w:lang w:val="en-US"/>
        </w:rPr>
        <w:t xml:space="preserve">]. Using established safety and human factors models, the findings highlight how regulatory weaknesses, inadequate surveillance, constrained clinical capacity, and human-factor limitations converged to allow widespread harm. </w:t>
      </w:r>
    </w:p>
    <w:p w14:paraId="5C82604E" w14:textId="02030210" w:rsidR="008212A5" w:rsidRPr="00977EF3" w:rsidRDefault="00000000">
      <w:pPr>
        <w:spacing w:after="100" w:afterAutospacing="1" w:line="480" w:lineRule="auto"/>
        <w:outlineLvl w:val="2"/>
        <w:rPr>
          <w:rFonts w:ascii="Times New Roman" w:eastAsia="Times New Roman" w:hAnsi="Times New Roman"/>
          <w:b/>
          <w:bCs/>
          <w:kern w:val="0"/>
          <w:sz w:val="27"/>
          <w:szCs w:val="27"/>
          <w:lang w:val="en-US"/>
        </w:rPr>
      </w:pPr>
      <w:r w:rsidRPr="00977EF3">
        <w:rPr>
          <w:rFonts w:ascii="Times New Roman" w:eastAsia="Times New Roman" w:hAnsi="Times New Roman"/>
          <w:b/>
          <w:bCs/>
          <w:kern w:val="0"/>
          <w:sz w:val="27"/>
          <w:szCs w:val="27"/>
          <w:lang w:val="en-US"/>
        </w:rPr>
        <w:t xml:space="preserve">Systemic </w:t>
      </w:r>
      <w:r w:rsidR="00FA626A">
        <w:rPr>
          <w:rFonts w:ascii="Times New Roman" w:eastAsia="Times New Roman" w:hAnsi="Times New Roman"/>
          <w:b/>
          <w:bCs/>
          <w:kern w:val="0"/>
          <w:sz w:val="27"/>
          <w:szCs w:val="27"/>
          <w:lang w:val="en-US"/>
        </w:rPr>
        <w:t>f</w:t>
      </w:r>
      <w:r w:rsidRPr="00977EF3">
        <w:rPr>
          <w:rFonts w:ascii="Times New Roman" w:eastAsia="Times New Roman" w:hAnsi="Times New Roman"/>
          <w:b/>
          <w:bCs/>
          <w:kern w:val="0"/>
          <w:sz w:val="27"/>
          <w:szCs w:val="27"/>
          <w:lang w:val="en-US"/>
        </w:rPr>
        <w:t xml:space="preserve">ailures </w:t>
      </w:r>
      <w:r w:rsidR="00FA626A">
        <w:rPr>
          <w:rFonts w:ascii="Times New Roman" w:eastAsia="Times New Roman" w:hAnsi="Times New Roman"/>
          <w:b/>
          <w:bCs/>
          <w:kern w:val="0"/>
          <w:sz w:val="27"/>
          <w:szCs w:val="27"/>
          <w:lang w:val="en-US"/>
        </w:rPr>
        <w:t>a</w:t>
      </w:r>
      <w:r w:rsidRPr="00977EF3">
        <w:rPr>
          <w:rFonts w:ascii="Times New Roman" w:eastAsia="Times New Roman" w:hAnsi="Times New Roman"/>
          <w:b/>
          <w:bCs/>
          <w:kern w:val="0"/>
          <w:sz w:val="27"/>
          <w:szCs w:val="27"/>
          <w:lang w:val="en-US"/>
        </w:rPr>
        <w:t xml:space="preserve">cross </w:t>
      </w:r>
      <w:r w:rsidR="00FA626A">
        <w:rPr>
          <w:rFonts w:ascii="Times New Roman" w:eastAsia="Times New Roman" w:hAnsi="Times New Roman"/>
          <w:b/>
          <w:bCs/>
          <w:kern w:val="0"/>
          <w:sz w:val="27"/>
          <w:szCs w:val="27"/>
          <w:lang w:val="en-US"/>
        </w:rPr>
        <w:t>d</w:t>
      </w:r>
      <w:r w:rsidRPr="00977EF3">
        <w:rPr>
          <w:rFonts w:ascii="Times New Roman" w:eastAsia="Times New Roman" w:hAnsi="Times New Roman"/>
          <w:b/>
          <w:bCs/>
          <w:kern w:val="0"/>
          <w:sz w:val="27"/>
          <w:szCs w:val="27"/>
          <w:lang w:val="en-US"/>
        </w:rPr>
        <w:t xml:space="preserve">efensive </w:t>
      </w:r>
      <w:r w:rsidR="00FA626A">
        <w:rPr>
          <w:rFonts w:ascii="Times New Roman" w:eastAsia="Times New Roman" w:hAnsi="Times New Roman"/>
          <w:b/>
          <w:bCs/>
          <w:kern w:val="0"/>
          <w:sz w:val="27"/>
          <w:szCs w:val="27"/>
          <w:lang w:val="en-US"/>
        </w:rPr>
        <w:t>l</w:t>
      </w:r>
      <w:r w:rsidRPr="00977EF3">
        <w:rPr>
          <w:rFonts w:ascii="Times New Roman" w:eastAsia="Times New Roman" w:hAnsi="Times New Roman"/>
          <w:b/>
          <w:bCs/>
          <w:kern w:val="0"/>
          <w:sz w:val="27"/>
          <w:szCs w:val="27"/>
          <w:lang w:val="en-US"/>
        </w:rPr>
        <w:t>ayers (Swiss Cheese Model)</w:t>
      </w:r>
    </w:p>
    <w:p w14:paraId="10B5678E" w14:textId="25B40C62"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 xml:space="preserve">Findings from the Swiss Cheese Model analysis underscore that the AKI epidemic emerged from the simultaneous failure of several protective barriers intended to ensure medicine safety and patient protection. Pre-market defenses failed due to inadequate quality testing of imported pediatric medicines, while regulatory oversight mechanisms lacked the capacity to detect and intercept substandard </w:t>
      </w:r>
      <w:proofErr w:type="gramStart"/>
      <w:r w:rsidRPr="00977EF3">
        <w:rPr>
          <w:rFonts w:ascii="Times New Roman" w:eastAsia="Times New Roman" w:hAnsi="Times New Roman"/>
          <w:kern w:val="0"/>
          <w:sz w:val="24"/>
          <w:szCs w:val="24"/>
          <w:lang w:val="en-US"/>
        </w:rPr>
        <w:t>products[</w:t>
      </w:r>
      <w:proofErr w:type="gramEnd"/>
      <w:r w:rsidRPr="00977EF3">
        <w:rPr>
          <w:rFonts w:ascii="Times New Roman" w:eastAsia="Times New Roman" w:hAnsi="Times New Roman"/>
          <w:kern w:val="0"/>
          <w:sz w:val="24"/>
          <w:szCs w:val="24"/>
          <w:lang w:val="en-US"/>
        </w:rPr>
        <w:t>1</w:t>
      </w:r>
      <w:r w:rsidR="00A53766">
        <w:rPr>
          <w:rFonts w:ascii="Times New Roman" w:eastAsia="Times New Roman" w:hAnsi="Times New Roman"/>
          <w:kern w:val="0"/>
          <w:sz w:val="24"/>
          <w:szCs w:val="24"/>
          <w:lang w:val="en-US"/>
        </w:rPr>
        <w:t>7</w:t>
      </w:r>
      <w:r w:rsidRPr="00977EF3">
        <w:rPr>
          <w:rFonts w:ascii="Times New Roman" w:eastAsia="Times New Roman" w:hAnsi="Times New Roman"/>
          <w:kern w:val="0"/>
          <w:sz w:val="24"/>
          <w:szCs w:val="24"/>
          <w:lang w:val="en-US"/>
        </w:rPr>
        <w:t>,2</w:t>
      </w:r>
      <w:r w:rsidR="00A53766">
        <w:rPr>
          <w:rFonts w:ascii="Times New Roman" w:eastAsia="Times New Roman" w:hAnsi="Times New Roman"/>
          <w:kern w:val="0"/>
          <w:sz w:val="24"/>
          <w:szCs w:val="24"/>
          <w:lang w:val="en-US"/>
        </w:rPr>
        <w:t>4</w:t>
      </w:r>
      <w:r w:rsidRPr="00977EF3">
        <w:rPr>
          <w:rFonts w:ascii="Times New Roman" w:eastAsia="Times New Roman" w:hAnsi="Times New Roman"/>
          <w:kern w:val="0"/>
          <w:sz w:val="24"/>
          <w:szCs w:val="24"/>
          <w:lang w:val="en-US"/>
        </w:rPr>
        <w:t xml:space="preserve">]. Pharmacovigilance systems were largely passive, delaying recognition of adverse drug reaction clusters, and public health alert mechanisms were not activated promptly. Once AKI developed, limited clinical treatment capacity—particularly access to </w:t>
      </w:r>
      <w:proofErr w:type="spellStart"/>
      <w:r w:rsidRPr="00977EF3">
        <w:rPr>
          <w:rFonts w:ascii="Times New Roman" w:eastAsia="Times New Roman" w:hAnsi="Times New Roman"/>
          <w:kern w:val="0"/>
          <w:sz w:val="24"/>
          <w:szCs w:val="24"/>
          <w:lang w:val="en-US"/>
        </w:rPr>
        <w:t>paediatric</w:t>
      </w:r>
      <w:proofErr w:type="spellEnd"/>
      <w:r w:rsidRPr="00977EF3">
        <w:rPr>
          <w:rFonts w:ascii="Times New Roman" w:eastAsia="Times New Roman" w:hAnsi="Times New Roman"/>
          <w:kern w:val="0"/>
          <w:sz w:val="24"/>
          <w:szCs w:val="24"/>
          <w:lang w:val="en-US"/>
        </w:rPr>
        <w:t xml:space="preserve"> dialysis—further compounded mortality similar to findings by</w:t>
      </w:r>
      <w:r w:rsidRPr="00977EF3">
        <w:rPr>
          <w:lang w:val="en-US"/>
        </w:rPr>
        <w:t xml:space="preserve"> </w:t>
      </w:r>
      <w:r w:rsidRPr="00977EF3">
        <w:rPr>
          <w:rFonts w:ascii="Times New Roman" w:eastAsia="Times New Roman" w:hAnsi="Times New Roman"/>
          <w:kern w:val="0"/>
          <w:sz w:val="24"/>
          <w:szCs w:val="24"/>
          <w:lang w:val="en-US"/>
        </w:rPr>
        <w:t>Oliveira CL et al.,2025 [2</w:t>
      </w:r>
      <w:r w:rsidR="00A53766">
        <w:rPr>
          <w:rFonts w:ascii="Times New Roman" w:eastAsia="Times New Roman" w:hAnsi="Times New Roman"/>
          <w:kern w:val="0"/>
          <w:sz w:val="24"/>
          <w:szCs w:val="24"/>
          <w:lang w:val="en-US"/>
        </w:rPr>
        <w:t>5</w:t>
      </w:r>
      <w:r w:rsidRPr="00977EF3">
        <w:rPr>
          <w:rFonts w:ascii="Times New Roman" w:eastAsia="Times New Roman" w:hAnsi="Times New Roman"/>
          <w:kern w:val="0"/>
          <w:sz w:val="24"/>
          <w:szCs w:val="24"/>
          <w:lang w:val="en-US"/>
        </w:rPr>
        <w:t>].</w:t>
      </w:r>
    </w:p>
    <w:p w14:paraId="1A52768C" w14:textId="03B1289E"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These aligned failures illustrate how latent vulnerabilities within medicine regulation and healthcare delivery can remain undetected until a sentinel event exposes them. Strengthening each defensive layer independently is insufficient; instead, redundancy and interconnection between layers are essential to prevent error propagation within safety-critical healthcare systems as stated by Wiegmann et al., 2022[1</w:t>
      </w:r>
      <w:r w:rsidR="00A53766">
        <w:rPr>
          <w:rFonts w:ascii="Times New Roman" w:eastAsia="Times New Roman" w:hAnsi="Times New Roman"/>
          <w:kern w:val="0"/>
          <w:sz w:val="24"/>
          <w:szCs w:val="24"/>
          <w:lang w:val="en-US"/>
        </w:rPr>
        <w:t>7</w:t>
      </w:r>
      <w:r w:rsidRPr="00977EF3">
        <w:rPr>
          <w:rFonts w:ascii="Times New Roman" w:eastAsia="Times New Roman" w:hAnsi="Times New Roman"/>
          <w:kern w:val="0"/>
          <w:sz w:val="24"/>
          <w:szCs w:val="24"/>
          <w:lang w:val="en-US"/>
        </w:rPr>
        <w:t>].</w:t>
      </w:r>
    </w:p>
    <w:p w14:paraId="689AA908" w14:textId="47037C5C" w:rsidR="008212A5" w:rsidRPr="00FA626A" w:rsidRDefault="00000000">
      <w:pPr>
        <w:spacing w:after="100" w:afterAutospacing="1" w:line="480" w:lineRule="auto"/>
        <w:outlineLvl w:val="2"/>
        <w:rPr>
          <w:rFonts w:ascii="Times New Roman" w:eastAsia="Times New Roman" w:hAnsi="Times New Roman"/>
          <w:b/>
          <w:bCs/>
          <w:kern w:val="0"/>
          <w:sz w:val="28"/>
          <w:szCs w:val="28"/>
          <w:lang w:val="en-US"/>
        </w:rPr>
      </w:pPr>
      <w:r w:rsidRPr="00FA626A">
        <w:rPr>
          <w:rFonts w:ascii="Times New Roman" w:eastAsia="Times New Roman" w:hAnsi="Times New Roman"/>
          <w:b/>
          <w:bCs/>
          <w:kern w:val="0"/>
          <w:sz w:val="28"/>
          <w:szCs w:val="28"/>
          <w:lang w:val="en-US"/>
        </w:rPr>
        <w:t>Human–</w:t>
      </w:r>
      <w:r w:rsidR="00FA626A" w:rsidRPr="00FA626A">
        <w:rPr>
          <w:rFonts w:ascii="Times New Roman" w:eastAsia="Times New Roman" w:hAnsi="Times New Roman"/>
          <w:b/>
          <w:bCs/>
          <w:kern w:val="0"/>
          <w:sz w:val="28"/>
          <w:szCs w:val="28"/>
          <w:lang w:val="en-US"/>
        </w:rPr>
        <w:t>s</w:t>
      </w:r>
      <w:r w:rsidRPr="00FA626A">
        <w:rPr>
          <w:rFonts w:ascii="Times New Roman" w:eastAsia="Times New Roman" w:hAnsi="Times New Roman"/>
          <w:b/>
          <w:bCs/>
          <w:kern w:val="0"/>
          <w:sz w:val="28"/>
          <w:szCs w:val="28"/>
          <w:lang w:val="en-US"/>
        </w:rPr>
        <w:t xml:space="preserve">ystem </w:t>
      </w:r>
      <w:r w:rsidR="00FA626A" w:rsidRPr="00FA626A">
        <w:rPr>
          <w:rFonts w:ascii="Times New Roman" w:eastAsia="Times New Roman" w:hAnsi="Times New Roman"/>
          <w:b/>
          <w:bCs/>
          <w:kern w:val="0"/>
          <w:sz w:val="28"/>
          <w:szCs w:val="28"/>
          <w:lang w:val="en-US"/>
        </w:rPr>
        <w:t>m</w:t>
      </w:r>
      <w:r w:rsidRPr="00FA626A">
        <w:rPr>
          <w:rFonts w:ascii="Times New Roman" w:eastAsia="Times New Roman" w:hAnsi="Times New Roman"/>
          <w:b/>
          <w:bCs/>
          <w:kern w:val="0"/>
          <w:sz w:val="28"/>
          <w:szCs w:val="28"/>
          <w:lang w:val="en-US"/>
        </w:rPr>
        <w:t>isalignment (SHELL Model)</w:t>
      </w:r>
    </w:p>
    <w:p w14:paraId="10537F63" w14:textId="4A83D68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 SHELL model analysis revealed significant misalignments between policies, resources, environments, and human actors during the epidemic. Regulatory and clinical guidelines (software) for early AKI detection and management were incomplete or inconsistently implemented. Health facilities lacked essential diagnostic tools and adequate dialysis capacity (hardware), limiting timely diagnosis and effective treatment [2</w:t>
      </w:r>
      <w:r w:rsidR="00A53766">
        <w:rPr>
          <w:rFonts w:ascii="Times New Roman" w:eastAsia="Times New Roman" w:hAnsi="Times New Roman"/>
          <w:kern w:val="0"/>
          <w:sz w:val="24"/>
          <w:szCs w:val="24"/>
          <w:lang w:val="en-US"/>
        </w:rPr>
        <w:t>6</w:t>
      </w:r>
      <w:r w:rsidRPr="00977EF3">
        <w:rPr>
          <w:rFonts w:ascii="Times New Roman" w:eastAsia="Times New Roman" w:hAnsi="Times New Roman"/>
          <w:kern w:val="0"/>
          <w:sz w:val="24"/>
          <w:szCs w:val="24"/>
          <w:lang w:val="en-US"/>
        </w:rPr>
        <w:t>,2</w:t>
      </w:r>
      <w:r w:rsidR="00A53766">
        <w:rPr>
          <w:rFonts w:ascii="Times New Roman" w:eastAsia="Times New Roman" w:hAnsi="Times New Roman"/>
          <w:kern w:val="0"/>
          <w:sz w:val="24"/>
          <w:szCs w:val="24"/>
          <w:lang w:val="en-US"/>
        </w:rPr>
        <w:t>7</w:t>
      </w:r>
      <w:r w:rsidRPr="00977EF3">
        <w:rPr>
          <w:rFonts w:ascii="Times New Roman" w:eastAsia="Times New Roman" w:hAnsi="Times New Roman"/>
          <w:kern w:val="0"/>
          <w:sz w:val="24"/>
          <w:szCs w:val="24"/>
          <w:lang w:val="en-US"/>
        </w:rPr>
        <w:t xml:space="preserve">]. Organizational environments were characterized by fragmented communication and weak inter-agency coordination, discouraging rapid escalation of safety concerns. Frontline healthcare workers (liveware) faced high cognitive load, limited training in toxin-induced AKI, and insufficient decision-support </w:t>
      </w:r>
      <w:proofErr w:type="gramStart"/>
      <w:r w:rsidRPr="00977EF3">
        <w:rPr>
          <w:rFonts w:ascii="Times New Roman" w:eastAsia="Times New Roman" w:hAnsi="Times New Roman"/>
          <w:kern w:val="0"/>
          <w:sz w:val="24"/>
          <w:szCs w:val="24"/>
          <w:lang w:val="en-US"/>
        </w:rPr>
        <w:t>tools[</w:t>
      </w:r>
      <w:proofErr w:type="gramEnd"/>
      <w:r w:rsidRPr="00977EF3">
        <w:rPr>
          <w:rFonts w:ascii="Times New Roman" w:eastAsia="Times New Roman" w:hAnsi="Times New Roman"/>
          <w:kern w:val="0"/>
          <w:sz w:val="24"/>
          <w:szCs w:val="24"/>
          <w:lang w:val="en-US"/>
        </w:rPr>
        <w:t>2</w:t>
      </w:r>
      <w:r w:rsidR="00A53766">
        <w:rPr>
          <w:rFonts w:ascii="Times New Roman" w:eastAsia="Times New Roman" w:hAnsi="Times New Roman"/>
          <w:kern w:val="0"/>
          <w:sz w:val="24"/>
          <w:szCs w:val="24"/>
          <w:lang w:val="en-US"/>
        </w:rPr>
        <w:t>8,</w:t>
      </w:r>
      <w:r w:rsidRPr="00977EF3">
        <w:rPr>
          <w:rFonts w:ascii="Times New Roman" w:eastAsia="Times New Roman" w:hAnsi="Times New Roman"/>
          <w:kern w:val="0"/>
          <w:sz w:val="24"/>
          <w:szCs w:val="24"/>
          <w:lang w:val="en-US"/>
        </w:rPr>
        <w:t>2</w:t>
      </w:r>
      <w:r w:rsidR="00A53766">
        <w:rPr>
          <w:rFonts w:ascii="Times New Roman" w:eastAsia="Times New Roman" w:hAnsi="Times New Roman"/>
          <w:kern w:val="0"/>
          <w:sz w:val="24"/>
          <w:szCs w:val="24"/>
          <w:lang w:val="en-US"/>
        </w:rPr>
        <w:t>9</w:t>
      </w:r>
      <w:r w:rsidRPr="00977EF3">
        <w:rPr>
          <w:rFonts w:ascii="Times New Roman" w:eastAsia="Times New Roman" w:hAnsi="Times New Roman"/>
          <w:kern w:val="0"/>
          <w:sz w:val="24"/>
          <w:szCs w:val="24"/>
          <w:lang w:val="en-US"/>
        </w:rPr>
        <w:t>].</w:t>
      </w:r>
    </w:p>
    <w:p w14:paraId="6E4AA685"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These misalignments reduced the system’s resilience and its ability to adapt to an emerging crisis. Aligning software, hardware, environment, and liveware is therefore critical to improving patient safety and crisis response, particularly in resource-limited healthcare settings.</w:t>
      </w:r>
    </w:p>
    <w:p w14:paraId="40E326F1" w14:textId="46BC1999" w:rsidR="008212A5" w:rsidRPr="00FA626A" w:rsidRDefault="00000000">
      <w:pPr>
        <w:spacing w:after="100" w:afterAutospacing="1" w:line="480" w:lineRule="auto"/>
        <w:outlineLvl w:val="2"/>
        <w:rPr>
          <w:rFonts w:ascii="Times New Roman" w:eastAsia="Times New Roman" w:hAnsi="Times New Roman"/>
          <w:b/>
          <w:bCs/>
          <w:kern w:val="0"/>
          <w:sz w:val="28"/>
          <w:szCs w:val="28"/>
          <w:lang w:val="en-US"/>
        </w:rPr>
      </w:pPr>
      <w:r w:rsidRPr="00FA626A">
        <w:rPr>
          <w:rFonts w:ascii="Times New Roman" w:eastAsia="Times New Roman" w:hAnsi="Times New Roman"/>
          <w:b/>
          <w:bCs/>
          <w:kern w:val="0"/>
          <w:sz w:val="28"/>
          <w:szCs w:val="28"/>
          <w:lang w:val="en-US"/>
        </w:rPr>
        <w:t xml:space="preserve">Gaps in AKI </w:t>
      </w:r>
      <w:r w:rsidR="00FA626A" w:rsidRPr="00FA626A">
        <w:rPr>
          <w:rFonts w:ascii="Times New Roman" w:eastAsia="Times New Roman" w:hAnsi="Times New Roman"/>
          <w:b/>
          <w:bCs/>
          <w:kern w:val="0"/>
          <w:sz w:val="28"/>
          <w:szCs w:val="28"/>
          <w:lang w:val="en-US"/>
        </w:rPr>
        <w:t>d</w:t>
      </w:r>
      <w:r w:rsidRPr="00FA626A">
        <w:rPr>
          <w:rFonts w:ascii="Times New Roman" w:eastAsia="Times New Roman" w:hAnsi="Times New Roman"/>
          <w:b/>
          <w:bCs/>
          <w:kern w:val="0"/>
          <w:sz w:val="28"/>
          <w:szCs w:val="28"/>
          <w:lang w:val="en-US"/>
        </w:rPr>
        <w:t xml:space="preserve">etection and </w:t>
      </w:r>
      <w:r w:rsidR="00FA626A" w:rsidRPr="00FA626A">
        <w:rPr>
          <w:rFonts w:ascii="Times New Roman" w:eastAsia="Times New Roman" w:hAnsi="Times New Roman"/>
          <w:b/>
          <w:bCs/>
          <w:kern w:val="0"/>
          <w:sz w:val="28"/>
          <w:szCs w:val="28"/>
          <w:lang w:val="en-US"/>
        </w:rPr>
        <w:t>m</w:t>
      </w:r>
      <w:r w:rsidRPr="00FA626A">
        <w:rPr>
          <w:rFonts w:ascii="Times New Roman" w:eastAsia="Times New Roman" w:hAnsi="Times New Roman"/>
          <w:b/>
          <w:bCs/>
          <w:kern w:val="0"/>
          <w:sz w:val="28"/>
          <w:szCs w:val="28"/>
          <w:lang w:val="en-US"/>
        </w:rPr>
        <w:t>anagement (SHEEP Model)</w:t>
      </w:r>
    </w:p>
    <w:p w14:paraId="6559B14F" w14:textId="58287A31"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 xml:space="preserve">The SHEEP model provided granular insight into factors contributing to delayed AKI recognition and suboptimal clinical response. At the system level, the absence of a national AKI protocol and weak pharmacovigilance infrastructure hindered coordinated action. Human factors included limited awareness of atypical AKI presentations and toxic exposures among primary healthcare workers. Environmental disparities between urban and rural health facilities delayed presentation and referral. Equipment shortages—particularly dialysis machines—restricted treatment options, while inconsistent triage and referral processes (process failures) led to variable </w:t>
      </w:r>
      <w:proofErr w:type="gramStart"/>
      <w:r w:rsidRPr="00977EF3">
        <w:rPr>
          <w:rFonts w:ascii="Times New Roman" w:eastAsia="Times New Roman" w:hAnsi="Times New Roman"/>
          <w:kern w:val="0"/>
          <w:sz w:val="24"/>
          <w:szCs w:val="24"/>
          <w:lang w:val="en-US"/>
        </w:rPr>
        <w:t>outcomes[</w:t>
      </w:r>
      <w:proofErr w:type="gramEnd"/>
      <w:r w:rsidR="00A53766">
        <w:rPr>
          <w:rFonts w:ascii="Times New Roman" w:eastAsia="Times New Roman" w:hAnsi="Times New Roman"/>
          <w:kern w:val="0"/>
          <w:sz w:val="24"/>
          <w:szCs w:val="24"/>
          <w:lang w:val="en-US"/>
        </w:rPr>
        <w:t>30</w:t>
      </w:r>
      <w:r w:rsidRPr="00977EF3">
        <w:rPr>
          <w:rFonts w:ascii="Times New Roman" w:eastAsia="Times New Roman" w:hAnsi="Times New Roman"/>
          <w:kern w:val="0"/>
          <w:sz w:val="24"/>
          <w:szCs w:val="24"/>
          <w:lang w:val="en-US"/>
        </w:rPr>
        <w:t>,</w:t>
      </w:r>
      <w:r w:rsidR="00A53766">
        <w:rPr>
          <w:rFonts w:ascii="Times New Roman" w:eastAsia="Times New Roman" w:hAnsi="Times New Roman"/>
          <w:kern w:val="0"/>
          <w:sz w:val="24"/>
          <w:szCs w:val="24"/>
          <w:lang w:val="en-US"/>
        </w:rPr>
        <w:t>31</w:t>
      </w:r>
      <w:r w:rsidRPr="00977EF3">
        <w:rPr>
          <w:rFonts w:ascii="Times New Roman" w:eastAsia="Times New Roman" w:hAnsi="Times New Roman"/>
          <w:kern w:val="0"/>
          <w:sz w:val="24"/>
          <w:szCs w:val="24"/>
          <w:lang w:val="en-US"/>
        </w:rPr>
        <w:t>].</w:t>
      </w:r>
    </w:p>
    <w:p w14:paraId="3CF401A9"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Together, these findings emphasize that effective AKI prevention and management require integrated system strengthening rather than isolated clinical training or infrastructure investment alone.</w:t>
      </w:r>
    </w:p>
    <w:p w14:paraId="77F081B0" w14:textId="5432E89B" w:rsidR="008212A5" w:rsidRPr="00977EF3" w:rsidRDefault="00000000">
      <w:pPr>
        <w:spacing w:after="100" w:afterAutospacing="1" w:line="480" w:lineRule="auto"/>
        <w:outlineLvl w:val="2"/>
        <w:rPr>
          <w:rFonts w:ascii="Times New Roman" w:eastAsia="Times New Roman" w:hAnsi="Times New Roman"/>
          <w:b/>
          <w:bCs/>
          <w:kern w:val="0"/>
          <w:sz w:val="27"/>
          <w:szCs w:val="27"/>
          <w:lang w:val="en-US"/>
        </w:rPr>
      </w:pPr>
      <w:r w:rsidRPr="00977EF3">
        <w:rPr>
          <w:rFonts w:ascii="Times New Roman" w:eastAsia="Times New Roman" w:hAnsi="Times New Roman"/>
          <w:b/>
          <w:bCs/>
          <w:kern w:val="0"/>
          <w:sz w:val="27"/>
          <w:szCs w:val="27"/>
          <w:lang w:val="en-US"/>
        </w:rPr>
        <w:t xml:space="preserve">Situational </w:t>
      </w:r>
      <w:r w:rsidR="00FA626A">
        <w:rPr>
          <w:rFonts w:ascii="Times New Roman" w:eastAsia="Times New Roman" w:hAnsi="Times New Roman"/>
          <w:b/>
          <w:bCs/>
          <w:kern w:val="0"/>
          <w:sz w:val="27"/>
          <w:szCs w:val="27"/>
          <w:lang w:val="en-US"/>
        </w:rPr>
        <w:t>a</w:t>
      </w:r>
      <w:r w:rsidRPr="00977EF3">
        <w:rPr>
          <w:rFonts w:ascii="Times New Roman" w:eastAsia="Times New Roman" w:hAnsi="Times New Roman"/>
          <w:b/>
          <w:bCs/>
          <w:kern w:val="0"/>
          <w:sz w:val="27"/>
          <w:szCs w:val="27"/>
          <w:lang w:val="en-US"/>
        </w:rPr>
        <w:t xml:space="preserve">wareness </w:t>
      </w:r>
      <w:r w:rsidR="00FA626A">
        <w:rPr>
          <w:rFonts w:ascii="Times New Roman" w:eastAsia="Times New Roman" w:hAnsi="Times New Roman"/>
          <w:b/>
          <w:bCs/>
          <w:kern w:val="0"/>
          <w:sz w:val="27"/>
          <w:szCs w:val="27"/>
          <w:lang w:val="en-US"/>
        </w:rPr>
        <w:t>d</w:t>
      </w:r>
      <w:r w:rsidRPr="00977EF3">
        <w:rPr>
          <w:rFonts w:ascii="Times New Roman" w:eastAsia="Times New Roman" w:hAnsi="Times New Roman"/>
          <w:b/>
          <w:bCs/>
          <w:kern w:val="0"/>
          <w:sz w:val="27"/>
          <w:szCs w:val="27"/>
          <w:lang w:val="en-US"/>
        </w:rPr>
        <w:t xml:space="preserve">eficits and </w:t>
      </w:r>
      <w:r w:rsidR="00FA626A">
        <w:rPr>
          <w:rFonts w:ascii="Times New Roman" w:eastAsia="Times New Roman" w:hAnsi="Times New Roman"/>
          <w:b/>
          <w:bCs/>
          <w:kern w:val="0"/>
          <w:sz w:val="27"/>
          <w:szCs w:val="27"/>
          <w:lang w:val="en-US"/>
        </w:rPr>
        <w:t>d</w:t>
      </w:r>
      <w:r w:rsidRPr="00977EF3">
        <w:rPr>
          <w:rFonts w:ascii="Times New Roman" w:eastAsia="Times New Roman" w:hAnsi="Times New Roman"/>
          <w:b/>
          <w:bCs/>
          <w:kern w:val="0"/>
          <w:sz w:val="27"/>
          <w:szCs w:val="27"/>
          <w:lang w:val="en-US"/>
        </w:rPr>
        <w:t xml:space="preserve">elayed </w:t>
      </w:r>
      <w:r w:rsidR="00FA626A">
        <w:rPr>
          <w:rFonts w:ascii="Times New Roman" w:eastAsia="Times New Roman" w:hAnsi="Times New Roman"/>
          <w:b/>
          <w:bCs/>
          <w:kern w:val="0"/>
          <w:sz w:val="27"/>
          <w:szCs w:val="27"/>
          <w:lang w:val="en-US"/>
        </w:rPr>
        <w:t>r</w:t>
      </w:r>
      <w:r w:rsidRPr="00977EF3">
        <w:rPr>
          <w:rFonts w:ascii="Times New Roman" w:eastAsia="Times New Roman" w:hAnsi="Times New Roman"/>
          <w:b/>
          <w:bCs/>
          <w:kern w:val="0"/>
          <w:sz w:val="27"/>
          <w:szCs w:val="27"/>
          <w:lang w:val="en-US"/>
        </w:rPr>
        <w:t>esponse</w:t>
      </w:r>
    </w:p>
    <w:p w14:paraId="60AC4036" w14:textId="77777777" w:rsidR="008212A5" w:rsidRPr="00977EF3" w:rsidRDefault="00000000">
      <w:pPr>
        <w:spacing w:after="100" w:afterAutospacing="1" w:line="480" w:lineRule="auto"/>
        <w:ind w:left="120" w:hangingChars="50" w:hanging="120"/>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Application of Endsley’s Situational Awareness Model revealed failures across</w:t>
      </w:r>
      <w:r>
        <w:rPr>
          <w:rFonts w:ascii="Times New Roman" w:eastAsia="Times New Roman" w:hAnsi="Times New Roman"/>
          <w:kern w:val="0"/>
          <w:sz w:val="24"/>
          <w:szCs w:val="24"/>
          <w:lang w:val="en-US"/>
        </w:rPr>
        <w:t xml:space="preserve"> </w:t>
      </w:r>
      <w:r w:rsidRPr="00977EF3">
        <w:rPr>
          <w:rFonts w:ascii="Times New Roman" w:eastAsia="Times New Roman" w:hAnsi="Times New Roman"/>
          <w:kern w:val="0"/>
          <w:sz w:val="24"/>
          <w:szCs w:val="24"/>
          <w:lang w:val="en-US"/>
        </w:rPr>
        <w:t xml:space="preserve">comprehension, and projection. Early warning signs—such as clustering of severe </w:t>
      </w:r>
      <w:proofErr w:type="spellStart"/>
      <w:r w:rsidRPr="00977EF3">
        <w:rPr>
          <w:rFonts w:ascii="Times New Roman" w:eastAsia="Times New Roman" w:hAnsi="Times New Roman"/>
          <w:kern w:val="0"/>
          <w:sz w:val="24"/>
          <w:szCs w:val="24"/>
          <w:lang w:val="en-US"/>
        </w:rPr>
        <w:t>paediatric</w:t>
      </w:r>
      <w:proofErr w:type="spellEnd"/>
      <w:r w:rsidRPr="00977EF3">
        <w:rPr>
          <w:rFonts w:ascii="Times New Roman" w:eastAsia="Times New Roman" w:hAnsi="Times New Roman"/>
          <w:kern w:val="0"/>
          <w:sz w:val="24"/>
          <w:szCs w:val="24"/>
          <w:lang w:val="en-US"/>
        </w:rPr>
        <w:t xml:space="preserve"> AKI cases—were consistently perceived. The causal link between medicine exposure and renal injury was immediately comprehended</w:t>
      </w:r>
      <w:r>
        <w:rPr>
          <w:rFonts w:ascii="Times New Roman" w:eastAsia="Times New Roman" w:hAnsi="Times New Roman"/>
          <w:kern w:val="0"/>
          <w:sz w:val="24"/>
          <w:szCs w:val="24"/>
          <w:lang w:val="en-US"/>
        </w:rPr>
        <w:t xml:space="preserve"> by the clinicians but not so</w:t>
      </w:r>
      <w:r w:rsidRPr="00977EF3">
        <w:rPr>
          <w:rFonts w:ascii="Times New Roman" w:eastAsia="Times New Roman" w:hAnsi="Times New Roman"/>
          <w:kern w:val="0"/>
          <w:sz w:val="24"/>
          <w:szCs w:val="24"/>
          <w:lang w:val="en-US"/>
        </w:rPr>
        <w:t xml:space="preserve"> across </w:t>
      </w:r>
      <w:r>
        <w:rPr>
          <w:rFonts w:ascii="Times New Roman" w:eastAsia="Times New Roman" w:hAnsi="Times New Roman"/>
          <w:kern w:val="0"/>
          <w:sz w:val="24"/>
          <w:szCs w:val="24"/>
          <w:lang w:val="en-US"/>
        </w:rPr>
        <w:t>other</w:t>
      </w:r>
      <w:r w:rsidRPr="00977EF3">
        <w:rPr>
          <w:rFonts w:ascii="Times New Roman" w:eastAsia="Times New Roman" w:hAnsi="Times New Roman"/>
          <w:kern w:val="0"/>
          <w:sz w:val="24"/>
          <w:szCs w:val="24"/>
          <w:lang w:val="en-US"/>
        </w:rPr>
        <w:t xml:space="preserve"> stakeholder groups, and the potential scale of the outbreak was underestimated</w:t>
      </w:r>
      <w:r>
        <w:rPr>
          <w:rFonts w:ascii="Times New Roman" w:eastAsia="Times New Roman" w:hAnsi="Times New Roman"/>
          <w:kern w:val="0"/>
          <w:sz w:val="24"/>
          <w:szCs w:val="24"/>
          <w:lang w:val="en-US"/>
        </w:rPr>
        <w:t xml:space="preserve"> by the public health service</w:t>
      </w:r>
      <w:r w:rsidRPr="00977EF3">
        <w:rPr>
          <w:rFonts w:ascii="Times New Roman" w:eastAsia="Times New Roman" w:hAnsi="Times New Roman"/>
          <w:kern w:val="0"/>
          <w:sz w:val="24"/>
          <w:szCs w:val="24"/>
          <w:lang w:val="en-US"/>
        </w:rPr>
        <w:t>. These deficits delayed decisive regulatory and public health action.</w:t>
      </w:r>
    </w:p>
    <w:p w14:paraId="4B283A72"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Improving situational awareness in healthcare systems requires structured early warning systems, real-time data sharing, and clear escalation pathways that empower frontline clinicians to raise safety concerns without fear of dismissal or reprisal as given by Brady et al., 2013[4].</w:t>
      </w:r>
    </w:p>
    <w:p w14:paraId="615717A8" w14:textId="051744EF" w:rsidR="008212A5" w:rsidRPr="00FA626A" w:rsidRDefault="00000000">
      <w:pPr>
        <w:spacing w:after="100" w:afterAutospacing="1" w:line="480" w:lineRule="auto"/>
        <w:outlineLvl w:val="2"/>
        <w:rPr>
          <w:rFonts w:ascii="Times New Roman" w:eastAsia="Times New Roman" w:hAnsi="Times New Roman"/>
          <w:b/>
          <w:bCs/>
          <w:kern w:val="0"/>
          <w:sz w:val="28"/>
          <w:szCs w:val="28"/>
          <w:lang w:val="en-US"/>
        </w:rPr>
      </w:pPr>
      <w:r w:rsidRPr="00FA626A">
        <w:rPr>
          <w:rFonts w:ascii="Times New Roman" w:eastAsia="Times New Roman" w:hAnsi="Times New Roman"/>
          <w:b/>
          <w:bCs/>
          <w:kern w:val="0"/>
          <w:sz w:val="28"/>
          <w:szCs w:val="28"/>
          <w:lang w:val="en-US"/>
        </w:rPr>
        <w:t>Cross-</w:t>
      </w:r>
      <w:r w:rsidR="00FA626A">
        <w:rPr>
          <w:rFonts w:ascii="Times New Roman" w:eastAsia="Times New Roman" w:hAnsi="Times New Roman"/>
          <w:b/>
          <w:bCs/>
          <w:kern w:val="0"/>
          <w:sz w:val="28"/>
          <w:szCs w:val="28"/>
          <w:lang w:val="en-US"/>
        </w:rPr>
        <w:t>c</w:t>
      </w:r>
      <w:r w:rsidRPr="00FA626A">
        <w:rPr>
          <w:rFonts w:ascii="Times New Roman" w:eastAsia="Times New Roman" w:hAnsi="Times New Roman"/>
          <w:b/>
          <w:bCs/>
          <w:kern w:val="0"/>
          <w:sz w:val="28"/>
          <w:szCs w:val="28"/>
          <w:lang w:val="en-US"/>
        </w:rPr>
        <w:t xml:space="preserve">utting </w:t>
      </w:r>
      <w:r w:rsidR="00FA626A">
        <w:rPr>
          <w:rFonts w:ascii="Times New Roman" w:eastAsia="Times New Roman" w:hAnsi="Times New Roman"/>
          <w:b/>
          <w:bCs/>
          <w:kern w:val="0"/>
          <w:sz w:val="28"/>
          <w:szCs w:val="28"/>
          <w:lang w:val="en-US"/>
        </w:rPr>
        <w:t>t</w:t>
      </w:r>
      <w:r w:rsidRPr="00FA626A">
        <w:rPr>
          <w:rFonts w:ascii="Times New Roman" w:eastAsia="Times New Roman" w:hAnsi="Times New Roman"/>
          <w:b/>
          <w:bCs/>
          <w:kern w:val="0"/>
          <w:sz w:val="28"/>
          <w:szCs w:val="28"/>
          <w:lang w:val="en-US"/>
        </w:rPr>
        <w:t xml:space="preserve">hemes and </w:t>
      </w:r>
      <w:r w:rsidR="00FA626A">
        <w:rPr>
          <w:rFonts w:ascii="Times New Roman" w:eastAsia="Times New Roman" w:hAnsi="Times New Roman"/>
          <w:b/>
          <w:bCs/>
          <w:kern w:val="0"/>
          <w:sz w:val="28"/>
          <w:szCs w:val="28"/>
          <w:lang w:val="en-US"/>
        </w:rPr>
        <w:t>i</w:t>
      </w:r>
      <w:r w:rsidRPr="00FA626A">
        <w:rPr>
          <w:rFonts w:ascii="Times New Roman" w:eastAsia="Times New Roman" w:hAnsi="Times New Roman"/>
          <w:b/>
          <w:bCs/>
          <w:kern w:val="0"/>
          <w:sz w:val="28"/>
          <w:szCs w:val="28"/>
          <w:lang w:val="en-US"/>
        </w:rPr>
        <w:t xml:space="preserve">mplications for </w:t>
      </w:r>
      <w:r w:rsidR="00FA626A">
        <w:rPr>
          <w:rFonts w:ascii="Times New Roman" w:eastAsia="Times New Roman" w:hAnsi="Times New Roman"/>
          <w:b/>
          <w:bCs/>
          <w:kern w:val="0"/>
          <w:sz w:val="28"/>
          <w:szCs w:val="28"/>
          <w:lang w:val="en-US"/>
        </w:rPr>
        <w:t>h</w:t>
      </w:r>
      <w:r w:rsidRPr="00FA626A">
        <w:rPr>
          <w:rFonts w:ascii="Times New Roman" w:eastAsia="Times New Roman" w:hAnsi="Times New Roman"/>
          <w:b/>
          <w:bCs/>
          <w:kern w:val="0"/>
          <w:sz w:val="28"/>
          <w:szCs w:val="28"/>
          <w:lang w:val="en-US"/>
        </w:rPr>
        <w:t xml:space="preserve">ealth </w:t>
      </w:r>
      <w:r w:rsidR="00FA626A">
        <w:rPr>
          <w:rFonts w:ascii="Times New Roman" w:eastAsia="Times New Roman" w:hAnsi="Times New Roman"/>
          <w:b/>
          <w:bCs/>
          <w:kern w:val="0"/>
          <w:sz w:val="28"/>
          <w:szCs w:val="28"/>
          <w:lang w:val="en-US"/>
        </w:rPr>
        <w:t>s</w:t>
      </w:r>
      <w:r w:rsidRPr="00FA626A">
        <w:rPr>
          <w:rFonts w:ascii="Times New Roman" w:eastAsia="Times New Roman" w:hAnsi="Times New Roman"/>
          <w:b/>
          <w:bCs/>
          <w:kern w:val="0"/>
          <w:sz w:val="28"/>
          <w:szCs w:val="28"/>
          <w:lang w:val="en-US"/>
        </w:rPr>
        <w:t xml:space="preserve">ystem </w:t>
      </w:r>
      <w:r w:rsidR="00FA626A">
        <w:rPr>
          <w:rFonts w:ascii="Times New Roman" w:eastAsia="Times New Roman" w:hAnsi="Times New Roman"/>
          <w:b/>
          <w:bCs/>
          <w:kern w:val="0"/>
          <w:sz w:val="28"/>
          <w:szCs w:val="28"/>
          <w:lang w:val="en-US"/>
        </w:rPr>
        <w:t>r</w:t>
      </w:r>
      <w:r w:rsidRPr="00FA626A">
        <w:rPr>
          <w:rFonts w:ascii="Times New Roman" w:eastAsia="Times New Roman" w:hAnsi="Times New Roman"/>
          <w:b/>
          <w:bCs/>
          <w:kern w:val="0"/>
          <w:sz w:val="28"/>
          <w:szCs w:val="28"/>
          <w:lang w:val="en-US"/>
        </w:rPr>
        <w:t>esilience</w:t>
      </w:r>
    </w:p>
    <w:p w14:paraId="6533659D" w14:textId="2F90DBB3" w:rsidR="008212A5" w:rsidRPr="00977EF3" w:rsidRDefault="00A53766">
      <w:pPr>
        <w:spacing w:after="100" w:afterAutospacing="1" w:line="480" w:lineRule="auto"/>
        <w:rPr>
          <w:rFonts w:ascii="Times New Roman" w:eastAsia="Times New Roman" w:hAnsi="Times New Roman"/>
          <w:kern w:val="0"/>
          <w:sz w:val="24"/>
          <w:szCs w:val="24"/>
          <w:lang w:val="en-US"/>
        </w:rPr>
      </w:pPr>
      <w:r>
        <w:rPr>
          <w:rFonts w:ascii="Times New Roman" w:eastAsia="Times New Roman" w:hAnsi="Times New Roman"/>
          <w:noProof/>
          <w:kern w:val="0"/>
          <w:sz w:val="24"/>
          <w:szCs w:val="24"/>
          <w:lang w:val="en-US"/>
        </w:rPr>
        <mc:AlternateContent>
          <mc:Choice Requires="wpi">
            <w:drawing>
              <wp:anchor distT="0" distB="0" distL="114300" distR="114300" simplePos="0" relativeHeight="251670528" behindDoc="0" locked="0" layoutInCell="1" allowOverlap="1" wp14:anchorId="035ED198" wp14:editId="711CDF17">
                <wp:simplePos x="0" y="0"/>
                <wp:positionH relativeFrom="column">
                  <wp:posOffset>4256662</wp:posOffset>
                </wp:positionH>
                <wp:positionV relativeFrom="paragraph">
                  <wp:posOffset>1539786</wp:posOffset>
                </wp:positionV>
                <wp:extent cx="360" cy="360"/>
                <wp:effectExtent l="57150" t="57150" r="57150" b="57150"/>
                <wp:wrapNone/>
                <wp:docPr id="2070978949" name="Ink 4"/>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B2B47E0" id="Ink 4" o:spid="_x0000_s1026" type="#_x0000_t75" style="position:absolute;margin-left:334.45pt;margin-top:120.5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">
                <v:imagedata r:id="rId9" o:title=""/>
              </v:shape>
            </w:pict>
          </mc:Fallback>
        </mc:AlternateContent>
      </w:r>
      <w:r w:rsidR="00000000" w:rsidRPr="00977EF3">
        <w:rPr>
          <w:rFonts w:ascii="Times New Roman" w:eastAsia="Times New Roman" w:hAnsi="Times New Roman"/>
          <w:kern w:val="0"/>
          <w:sz w:val="24"/>
          <w:szCs w:val="24"/>
          <w:lang w:val="en-US"/>
        </w:rPr>
        <w:t xml:space="preserve">Across all analytical models, several cross-cutting themes emerged: absence of effective redundancy, communication and leadership breakdowns, amplification of risk through human factors under stress, weak regulatory enforcement, and limited preparedness for toxicological emergencies. These themes reflect broader challenges faced by LMIC healthcare systems operating within constrained regulatory and resource </w:t>
      </w:r>
      <w:proofErr w:type="gramStart"/>
      <w:r w:rsidR="00000000" w:rsidRPr="00977EF3">
        <w:rPr>
          <w:rFonts w:ascii="Times New Roman" w:eastAsia="Times New Roman" w:hAnsi="Times New Roman"/>
          <w:kern w:val="0"/>
          <w:sz w:val="24"/>
          <w:szCs w:val="24"/>
          <w:lang w:val="en-US"/>
        </w:rPr>
        <w:t>environments[</w:t>
      </w:r>
      <w:proofErr w:type="gramEnd"/>
      <w:r>
        <w:rPr>
          <w:rFonts w:ascii="Times New Roman" w:eastAsia="Times New Roman" w:hAnsi="Times New Roman"/>
          <w:kern w:val="0"/>
          <w:sz w:val="24"/>
          <w:szCs w:val="24"/>
          <w:lang w:val="en-US"/>
        </w:rPr>
        <w:t>32</w:t>
      </w:r>
      <w:r w:rsidR="00000000" w:rsidRPr="00977EF3">
        <w:rPr>
          <w:rFonts w:ascii="Times New Roman" w:eastAsia="Times New Roman" w:hAnsi="Times New Roman"/>
          <w:kern w:val="0"/>
          <w:sz w:val="24"/>
          <w:szCs w:val="24"/>
          <w:lang w:val="en-US"/>
        </w:rPr>
        <w:t>].</w:t>
      </w:r>
    </w:p>
    <w:p w14:paraId="248FB680" w14:textId="094036B6" w:rsidR="008212A5" w:rsidRPr="00977EF3" w:rsidRDefault="00000000" w:rsidP="00A53766">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 xml:space="preserve">Embedding high-reliability principles—such as preoccupation with failure, sensitivity to frontline operations, and commitment to resilience—can enhance preparedness for rare but high-impact events. Importantly, these principles must be adapted to local contexts and resource </w:t>
      </w:r>
      <w:proofErr w:type="gramStart"/>
      <w:r w:rsidRPr="00977EF3">
        <w:rPr>
          <w:rFonts w:ascii="Times New Roman" w:eastAsia="Times New Roman" w:hAnsi="Times New Roman"/>
          <w:kern w:val="0"/>
          <w:sz w:val="24"/>
          <w:szCs w:val="24"/>
          <w:lang w:val="en-US"/>
        </w:rPr>
        <w:t>realities</w:t>
      </w:r>
      <w:r>
        <w:rPr>
          <w:rFonts w:ascii="Times New Roman" w:eastAsia="Times New Roman" w:hAnsi="Times New Roman"/>
          <w:kern w:val="0"/>
          <w:sz w:val="24"/>
          <w:szCs w:val="24"/>
          <w:lang w:val="en-US"/>
        </w:rPr>
        <w:t>[</w:t>
      </w:r>
      <w:proofErr w:type="gramEnd"/>
      <w:r>
        <w:rPr>
          <w:rFonts w:ascii="Times New Roman" w:eastAsia="Times New Roman" w:hAnsi="Times New Roman"/>
          <w:kern w:val="0"/>
          <w:sz w:val="24"/>
          <w:szCs w:val="24"/>
          <w:lang w:val="en-US"/>
        </w:rPr>
        <w:t>3</w:t>
      </w:r>
      <w:r w:rsidR="00A53766">
        <w:rPr>
          <w:rFonts w:ascii="Times New Roman" w:eastAsia="Times New Roman" w:hAnsi="Times New Roman"/>
          <w:kern w:val="0"/>
          <w:sz w:val="24"/>
          <w:szCs w:val="24"/>
          <w:lang w:val="en-US"/>
        </w:rPr>
        <w:t>3</w:t>
      </w:r>
      <w:r>
        <w:rPr>
          <w:rFonts w:ascii="Times New Roman" w:eastAsia="Times New Roman" w:hAnsi="Times New Roman"/>
          <w:kern w:val="0"/>
          <w:sz w:val="24"/>
          <w:szCs w:val="24"/>
          <w:lang w:val="en-US"/>
        </w:rPr>
        <w:t>]</w:t>
      </w:r>
      <w:r w:rsidRPr="00977EF3">
        <w:rPr>
          <w:rFonts w:ascii="Times New Roman" w:eastAsia="Times New Roman" w:hAnsi="Times New Roman"/>
          <w:kern w:val="0"/>
          <w:sz w:val="24"/>
          <w:szCs w:val="24"/>
          <w:lang w:val="en-US"/>
        </w:rPr>
        <w:t>.</w:t>
      </w:r>
    </w:p>
    <w:p w14:paraId="3859072B" w14:textId="77777777" w:rsidR="008212A5" w:rsidRPr="00977EF3" w:rsidRDefault="00000000">
      <w:pPr>
        <w:spacing w:after="100" w:afterAutospacing="1" w:line="480" w:lineRule="auto"/>
        <w:outlineLvl w:val="2"/>
        <w:rPr>
          <w:rFonts w:ascii="Times New Roman" w:eastAsia="Times New Roman" w:hAnsi="Times New Roman"/>
          <w:b/>
          <w:bCs/>
          <w:kern w:val="0"/>
          <w:sz w:val="27"/>
          <w:szCs w:val="27"/>
          <w:lang w:val="en-US"/>
        </w:rPr>
      </w:pPr>
      <w:r w:rsidRPr="00977EF3">
        <w:rPr>
          <w:rFonts w:ascii="Times New Roman" w:eastAsia="Times New Roman" w:hAnsi="Times New Roman"/>
          <w:b/>
          <w:bCs/>
          <w:kern w:val="0"/>
          <w:sz w:val="27"/>
          <w:szCs w:val="27"/>
          <w:lang w:val="en-US"/>
        </w:rPr>
        <w:t>Sociocultural Context and Care-Seeking Behavior</w:t>
      </w:r>
    </w:p>
    <w:p w14:paraId="4A74DF14" w14:textId="5AFBEA01"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 xml:space="preserve">The epidemic also highlighted the role of sociocultural factors in patient safety. Delayed presentation due to reliance on traditional remedies and initial underestimation of illness severity contributed to poor outcomes. Engaging traditional healers, strengthening community health education, and fostering trust between communities and health institutions may reduce delays in care-seeking while respecting cultural practices as stated by </w:t>
      </w:r>
      <w:proofErr w:type="spellStart"/>
      <w:r w:rsidRPr="00977EF3">
        <w:rPr>
          <w:rFonts w:ascii="Times New Roman" w:eastAsia="Times New Roman" w:hAnsi="Times New Roman"/>
          <w:kern w:val="0"/>
          <w:sz w:val="24"/>
          <w:szCs w:val="24"/>
          <w:lang w:val="en-US"/>
        </w:rPr>
        <w:t>Kinteh</w:t>
      </w:r>
      <w:proofErr w:type="spellEnd"/>
      <w:r w:rsidRPr="00977EF3">
        <w:rPr>
          <w:rFonts w:ascii="Times New Roman" w:eastAsia="Times New Roman" w:hAnsi="Times New Roman"/>
          <w:kern w:val="0"/>
          <w:sz w:val="24"/>
          <w:szCs w:val="24"/>
          <w:lang w:val="en-US"/>
        </w:rPr>
        <w:t xml:space="preserve"> et al., 2024[3</w:t>
      </w:r>
      <w:r w:rsidR="00A53766">
        <w:rPr>
          <w:rFonts w:ascii="Times New Roman" w:eastAsia="Times New Roman" w:hAnsi="Times New Roman"/>
          <w:kern w:val="0"/>
          <w:sz w:val="24"/>
          <w:szCs w:val="24"/>
          <w:lang w:val="en-US"/>
        </w:rPr>
        <w:t>3</w:t>
      </w:r>
      <w:r w:rsidRPr="00977EF3">
        <w:rPr>
          <w:rFonts w:ascii="Times New Roman" w:eastAsia="Times New Roman" w:hAnsi="Times New Roman"/>
          <w:kern w:val="0"/>
          <w:sz w:val="24"/>
          <w:szCs w:val="24"/>
          <w:lang w:val="en-US"/>
        </w:rPr>
        <w:t>].</w:t>
      </w:r>
    </w:p>
    <w:p w14:paraId="009ECFAC" w14:textId="30E2E177" w:rsidR="008212A5" w:rsidRPr="00FA626A" w:rsidRDefault="00000000">
      <w:pPr>
        <w:spacing w:after="100" w:afterAutospacing="1" w:line="480" w:lineRule="auto"/>
        <w:outlineLvl w:val="1"/>
        <w:rPr>
          <w:rFonts w:ascii="Times New Roman" w:eastAsia="Times New Roman" w:hAnsi="Times New Roman"/>
          <w:b/>
          <w:bCs/>
          <w:kern w:val="0"/>
          <w:lang w:val="en-US"/>
        </w:rPr>
      </w:pPr>
      <w:r w:rsidRPr="00FA626A">
        <w:rPr>
          <w:rFonts w:ascii="Times New Roman" w:eastAsia="Times New Roman" w:hAnsi="Times New Roman"/>
          <w:b/>
          <w:bCs/>
          <w:kern w:val="0"/>
          <w:lang w:val="en-US"/>
        </w:rPr>
        <w:t xml:space="preserve">Policy </w:t>
      </w:r>
      <w:r w:rsidR="00FA626A">
        <w:rPr>
          <w:rFonts w:ascii="Times New Roman" w:eastAsia="Times New Roman" w:hAnsi="Times New Roman"/>
          <w:b/>
          <w:bCs/>
          <w:kern w:val="0"/>
          <w:lang w:val="en-US"/>
        </w:rPr>
        <w:t>i</w:t>
      </w:r>
      <w:r w:rsidRPr="00FA626A">
        <w:rPr>
          <w:rFonts w:ascii="Times New Roman" w:eastAsia="Times New Roman" w:hAnsi="Times New Roman"/>
          <w:b/>
          <w:bCs/>
          <w:kern w:val="0"/>
          <w:lang w:val="en-US"/>
        </w:rPr>
        <w:t xml:space="preserve">mplications for </w:t>
      </w:r>
      <w:r w:rsidR="00FA626A">
        <w:rPr>
          <w:rFonts w:ascii="Times New Roman" w:eastAsia="Times New Roman" w:hAnsi="Times New Roman"/>
          <w:b/>
          <w:bCs/>
          <w:kern w:val="0"/>
          <w:lang w:val="en-US"/>
        </w:rPr>
        <w:t>m</w:t>
      </w:r>
      <w:r w:rsidRPr="00FA626A">
        <w:rPr>
          <w:rFonts w:ascii="Times New Roman" w:eastAsia="Times New Roman" w:hAnsi="Times New Roman"/>
          <w:b/>
          <w:bCs/>
          <w:kern w:val="0"/>
          <w:lang w:val="en-US"/>
        </w:rPr>
        <w:t xml:space="preserve">edication </w:t>
      </w:r>
      <w:r w:rsidR="00FA626A">
        <w:rPr>
          <w:rFonts w:ascii="Times New Roman" w:eastAsia="Times New Roman" w:hAnsi="Times New Roman"/>
          <w:b/>
          <w:bCs/>
          <w:kern w:val="0"/>
          <w:lang w:val="en-US"/>
        </w:rPr>
        <w:t>s</w:t>
      </w:r>
      <w:r w:rsidRPr="00FA626A">
        <w:rPr>
          <w:rFonts w:ascii="Times New Roman" w:eastAsia="Times New Roman" w:hAnsi="Times New Roman"/>
          <w:b/>
          <w:bCs/>
          <w:kern w:val="0"/>
          <w:lang w:val="en-US"/>
        </w:rPr>
        <w:t xml:space="preserve">afety and </w:t>
      </w:r>
      <w:r w:rsidR="00FA626A">
        <w:rPr>
          <w:rFonts w:ascii="Times New Roman" w:eastAsia="Times New Roman" w:hAnsi="Times New Roman"/>
          <w:b/>
          <w:bCs/>
          <w:kern w:val="0"/>
          <w:lang w:val="en-US"/>
        </w:rPr>
        <w:t>p</w:t>
      </w:r>
      <w:r w:rsidRPr="00FA626A">
        <w:rPr>
          <w:rFonts w:ascii="Times New Roman" w:eastAsia="Times New Roman" w:hAnsi="Times New Roman"/>
          <w:b/>
          <w:bCs/>
          <w:kern w:val="0"/>
          <w:lang w:val="en-US"/>
        </w:rPr>
        <w:t xml:space="preserve">atient </w:t>
      </w:r>
      <w:r w:rsidR="00FA626A">
        <w:rPr>
          <w:rFonts w:ascii="Times New Roman" w:eastAsia="Times New Roman" w:hAnsi="Times New Roman"/>
          <w:b/>
          <w:bCs/>
          <w:kern w:val="0"/>
          <w:lang w:val="en-US"/>
        </w:rPr>
        <w:t>s</w:t>
      </w:r>
      <w:r w:rsidRPr="00FA626A">
        <w:rPr>
          <w:rFonts w:ascii="Times New Roman" w:eastAsia="Times New Roman" w:hAnsi="Times New Roman"/>
          <w:b/>
          <w:bCs/>
          <w:kern w:val="0"/>
          <w:lang w:val="en-US"/>
        </w:rPr>
        <w:t xml:space="preserve">afety </w:t>
      </w:r>
      <w:r w:rsidR="00FA626A">
        <w:rPr>
          <w:rFonts w:ascii="Times New Roman" w:eastAsia="Times New Roman" w:hAnsi="Times New Roman"/>
          <w:b/>
          <w:bCs/>
          <w:kern w:val="0"/>
          <w:lang w:val="en-US"/>
        </w:rPr>
        <w:t>s</w:t>
      </w:r>
      <w:r w:rsidRPr="00FA626A">
        <w:rPr>
          <w:rFonts w:ascii="Times New Roman" w:eastAsia="Times New Roman" w:hAnsi="Times New Roman"/>
          <w:b/>
          <w:bCs/>
          <w:kern w:val="0"/>
          <w:lang w:val="en-US"/>
        </w:rPr>
        <w:t>ystems</w:t>
      </w:r>
    </w:p>
    <w:p w14:paraId="67919EF2" w14:textId="781D45ED" w:rsidR="008212A5" w:rsidRPr="00130584"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 xml:space="preserve">The 2022 </w:t>
      </w:r>
      <w:proofErr w:type="spellStart"/>
      <w:r w:rsidRPr="00977EF3">
        <w:rPr>
          <w:rFonts w:ascii="Times New Roman" w:eastAsia="Times New Roman" w:hAnsi="Times New Roman"/>
          <w:kern w:val="0"/>
          <w:sz w:val="24"/>
          <w:szCs w:val="24"/>
          <w:lang w:val="en-US"/>
        </w:rPr>
        <w:t>paediatric</w:t>
      </w:r>
      <w:proofErr w:type="spellEnd"/>
      <w:r w:rsidRPr="00977EF3">
        <w:rPr>
          <w:rFonts w:ascii="Times New Roman" w:eastAsia="Times New Roman" w:hAnsi="Times New Roman"/>
          <w:kern w:val="0"/>
          <w:sz w:val="24"/>
          <w:szCs w:val="24"/>
          <w:lang w:val="en-US"/>
        </w:rPr>
        <w:t xml:space="preserve"> acute kidney injury (AKI) epidemic in The Gambia represents a sentinel medication safety failure with profound implications for patient safety governance in low- and middle-income countries (LMICs). The outbreak, linked to diethylene glycol– and ethylene glycol–contaminated paracetamol and cough syrups, resulted in widespread and </w:t>
      </w:r>
      <w:r w:rsidRPr="00130584">
        <w:rPr>
          <w:rFonts w:ascii="Times New Roman" w:eastAsia="Times New Roman" w:hAnsi="Times New Roman"/>
          <w:kern w:val="0"/>
          <w:sz w:val="24"/>
          <w:szCs w:val="24"/>
          <w:lang w:val="en-US"/>
        </w:rPr>
        <w:t xml:space="preserve">preventable child deaths and exposed critical weaknesses across the medicine lifecycle. Aligned with the World Health Organization’s (WHO) Global Patient Safety Action Plan (GPSAP) 2021–2030 and the Global Medication Safety Challenge: </w:t>
      </w:r>
      <w:r w:rsidRPr="00130584">
        <w:rPr>
          <w:rFonts w:ascii="Times New Roman" w:eastAsia="Times New Roman" w:hAnsi="Times New Roman"/>
          <w:i/>
          <w:iCs/>
          <w:kern w:val="0"/>
          <w:sz w:val="24"/>
          <w:szCs w:val="24"/>
          <w:lang w:val="en-US"/>
        </w:rPr>
        <w:t>Medication Without Harm</w:t>
      </w:r>
      <w:r w:rsidRPr="00130584">
        <w:rPr>
          <w:rFonts w:ascii="Times New Roman" w:eastAsia="Times New Roman" w:hAnsi="Times New Roman"/>
          <w:kern w:val="0"/>
          <w:sz w:val="24"/>
          <w:szCs w:val="24"/>
          <w:lang w:val="en-US"/>
        </w:rPr>
        <w:t>, the epidemic illustrates how regulatory fragility, weak surveillance, and limited preparedness can rapidly translate into catastrophic harm</w:t>
      </w:r>
      <w:r w:rsidR="00130584">
        <w:rPr>
          <w:rFonts w:ascii="Times New Roman" w:eastAsia="Times New Roman" w:hAnsi="Times New Roman"/>
          <w:kern w:val="0"/>
          <w:sz w:val="24"/>
          <w:szCs w:val="24"/>
          <w:lang w:val="en-US"/>
        </w:rPr>
        <w:t xml:space="preserve"> </w:t>
      </w:r>
      <w:r w:rsidRPr="00130584">
        <w:rPr>
          <w:rFonts w:ascii="Times New Roman" w:eastAsia="Times New Roman" w:hAnsi="Times New Roman"/>
          <w:kern w:val="0"/>
          <w:sz w:val="24"/>
          <w:szCs w:val="24"/>
          <w:lang w:val="en-US"/>
        </w:rPr>
        <w:t>[3</w:t>
      </w:r>
      <w:r w:rsidR="00A53766">
        <w:rPr>
          <w:rFonts w:ascii="Times New Roman" w:eastAsia="Times New Roman" w:hAnsi="Times New Roman"/>
          <w:kern w:val="0"/>
          <w:sz w:val="24"/>
          <w:szCs w:val="24"/>
          <w:lang w:val="en-US"/>
        </w:rPr>
        <w:t>4,</w:t>
      </w:r>
      <w:r w:rsidRPr="00130584">
        <w:rPr>
          <w:rFonts w:ascii="Times New Roman" w:eastAsia="Times New Roman" w:hAnsi="Times New Roman"/>
          <w:kern w:val="0"/>
          <w:sz w:val="24"/>
          <w:szCs w:val="24"/>
          <w:lang w:val="en-US"/>
        </w:rPr>
        <w:t>3</w:t>
      </w:r>
      <w:r w:rsidR="00A53766">
        <w:rPr>
          <w:rFonts w:ascii="Times New Roman" w:eastAsia="Times New Roman" w:hAnsi="Times New Roman"/>
          <w:kern w:val="0"/>
          <w:sz w:val="24"/>
          <w:szCs w:val="24"/>
          <w:lang w:val="en-US"/>
        </w:rPr>
        <w:t>5</w:t>
      </w:r>
      <w:r w:rsidRPr="00130584">
        <w:rPr>
          <w:rFonts w:ascii="Times New Roman" w:eastAsia="Times New Roman" w:hAnsi="Times New Roman"/>
          <w:kern w:val="0"/>
          <w:sz w:val="24"/>
          <w:szCs w:val="24"/>
          <w:lang w:val="en-US"/>
        </w:rPr>
        <w:t>].</w:t>
      </w:r>
    </w:p>
    <w:p w14:paraId="588BA339"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At the level of governance and regulation, the epidemic revealed systemic gaps in medicine quality assurance. Contaminated pediatric formulations entered the national supply chain through formal importation channels, underscoring vulnerabilities in regulatory oversight and enforcement capacity. This failure directly contradicts GPSAP Strategic Objective 1, which emphasizes leadership, accountability, and robust patient safety governance. Policy priorities must therefore include mandatory laboratory testing of high-risk pediatric medicines, strengthened Medicines Control Authorities with legal enforcement powers, and clearer accountability mechanisms spanning importation, distribution, and post-market surveillance.</w:t>
      </w:r>
    </w:p>
    <w:p w14:paraId="0001A9F0"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Pharmacovigilance failures were central to delayed outbreak recognition. In The Gambia, reliance on passive adverse drug reaction reporting limited early signal detection and prolonged exposure to toxic medicines. The WHO Medication Safety Challenge identifies such weaknesses as a major driver of preventable harm. Transitioning to active pharmacovigilance systems, integrating adverse event reporting into routine clinical workflows, and ensuring rapid regulatory response to safety signals are essential reforms. These measures would enable earlier detection of rare but high-impact medication-related events, particularly in pediatric populations.</w:t>
      </w:r>
    </w:p>
    <w:p w14:paraId="5AE102B3"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Deficits in situational awareness further compounded delays in response. Early clusters of severe pediatric AKI were not consistently recognized, the causal link to medicine exposure was not immediately understood, and the potential scale of harm was underestimated. These gaps reflect broader challenges in workforce training, information flow, and decision-making under uncertainty. Strengthening situational awareness through standardized AKI detection and escalation protocols, targeted training, and non-punitive reporting cultures aligns with GPSAP Strategic Objectives 2 and 4, which emphasize workforce capability and learning health systems.</w:t>
      </w:r>
    </w:p>
    <w:p w14:paraId="053174CF"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The epidemic also exposed limited preparedness for medication-related emergencies. Health facilities faced shortages of antidotes, inadequate pediatric dialysis capacity, and absence of structured follow-up for AKI survivors. These constraints transformed toxic exposure into mortality and long-term morbidity. Consistent with GPSAP Strategic Objective 5, medication safety events must be explicitly integrated into national emergency preparedness and response frameworks. Establishing referral networks for pediatric renal care, maintaining essential antidote stockpiles, and developing AKI surveillance registries would strengthen system resilience and recovery.</w:t>
      </w:r>
    </w:p>
    <w:p w14:paraId="555ADA20" w14:textId="1639715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 xml:space="preserve">Equity considerations are central to the policy implications of this outbreak. Children—particularly those under five years—were disproportionately affected, highlighting +inequities in protection from unsafe medicines. While national reforms are critical, the epidemic also raises questions of global accountability within pharmaceutical supply chains. Exporting countries, manufacturers, and international regulators share responsibility for ensuring that medicines circulating in LMICs meet safety standards. Strengthening international cooperation, transparency, and enforcement mechanisms is therefore integral to advancing the goals of WHO medication safety </w:t>
      </w:r>
      <w:proofErr w:type="gramStart"/>
      <w:r w:rsidRPr="00130584">
        <w:rPr>
          <w:rFonts w:ascii="Times New Roman" w:eastAsia="Times New Roman" w:hAnsi="Times New Roman"/>
          <w:kern w:val="0"/>
          <w:sz w:val="24"/>
          <w:szCs w:val="24"/>
          <w:lang w:val="en-US"/>
        </w:rPr>
        <w:t>initiatives[</w:t>
      </w:r>
      <w:proofErr w:type="gramEnd"/>
      <w:r w:rsidRPr="00130584">
        <w:rPr>
          <w:rFonts w:ascii="Times New Roman" w:eastAsia="Times New Roman" w:hAnsi="Times New Roman"/>
          <w:kern w:val="0"/>
          <w:sz w:val="24"/>
          <w:szCs w:val="24"/>
          <w:lang w:val="en-US"/>
        </w:rPr>
        <w:t>3</w:t>
      </w:r>
      <w:r w:rsidR="00A53766">
        <w:rPr>
          <w:rFonts w:ascii="Times New Roman" w:eastAsia="Times New Roman" w:hAnsi="Times New Roman"/>
          <w:kern w:val="0"/>
          <w:sz w:val="24"/>
          <w:szCs w:val="24"/>
          <w:lang w:val="en-US"/>
        </w:rPr>
        <w:t>6</w:t>
      </w:r>
      <w:r w:rsidRPr="00130584">
        <w:rPr>
          <w:rFonts w:ascii="Times New Roman" w:eastAsia="Times New Roman" w:hAnsi="Times New Roman"/>
          <w:kern w:val="0"/>
          <w:sz w:val="24"/>
          <w:szCs w:val="24"/>
          <w:lang w:val="en-US"/>
        </w:rPr>
        <w:t>].</w:t>
      </w:r>
    </w:p>
    <w:p w14:paraId="196EEEEB" w14:textId="77777777" w:rsidR="008212A5" w:rsidRPr="00130584" w:rsidRDefault="00000000">
      <w:pPr>
        <w:spacing w:after="100" w:afterAutospacing="1" w:line="480" w:lineRule="auto"/>
        <w:rPr>
          <w:rFonts w:ascii="Times New Roman" w:eastAsia="Times New Roman" w:hAnsi="Times New Roman"/>
          <w:kern w:val="0"/>
          <w:sz w:val="24"/>
          <w:szCs w:val="24"/>
          <w:lang w:val="en-US"/>
        </w:rPr>
      </w:pPr>
      <w:r w:rsidRPr="00130584">
        <w:rPr>
          <w:rFonts w:ascii="Times New Roman" w:eastAsia="Times New Roman" w:hAnsi="Times New Roman"/>
          <w:kern w:val="0"/>
          <w:sz w:val="24"/>
          <w:szCs w:val="24"/>
          <w:lang w:val="en-US"/>
        </w:rPr>
        <w:t>Finally, community trust emerged as a critical determinant of outcomes. Delayed care-seeking and reliance on traditional remedies reflected not only cultural practices but also underlying mistrust in health systems and medicines. WHO patient safety frameworks emphasize patient and community engagement as essential components of harm prevention. Transparent risk communication and culturally sensitive engagement strategies are necessary to rebuild trust and support timely healthcare utilization during future safety events.</w:t>
      </w:r>
    </w:p>
    <w:p w14:paraId="4FD0796C" w14:textId="6978906C" w:rsidR="008212A5" w:rsidRPr="00130584" w:rsidRDefault="00A53766">
      <w:pPr>
        <w:spacing w:after="100" w:afterAutospacing="1" w:line="480" w:lineRule="auto"/>
        <w:rPr>
          <w:rFonts w:ascii="Times New Roman" w:eastAsia="Times New Roman" w:hAnsi="Times New Roman"/>
          <w:kern w:val="0"/>
          <w:sz w:val="24"/>
          <w:szCs w:val="24"/>
          <w:lang w:val="en-US"/>
        </w:rPr>
      </w:pPr>
      <w:r>
        <w:rPr>
          <w:rFonts w:ascii="Times New Roman" w:eastAsia="Times New Roman" w:hAnsi="Times New Roman"/>
          <w:noProof/>
          <w:kern w:val="0"/>
          <w:sz w:val="24"/>
          <w:szCs w:val="24"/>
          <w:lang w:val="en-US"/>
        </w:rPr>
        <mc:AlternateContent>
          <mc:Choice Requires="wpi">
            <w:drawing>
              <wp:anchor distT="0" distB="0" distL="114300" distR="114300" simplePos="0" relativeHeight="251671552" behindDoc="0" locked="0" layoutInCell="1" allowOverlap="1" wp14:anchorId="51497D43" wp14:editId="7563036E">
                <wp:simplePos x="0" y="0"/>
                <wp:positionH relativeFrom="column">
                  <wp:posOffset>8046742</wp:posOffset>
                </wp:positionH>
                <wp:positionV relativeFrom="paragraph">
                  <wp:posOffset>3799359</wp:posOffset>
                </wp:positionV>
                <wp:extent cx="360" cy="360"/>
                <wp:effectExtent l="57150" t="57150" r="57150" b="57150"/>
                <wp:wrapNone/>
                <wp:docPr id="2117908016"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0C015DDD" id="Ink 5" o:spid="_x0000_s1026" type="#_x0000_t75" style="position:absolute;margin-left:632.9pt;margin-top:298.45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">
                <v:imagedata r:id="rId9" o:title=""/>
              </v:shape>
            </w:pict>
          </mc:Fallback>
        </mc:AlternateContent>
      </w:r>
      <w:r w:rsidR="00000000" w:rsidRPr="00130584">
        <w:rPr>
          <w:rFonts w:ascii="Times New Roman" w:eastAsia="Times New Roman" w:hAnsi="Times New Roman"/>
          <w:kern w:val="0"/>
          <w:sz w:val="24"/>
          <w:szCs w:val="24"/>
          <w:lang w:val="en-US"/>
        </w:rPr>
        <w:t xml:space="preserve">In conclusion, the Gambian </w:t>
      </w:r>
      <w:proofErr w:type="spellStart"/>
      <w:r w:rsidR="00000000" w:rsidRPr="00130584">
        <w:rPr>
          <w:rFonts w:ascii="Times New Roman" w:eastAsia="Times New Roman" w:hAnsi="Times New Roman"/>
          <w:kern w:val="0"/>
          <w:sz w:val="24"/>
          <w:szCs w:val="24"/>
          <w:lang w:val="en-US"/>
        </w:rPr>
        <w:t>paediatric</w:t>
      </w:r>
      <w:proofErr w:type="spellEnd"/>
      <w:r w:rsidR="00000000" w:rsidRPr="00130584">
        <w:rPr>
          <w:rFonts w:ascii="Times New Roman" w:eastAsia="Times New Roman" w:hAnsi="Times New Roman"/>
          <w:kern w:val="0"/>
          <w:sz w:val="24"/>
          <w:szCs w:val="24"/>
          <w:lang w:val="en-US"/>
        </w:rPr>
        <w:t xml:space="preserve"> AKI epidemic demonstrates that medication safety failures can rapidly escalate into national patient safety crises when governance, surveillance, and preparedness systems are weak. Aligning national reforms with WHO’s Global Patient Safety Action Plan and Medication Without Harm provides a clear policy roadmap: strengthen regulation and pharmacovigilance, build workforce capacity, enhance situational awareness, and embed medication safety within emergency preparedness. Positioning medication safety as a core health system function is essential to protecting children and preventing similar tragedies in resource-constrained </w:t>
      </w:r>
      <w:proofErr w:type="gramStart"/>
      <w:r w:rsidR="00000000" w:rsidRPr="00130584">
        <w:rPr>
          <w:rFonts w:ascii="Times New Roman" w:eastAsia="Times New Roman" w:hAnsi="Times New Roman"/>
          <w:kern w:val="0"/>
          <w:sz w:val="24"/>
          <w:szCs w:val="24"/>
          <w:lang w:val="en-US"/>
        </w:rPr>
        <w:t>settings[</w:t>
      </w:r>
      <w:proofErr w:type="gramEnd"/>
      <w:r w:rsidR="00000000" w:rsidRPr="00130584">
        <w:rPr>
          <w:rFonts w:ascii="Times New Roman" w:eastAsia="Times New Roman" w:hAnsi="Times New Roman"/>
          <w:kern w:val="0"/>
          <w:sz w:val="24"/>
          <w:szCs w:val="24"/>
          <w:lang w:val="en-US"/>
        </w:rPr>
        <w:t>3</w:t>
      </w:r>
      <w:r>
        <w:rPr>
          <w:rFonts w:ascii="Times New Roman" w:eastAsia="Times New Roman" w:hAnsi="Times New Roman"/>
          <w:kern w:val="0"/>
          <w:sz w:val="24"/>
          <w:szCs w:val="24"/>
          <w:lang w:val="en-US"/>
        </w:rPr>
        <w:t>7</w:t>
      </w:r>
      <w:r w:rsidR="00000000" w:rsidRPr="00130584">
        <w:rPr>
          <w:rFonts w:ascii="Times New Roman" w:eastAsia="Times New Roman" w:hAnsi="Times New Roman"/>
          <w:kern w:val="0"/>
          <w:sz w:val="24"/>
          <w:szCs w:val="24"/>
          <w:lang w:val="en-US"/>
        </w:rPr>
        <w:t>].</w:t>
      </w:r>
      <w:r w:rsidR="00000000" w:rsidRPr="00130584">
        <w:rPr>
          <w:lang w:val="en-US"/>
        </w:rPr>
        <w:t xml:space="preserve"> </w:t>
      </w:r>
      <w:r w:rsidR="00000000" w:rsidRPr="00130584">
        <w:rPr>
          <w:rFonts w:ascii="Times New Roman" w:eastAsia="Times New Roman" w:hAnsi="Times New Roman"/>
          <w:kern w:val="0"/>
          <w:sz w:val="24"/>
          <w:szCs w:val="24"/>
          <w:lang w:val="en-US"/>
        </w:rPr>
        <w:t>The Ministry of Health of The Government of The Gambia, through the Medicines Control Agency, has since taken steps to address the regulatory and pharmacovigilance gaps exposed by the AKI epidemic, including measures to strengthen medicine import oversight and post-market surveillance. Sustaining and institutionalizing these reforms will be critical to preventing similar medication-related harm in the future</w:t>
      </w:r>
    </w:p>
    <w:p w14:paraId="0BCF0C17" w14:textId="77777777" w:rsidR="008212A5" w:rsidRPr="00FA626A" w:rsidRDefault="00000000">
      <w:pPr>
        <w:spacing w:after="100" w:afterAutospacing="1" w:line="480" w:lineRule="auto"/>
        <w:outlineLvl w:val="1"/>
        <w:rPr>
          <w:rFonts w:ascii="Times New Roman" w:eastAsia="Times New Roman" w:hAnsi="Times New Roman"/>
          <w:b/>
          <w:bCs/>
          <w:kern w:val="0"/>
          <w:sz w:val="24"/>
          <w:szCs w:val="24"/>
          <w:lang w:val="en-US"/>
        </w:rPr>
      </w:pPr>
      <w:r w:rsidRPr="00FA626A">
        <w:rPr>
          <w:rFonts w:ascii="Times New Roman" w:eastAsia="Times New Roman" w:hAnsi="Times New Roman"/>
          <w:b/>
          <w:bCs/>
          <w:kern w:val="0"/>
          <w:sz w:val="24"/>
          <w:szCs w:val="24"/>
          <w:lang w:val="en-US"/>
        </w:rPr>
        <w:t>Conclusions</w:t>
      </w:r>
    </w:p>
    <w:p w14:paraId="210F7864"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The 2022 pediatric AKI epidemic in The Gambia resulted from the convergence of systemic vulnerabilities, regulatory failures, and human-factor limitations. Application of safety and human factors models highlights the need to strengthen redundant safety systems, align human–system–environment interfaces, improve situational awareness, and embed a culture of patient safety. For The Gambia and similar contexts, priorities include robust drug regulation and pharmacovigilance, standardized AKI protocols, workforce capacity building, and transparent crisis communication. Translating these lessons into sustained improvement will require coordinated stakeholder engagement, systems mapping, and long-term investment in regulatory and clinical infrastructure.</w:t>
      </w:r>
    </w:p>
    <w:p w14:paraId="698A6A58" w14:textId="77777777" w:rsidR="008212A5" w:rsidRPr="00FA626A" w:rsidRDefault="00000000">
      <w:pPr>
        <w:spacing w:after="100" w:afterAutospacing="1" w:line="480" w:lineRule="auto"/>
        <w:outlineLvl w:val="1"/>
        <w:rPr>
          <w:rFonts w:ascii="Times New Roman" w:eastAsia="Times New Roman" w:hAnsi="Times New Roman"/>
          <w:b/>
          <w:bCs/>
          <w:kern w:val="0"/>
          <w:sz w:val="24"/>
          <w:szCs w:val="24"/>
          <w:lang w:val="en-US"/>
        </w:rPr>
      </w:pPr>
      <w:r w:rsidRPr="00FA626A">
        <w:rPr>
          <w:rFonts w:ascii="Times New Roman" w:eastAsia="Times New Roman" w:hAnsi="Times New Roman"/>
          <w:b/>
          <w:bCs/>
          <w:kern w:val="0"/>
          <w:sz w:val="24"/>
          <w:szCs w:val="24"/>
          <w:lang w:val="en-US"/>
        </w:rPr>
        <w:t>Limitations</w:t>
      </w:r>
    </w:p>
    <w:p w14:paraId="7E1E9FE3" w14:textId="77777777" w:rsidR="008212A5" w:rsidRPr="00977EF3" w:rsidRDefault="00000000">
      <w:pPr>
        <w:spacing w:after="100" w:afterAutospacing="1" w:line="480" w:lineRule="auto"/>
        <w:rPr>
          <w:rFonts w:ascii="Times New Roman" w:eastAsia="Times New Roman" w:hAnsi="Times New Roman"/>
          <w:kern w:val="0"/>
          <w:sz w:val="24"/>
          <w:szCs w:val="24"/>
          <w:lang w:val="en-US"/>
        </w:rPr>
      </w:pPr>
      <w:r w:rsidRPr="00977EF3">
        <w:rPr>
          <w:rFonts w:ascii="Times New Roman" w:eastAsia="Times New Roman" w:hAnsi="Times New Roman"/>
          <w:kern w:val="0"/>
          <w:sz w:val="24"/>
          <w:szCs w:val="24"/>
          <w:lang w:val="en-US"/>
        </w:rPr>
        <w:t xml:space="preserve">This study relied on secondary data sources and interpretive application of safety models, which may introduce hindsight </w:t>
      </w:r>
      <w:proofErr w:type="gramStart"/>
      <w:r w:rsidRPr="00977EF3">
        <w:rPr>
          <w:rFonts w:ascii="Times New Roman" w:eastAsia="Times New Roman" w:hAnsi="Times New Roman"/>
          <w:kern w:val="0"/>
          <w:sz w:val="24"/>
          <w:szCs w:val="24"/>
          <w:lang w:val="en-US"/>
        </w:rPr>
        <w:t>bias .</w:t>
      </w:r>
      <w:proofErr w:type="gramEnd"/>
      <w:r w:rsidRPr="00977EF3">
        <w:rPr>
          <w:rFonts w:ascii="Times New Roman" w:eastAsia="Times New Roman" w:hAnsi="Times New Roman"/>
          <w:kern w:val="0"/>
          <w:sz w:val="24"/>
          <w:szCs w:val="24"/>
          <w:lang w:val="en-US"/>
        </w:rPr>
        <w:t xml:space="preserve"> The absence of patient-level clinical data limited detailed epidemiological analysis and outcome stratification. Future research should include root cause analyses, participatory systems mapping, and engagement with frontline clinicians, regulators, and affected families to refine context-specific prevention strategies.</w:t>
      </w:r>
    </w:p>
    <w:p w14:paraId="77E8B335" w14:textId="77777777" w:rsidR="008212A5" w:rsidRPr="00977EF3" w:rsidRDefault="00000000">
      <w:pPr>
        <w:spacing w:after="100" w:afterAutospacing="1" w:line="480" w:lineRule="auto"/>
        <w:rPr>
          <w:rFonts w:ascii="Times New Roman" w:hAnsi="Times New Roman"/>
          <w:b/>
          <w:bCs/>
          <w:kern w:val="0"/>
          <w:sz w:val="24"/>
          <w:szCs w:val="24"/>
          <w:lang w:val="en-US"/>
        </w:rPr>
      </w:pPr>
      <w:r w:rsidRPr="00977EF3">
        <w:rPr>
          <w:rFonts w:ascii="Times New Roman" w:hAnsi="Times New Roman"/>
          <w:b/>
          <w:bCs/>
          <w:kern w:val="0"/>
          <w:sz w:val="24"/>
          <w:szCs w:val="24"/>
          <w:lang w:val="en-US"/>
        </w:rPr>
        <w:t>List of Abbreviations</w:t>
      </w:r>
    </w:p>
    <w:p w14:paraId="35300040"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WHO: World Health Organization</w:t>
      </w:r>
    </w:p>
    <w:p w14:paraId="0D8664CE"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MoH: Ministry of Health</w:t>
      </w:r>
    </w:p>
    <w:p w14:paraId="77D5E63C"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EG: Ethylene Glycol</w:t>
      </w:r>
    </w:p>
    <w:p w14:paraId="63EE7CDD"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DEG: Diethylene Glycol</w:t>
      </w:r>
    </w:p>
    <w:p w14:paraId="4F3907DF"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AKI: Acute Kidney Injury</w:t>
      </w:r>
    </w:p>
    <w:p w14:paraId="59EFCAD4" w14:textId="77777777" w:rsidR="008212A5" w:rsidRPr="00977EF3" w:rsidRDefault="00000000">
      <w:pPr>
        <w:spacing w:line="480" w:lineRule="auto"/>
        <w:rPr>
          <w:rFonts w:ascii="Times New Roman" w:hAnsi="Times New Roman"/>
          <w:b/>
          <w:bCs/>
          <w:sz w:val="24"/>
          <w:szCs w:val="24"/>
          <w:lang w:val="en-US"/>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65408" behindDoc="0" locked="0" layoutInCell="1" allowOverlap="1" wp14:anchorId="60EB8468" wp14:editId="464369C4">
                <wp:simplePos x="0" y="0"/>
                <wp:positionH relativeFrom="column">
                  <wp:posOffset>8441055</wp:posOffset>
                </wp:positionH>
                <wp:positionV relativeFrom="paragraph">
                  <wp:posOffset>424815</wp:posOffset>
                </wp:positionV>
                <wp:extent cx="635" cy="635"/>
                <wp:effectExtent l="57150" t="57150" r="57150" b="57150"/>
                <wp:wrapNone/>
                <wp:docPr id="78962929"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wpsCustomData="http://www.wps.cn/officeDocument/2013/wpsCustomData">
            <w:pict>
              <v:shape id="Ink 10" o:spid="_x0000_s1026" o:spt="75" style="position:absolute;left:0pt;margin-left:664.65pt;margin-top:33.45pt;height:0.05pt;width:0.05pt;z-index:251665408;mso-width-relative:page;mso-height-relative:page;" coordsize="21600,21600" o:gfxdata="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">
                <v:imagedata r:id="rId25" o:title=""/>
                <o:lock v:ext="edit"/>
              </v:shape>
            </w:pict>
          </mc:Fallback>
        </mc:AlternateContent>
      </w:r>
      <w:r w:rsidRPr="00977EF3">
        <w:rPr>
          <w:rFonts w:ascii="Times New Roman" w:hAnsi="Times New Roman"/>
          <w:b/>
          <w:bCs/>
          <w:sz w:val="24"/>
          <w:szCs w:val="24"/>
          <w:lang w:val="en-US"/>
        </w:rPr>
        <w:t xml:space="preserve"> </w:t>
      </w:r>
    </w:p>
    <w:p w14:paraId="5F451888" w14:textId="77777777" w:rsidR="008212A5" w:rsidRDefault="00000000">
      <w:pPr>
        <w:spacing w:line="480" w:lineRule="auto"/>
        <w:rPr>
          <w:rFonts w:ascii="Times New Roman" w:hAnsi="Times New Roman"/>
          <w:b/>
          <w:bCs/>
          <w:sz w:val="24"/>
          <w:szCs w:val="24"/>
        </w:rPr>
      </w:pPr>
      <w:r>
        <w:rPr>
          <w:rFonts w:ascii="Times New Roman" w:hAnsi="Times New Roman"/>
          <w:b/>
          <w:bCs/>
          <w:sz w:val="24"/>
          <w:szCs w:val="24"/>
        </w:rPr>
        <w:t>Author Contribution;</w:t>
      </w:r>
    </w:p>
    <w:p w14:paraId="1DF39D46" w14:textId="3C5EB209" w:rsidR="008212A5" w:rsidRPr="00A53766" w:rsidRDefault="00000000" w:rsidP="00A53766">
      <w:pPr>
        <w:numPr>
          <w:ilvl w:val="0"/>
          <w:numId w:val="10"/>
        </w:numPr>
        <w:spacing w:line="480" w:lineRule="auto"/>
        <w:contextualSpacing/>
        <w:rPr>
          <w:rFonts w:ascii="Times New Roman" w:hAnsi="Times New Roman"/>
          <w:sz w:val="24"/>
          <w:szCs w:val="24"/>
          <w:lang w:val="en-US"/>
        </w:rPr>
      </w:pPr>
      <w:r w:rsidRPr="00977EF3">
        <w:rPr>
          <w:rFonts w:ascii="Times New Roman" w:hAnsi="Times New Roman"/>
          <w:sz w:val="24"/>
          <w:szCs w:val="24"/>
          <w:lang w:val="en-US"/>
        </w:rPr>
        <w:t xml:space="preserve">Lamin Makalo; </w:t>
      </w:r>
      <w:proofErr w:type="spellStart"/>
      <w:r w:rsidRPr="00977EF3">
        <w:rPr>
          <w:rFonts w:ascii="Times New Roman" w:hAnsi="Times New Roman"/>
          <w:sz w:val="24"/>
          <w:szCs w:val="24"/>
          <w:lang w:val="en-US"/>
        </w:rPr>
        <w:t>Conceptualisation</w:t>
      </w:r>
      <w:proofErr w:type="spellEnd"/>
      <w:r w:rsidRPr="00977EF3">
        <w:rPr>
          <w:rFonts w:ascii="Times New Roman" w:hAnsi="Times New Roman"/>
          <w:sz w:val="24"/>
          <w:szCs w:val="24"/>
          <w:lang w:val="en-US"/>
        </w:rPr>
        <w:t xml:space="preserve">, Data Validation, </w:t>
      </w:r>
      <w:proofErr w:type="spellStart"/>
      <w:r w:rsidRPr="00977EF3">
        <w:rPr>
          <w:rFonts w:ascii="Times New Roman" w:hAnsi="Times New Roman"/>
          <w:sz w:val="24"/>
          <w:szCs w:val="24"/>
          <w:lang w:val="en-US"/>
        </w:rPr>
        <w:t>Visualisation</w:t>
      </w:r>
      <w:proofErr w:type="spellEnd"/>
      <w:r w:rsidRPr="00977EF3">
        <w:rPr>
          <w:rFonts w:ascii="Times New Roman" w:hAnsi="Times New Roman"/>
          <w:sz w:val="24"/>
          <w:szCs w:val="24"/>
          <w:lang w:val="en-US"/>
        </w:rPr>
        <w:t>, Reviewing and editing</w:t>
      </w:r>
    </w:p>
    <w:p w14:paraId="25E55807"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Ethical Declaration</w:t>
      </w:r>
    </w:p>
    <w:p w14:paraId="6A6ED6F6" w14:textId="77777777" w:rsidR="008212A5" w:rsidRPr="00977EF3" w:rsidRDefault="00000000">
      <w:pPr>
        <w:spacing w:line="480" w:lineRule="auto"/>
        <w:rPr>
          <w:rFonts w:ascii="Times New Roman" w:hAnsi="Times New Roman"/>
          <w:sz w:val="24"/>
          <w:szCs w:val="24"/>
          <w:lang w:val="en-US"/>
        </w:rPr>
      </w:pPr>
      <w:r w:rsidRPr="00977EF3">
        <w:rPr>
          <w:rFonts w:ascii="Times New Roman" w:hAnsi="Times New Roman"/>
          <w:sz w:val="24"/>
          <w:szCs w:val="24"/>
          <w:lang w:val="en-US"/>
        </w:rPr>
        <w:t>Not Applicable</w:t>
      </w:r>
    </w:p>
    <w:p w14:paraId="39399414"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Consent to Publish</w:t>
      </w:r>
    </w:p>
    <w:p w14:paraId="70F28EA4" w14:textId="77777777" w:rsidR="008212A5" w:rsidRPr="00977EF3" w:rsidRDefault="00000000">
      <w:pPr>
        <w:spacing w:line="480" w:lineRule="auto"/>
        <w:rPr>
          <w:rFonts w:ascii="Times New Roman" w:hAnsi="Times New Roman"/>
          <w:sz w:val="24"/>
          <w:szCs w:val="24"/>
          <w:lang w:val="en-US"/>
        </w:rPr>
      </w:pPr>
      <w:r w:rsidRPr="00977EF3">
        <w:rPr>
          <w:rFonts w:ascii="Times New Roman" w:hAnsi="Times New Roman"/>
          <w:sz w:val="24"/>
          <w:szCs w:val="24"/>
          <w:lang w:val="en-US"/>
        </w:rPr>
        <w:t>Not Applicable</w:t>
      </w:r>
    </w:p>
    <w:p w14:paraId="24571F71"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Consent to Participate</w:t>
      </w:r>
    </w:p>
    <w:p w14:paraId="3D5E0140" w14:textId="77777777" w:rsidR="008212A5" w:rsidRPr="00977EF3" w:rsidRDefault="00000000">
      <w:pPr>
        <w:spacing w:after="100" w:afterAutospacing="1" w:line="480" w:lineRule="auto"/>
        <w:rPr>
          <w:rFonts w:ascii="Times New Roman" w:hAnsi="Times New Roman"/>
          <w:kern w:val="0"/>
          <w:sz w:val="24"/>
          <w:szCs w:val="24"/>
          <w:lang w:val="en-US"/>
        </w:rPr>
      </w:pPr>
      <w:r w:rsidRPr="00977EF3">
        <w:rPr>
          <w:rFonts w:ascii="Times New Roman" w:hAnsi="Times New Roman"/>
          <w:sz w:val="24"/>
          <w:szCs w:val="24"/>
          <w:lang w:val="en-US"/>
        </w:rPr>
        <w:t>Not Applicable</w:t>
      </w:r>
    </w:p>
    <w:p w14:paraId="5A62CDDD"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Source of Funding</w:t>
      </w:r>
    </w:p>
    <w:p w14:paraId="1B807A6B" w14:textId="77777777" w:rsidR="008212A5" w:rsidRPr="00977EF3" w:rsidRDefault="00000000">
      <w:pPr>
        <w:spacing w:line="480" w:lineRule="auto"/>
        <w:rPr>
          <w:rFonts w:ascii="Times New Roman" w:hAnsi="Times New Roman"/>
          <w:sz w:val="24"/>
          <w:szCs w:val="24"/>
          <w:lang w:val="en-US"/>
        </w:rPr>
      </w:pPr>
      <w:proofErr w:type="spellStart"/>
      <w:r w:rsidRPr="00977EF3">
        <w:rPr>
          <w:rFonts w:ascii="Times New Roman" w:hAnsi="Times New Roman"/>
          <w:sz w:val="24"/>
          <w:szCs w:val="24"/>
          <w:lang w:val="en-US"/>
        </w:rPr>
        <w:t>Self Funded</w:t>
      </w:r>
      <w:proofErr w:type="spellEnd"/>
    </w:p>
    <w:p w14:paraId="2AE51A43" w14:textId="77777777" w:rsidR="008212A5" w:rsidRPr="00977EF3" w:rsidRDefault="00000000">
      <w:pPr>
        <w:spacing w:after="100" w:afterAutospacing="1" w:line="480" w:lineRule="auto"/>
        <w:rPr>
          <w:rFonts w:ascii="Times New Roman" w:hAnsi="Times New Roman"/>
          <w:sz w:val="24"/>
          <w:szCs w:val="24"/>
          <w:lang w:val="en-US"/>
        </w:rPr>
      </w:pPr>
      <w:r w:rsidRPr="00977EF3">
        <w:rPr>
          <w:rFonts w:ascii="Times New Roman" w:hAnsi="Times New Roman"/>
          <w:b/>
          <w:bCs/>
          <w:sz w:val="24"/>
          <w:szCs w:val="24"/>
          <w:lang w:val="en-US"/>
        </w:rPr>
        <w:t>Clinical trial number</w:t>
      </w:r>
    </w:p>
    <w:p w14:paraId="322D4971" w14:textId="77777777" w:rsidR="008212A5" w:rsidRPr="00977EF3" w:rsidRDefault="00000000">
      <w:pPr>
        <w:spacing w:after="100" w:afterAutospacing="1" w:line="480" w:lineRule="auto"/>
        <w:rPr>
          <w:rFonts w:ascii="Times New Roman" w:hAnsi="Times New Roman"/>
          <w:sz w:val="24"/>
          <w:szCs w:val="24"/>
          <w:lang w:val="en-US"/>
        </w:rPr>
      </w:pPr>
      <w:r w:rsidRPr="00977EF3">
        <w:rPr>
          <w:rFonts w:ascii="Times New Roman" w:hAnsi="Times New Roman"/>
          <w:sz w:val="24"/>
          <w:szCs w:val="24"/>
          <w:lang w:val="en-US"/>
        </w:rPr>
        <w:t>Not applicable</w:t>
      </w:r>
    </w:p>
    <w:p w14:paraId="0E674A5F" w14:textId="77777777" w:rsidR="008212A5" w:rsidRPr="00977EF3" w:rsidRDefault="00000000">
      <w:pPr>
        <w:spacing w:after="100" w:afterAutospacing="1" w:line="480" w:lineRule="auto"/>
        <w:rPr>
          <w:rFonts w:ascii="Times New Roman" w:hAnsi="Times New Roman"/>
          <w:kern w:val="0"/>
          <w:sz w:val="24"/>
          <w:szCs w:val="24"/>
          <w:lang w:val="en-US"/>
        </w:rPr>
      </w:pPr>
      <w:r w:rsidRPr="00977EF3">
        <w:rPr>
          <w:rFonts w:ascii="Times New Roman" w:hAnsi="Times New Roman"/>
          <w:b/>
          <w:bCs/>
          <w:kern w:val="0"/>
          <w:sz w:val="24"/>
          <w:szCs w:val="24"/>
          <w:lang w:val="en-US"/>
        </w:rPr>
        <w:t>Conflict of Interest</w:t>
      </w:r>
      <w:r w:rsidRPr="00977EF3">
        <w:rPr>
          <w:rFonts w:ascii="Times New Roman" w:hAnsi="Times New Roman"/>
          <w:kern w:val="0"/>
          <w:sz w:val="24"/>
          <w:szCs w:val="24"/>
          <w:lang w:val="en-US"/>
        </w:rPr>
        <w:br/>
        <w:t>The authors declare no conflict of interest.</w:t>
      </w:r>
    </w:p>
    <w:p w14:paraId="2B9CDB94" w14:textId="77777777" w:rsidR="008212A5" w:rsidRPr="00977EF3" w:rsidRDefault="00000000">
      <w:pPr>
        <w:spacing w:after="100" w:afterAutospacing="1" w:line="480" w:lineRule="auto"/>
        <w:rPr>
          <w:rFonts w:ascii="Times New Roman" w:hAnsi="Times New Roman"/>
          <w:kern w:val="0"/>
          <w:sz w:val="24"/>
          <w:szCs w:val="24"/>
          <w:lang w:val="en-US"/>
        </w:rPr>
      </w:pPr>
      <w:r w:rsidRPr="00977EF3">
        <w:rPr>
          <w:rFonts w:ascii="Times New Roman" w:hAnsi="Times New Roman"/>
          <w:b/>
          <w:bCs/>
          <w:kern w:val="0"/>
          <w:sz w:val="24"/>
          <w:szCs w:val="24"/>
          <w:lang w:val="en-US"/>
        </w:rPr>
        <w:t>Data Availability Statement</w:t>
      </w:r>
      <w:r w:rsidRPr="00977EF3">
        <w:rPr>
          <w:rFonts w:ascii="Times New Roman" w:hAnsi="Times New Roman"/>
          <w:kern w:val="0"/>
          <w:sz w:val="24"/>
          <w:szCs w:val="24"/>
          <w:lang w:val="en-US"/>
        </w:rPr>
        <w:br/>
        <w:t>Not applicable</w:t>
      </w:r>
    </w:p>
    <w:p w14:paraId="3BA09807" w14:textId="77777777" w:rsidR="008212A5" w:rsidRPr="00977EF3" w:rsidRDefault="00000000">
      <w:pPr>
        <w:spacing w:after="100" w:afterAutospacing="1" w:line="480" w:lineRule="auto"/>
        <w:rPr>
          <w:rFonts w:ascii="Times New Roman" w:hAnsi="Times New Roman"/>
          <w:kern w:val="0"/>
          <w:sz w:val="24"/>
          <w:szCs w:val="24"/>
          <w:lang w:val="en-US"/>
        </w:rPr>
      </w:pPr>
      <w:r w:rsidRPr="00977EF3">
        <w:rPr>
          <w:rFonts w:ascii="Times New Roman" w:hAnsi="Times New Roman"/>
          <w:kern w:val="0"/>
          <w:sz w:val="24"/>
          <w:szCs w:val="24"/>
          <w:lang w:val="en-US"/>
        </w:rPr>
        <w:t>References</w:t>
      </w:r>
    </w:p>
    <w:p w14:paraId="1AF52787"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bookmarkStart w:id="0" w:name="_Hlk206252087"/>
      <w:bookmarkStart w:id="1" w:name="_Hlk205917596"/>
      <w:bookmarkEnd w:id="0"/>
      <w:r w:rsidRPr="00977EF3">
        <w:rPr>
          <w:rFonts w:ascii="Times New Roman" w:hAnsi="Times New Roman"/>
          <w:kern w:val="0"/>
          <w:sz w:val="24"/>
          <w:szCs w:val="24"/>
          <w:lang w:val="en-US"/>
        </w:rPr>
        <w:t xml:space="preserve">Cowans C, Love A, </w:t>
      </w:r>
      <w:proofErr w:type="spellStart"/>
      <w:r w:rsidRPr="00977EF3">
        <w:rPr>
          <w:rFonts w:ascii="Times New Roman" w:hAnsi="Times New Roman"/>
          <w:kern w:val="0"/>
          <w:sz w:val="24"/>
          <w:szCs w:val="24"/>
          <w:lang w:val="en-US"/>
        </w:rPr>
        <w:t>Tangiisuran</w:t>
      </w:r>
      <w:proofErr w:type="spellEnd"/>
      <w:r w:rsidRPr="00977EF3">
        <w:rPr>
          <w:rFonts w:ascii="Times New Roman" w:hAnsi="Times New Roman"/>
          <w:kern w:val="0"/>
          <w:sz w:val="24"/>
          <w:szCs w:val="24"/>
          <w:lang w:val="en-US"/>
        </w:rPr>
        <w:t xml:space="preserve"> B, Jacob SA. Uncovering the Hidden Burden of Pharmaceutical Poisoning in High-Income and Low-Middle-Income Countries: A Scoping Review. </w:t>
      </w:r>
      <w:r>
        <w:rPr>
          <w:rFonts w:ascii="Times New Roman" w:hAnsi="Times New Roman"/>
          <w:kern w:val="0"/>
          <w:sz w:val="24"/>
          <w:szCs w:val="24"/>
        </w:rPr>
        <w:t xml:space="preserve">Pharmacy. 2023; 11(6):184. </w:t>
      </w:r>
      <w:r w:rsidR="008212A5">
        <w:fldChar w:fldCharType="begin"/>
      </w:r>
      <w:r w:rsidR="008212A5">
        <w:instrText>HYPERLINK "https://doi.org/10.3390/pharmacy11060184"</w:instrText>
      </w:r>
      <w:r w:rsidR="008212A5">
        <w:fldChar w:fldCharType="separate"/>
      </w:r>
      <w:r w:rsidR="008212A5">
        <w:rPr>
          <w:rStyle w:val="Hyperlink"/>
          <w:rFonts w:ascii="Times New Roman" w:hAnsi="Times New Roman"/>
          <w:kern w:val="0"/>
          <w:sz w:val="24"/>
          <w:szCs w:val="24"/>
        </w:rPr>
        <w:t>https://doi.org/10.3390/pharmacy11060184</w:t>
      </w:r>
      <w:r w:rsidR="008212A5">
        <w:fldChar w:fldCharType="end"/>
      </w:r>
    </w:p>
    <w:p w14:paraId="49FA177F" w14:textId="77777777" w:rsidR="008212A5" w:rsidRDefault="00000000">
      <w:pPr>
        <w:pStyle w:val="NormalWeb"/>
        <w:numPr>
          <w:ilvl w:val="0"/>
          <w:numId w:val="11"/>
        </w:numPr>
        <w:spacing w:line="480" w:lineRule="auto"/>
      </w:pPr>
      <w:r w:rsidRPr="00977EF3">
        <w:rPr>
          <w:lang w:val="en-US"/>
        </w:rPr>
        <w:t xml:space="preserve">World Health Organization. (2017). </w:t>
      </w:r>
      <w:r w:rsidRPr="00977EF3">
        <w:rPr>
          <w:rStyle w:val="Emphasis"/>
          <w:rFonts w:eastAsiaTheme="majorEastAsia"/>
          <w:lang w:val="en-US"/>
        </w:rPr>
        <w:t>Medication without harm: WHO global patient safety challenge</w:t>
      </w:r>
      <w:r w:rsidRPr="00977EF3">
        <w:rPr>
          <w:lang w:val="en-US"/>
        </w:rPr>
        <w:t xml:space="preserve">. </w:t>
      </w:r>
      <w:r>
        <w:t>WHO.</w:t>
      </w:r>
    </w:p>
    <w:p w14:paraId="1A64387C" w14:textId="77777777" w:rsidR="008212A5" w:rsidRDefault="00000000">
      <w:pPr>
        <w:pStyle w:val="NormalWeb"/>
        <w:numPr>
          <w:ilvl w:val="0"/>
          <w:numId w:val="11"/>
        </w:numPr>
        <w:spacing w:line="480" w:lineRule="auto"/>
      </w:pPr>
      <w:r w:rsidRPr="00977EF3">
        <w:rPr>
          <w:lang w:val="en-US"/>
        </w:rPr>
        <w:t xml:space="preserve">World Health Organization. (2021). </w:t>
      </w:r>
      <w:r w:rsidRPr="00977EF3">
        <w:rPr>
          <w:rStyle w:val="Emphasis"/>
          <w:rFonts w:eastAsiaTheme="majorEastAsia"/>
          <w:lang w:val="en-US"/>
        </w:rPr>
        <w:t>Global patient safety action plan 2021–2030: Towards eliminating avoidable harm in health care</w:t>
      </w:r>
      <w:r w:rsidRPr="00977EF3">
        <w:rPr>
          <w:lang w:val="en-US"/>
        </w:rPr>
        <w:t xml:space="preserve">. </w:t>
      </w:r>
      <w:r>
        <w:t>WHO</w:t>
      </w:r>
    </w:p>
    <w:p w14:paraId="11D79C41"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Pr>
          <w:rFonts w:ascii="Times New Roman" w:hAnsi="Times New Roman"/>
          <w:kern w:val="0"/>
          <w:sz w:val="24"/>
          <w:szCs w:val="24"/>
        </w:rPr>
        <w:t xml:space="preserve">Kahindo, C. K., Mukuku, O., Wembonyama, S. O., &amp; Tsongo, Z. K. (2022). </w:t>
      </w:r>
      <w:r w:rsidRPr="00977EF3">
        <w:rPr>
          <w:rFonts w:ascii="Times New Roman" w:hAnsi="Times New Roman"/>
          <w:kern w:val="0"/>
          <w:sz w:val="24"/>
          <w:szCs w:val="24"/>
          <w:lang w:val="en-US"/>
        </w:rPr>
        <w:t xml:space="preserve">Prevalence and Factors Associated with Acute Kidney Injury in Sub-Saharan African Adults: A Review of the Current Literature. </w:t>
      </w:r>
      <w:r>
        <w:rPr>
          <w:rFonts w:ascii="Times New Roman" w:hAnsi="Times New Roman"/>
          <w:i/>
          <w:iCs/>
          <w:kern w:val="0"/>
          <w:sz w:val="24"/>
          <w:szCs w:val="24"/>
        </w:rPr>
        <w:t>International journal of nephrology</w:t>
      </w:r>
      <w:r>
        <w:rPr>
          <w:rFonts w:ascii="Times New Roman" w:hAnsi="Times New Roman"/>
          <w:kern w:val="0"/>
          <w:sz w:val="24"/>
          <w:szCs w:val="24"/>
        </w:rPr>
        <w:t xml:space="preserve">, </w:t>
      </w:r>
      <w:r>
        <w:rPr>
          <w:rFonts w:ascii="Times New Roman" w:hAnsi="Times New Roman"/>
          <w:i/>
          <w:iCs/>
          <w:kern w:val="0"/>
          <w:sz w:val="24"/>
          <w:szCs w:val="24"/>
        </w:rPr>
        <w:t>2022</w:t>
      </w:r>
      <w:r>
        <w:rPr>
          <w:rFonts w:ascii="Times New Roman" w:hAnsi="Times New Roman"/>
          <w:kern w:val="0"/>
          <w:sz w:val="24"/>
          <w:szCs w:val="24"/>
        </w:rPr>
        <w:t>, 5621665. https://doi.org/10.1155/2022/5621665</w:t>
      </w:r>
    </w:p>
    <w:p w14:paraId="17922DBA"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Pr>
          <w:rFonts w:ascii="Times New Roman" w:hAnsi="Times New Roman"/>
          <w:kern w:val="0"/>
          <w:sz w:val="24"/>
          <w:szCs w:val="24"/>
        </w:rPr>
        <w:t xml:space="preserve">Akuse, R. M., Adanze, O. Asinobi, P. A. Ekpebe, O. E. Oshomah-Bello, K. O. Oluwatuyi, R. Aliu, A. Ademola, P. K. Ibitoye, and D. C. Briggs. </w:t>
      </w:r>
      <w:r w:rsidRPr="00977EF3">
        <w:rPr>
          <w:rFonts w:ascii="Times New Roman" w:hAnsi="Times New Roman"/>
          <w:kern w:val="0"/>
          <w:sz w:val="24"/>
          <w:szCs w:val="24"/>
          <w:lang w:val="en-US"/>
        </w:rPr>
        <w:t xml:space="preserve">(2024). </w:t>
      </w:r>
      <w:bookmarkEnd w:id="1"/>
      <w:r w:rsidRPr="00977EF3">
        <w:rPr>
          <w:rFonts w:ascii="Times New Roman" w:hAnsi="Times New Roman"/>
          <w:kern w:val="0"/>
          <w:sz w:val="24"/>
          <w:szCs w:val="24"/>
          <w:lang w:val="en-US"/>
        </w:rPr>
        <w:t xml:space="preserve">“Dialysis Availability for </w:t>
      </w:r>
      <w:proofErr w:type="spellStart"/>
      <w:r w:rsidRPr="00977EF3">
        <w:rPr>
          <w:rFonts w:ascii="Times New Roman" w:hAnsi="Times New Roman"/>
          <w:kern w:val="0"/>
          <w:sz w:val="24"/>
          <w:szCs w:val="24"/>
          <w:lang w:val="en-US"/>
        </w:rPr>
        <w:t>Paediatric</w:t>
      </w:r>
      <w:proofErr w:type="spellEnd"/>
      <w:r w:rsidRPr="00977EF3">
        <w:rPr>
          <w:rFonts w:ascii="Times New Roman" w:hAnsi="Times New Roman"/>
          <w:kern w:val="0"/>
          <w:sz w:val="24"/>
          <w:szCs w:val="24"/>
          <w:lang w:val="en-US"/>
        </w:rPr>
        <w:t xml:space="preserve"> Acute Kidney Injury in Nigeria”. </w:t>
      </w:r>
      <w:r w:rsidRPr="00977EF3">
        <w:rPr>
          <w:rFonts w:ascii="Times New Roman" w:hAnsi="Times New Roman"/>
          <w:i/>
          <w:iCs/>
          <w:kern w:val="0"/>
          <w:sz w:val="24"/>
          <w:szCs w:val="24"/>
          <w:lang w:val="en-US"/>
        </w:rPr>
        <w:t>African Journal of Nephrology</w:t>
      </w:r>
      <w:r w:rsidRPr="00977EF3">
        <w:rPr>
          <w:rFonts w:ascii="Times New Roman" w:hAnsi="Times New Roman"/>
          <w:kern w:val="0"/>
          <w:sz w:val="24"/>
          <w:szCs w:val="24"/>
          <w:lang w:val="en-US"/>
        </w:rPr>
        <w:t xml:space="preserve">, 27 (1), 79-87. </w:t>
      </w:r>
      <w:hyperlink r:id="rId26" w:history="1">
        <w:r w:rsidR="008212A5">
          <w:rPr>
            <w:rStyle w:val="Hyperlink"/>
            <w:rFonts w:ascii="Times New Roman" w:hAnsi="Times New Roman"/>
            <w:kern w:val="0"/>
            <w:sz w:val="24"/>
            <w:szCs w:val="24"/>
          </w:rPr>
          <w:t>https://doi.org/10.21804/27-1-6692</w:t>
        </w:r>
      </w:hyperlink>
      <w:r>
        <w:rPr>
          <w:rFonts w:ascii="Times New Roman" w:hAnsi="Times New Roman"/>
          <w:kern w:val="0"/>
          <w:sz w:val="24"/>
          <w:szCs w:val="24"/>
        </w:rPr>
        <w:t>.</w:t>
      </w:r>
    </w:p>
    <w:p w14:paraId="5DF0F051" w14:textId="77777777" w:rsidR="008212A5" w:rsidRPr="00977EF3" w:rsidRDefault="00000000">
      <w:pPr>
        <w:pStyle w:val="ListParagraph"/>
        <w:numPr>
          <w:ilvl w:val="0"/>
          <w:numId w:val="11"/>
        </w:numPr>
        <w:spacing w:after="100" w:afterAutospacing="1" w:line="480" w:lineRule="auto"/>
        <w:rPr>
          <w:rFonts w:ascii="Times New Roman" w:hAnsi="Times New Roman"/>
          <w:kern w:val="0"/>
          <w:sz w:val="24"/>
          <w:szCs w:val="24"/>
          <w:lang w:val="en-US"/>
        </w:rPr>
      </w:pPr>
      <w:bookmarkStart w:id="2" w:name="_Hlk206257020"/>
      <w:bookmarkEnd w:id="2"/>
      <w:r>
        <w:rPr>
          <w:rFonts w:ascii="Times New Roman" w:hAnsi="Times New Roman"/>
          <w:kern w:val="0"/>
          <w:sz w:val="24"/>
          <w:szCs w:val="24"/>
        </w:rPr>
        <w:t xml:space="preserve">Bastani, P., Jammeh, A., Lamar, F., Malenfant, J. H., Adewuyi, P., Cavanaugh, A. M., Calloway, K., Crisp, C., Fofana, N., Hallett, T. C., Jallow, A., Muoneke, U., Nyassi, M., Thomas, J., Troeschel, A., Yard, E., Yeh, M., &amp; Bittaye, M. (2023). </w:t>
      </w:r>
      <w:r w:rsidRPr="00977EF3">
        <w:rPr>
          <w:rFonts w:ascii="Times New Roman" w:hAnsi="Times New Roman"/>
          <w:kern w:val="0"/>
          <w:sz w:val="24"/>
          <w:szCs w:val="24"/>
          <w:lang w:val="en-US"/>
        </w:rPr>
        <w:t xml:space="preserve">Acute Kidney Injury Among Children Likely Associated with Diethylene Glycol-Contaminated Medications - The Gambia, June-September 2022. </w:t>
      </w:r>
      <w:r w:rsidRPr="00977EF3">
        <w:rPr>
          <w:rFonts w:ascii="Times New Roman" w:hAnsi="Times New Roman"/>
          <w:i/>
          <w:iCs/>
          <w:kern w:val="0"/>
          <w:sz w:val="24"/>
          <w:szCs w:val="24"/>
          <w:lang w:val="en-US"/>
        </w:rPr>
        <w:t xml:space="preserve">MMWR </w:t>
      </w:r>
      <w:proofErr w:type="spellStart"/>
      <w:r w:rsidRPr="00977EF3">
        <w:rPr>
          <w:rFonts w:ascii="Times New Roman" w:hAnsi="Times New Roman"/>
          <w:i/>
          <w:iCs/>
          <w:kern w:val="0"/>
          <w:sz w:val="24"/>
          <w:szCs w:val="24"/>
          <w:lang w:val="en-US"/>
        </w:rPr>
        <w:t>Morb</w:t>
      </w:r>
      <w:proofErr w:type="spellEnd"/>
      <w:r w:rsidRPr="00977EF3">
        <w:rPr>
          <w:rFonts w:ascii="Times New Roman" w:hAnsi="Times New Roman"/>
          <w:i/>
          <w:iCs/>
          <w:kern w:val="0"/>
          <w:sz w:val="24"/>
          <w:szCs w:val="24"/>
          <w:lang w:val="en-US"/>
        </w:rPr>
        <w:t xml:space="preserve"> Mortal </w:t>
      </w:r>
      <w:proofErr w:type="spellStart"/>
      <w:r w:rsidRPr="00977EF3">
        <w:rPr>
          <w:rFonts w:ascii="Times New Roman" w:hAnsi="Times New Roman"/>
          <w:i/>
          <w:iCs/>
          <w:kern w:val="0"/>
          <w:sz w:val="24"/>
          <w:szCs w:val="24"/>
          <w:lang w:val="en-US"/>
        </w:rPr>
        <w:t>Wkly</w:t>
      </w:r>
      <w:proofErr w:type="spellEnd"/>
      <w:r w:rsidRPr="00977EF3">
        <w:rPr>
          <w:rFonts w:ascii="Times New Roman" w:hAnsi="Times New Roman"/>
          <w:kern w:val="0"/>
          <w:sz w:val="24"/>
          <w:szCs w:val="24"/>
          <w:lang w:val="en-US"/>
        </w:rPr>
        <w:t xml:space="preserve"> 3;72(9):217-222. </w:t>
      </w:r>
      <w:proofErr w:type="spellStart"/>
      <w:r w:rsidRPr="00977EF3">
        <w:rPr>
          <w:rFonts w:ascii="Times New Roman" w:hAnsi="Times New Roman"/>
          <w:kern w:val="0"/>
          <w:sz w:val="24"/>
          <w:szCs w:val="24"/>
          <w:lang w:val="en-US"/>
        </w:rPr>
        <w:t>doi</w:t>
      </w:r>
      <w:proofErr w:type="spellEnd"/>
      <w:r w:rsidRPr="00977EF3">
        <w:rPr>
          <w:rFonts w:ascii="Times New Roman" w:hAnsi="Times New Roman"/>
          <w:kern w:val="0"/>
          <w:sz w:val="24"/>
          <w:szCs w:val="24"/>
          <w:lang w:val="en-US"/>
        </w:rPr>
        <w:t>: 10.15585/mmwr.mm7209a1. PMID: 36862590; PMCID: PMC9997663.</w:t>
      </w:r>
    </w:p>
    <w:p w14:paraId="7F4032A8"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proofErr w:type="spellStart"/>
      <w:r w:rsidRPr="00977EF3">
        <w:rPr>
          <w:rFonts w:ascii="Times New Roman" w:hAnsi="Times New Roman"/>
          <w:kern w:val="0"/>
          <w:sz w:val="24"/>
          <w:szCs w:val="24"/>
          <w:lang w:val="en-US"/>
        </w:rPr>
        <w:t>Muoneke</w:t>
      </w:r>
      <w:proofErr w:type="spellEnd"/>
      <w:r w:rsidRPr="00977EF3">
        <w:rPr>
          <w:rFonts w:ascii="Times New Roman" w:hAnsi="Times New Roman"/>
          <w:kern w:val="0"/>
          <w:sz w:val="24"/>
          <w:szCs w:val="24"/>
          <w:lang w:val="en-US"/>
        </w:rPr>
        <w:t xml:space="preserve">, U., Allen, A., Ogun, G., Allen, S., </w:t>
      </w:r>
      <w:proofErr w:type="spellStart"/>
      <w:r w:rsidRPr="00977EF3">
        <w:rPr>
          <w:rFonts w:ascii="Times New Roman" w:hAnsi="Times New Roman"/>
          <w:kern w:val="0"/>
          <w:sz w:val="24"/>
          <w:szCs w:val="24"/>
          <w:lang w:val="en-US"/>
        </w:rPr>
        <w:t>Udenweze</w:t>
      </w:r>
      <w:proofErr w:type="spellEnd"/>
      <w:r w:rsidRPr="00977EF3">
        <w:rPr>
          <w:rFonts w:ascii="Times New Roman" w:hAnsi="Times New Roman"/>
          <w:kern w:val="0"/>
          <w:sz w:val="24"/>
          <w:szCs w:val="24"/>
          <w:lang w:val="en-US"/>
        </w:rPr>
        <w:t xml:space="preserve">, I., Mendy, P., Jallow, M., Jallow, C., &amp; Obidike, K. (2024). Epidemic of chemical-induced multiple organ failure presenting as AKI in young children in The Gambia – the clinicians' perspective. </w:t>
      </w:r>
      <w:r>
        <w:rPr>
          <w:rFonts w:ascii="Times New Roman" w:hAnsi="Times New Roman"/>
          <w:i/>
          <w:iCs/>
          <w:kern w:val="0"/>
          <w:sz w:val="24"/>
          <w:szCs w:val="24"/>
        </w:rPr>
        <w:t>Kidney International Reports</w:t>
      </w:r>
      <w:r>
        <w:rPr>
          <w:rFonts w:ascii="Times New Roman" w:hAnsi="Times New Roman"/>
          <w:kern w:val="0"/>
          <w:sz w:val="24"/>
          <w:szCs w:val="24"/>
        </w:rPr>
        <w:t>, 9(4), p.S36.</w:t>
      </w:r>
    </w:p>
    <w:p w14:paraId="5CE45210"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 xml:space="preserve">World Health Organization. (2022). Medical product alert No6/2022: Substandard (contaminated) </w:t>
      </w:r>
      <w:proofErr w:type="spellStart"/>
      <w:r w:rsidRPr="00977EF3">
        <w:rPr>
          <w:rFonts w:ascii="Times New Roman" w:hAnsi="Times New Roman"/>
          <w:kern w:val="0"/>
          <w:sz w:val="24"/>
          <w:szCs w:val="24"/>
          <w:lang w:val="en-US"/>
        </w:rPr>
        <w:t>paediatric</w:t>
      </w:r>
      <w:proofErr w:type="spellEnd"/>
      <w:r w:rsidRPr="00977EF3">
        <w:rPr>
          <w:rFonts w:ascii="Times New Roman" w:hAnsi="Times New Roman"/>
          <w:kern w:val="0"/>
          <w:sz w:val="24"/>
          <w:szCs w:val="24"/>
          <w:lang w:val="en-US"/>
        </w:rPr>
        <w:t xml:space="preserve"> medicines. </w:t>
      </w:r>
      <w:r>
        <w:rPr>
          <w:rFonts w:ascii="Times New Roman" w:hAnsi="Times New Roman"/>
          <w:kern w:val="0"/>
          <w:sz w:val="24"/>
          <w:szCs w:val="24"/>
        </w:rPr>
        <w:t>5 October 2022. [Accessed 11 August 2023</w:t>
      </w:r>
    </w:p>
    <w:p w14:paraId="3E2D138B" w14:textId="77777777" w:rsidR="008212A5" w:rsidRPr="00130584"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 xml:space="preserve">World Health </w:t>
      </w:r>
      <w:proofErr w:type="spellStart"/>
      <w:r w:rsidRPr="00977EF3">
        <w:rPr>
          <w:rFonts w:ascii="Times New Roman" w:hAnsi="Times New Roman"/>
          <w:kern w:val="0"/>
          <w:sz w:val="24"/>
          <w:szCs w:val="24"/>
          <w:lang w:val="en-US"/>
        </w:rPr>
        <w:t>Organization.The</w:t>
      </w:r>
      <w:proofErr w:type="spellEnd"/>
      <w:r w:rsidRPr="00977EF3">
        <w:rPr>
          <w:rFonts w:ascii="Times New Roman" w:hAnsi="Times New Roman"/>
          <w:kern w:val="0"/>
          <w:sz w:val="24"/>
          <w:szCs w:val="24"/>
          <w:lang w:val="en-US"/>
        </w:rPr>
        <w:t xml:space="preserve"> WHO Member State mechanism on substandard and falsified medical products: how WHO Member States work together to increase access to safe, effective and quality medicines, vaccines and other medical products. </w:t>
      </w:r>
      <w:r>
        <w:rPr>
          <w:rFonts w:ascii="Times New Roman" w:hAnsi="Times New Roman"/>
          <w:kern w:val="0"/>
          <w:sz w:val="24"/>
          <w:szCs w:val="24"/>
        </w:rPr>
        <w:t>Update 2022. Geneva: World Health Organization; 2023 Jan 12.</w:t>
      </w:r>
    </w:p>
    <w:p w14:paraId="308B0561" w14:textId="0FA135C8" w:rsidR="00130584" w:rsidRDefault="00130584" w:rsidP="00130584">
      <w:pPr>
        <w:pStyle w:val="NormalWeb"/>
        <w:numPr>
          <w:ilvl w:val="0"/>
          <w:numId w:val="11"/>
        </w:numPr>
        <w:spacing w:line="480" w:lineRule="auto"/>
      </w:pPr>
      <w:r w:rsidRPr="00130584">
        <w:rPr>
          <w:lang w:val="en-US"/>
        </w:rPr>
        <w:t xml:space="preserve">Centers for Disease Control and Prevention (CDC). Fatal poisoning among young children from diethylene glycol–contaminated acetaminophen—Nigeria, 2008–2009. </w:t>
      </w:r>
      <w:r>
        <w:rPr>
          <w:rStyle w:val="Emphasis"/>
          <w:rFonts w:eastAsiaTheme="majorEastAsia"/>
        </w:rPr>
        <w:t>MMWR Morb Mortal Wkly Rep.</w:t>
      </w:r>
      <w:r>
        <w:t xml:space="preserve"> 2010;58(48):1345–1347.</w:t>
      </w:r>
    </w:p>
    <w:p w14:paraId="605A38F2" w14:textId="3CED9F29" w:rsidR="00130584" w:rsidRDefault="00130584" w:rsidP="00130584">
      <w:pPr>
        <w:pStyle w:val="NormalWeb"/>
        <w:numPr>
          <w:ilvl w:val="0"/>
          <w:numId w:val="11"/>
        </w:numPr>
        <w:spacing w:line="480" w:lineRule="auto"/>
      </w:pPr>
      <w:r w:rsidRPr="00130584">
        <w:rPr>
          <w:lang w:val="en-US"/>
        </w:rPr>
        <w:t xml:space="preserve">O’Brien KL, </w:t>
      </w:r>
      <w:proofErr w:type="spellStart"/>
      <w:r w:rsidRPr="00130584">
        <w:rPr>
          <w:lang w:val="en-US"/>
        </w:rPr>
        <w:t>Selanikio</w:t>
      </w:r>
      <w:proofErr w:type="spellEnd"/>
      <w:r w:rsidRPr="00130584">
        <w:rPr>
          <w:lang w:val="en-US"/>
        </w:rPr>
        <w:t xml:space="preserve"> JD, </w:t>
      </w:r>
      <w:proofErr w:type="spellStart"/>
      <w:r w:rsidRPr="00130584">
        <w:rPr>
          <w:lang w:val="en-US"/>
        </w:rPr>
        <w:t>Hecdivert</w:t>
      </w:r>
      <w:proofErr w:type="spellEnd"/>
      <w:r w:rsidRPr="00130584">
        <w:rPr>
          <w:lang w:val="en-US"/>
        </w:rPr>
        <w:t xml:space="preserve"> C, et al. Epidemic of </w:t>
      </w:r>
      <w:proofErr w:type="spellStart"/>
      <w:r w:rsidRPr="00130584">
        <w:rPr>
          <w:lang w:val="en-US"/>
        </w:rPr>
        <w:t>paediatric</w:t>
      </w:r>
      <w:proofErr w:type="spellEnd"/>
      <w:r w:rsidRPr="00130584">
        <w:rPr>
          <w:lang w:val="en-US"/>
        </w:rPr>
        <w:t xml:space="preserve"> deaths from acute renal failure caused by diethylene glycol poisoning. </w:t>
      </w:r>
      <w:r>
        <w:rPr>
          <w:rStyle w:val="Emphasis"/>
          <w:rFonts w:eastAsiaTheme="majorEastAsia"/>
        </w:rPr>
        <w:t>JAMA.</w:t>
      </w:r>
      <w:r>
        <w:t xml:space="preserve"> 1998;279(15):1175–1180.</w:t>
      </w:r>
    </w:p>
    <w:p w14:paraId="08584B5F" w14:textId="24D4BB39" w:rsidR="00130584" w:rsidRPr="00130584" w:rsidRDefault="00130584" w:rsidP="00130584">
      <w:pPr>
        <w:pStyle w:val="NormalWeb"/>
        <w:numPr>
          <w:ilvl w:val="0"/>
          <w:numId w:val="11"/>
        </w:numPr>
        <w:spacing w:line="480" w:lineRule="auto"/>
      </w:pPr>
      <w:r>
        <w:t xml:space="preserve">Sosa NR, Rodríguez GM, Schier JG, Sejvar JJ. </w:t>
      </w:r>
      <w:r w:rsidRPr="00130584">
        <w:rPr>
          <w:lang w:val="en-US"/>
        </w:rPr>
        <w:t xml:space="preserve">Clinical, laboratory, diagnostic, and histopathologic features of diethylene glycol poisoning—Panama, 2006. </w:t>
      </w:r>
      <w:r>
        <w:rPr>
          <w:rStyle w:val="Emphasis"/>
          <w:rFonts w:eastAsiaTheme="majorEastAsia"/>
        </w:rPr>
        <w:t>Ann Emerg Med.</w:t>
      </w:r>
      <w:r>
        <w:t xml:space="preserve"> 2014;64(1):38–47.</w:t>
      </w:r>
    </w:p>
    <w:p w14:paraId="62538C44"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Pr>
          <w:rFonts w:ascii="Times New Roman" w:hAnsi="Times New Roman"/>
          <w:kern w:val="0"/>
          <w:sz w:val="24"/>
          <w:szCs w:val="24"/>
        </w:rPr>
        <w:t xml:space="preserve">Spencer, S. A., Adipa, F. E., Baker, T., Crawford, A. M., Dark, P., Dula, D., Gordon, S. B., Hamilton, D. O., Huluka, D. K., Khalid, K., Lakoh, S., Limbani, F., Rylance, J., Sawe, H. R., Simiyu, I., Waweru-Siika, W., Worrall, E., &amp; Morton, B. (2023). </w:t>
      </w:r>
      <w:r w:rsidRPr="00977EF3">
        <w:rPr>
          <w:rFonts w:ascii="Times New Roman" w:hAnsi="Times New Roman"/>
          <w:kern w:val="0"/>
          <w:sz w:val="24"/>
          <w:szCs w:val="24"/>
          <w:lang w:val="en-US"/>
        </w:rPr>
        <w:t xml:space="preserve">A health systems approach to critical care delivery in low-resource settings: a narrative review. </w:t>
      </w:r>
      <w:r>
        <w:rPr>
          <w:rFonts w:ascii="Times New Roman" w:hAnsi="Times New Roman"/>
          <w:i/>
          <w:iCs/>
          <w:kern w:val="0"/>
          <w:sz w:val="24"/>
          <w:szCs w:val="24"/>
        </w:rPr>
        <w:t>Intensive care medicine</w:t>
      </w:r>
      <w:r>
        <w:rPr>
          <w:rFonts w:ascii="Times New Roman" w:hAnsi="Times New Roman"/>
          <w:kern w:val="0"/>
          <w:sz w:val="24"/>
          <w:szCs w:val="24"/>
        </w:rPr>
        <w:t xml:space="preserve">, </w:t>
      </w:r>
      <w:r>
        <w:rPr>
          <w:rFonts w:ascii="Times New Roman" w:hAnsi="Times New Roman"/>
          <w:i/>
          <w:iCs/>
          <w:kern w:val="0"/>
          <w:sz w:val="24"/>
          <w:szCs w:val="24"/>
        </w:rPr>
        <w:t>49</w:t>
      </w:r>
      <w:r>
        <w:rPr>
          <w:rFonts w:ascii="Times New Roman" w:hAnsi="Times New Roman"/>
          <w:kern w:val="0"/>
          <w:sz w:val="24"/>
          <w:szCs w:val="24"/>
        </w:rPr>
        <w:t>(7), 772–784. https://doi.org/10.1007/s00134-023-07136-2</w:t>
      </w:r>
    </w:p>
    <w:p w14:paraId="3A390590"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Pr>
          <w:rFonts w:ascii="Times New Roman" w:hAnsi="Times New Roman"/>
          <w:kern w:val="0"/>
          <w:sz w:val="24"/>
          <w:szCs w:val="24"/>
        </w:rPr>
        <w:t xml:space="preserve">Astier-Peña, M. P., Martínez-Bianchi, V., Torijano-Casalengua, M. L., Ares-Blanco, S., Bueno-Ortiz, J. M., &amp; Férnandez-García, M. (2021). </w:t>
      </w:r>
      <w:r w:rsidRPr="00977EF3">
        <w:rPr>
          <w:rFonts w:ascii="Times New Roman" w:hAnsi="Times New Roman"/>
          <w:kern w:val="0"/>
          <w:sz w:val="24"/>
          <w:szCs w:val="24"/>
          <w:lang w:val="en-US"/>
        </w:rPr>
        <w:t xml:space="preserve">El Plan de </w:t>
      </w:r>
      <w:proofErr w:type="spellStart"/>
      <w:r w:rsidRPr="00977EF3">
        <w:rPr>
          <w:rFonts w:ascii="Times New Roman" w:hAnsi="Times New Roman"/>
          <w:kern w:val="0"/>
          <w:sz w:val="24"/>
          <w:szCs w:val="24"/>
          <w:lang w:val="en-US"/>
        </w:rPr>
        <w:t>acción</w:t>
      </w:r>
      <w:proofErr w:type="spellEnd"/>
      <w:r w:rsidRPr="00977EF3">
        <w:rPr>
          <w:rFonts w:ascii="Times New Roman" w:hAnsi="Times New Roman"/>
          <w:kern w:val="0"/>
          <w:sz w:val="24"/>
          <w:szCs w:val="24"/>
          <w:lang w:val="en-US"/>
        </w:rPr>
        <w:t xml:space="preserve"> </w:t>
      </w:r>
      <w:proofErr w:type="spellStart"/>
      <w:r w:rsidRPr="00977EF3">
        <w:rPr>
          <w:rFonts w:ascii="Times New Roman" w:hAnsi="Times New Roman"/>
          <w:kern w:val="0"/>
          <w:sz w:val="24"/>
          <w:szCs w:val="24"/>
          <w:lang w:val="en-US"/>
        </w:rPr>
        <w:t>mundial</w:t>
      </w:r>
      <w:proofErr w:type="spellEnd"/>
      <w:r w:rsidRPr="00977EF3">
        <w:rPr>
          <w:rFonts w:ascii="Times New Roman" w:hAnsi="Times New Roman"/>
          <w:kern w:val="0"/>
          <w:sz w:val="24"/>
          <w:szCs w:val="24"/>
          <w:lang w:val="en-US"/>
        </w:rPr>
        <w:t xml:space="preserve"> para la </w:t>
      </w:r>
      <w:proofErr w:type="spellStart"/>
      <w:r w:rsidRPr="00977EF3">
        <w:rPr>
          <w:rFonts w:ascii="Times New Roman" w:hAnsi="Times New Roman"/>
          <w:kern w:val="0"/>
          <w:sz w:val="24"/>
          <w:szCs w:val="24"/>
          <w:lang w:val="en-US"/>
        </w:rPr>
        <w:t>seguridad</w:t>
      </w:r>
      <w:proofErr w:type="spellEnd"/>
      <w:r w:rsidRPr="00977EF3">
        <w:rPr>
          <w:rFonts w:ascii="Times New Roman" w:hAnsi="Times New Roman"/>
          <w:kern w:val="0"/>
          <w:sz w:val="24"/>
          <w:szCs w:val="24"/>
          <w:lang w:val="en-US"/>
        </w:rPr>
        <w:t xml:space="preserve"> del </w:t>
      </w:r>
      <w:proofErr w:type="spellStart"/>
      <w:r w:rsidRPr="00977EF3">
        <w:rPr>
          <w:rFonts w:ascii="Times New Roman" w:hAnsi="Times New Roman"/>
          <w:kern w:val="0"/>
          <w:sz w:val="24"/>
          <w:szCs w:val="24"/>
          <w:lang w:val="en-US"/>
        </w:rPr>
        <w:t>paciente</w:t>
      </w:r>
      <w:proofErr w:type="spellEnd"/>
      <w:r w:rsidRPr="00977EF3">
        <w:rPr>
          <w:rFonts w:ascii="Times New Roman" w:hAnsi="Times New Roman"/>
          <w:kern w:val="0"/>
          <w:sz w:val="24"/>
          <w:szCs w:val="24"/>
          <w:lang w:val="en-US"/>
        </w:rPr>
        <w:t xml:space="preserve"> 2021-2030: </w:t>
      </w:r>
      <w:proofErr w:type="spellStart"/>
      <w:r w:rsidRPr="00977EF3">
        <w:rPr>
          <w:rFonts w:ascii="Times New Roman" w:hAnsi="Times New Roman"/>
          <w:kern w:val="0"/>
          <w:sz w:val="24"/>
          <w:szCs w:val="24"/>
          <w:lang w:val="en-US"/>
        </w:rPr>
        <w:t>identificando</w:t>
      </w:r>
      <w:proofErr w:type="spellEnd"/>
      <w:r w:rsidRPr="00977EF3">
        <w:rPr>
          <w:rFonts w:ascii="Times New Roman" w:hAnsi="Times New Roman"/>
          <w:kern w:val="0"/>
          <w:sz w:val="24"/>
          <w:szCs w:val="24"/>
          <w:lang w:val="en-US"/>
        </w:rPr>
        <w:t xml:space="preserve"> </w:t>
      </w:r>
      <w:proofErr w:type="spellStart"/>
      <w:r w:rsidRPr="00977EF3">
        <w:rPr>
          <w:rFonts w:ascii="Times New Roman" w:hAnsi="Times New Roman"/>
          <w:kern w:val="0"/>
          <w:sz w:val="24"/>
          <w:szCs w:val="24"/>
          <w:lang w:val="en-US"/>
        </w:rPr>
        <w:t>acciones</w:t>
      </w:r>
      <w:proofErr w:type="spellEnd"/>
      <w:r w:rsidRPr="00977EF3">
        <w:rPr>
          <w:rFonts w:ascii="Times New Roman" w:hAnsi="Times New Roman"/>
          <w:kern w:val="0"/>
          <w:sz w:val="24"/>
          <w:szCs w:val="24"/>
          <w:lang w:val="en-US"/>
        </w:rPr>
        <w:t xml:space="preserve"> para </w:t>
      </w:r>
      <w:proofErr w:type="spellStart"/>
      <w:r w:rsidRPr="00977EF3">
        <w:rPr>
          <w:rFonts w:ascii="Times New Roman" w:hAnsi="Times New Roman"/>
          <w:kern w:val="0"/>
          <w:sz w:val="24"/>
          <w:szCs w:val="24"/>
          <w:lang w:val="en-US"/>
        </w:rPr>
        <w:t>una</w:t>
      </w:r>
      <w:proofErr w:type="spellEnd"/>
      <w:r w:rsidRPr="00977EF3">
        <w:rPr>
          <w:rFonts w:ascii="Times New Roman" w:hAnsi="Times New Roman"/>
          <w:kern w:val="0"/>
          <w:sz w:val="24"/>
          <w:szCs w:val="24"/>
          <w:lang w:val="en-US"/>
        </w:rPr>
        <w:t xml:space="preserve"> </w:t>
      </w:r>
      <w:proofErr w:type="spellStart"/>
      <w:r w:rsidRPr="00977EF3">
        <w:rPr>
          <w:rFonts w:ascii="Times New Roman" w:hAnsi="Times New Roman"/>
          <w:kern w:val="0"/>
          <w:sz w:val="24"/>
          <w:szCs w:val="24"/>
          <w:lang w:val="en-US"/>
        </w:rPr>
        <w:t>atención</w:t>
      </w:r>
      <w:proofErr w:type="spellEnd"/>
      <w:r w:rsidRPr="00977EF3">
        <w:rPr>
          <w:rFonts w:ascii="Times New Roman" w:hAnsi="Times New Roman"/>
          <w:kern w:val="0"/>
          <w:sz w:val="24"/>
          <w:szCs w:val="24"/>
          <w:lang w:val="en-US"/>
        </w:rPr>
        <w:t xml:space="preserve"> </w:t>
      </w:r>
      <w:proofErr w:type="spellStart"/>
      <w:r w:rsidRPr="00977EF3">
        <w:rPr>
          <w:rFonts w:ascii="Times New Roman" w:hAnsi="Times New Roman"/>
          <w:kern w:val="0"/>
          <w:sz w:val="24"/>
          <w:szCs w:val="24"/>
          <w:lang w:val="en-US"/>
        </w:rPr>
        <w:t>primaria</w:t>
      </w:r>
      <w:proofErr w:type="spellEnd"/>
      <w:r w:rsidRPr="00977EF3">
        <w:rPr>
          <w:rFonts w:ascii="Times New Roman" w:hAnsi="Times New Roman"/>
          <w:kern w:val="0"/>
          <w:sz w:val="24"/>
          <w:szCs w:val="24"/>
          <w:lang w:val="en-US"/>
        </w:rPr>
        <w:t xml:space="preserve"> </w:t>
      </w:r>
      <w:proofErr w:type="spellStart"/>
      <w:r w:rsidRPr="00977EF3">
        <w:rPr>
          <w:rFonts w:ascii="Times New Roman" w:hAnsi="Times New Roman"/>
          <w:kern w:val="0"/>
          <w:sz w:val="24"/>
          <w:szCs w:val="24"/>
          <w:lang w:val="en-US"/>
        </w:rPr>
        <w:t>más</w:t>
      </w:r>
      <w:proofErr w:type="spellEnd"/>
      <w:r w:rsidRPr="00977EF3">
        <w:rPr>
          <w:rFonts w:ascii="Times New Roman" w:hAnsi="Times New Roman"/>
          <w:kern w:val="0"/>
          <w:sz w:val="24"/>
          <w:szCs w:val="24"/>
          <w:lang w:val="en-US"/>
        </w:rPr>
        <w:t xml:space="preserve"> </w:t>
      </w:r>
      <w:proofErr w:type="spellStart"/>
      <w:r w:rsidRPr="00977EF3">
        <w:rPr>
          <w:rFonts w:ascii="Times New Roman" w:hAnsi="Times New Roman"/>
          <w:kern w:val="0"/>
          <w:sz w:val="24"/>
          <w:szCs w:val="24"/>
          <w:lang w:val="en-US"/>
        </w:rPr>
        <w:t>segura</w:t>
      </w:r>
      <w:proofErr w:type="spellEnd"/>
      <w:r w:rsidRPr="00977EF3">
        <w:rPr>
          <w:rFonts w:ascii="Times New Roman" w:hAnsi="Times New Roman"/>
          <w:kern w:val="0"/>
          <w:sz w:val="24"/>
          <w:szCs w:val="24"/>
          <w:lang w:val="en-US"/>
        </w:rPr>
        <w:t xml:space="preserve"> [The Global Patient Safety Action Plan 2021-2030: Identifying actions for safer primary health care]. </w:t>
      </w:r>
      <w:r>
        <w:rPr>
          <w:rFonts w:ascii="Times New Roman" w:hAnsi="Times New Roman"/>
          <w:i/>
          <w:iCs/>
          <w:kern w:val="0"/>
          <w:sz w:val="24"/>
          <w:szCs w:val="24"/>
        </w:rPr>
        <w:t>Atencion primaria</w:t>
      </w:r>
      <w:r>
        <w:rPr>
          <w:rFonts w:ascii="Times New Roman" w:hAnsi="Times New Roman"/>
          <w:kern w:val="0"/>
          <w:sz w:val="24"/>
          <w:szCs w:val="24"/>
        </w:rPr>
        <w:t xml:space="preserve">, </w:t>
      </w:r>
      <w:r>
        <w:rPr>
          <w:rFonts w:ascii="Times New Roman" w:hAnsi="Times New Roman"/>
          <w:i/>
          <w:iCs/>
          <w:kern w:val="0"/>
          <w:sz w:val="24"/>
          <w:szCs w:val="24"/>
        </w:rPr>
        <w:t>53 Suppl 1</w:t>
      </w:r>
      <w:r>
        <w:rPr>
          <w:rFonts w:ascii="Times New Roman" w:hAnsi="Times New Roman"/>
          <w:kern w:val="0"/>
          <w:sz w:val="24"/>
          <w:szCs w:val="24"/>
        </w:rPr>
        <w:t>(Suppl 1), 102224. https://doi.org/10.1016/j.aprim.2021.102224</w:t>
      </w:r>
    </w:p>
    <w:p w14:paraId="38973EA1"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b/>
          <w:bCs/>
          <w:kern w:val="0"/>
          <w:sz w:val="24"/>
          <w:szCs w:val="24"/>
          <w:lang w:val="en-US"/>
        </w:rPr>
        <w:t>World Health Organization.</w:t>
      </w:r>
      <w:r w:rsidRPr="00977EF3">
        <w:rPr>
          <w:rFonts w:ascii="Times New Roman" w:hAnsi="Times New Roman"/>
          <w:kern w:val="0"/>
          <w:sz w:val="24"/>
          <w:szCs w:val="24"/>
          <w:lang w:val="en-US"/>
        </w:rPr>
        <w:t xml:space="preserve"> </w:t>
      </w:r>
      <w:r w:rsidRPr="00977EF3">
        <w:rPr>
          <w:rFonts w:ascii="Times New Roman" w:hAnsi="Times New Roman"/>
          <w:i/>
          <w:iCs/>
          <w:kern w:val="0"/>
          <w:sz w:val="24"/>
          <w:szCs w:val="24"/>
          <w:lang w:val="en-US"/>
        </w:rPr>
        <w:t>Medication without harm: policy brief.</w:t>
      </w:r>
      <w:r w:rsidRPr="00977EF3">
        <w:rPr>
          <w:rFonts w:ascii="Times New Roman" w:hAnsi="Times New Roman"/>
          <w:kern w:val="0"/>
          <w:sz w:val="24"/>
          <w:szCs w:val="24"/>
          <w:lang w:val="en-US"/>
        </w:rPr>
        <w:t xml:space="preserve"> </w:t>
      </w:r>
      <w:r>
        <w:rPr>
          <w:rFonts w:ascii="Times New Roman" w:hAnsi="Times New Roman"/>
          <w:kern w:val="0"/>
          <w:sz w:val="24"/>
          <w:szCs w:val="24"/>
        </w:rPr>
        <w:t>Geneva: World Health Organization; 2024 Mar 7</w:t>
      </w:r>
    </w:p>
    <w:p w14:paraId="1D4A6DBF"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b/>
          <w:bCs/>
          <w:kern w:val="0"/>
          <w:sz w:val="24"/>
          <w:szCs w:val="24"/>
          <w:lang w:val="en-US"/>
        </w:rPr>
        <w:t>National Assembly of The Gambia.</w:t>
      </w:r>
      <w:r w:rsidRPr="00977EF3">
        <w:rPr>
          <w:rFonts w:ascii="Times New Roman" w:hAnsi="Times New Roman"/>
          <w:kern w:val="0"/>
          <w:sz w:val="24"/>
          <w:szCs w:val="24"/>
          <w:lang w:val="en-US"/>
        </w:rPr>
        <w:t xml:space="preserve"> </w:t>
      </w:r>
      <w:r w:rsidRPr="00977EF3">
        <w:rPr>
          <w:rFonts w:ascii="Times New Roman" w:hAnsi="Times New Roman"/>
          <w:i/>
          <w:iCs/>
          <w:kern w:val="0"/>
          <w:sz w:val="24"/>
          <w:szCs w:val="24"/>
          <w:lang w:val="en-US"/>
        </w:rPr>
        <w:t>Report of the Select Committee on the acute kidney injury (AKI) outbreak associated with contaminated medicinal syrups in The Gambia.</w:t>
      </w:r>
      <w:r w:rsidRPr="00977EF3">
        <w:rPr>
          <w:rFonts w:ascii="Times New Roman" w:hAnsi="Times New Roman"/>
          <w:kern w:val="0"/>
          <w:sz w:val="24"/>
          <w:szCs w:val="24"/>
          <w:lang w:val="en-US"/>
        </w:rPr>
        <w:t xml:space="preserve"> </w:t>
      </w:r>
      <w:r>
        <w:rPr>
          <w:rFonts w:ascii="Times New Roman" w:hAnsi="Times New Roman"/>
          <w:kern w:val="0"/>
          <w:sz w:val="24"/>
          <w:szCs w:val="24"/>
        </w:rPr>
        <w:t>Banjul: National Assembly of The Gambia; 2022 Dec 20</w:t>
      </w:r>
    </w:p>
    <w:p w14:paraId="4B610843"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 xml:space="preserve">Wiegmann, D. A., Wood, L. J., Cohen, T. N., &amp; Shappell, S. A. (2022). Understanding the "Swiss Cheese Model" and Its Application to Patient Safety. </w:t>
      </w:r>
      <w:r>
        <w:rPr>
          <w:rFonts w:ascii="Times New Roman" w:hAnsi="Times New Roman"/>
          <w:i/>
          <w:iCs/>
          <w:kern w:val="0"/>
          <w:sz w:val="24"/>
          <w:szCs w:val="24"/>
        </w:rPr>
        <w:t>Journal of Patient Safety</w:t>
      </w:r>
      <w:r>
        <w:rPr>
          <w:rFonts w:ascii="Times New Roman" w:hAnsi="Times New Roman"/>
          <w:kern w:val="0"/>
          <w:sz w:val="24"/>
          <w:szCs w:val="24"/>
        </w:rPr>
        <w:t>, 18(2), 119–123.</w:t>
      </w:r>
    </w:p>
    <w:p w14:paraId="6486BDF1"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eastAsia="Times New Roman" w:hAnsi="Times New Roman"/>
          <w:kern w:val="0"/>
          <w:sz w:val="24"/>
          <w:szCs w:val="24"/>
          <w:lang w:val="en-US"/>
        </w:rPr>
        <w:t xml:space="preserve">Molloy GJ, O'Boyle CA. The SHEL model: a useful tool for analyzing and teaching the contribution of Human Factors to medical error. </w:t>
      </w:r>
      <w:r>
        <w:rPr>
          <w:rFonts w:ascii="Times New Roman" w:eastAsia="Times New Roman" w:hAnsi="Times New Roman"/>
          <w:i/>
          <w:iCs/>
          <w:kern w:val="0"/>
          <w:sz w:val="24"/>
          <w:szCs w:val="24"/>
        </w:rPr>
        <w:t>Acad Med</w:t>
      </w:r>
      <w:r>
        <w:rPr>
          <w:rFonts w:ascii="Times New Roman" w:eastAsia="Times New Roman" w:hAnsi="Times New Roman"/>
          <w:kern w:val="0"/>
          <w:sz w:val="24"/>
          <w:szCs w:val="24"/>
        </w:rPr>
        <w:t>. 2005;80(2):152-155. doi:10.1097/00001888-200502000-00009</w:t>
      </w:r>
    </w:p>
    <w:p w14:paraId="2031AAF5"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proofErr w:type="spellStart"/>
      <w:r w:rsidRPr="00977EF3">
        <w:rPr>
          <w:rFonts w:ascii="Times New Roman" w:hAnsi="Times New Roman"/>
          <w:kern w:val="0"/>
          <w:sz w:val="24"/>
          <w:szCs w:val="24"/>
          <w:lang w:val="en-US"/>
        </w:rPr>
        <w:t>Rosenorn</w:t>
      </w:r>
      <w:proofErr w:type="spellEnd"/>
      <w:r w:rsidRPr="00977EF3">
        <w:rPr>
          <w:rFonts w:ascii="Times New Roman" w:hAnsi="Times New Roman"/>
          <w:kern w:val="0"/>
          <w:sz w:val="24"/>
          <w:szCs w:val="24"/>
          <w:lang w:val="en-US"/>
        </w:rPr>
        <w:t xml:space="preserve">-Lanng, D. (2015). </w:t>
      </w:r>
      <w:r w:rsidRPr="00977EF3">
        <w:rPr>
          <w:rFonts w:ascii="Times New Roman" w:hAnsi="Times New Roman"/>
          <w:i/>
          <w:iCs/>
          <w:kern w:val="0"/>
          <w:sz w:val="24"/>
          <w:szCs w:val="24"/>
          <w:lang w:val="en-US"/>
        </w:rPr>
        <w:t>Human Factors in Healthcare, Level One</w:t>
      </w:r>
      <w:r w:rsidRPr="00977EF3">
        <w:rPr>
          <w:rFonts w:ascii="Times New Roman" w:hAnsi="Times New Roman"/>
          <w:kern w:val="0"/>
          <w:sz w:val="24"/>
          <w:szCs w:val="24"/>
          <w:lang w:val="en-US"/>
        </w:rPr>
        <w:t xml:space="preserve">. </w:t>
      </w:r>
      <w:r>
        <w:rPr>
          <w:rFonts w:ascii="Times New Roman" w:hAnsi="Times New Roman"/>
          <w:kern w:val="0"/>
          <w:sz w:val="24"/>
          <w:szCs w:val="24"/>
        </w:rPr>
        <w:t>Oxford University Press.</w:t>
      </w:r>
    </w:p>
    <w:p w14:paraId="2C783BC4"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proofErr w:type="spellStart"/>
      <w:r w:rsidRPr="00977EF3">
        <w:rPr>
          <w:rFonts w:ascii="Times New Roman" w:hAnsi="Times New Roman"/>
          <w:kern w:val="0"/>
          <w:sz w:val="24"/>
          <w:szCs w:val="24"/>
          <w:lang w:val="en-US"/>
        </w:rPr>
        <w:t>Rosenorn</w:t>
      </w:r>
      <w:proofErr w:type="spellEnd"/>
      <w:r w:rsidRPr="00977EF3">
        <w:rPr>
          <w:rFonts w:ascii="Times New Roman" w:hAnsi="Times New Roman"/>
          <w:kern w:val="0"/>
          <w:sz w:val="24"/>
          <w:szCs w:val="24"/>
          <w:lang w:val="en-US"/>
        </w:rPr>
        <w:t xml:space="preserve">-Lanng, D. (2015). </w:t>
      </w:r>
      <w:r w:rsidRPr="00977EF3">
        <w:rPr>
          <w:rFonts w:ascii="Times New Roman" w:hAnsi="Times New Roman"/>
          <w:i/>
          <w:iCs/>
          <w:kern w:val="0"/>
          <w:sz w:val="24"/>
          <w:szCs w:val="24"/>
          <w:lang w:val="en-US"/>
        </w:rPr>
        <w:t>Human Factors in Healthcare, Level Two</w:t>
      </w:r>
      <w:r w:rsidRPr="00977EF3">
        <w:rPr>
          <w:rFonts w:ascii="Times New Roman" w:hAnsi="Times New Roman"/>
          <w:kern w:val="0"/>
          <w:sz w:val="24"/>
          <w:szCs w:val="24"/>
          <w:lang w:val="en-US"/>
        </w:rPr>
        <w:t xml:space="preserve">. </w:t>
      </w:r>
      <w:r>
        <w:rPr>
          <w:rFonts w:ascii="Times New Roman" w:hAnsi="Times New Roman"/>
          <w:kern w:val="0"/>
          <w:sz w:val="24"/>
          <w:szCs w:val="24"/>
        </w:rPr>
        <w:t>Oxford University Press.</w:t>
      </w:r>
    </w:p>
    <w:p w14:paraId="1B99A1FA" w14:textId="77777777" w:rsidR="008212A5" w:rsidRPr="00977EF3" w:rsidRDefault="00000000">
      <w:pPr>
        <w:pStyle w:val="ListParagraph"/>
        <w:numPr>
          <w:ilvl w:val="0"/>
          <w:numId w:val="11"/>
        </w:numPr>
        <w:spacing w:after="100" w:afterAutospacing="1" w:line="480" w:lineRule="auto"/>
        <w:rPr>
          <w:rFonts w:ascii="Times New Roman" w:hAnsi="Times New Roman"/>
          <w:kern w:val="0"/>
          <w:sz w:val="24"/>
          <w:szCs w:val="24"/>
          <w:lang w:val="en-US"/>
        </w:rPr>
      </w:pPr>
      <w:r w:rsidRPr="00977EF3">
        <w:rPr>
          <w:rFonts w:ascii="Times New Roman" w:hAnsi="Times New Roman"/>
          <w:kern w:val="0"/>
          <w:sz w:val="24"/>
          <w:szCs w:val="24"/>
          <w:lang w:val="en-US"/>
        </w:rPr>
        <w:t xml:space="preserve">Stanton, N. A., Chambers, P. R. G., &amp; Piggott, J. (2001). Situational awareness and safety. </w:t>
      </w:r>
      <w:r w:rsidRPr="00977EF3">
        <w:rPr>
          <w:rFonts w:ascii="Times New Roman" w:hAnsi="Times New Roman"/>
          <w:i/>
          <w:iCs/>
          <w:kern w:val="0"/>
          <w:sz w:val="24"/>
          <w:szCs w:val="24"/>
          <w:lang w:val="en-US"/>
        </w:rPr>
        <w:t>Safety Science</w:t>
      </w:r>
      <w:r w:rsidRPr="00977EF3">
        <w:rPr>
          <w:rFonts w:ascii="Times New Roman" w:hAnsi="Times New Roman"/>
          <w:kern w:val="0"/>
          <w:sz w:val="24"/>
          <w:szCs w:val="24"/>
          <w:lang w:val="en-US"/>
        </w:rPr>
        <w:t>, 39, 189–204.</w:t>
      </w:r>
    </w:p>
    <w:p w14:paraId="6FE7AA24" w14:textId="77777777" w:rsidR="008212A5" w:rsidRPr="00977EF3" w:rsidRDefault="00000000">
      <w:pPr>
        <w:pStyle w:val="ListParagraph"/>
        <w:numPr>
          <w:ilvl w:val="0"/>
          <w:numId w:val="11"/>
        </w:numPr>
        <w:spacing w:after="100" w:afterAutospacing="1" w:line="480" w:lineRule="auto"/>
        <w:rPr>
          <w:rFonts w:ascii="Times New Roman" w:hAnsi="Times New Roman"/>
          <w:kern w:val="0"/>
          <w:sz w:val="24"/>
          <w:szCs w:val="24"/>
          <w:lang w:val="en-US"/>
        </w:rPr>
      </w:pPr>
      <w:r w:rsidRPr="00977EF3">
        <w:rPr>
          <w:rFonts w:ascii="Times New Roman" w:hAnsi="Times New Roman"/>
          <w:kern w:val="0"/>
          <w:sz w:val="24"/>
          <w:szCs w:val="24"/>
          <w:lang w:val="en-US"/>
        </w:rPr>
        <w:t xml:space="preserve">Saied, A. A., Metwally, A. A., &amp; </w:t>
      </w:r>
      <w:proofErr w:type="spellStart"/>
      <w:r w:rsidRPr="00977EF3">
        <w:rPr>
          <w:rFonts w:ascii="Times New Roman" w:hAnsi="Times New Roman"/>
          <w:kern w:val="0"/>
          <w:sz w:val="24"/>
          <w:szCs w:val="24"/>
          <w:lang w:val="en-US"/>
        </w:rPr>
        <w:t>Dhama</w:t>
      </w:r>
      <w:proofErr w:type="spellEnd"/>
      <w:r w:rsidRPr="00977EF3">
        <w:rPr>
          <w:rFonts w:ascii="Times New Roman" w:hAnsi="Times New Roman"/>
          <w:kern w:val="0"/>
          <w:sz w:val="24"/>
          <w:szCs w:val="24"/>
          <w:lang w:val="en-US"/>
        </w:rPr>
        <w:t xml:space="preserve">, K. (2023). Gambian children's deaths due to contaminated cough syrups are a mutual responsibility. </w:t>
      </w:r>
      <w:r w:rsidRPr="00977EF3">
        <w:rPr>
          <w:rFonts w:ascii="Times New Roman" w:hAnsi="Times New Roman"/>
          <w:i/>
          <w:iCs/>
          <w:kern w:val="0"/>
          <w:sz w:val="24"/>
          <w:szCs w:val="24"/>
          <w:lang w:val="en-US"/>
        </w:rPr>
        <w:t>International Journal of Surgery</w:t>
      </w:r>
      <w:r w:rsidRPr="00977EF3">
        <w:rPr>
          <w:rFonts w:ascii="Times New Roman" w:hAnsi="Times New Roman"/>
          <w:kern w:val="0"/>
          <w:sz w:val="24"/>
          <w:szCs w:val="24"/>
          <w:lang w:val="en-US"/>
        </w:rPr>
        <w:t xml:space="preserve"> (London, England), 109(2), 115–116. </w:t>
      </w:r>
      <w:hyperlink r:id="rId27" w:history="1">
        <w:r w:rsidR="008212A5" w:rsidRPr="00977EF3">
          <w:rPr>
            <w:rStyle w:val="Hyperlink"/>
            <w:rFonts w:ascii="Times New Roman" w:hAnsi="Times New Roman"/>
            <w:kern w:val="0"/>
            <w:sz w:val="24"/>
            <w:szCs w:val="24"/>
            <w:lang w:val="en-US"/>
          </w:rPr>
          <w:t>https://doi.org/10.1097/JS9.0000000000000112</w:t>
        </w:r>
      </w:hyperlink>
    </w:p>
    <w:p w14:paraId="25771B5E" w14:textId="77777777" w:rsidR="008212A5" w:rsidRPr="00977EF3" w:rsidRDefault="00000000">
      <w:pPr>
        <w:pStyle w:val="ListParagraph"/>
        <w:numPr>
          <w:ilvl w:val="0"/>
          <w:numId w:val="11"/>
        </w:numPr>
        <w:spacing w:after="100" w:afterAutospacing="1" w:line="480" w:lineRule="auto"/>
        <w:rPr>
          <w:rFonts w:ascii="Times New Roman" w:hAnsi="Times New Roman"/>
          <w:kern w:val="0"/>
          <w:sz w:val="24"/>
          <w:szCs w:val="24"/>
          <w:lang w:val="en-US"/>
        </w:rPr>
      </w:pPr>
      <w:r w:rsidRPr="00977EF3">
        <w:rPr>
          <w:rFonts w:ascii="Times New Roman" w:hAnsi="Times New Roman"/>
          <w:kern w:val="0"/>
          <w:sz w:val="24"/>
          <w:szCs w:val="24"/>
          <w:lang w:val="en-US"/>
        </w:rPr>
        <w:t>Patient Safety Learning (2023). Patient Safety Learning. - The hub: An award-winning platform to share learning for patient safety.</w:t>
      </w:r>
    </w:p>
    <w:p w14:paraId="6561BB64"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 xml:space="preserve">Kohn, L. T., Corrigan, J., &amp; Donaldson, M. S. (2000). To err is human: Building a safer health system. </w:t>
      </w:r>
      <w:r>
        <w:rPr>
          <w:rFonts w:ascii="Times New Roman" w:hAnsi="Times New Roman"/>
          <w:kern w:val="0"/>
          <w:sz w:val="24"/>
          <w:szCs w:val="24"/>
        </w:rPr>
        <w:t>National Academy Press.</w:t>
      </w:r>
    </w:p>
    <w:p w14:paraId="715EC7C9"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Oliveira CL, Fernandez-</w:t>
      </w:r>
      <w:proofErr w:type="spellStart"/>
      <w:r w:rsidRPr="00977EF3">
        <w:rPr>
          <w:rFonts w:ascii="Times New Roman" w:hAnsi="Times New Roman"/>
          <w:kern w:val="0"/>
          <w:sz w:val="24"/>
          <w:szCs w:val="24"/>
          <w:lang w:val="en-US"/>
        </w:rPr>
        <w:t>Llimos</w:t>
      </w:r>
      <w:proofErr w:type="spellEnd"/>
      <w:r w:rsidRPr="00977EF3">
        <w:rPr>
          <w:rFonts w:ascii="Times New Roman" w:hAnsi="Times New Roman"/>
          <w:kern w:val="0"/>
          <w:sz w:val="24"/>
          <w:szCs w:val="24"/>
          <w:lang w:val="en-US"/>
        </w:rPr>
        <w:t xml:space="preserve"> F, Alves da Costa F, Aguiar JP, Duarte-Ramos F. A case/non-case study of a national pharmacovigilance database to explore drug-induced acute kidney injury. </w:t>
      </w:r>
      <w:r>
        <w:rPr>
          <w:rFonts w:ascii="Times New Roman" w:hAnsi="Times New Roman"/>
          <w:i/>
          <w:iCs/>
          <w:kern w:val="0"/>
          <w:sz w:val="24"/>
          <w:szCs w:val="24"/>
        </w:rPr>
        <w:t>Int J Clin Pharm</w:t>
      </w:r>
      <w:r>
        <w:rPr>
          <w:rFonts w:ascii="Times New Roman" w:hAnsi="Times New Roman"/>
          <w:kern w:val="0"/>
          <w:sz w:val="24"/>
          <w:szCs w:val="24"/>
        </w:rPr>
        <w:t>. 2025;47(6):1730-1738.</w:t>
      </w:r>
    </w:p>
    <w:p w14:paraId="5C236FC4"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 xml:space="preserve">Banham-Hall, E., &amp; Stevens, S. (2019). Hindsight bias critically impacts on clinicians' assessment of care quality in retrospective case note review. </w:t>
      </w:r>
      <w:r>
        <w:rPr>
          <w:rFonts w:ascii="Times New Roman" w:hAnsi="Times New Roman"/>
          <w:kern w:val="0"/>
          <w:sz w:val="24"/>
          <w:szCs w:val="24"/>
        </w:rPr>
        <w:t xml:space="preserve">Clinical Medicine (London, England), 19(1), 16–21. </w:t>
      </w:r>
      <w:r w:rsidR="008212A5">
        <w:fldChar w:fldCharType="begin"/>
      </w:r>
      <w:r w:rsidR="008212A5">
        <w:instrText>HYPERLINK "https://doi.org/10.7861/clinmedicine.19-1-16"</w:instrText>
      </w:r>
      <w:r w:rsidR="008212A5">
        <w:fldChar w:fldCharType="separate"/>
      </w:r>
      <w:r w:rsidR="008212A5">
        <w:rPr>
          <w:rStyle w:val="Hyperlink"/>
          <w:rFonts w:ascii="Times New Roman" w:hAnsi="Times New Roman"/>
          <w:kern w:val="0"/>
          <w:sz w:val="24"/>
          <w:szCs w:val="24"/>
        </w:rPr>
        <w:t>https://doi.org/10.7861/clinmedicine.19-1-16</w:t>
      </w:r>
      <w:r w:rsidR="008212A5">
        <w:fldChar w:fldCharType="end"/>
      </w:r>
    </w:p>
    <w:p w14:paraId="568394E2"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 xml:space="preserve">Brady, P. W., Muething, S., </w:t>
      </w:r>
      <w:proofErr w:type="spellStart"/>
      <w:r w:rsidRPr="00977EF3">
        <w:rPr>
          <w:rFonts w:ascii="Times New Roman" w:hAnsi="Times New Roman"/>
          <w:kern w:val="0"/>
          <w:sz w:val="24"/>
          <w:szCs w:val="24"/>
          <w:lang w:val="en-US"/>
        </w:rPr>
        <w:t>Kotagal</w:t>
      </w:r>
      <w:proofErr w:type="spellEnd"/>
      <w:r w:rsidRPr="00977EF3">
        <w:rPr>
          <w:rFonts w:ascii="Times New Roman" w:hAnsi="Times New Roman"/>
          <w:kern w:val="0"/>
          <w:sz w:val="24"/>
          <w:szCs w:val="24"/>
          <w:lang w:val="en-US"/>
        </w:rPr>
        <w:t xml:space="preserve">, U., Ashby, M., Gallagher, R., Hall, D., Goodfriend, M., White, C., Bracke, T. M., DeCastro, V., Geiser, M., Simon, J., Tucker, K. M., Olivea, J., Conway, P. H., &amp; Wheeler, D. S. (2013). Improving situation awareness to reduce unrecognized clinical deterioration and serious safety events. </w:t>
      </w:r>
      <w:r>
        <w:rPr>
          <w:rFonts w:ascii="Times New Roman" w:hAnsi="Times New Roman"/>
          <w:i/>
          <w:iCs/>
          <w:kern w:val="0"/>
          <w:sz w:val="24"/>
          <w:szCs w:val="24"/>
        </w:rPr>
        <w:t>Pediatrics</w:t>
      </w:r>
      <w:r>
        <w:rPr>
          <w:rFonts w:ascii="Times New Roman" w:hAnsi="Times New Roman"/>
          <w:kern w:val="0"/>
          <w:sz w:val="24"/>
          <w:szCs w:val="24"/>
        </w:rPr>
        <w:t xml:space="preserve">, 131(1), e298–e308. </w:t>
      </w:r>
      <w:r w:rsidR="008212A5">
        <w:fldChar w:fldCharType="begin"/>
      </w:r>
      <w:r w:rsidR="008212A5">
        <w:instrText>HYPERLINK "https://doi.org/10.1542/peds.2012-1364"</w:instrText>
      </w:r>
      <w:r w:rsidR="008212A5">
        <w:fldChar w:fldCharType="separate"/>
      </w:r>
      <w:r w:rsidR="008212A5">
        <w:rPr>
          <w:rStyle w:val="Hyperlink"/>
          <w:rFonts w:ascii="Times New Roman" w:hAnsi="Times New Roman"/>
          <w:kern w:val="0"/>
          <w:sz w:val="24"/>
          <w:szCs w:val="24"/>
        </w:rPr>
        <w:t>https://doi.org/10.1542/peds.2012-1364</w:t>
      </w:r>
      <w:r w:rsidR="008212A5">
        <w:fldChar w:fldCharType="end"/>
      </w:r>
    </w:p>
    <w:p w14:paraId="10F38469"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bookmarkStart w:id="3" w:name="_Hlk206247808"/>
      <w:bookmarkEnd w:id="3"/>
      <w:r w:rsidRPr="00977EF3">
        <w:rPr>
          <w:rFonts w:ascii="Times New Roman" w:hAnsi="Times New Roman"/>
          <w:kern w:val="0"/>
          <w:sz w:val="24"/>
          <w:szCs w:val="24"/>
          <w:lang w:val="en-US"/>
        </w:rPr>
        <w:t xml:space="preserve">Dwyer, J., Karanikas, N., &amp; Sav, A. (2023). Scoping Review of Peer-Reviewed Empirical Studies on Implementing High Reliability </w:t>
      </w:r>
      <w:proofErr w:type="spellStart"/>
      <w:r w:rsidRPr="00977EF3">
        <w:rPr>
          <w:rFonts w:ascii="Times New Roman" w:hAnsi="Times New Roman"/>
          <w:kern w:val="0"/>
          <w:sz w:val="24"/>
          <w:szCs w:val="24"/>
          <w:lang w:val="en-US"/>
        </w:rPr>
        <w:t>Organisation</w:t>
      </w:r>
      <w:proofErr w:type="spellEnd"/>
      <w:r w:rsidRPr="00977EF3">
        <w:rPr>
          <w:rFonts w:ascii="Times New Roman" w:hAnsi="Times New Roman"/>
          <w:kern w:val="0"/>
          <w:sz w:val="24"/>
          <w:szCs w:val="24"/>
          <w:lang w:val="en-US"/>
        </w:rPr>
        <w:t xml:space="preserve"> Theory. </w:t>
      </w:r>
      <w:r>
        <w:rPr>
          <w:rFonts w:ascii="Times New Roman" w:hAnsi="Times New Roman"/>
          <w:kern w:val="0"/>
          <w:sz w:val="24"/>
          <w:szCs w:val="24"/>
        </w:rPr>
        <w:t>Safety Science, 164, Article ID: 106178. https://doi.org/10.1016/j.ssci.2023.106178</w:t>
      </w:r>
    </w:p>
    <w:p w14:paraId="692B6F9B"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de-DE"/>
        </w:rPr>
        <w:t xml:space="preserve">Ghaderi, C., Esmaeili, R., &amp; Ebadi, A. (2022). </w:t>
      </w:r>
      <w:r w:rsidRPr="00977EF3">
        <w:rPr>
          <w:rFonts w:ascii="Times New Roman" w:hAnsi="Times New Roman"/>
          <w:kern w:val="0"/>
          <w:sz w:val="24"/>
          <w:szCs w:val="24"/>
          <w:lang w:val="en-US"/>
        </w:rPr>
        <w:t xml:space="preserve">Situation awareness in intensive care unit nurses: A qualitative directed content analysis. </w:t>
      </w:r>
      <w:r>
        <w:rPr>
          <w:rFonts w:ascii="Times New Roman" w:hAnsi="Times New Roman"/>
          <w:i/>
          <w:iCs/>
          <w:kern w:val="0"/>
          <w:sz w:val="24"/>
          <w:szCs w:val="24"/>
        </w:rPr>
        <w:t>Frontiers in Public Health</w:t>
      </w:r>
      <w:r>
        <w:rPr>
          <w:rFonts w:ascii="Times New Roman" w:hAnsi="Times New Roman"/>
          <w:kern w:val="0"/>
          <w:sz w:val="24"/>
          <w:szCs w:val="24"/>
        </w:rPr>
        <w:t xml:space="preserve">, 10, 999745. </w:t>
      </w:r>
      <w:r w:rsidR="008212A5">
        <w:fldChar w:fldCharType="begin"/>
      </w:r>
      <w:r w:rsidR="008212A5">
        <w:instrText>HYPERLINK "https://doi.org/10.3389/fpubh.2022.999745"</w:instrText>
      </w:r>
      <w:r w:rsidR="008212A5">
        <w:fldChar w:fldCharType="separate"/>
      </w:r>
      <w:r w:rsidR="008212A5">
        <w:rPr>
          <w:rStyle w:val="Hyperlink"/>
          <w:rFonts w:ascii="Times New Roman" w:hAnsi="Times New Roman"/>
          <w:kern w:val="0"/>
          <w:sz w:val="24"/>
          <w:szCs w:val="24"/>
        </w:rPr>
        <w:t>https://doi.org/10.3389/fpubh.2022.999745</w:t>
      </w:r>
      <w:r w:rsidR="008212A5">
        <w:fldChar w:fldCharType="end"/>
      </w:r>
    </w:p>
    <w:p w14:paraId="426587BE" w14:textId="77777777" w:rsidR="008212A5" w:rsidRPr="00977EF3" w:rsidRDefault="00000000">
      <w:pPr>
        <w:pStyle w:val="ListParagraph"/>
        <w:numPr>
          <w:ilvl w:val="0"/>
          <w:numId w:val="11"/>
        </w:numPr>
        <w:spacing w:after="100" w:afterAutospacing="1" w:line="480" w:lineRule="auto"/>
        <w:rPr>
          <w:rFonts w:ascii="Times New Roman" w:hAnsi="Times New Roman"/>
          <w:kern w:val="0"/>
          <w:sz w:val="24"/>
          <w:szCs w:val="24"/>
          <w:lang w:val="en-US"/>
        </w:rPr>
      </w:pPr>
      <w:r w:rsidRPr="00977EF3">
        <w:rPr>
          <w:rFonts w:ascii="Times New Roman" w:hAnsi="Times New Roman"/>
          <w:kern w:val="0"/>
          <w:sz w:val="24"/>
          <w:szCs w:val="24"/>
          <w:lang w:val="en-US"/>
        </w:rPr>
        <w:t xml:space="preserve">Henriksen, K., &amp; Kaplan, H. (2003). Hindsight bias, outcome knowledge and adaptive learning. </w:t>
      </w:r>
      <w:r w:rsidRPr="00977EF3">
        <w:rPr>
          <w:rFonts w:ascii="Times New Roman" w:hAnsi="Times New Roman"/>
          <w:i/>
          <w:iCs/>
          <w:kern w:val="0"/>
          <w:sz w:val="24"/>
          <w:szCs w:val="24"/>
          <w:lang w:val="en-US"/>
        </w:rPr>
        <w:t>Quality &amp; Safety in Health Care</w:t>
      </w:r>
      <w:r w:rsidRPr="00977EF3">
        <w:rPr>
          <w:rFonts w:ascii="Times New Roman" w:hAnsi="Times New Roman"/>
          <w:kern w:val="0"/>
          <w:sz w:val="24"/>
          <w:szCs w:val="24"/>
          <w:lang w:val="en-US"/>
        </w:rPr>
        <w:t xml:space="preserve">, 12 Suppl 2(Suppl 2), ii46–ii50. </w:t>
      </w:r>
      <w:hyperlink r:id="rId28" w:history="1">
        <w:r w:rsidR="008212A5" w:rsidRPr="00977EF3">
          <w:rPr>
            <w:rStyle w:val="Hyperlink"/>
            <w:rFonts w:ascii="Times New Roman" w:hAnsi="Times New Roman"/>
            <w:kern w:val="0"/>
            <w:sz w:val="24"/>
            <w:szCs w:val="24"/>
            <w:lang w:val="en-US"/>
          </w:rPr>
          <w:t>https://doi.org/10.1136/qhc.12.suppl_2.ii46</w:t>
        </w:r>
      </w:hyperlink>
    </w:p>
    <w:p w14:paraId="4C155638" w14:textId="77777777" w:rsidR="008212A5" w:rsidRPr="00977EF3" w:rsidRDefault="00000000">
      <w:pPr>
        <w:pStyle w:val="ListParagraph"/>
        <w:numPr>
          <w:ilvl w:val="0"/>
          <w:numId w:val="11"/>
        </w:numPr>
        <w:spacing w:after="100" w:afterAutospacing="1" w:line="480" w:lineRule="auto"/>
        <w:rPr>
          <w:lang w:val="en-US"/>
        </w:rPr>
      </w:pPr>
      <w:bookmarkStart w:id="4" w:name="_Hlk206253073"/>
      <w:bookmarkEnd w:id="4"/>
      <w:r w:rsidRPr="00977EF3">
        <w:rPr>
          <w:rFonts w:ascii="Times New Roman" w:hAnsi="Times New Roman"/>
          <w:kern w:val="0"/>
          <w:sz w:val="24"/>
          <w:szCs w:val="24"/>
          <w:lang w:val="en-US"/>
        </w:rPr>
        <w:t xml:space="preserve">Khatri, R. B., </w:t>
      </w:r>
      <w:proofErr w:type="spellStart"/>
      <w:r w:rsidRPr="00977EF3">
        <w:rPr>
          <w:rFonts w:ascii="Times New Roman" w:hAnsi="Times New Roman"/>
          <w:kern w:val="0"/>
          <w:sz w:val="24"/>
          <w:szCs w:val="24"/>
          <w:lang w:val="en-US"/>
        </w:rPr>
        <w:t>Endalamaw</w:t>
      </w:r>
      <w:proofErr w:type="spellEnd"/>
      <w:r w:rsidRPr="00977EF3">
        <w:rPr>
          <w:rFonts w:ascii="Times New Roman" w:hAnsi="Times New Roman"/>
          <w:kern w:val="0"/>
          <w:sz w:val="24"/>
          <w:szCs w:val="24"/>
          <w:lang w:val="en-US"/>
        </w:rPr>
        <w:t xml:space="preserve">, A., </w:t>
      </w:r>
      <w:proofErr w:type="spellStart"/>
      <w:r w:rsidRPr="00977EF3">
        <w:rPr>
          <w:rFonts w:ascii="Times New Roman" w:hAnsi="Times New Roman"/>
          <w:kern w:val="0"/>
          <w:sz w:val="24"/>
          <w:szCs w:val="24"/>
          <w:lang w:val="en-US"/>
        </w:rPr>
        <w:t>Erku</w:t>
      </w:r>
      <w:proofErr w:type="spellEnd"/>
      <w:r w:rsidRPr="00977EF3">
        <w:rPr>
          <w:rFonts w:ascii="Times New Roman" w:hAnsi="Times New Roman"/>
          <w:kern w:val="0"/>
          <w:sz w:val="24"/>
          <w:szCs w:val="24"/>
          <w:lang w:val="en-US"/>
        </w:rPr>
        <w:t xml:space="preserve">, D., </w:t>
      </w:r>
      <w:proofErr w:type="spellStart"/>
      <w:r w:rsidRPr="00977EF3">
        <w:rPr>
          <w:rFonts w:ascii="Times New Roman" w:hAnsi="Times New Roman"/>
          <w:kern w:val="0"/>
          <w:sz w:val="24"/>
          <w:szCs w:val="24"/>
          <w:lang w:val="en-US"/>
        </w:rPr>
        <w:t>Wolka</w:t>
      </w:r>
      <w:proofErr w:type="spellEnd"/>
      <w:r w:rsidRPr="00977EF3">
        <w:rPr>
          <w:rFonts w:ascii="Times New Roman" w:hAnsi="Times New Roman"/>
          <w:kern w:val="0"/>
          <w:sz w:val="24"/>
          <w:szCs w:val="24"/>
          <w:lang w:val="en-US"/>
        </w:rPr>
        <w:t xml:space="preserve">, E., Nigatu, F., Zewdie, A., &amp; Assefa, Y. (2023). Preparedness, impacts, and responses of public health emergencies towards health security: qualitative synthesis of evidence. Archives of public health = </w:t>
      </w:r>
      <w:r>
        <w:rPr>
          <w:rFonts w:ascii="Times New Roman" w:hAnsi="Times New Roman"/>
          <w:noProof/>
          <w:kern w:val="0"/>
          <w:sz w:val="24"/>
          <w:szCs w:val="24"/>
          <w14:ligatures w14:val="standardContextual"/>
        </w:rPr>
        <mc:AlternateContent>
          <mc:Choice Requires="wps">
            <w:drawing>
              <wp:anchor distT="0" distB="0" distL="114300" distR="114300" simplePos="0" relativeHeight="251666432" behindDoc="0" locked="0" layoutInCell="1" allowOverlap="1" wp14:anchorId="233D51D5" wp14:editId="027912C1">
                <wp:simplePos x="0" y="0"/>
                <wp:positionH relativeFrom="column">
                  <wp:posOffset>8649335</wp:posOffset>
                </wp:positionH>
                <wp:positionV relativeFrom="paragraph">
                  <wp:posOffset>423545</wp:posOffset>
                </wp:positionV>
                <wp:extent cx="6350" cy="12065"/>
                <wp:effectExtent l="57150" t="57150" r="51435" b="45720"/>
                <wp:wrapNone/>
                <wp:docPr id="1969148673" name="Ink 13"/>
                <wp:cNvGraphicFramePr/>
                <a:graphic xmlns:a="http://schemas.openxmlformats.org/drawingml/2006/main">
                  <a:graphicData uri="http://schemas.microsoft.com/office/word/2010/wordprocessingInk">
                    <w14:contentPart bwMode="auto" r:id="rId29">
                      <w14:nvContentPartPr>
                        <w14:cNvContentPartPr/>
                      </w14:nvContentPartPr>
                      <w14:xfrm>
                        <a:off x="0" y="0"/>
                        <a:ext cx="6075" cy="11790"/>
                      </w14:xfrm>
                    </w14:contentPart>
                  </a:graphicData>
                </a:graphic>
              </wp:anchor>
            </w:drawing>
          </mc:Choice>
          <mc:Fallback xmlns:wpsCustomData="http://www.wps.cn/officeDocument/2013/wpsCustomData">
            <w:pict>
              <v:shape id="Ink 13" o:spid="_x0000_s1026" o:spt="75" style="position:absolute;left:0pt;margin-left:681.05pt;margin-top:33.35pt;height:0.95pt;width:0.5pt;z-index:251666432;mso-width-relative:page;mso-height-relative:page;" coordsize="21600,21600" o:gfxdata="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">
                <v:imagedata r:id="rId30" o:title=""/>
                <o:lock v:ext="edit"/>
              </v:shape>
            </w:pict>
          </mc:Fallback>
        </mc:AlternateContent>
      </w:r>
      <w:r w:rsidRPr="00977EF3">
        <w:rPr>
          <w:rFonts w:ascii="Times New Roman" w:hAnsi="Times New Roman"/>
          <w:kern w:val="0"/>
          <w:sz w:val="24"/>
          <w:szCs w:val="24"/>
          <w:lang w:val="en-US"/>
        </w:rPr>
        <w:t xml:space="preserve">Archives </w:t>
      </w:r>
      <w:proofErr w:type="spellStart"/>
      <w:r w:rsidRPr="00977EF3">
        <w:rPr>
          <w:rFonts w:ascii="Times New Roman" w:hAnsi="Times New Roman"/>
          <w:kern w:val="0"/>
          <w:sz w:val="24"/>
          <w:szCs w:val="24"/>
          <w:lang w:val="en-US"/>
        </w:rPr>
        <w:t>belges</w:t>
      </w:r>
      <w:proofErr w:type="spellEnd"/>
      <w:r w:rsidRPr="00977EF3">
        <w:rPr>
          <w:rFonts w:ascii="Times New Roman" w:hAnsi="Times New Roman"/>
          <w:kern w:val="0"/>
          <w:sz w:val="24"/>
          <w:szCs w:val="24"/>
          <w:lang w:val="en-US"/>
        </w:rPr>
        <w:t xml:space="preserve"> de </w:t>
      </w:r>
      <w:proofErr w:type="spellStart"/>
      <w:r w:rsidRPr="00977EF3">
        <w:rPr>
          <w:rFonts w:ascii="Times New Roman" w:hAnsi="Times New Roman"/>
          <w:kern w:val="0"/>
          <w:sz w:val="24"/>
          <w:szCs w:val="24"/>
          <w:lang w:val="en-US"/>
        </w:rPr>
        <w:t>sante</w:t>
      </w:r>
      <w:proofErr w:type="spellEnd"/>
      <w:r w:rsidRPr="00977EF3">
        <w:rPr>
          <w:rFonts w:ascii="Times New Roman" w:hAnsi="Times New Roman"/>
          <w:kern w:val="0"/>
          <w:sz w:val="24"/>
          <w:szCs w:val="24"/>
          <w:lang w:val="en-US"/>
        </w:rPr>
        <w:t xml:space="preserve"> </w:t>
      </w:r>
      <w:proofErr w:type="spellStart"/>
      <w:r w:rsidRPr="00977EF3">
        <w:rPr>
          <w:rFonts w:ascii="Times New Roman" w:hAnsi="Times New Roman"/>
          <w:kern w:val="0"/>
          <w:sz w:val="24"/>
          <w:szCs w:val="24"/>
          <w:lang w:val="en-US"/>
        </w:rPr>
        <w:t>publique</w:t>
      </w:r>
      <w:proofErr w:type="spellEnd"/>
      <w:r w:rsidRPr="00977EF3">
        <w:rPr>
          <w:rFonts w:ascii="Times New Roman" w:hAnsi="Times New Roman"/>
          <w:kern w:val="0"/>
          <w:sz w:val="24"/>
          <w:szCs w:val="24"/>
          <w:lang w:val="en-US"/>
        </w:rPr>
        <w:t xml:space="preserve">, 81(1), 208. </w:t>
      </w:r>
      <w:hyperlink r:id="rId31" w:history="1">
        <w:r w:rsidR="008212A5" w:rsidRPr="00977EF3">
          <w:rPr>
            <w:rStyle w:val="Hyperlink"/>
            <w:rFonts w:ascii="Times New Roman" w:hAnsi="Times New Roman"/>
            <w:kern w:val="0"/>
            <w:sz w:val="24"/>
            <w:szCs w:val="24"/>
            <w:lang w:val="en-US"/>
          </w:rPr>
          <w:t>https://doi.org/10.1186/s13690-023-01223-y</w:t>
        </w:r>
        <w:bookmarkStart w:id="5" w:name="_Hlk217409125"/>
      </w:hyperlink>
    </w:p>
    <w:p w14:paraId="69998625"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Pr>
          <w:rFonts w:ascii="Times New Roman" w:eastAsia="SimSun" w:hAnsi="Times New Roman"/>
          <w:kern w:val="0"/>
          <w:sz w:val="24"/>
          <w:szCs w:val="24"/>
          <w:lang w:val="en-US" w:bidi="ar"/>
        </w:rPr>
        <w:t xml:space="preserve">Al Asfoor D, </w:t>
      </w:r>
      <w:proofErr w:type="spellStart"/>
      <w:r>
        <w:rPr>
          <w:rFonts w:ascii="Times New Roman" w:eastAsia="SimSun" w:hAnsi="Times New Roman"/>
          <w:kern w:val="0"/>
          <w:sz w:val="24"/>
          <w:szCs w:val="24"/>
          <w:lang w:val="en-US" w:bidi="ar"/>
        </w:rPr>
        <w:t>Tabche</w:t>
      </w:r>
      <w:proofErr w:type="spellEnd"/>
      <w:r>
        <w:rPr>
          <w:rFonts w:ascii="Times New Roman" w:eastAsia="SimSun" w:hAnsi="Times New Roman"/>
          <w:kern w:val="0"/>
          <w:sz w:val="24"/>
          <w:szCs w:val="24"/>
          <w:lang w:val="en-US" w:bidi="ar"/>
        </w:rPr>
        <w:t xml:space="preserve"> C, Al-</w:t>
      </w:r>
      <w:proofErr w:type="spellStart"/>
      <w:r>
        <w:rPr>
          <w:rFonts w:ascii="Times New Roman" w:eastAsia="SimSun" w:hAnsi="Times New Roman"/>
          <w:kern w:val="0"/>
          <w:sz w:val="24"/>
          <w:szCs w:val="24"/>
          <w:lang w:val="en-US" w:bidi="ar"/>
        </w:rPr>
        <w:t>Zadjali</w:t>
      </w:r>
      <w:proofErr w:type="spellEnd"/>
      <w:r>
        <w:rPr>
          <w:rFonts w:ascii="Times New Roman" w:eastAsia="SimSun" w:hAnsi="Times New Roman"/>
          <w:kern w:val="0"/>
          <w:sz w:val="24"/>
          <w:szCs w:val="24"/>
          <w:lang w:val="en-US" w:bidi="ar"/>
        </w:rPr>
        <w:t xml:space="preserve"> M, </w:t>
      </w:r>
      <w:proofErr w:type="spellStart"/>
      <w:r>
        <w:rPr>
          <w:rFonts w:ascii="Times New Roman" w:eastAsia="SimSun" w:hAnsi="Times New Roman"/>
          <w:kern w:val="0"/>
          <w:sz w:val="24"/>
          <w:szCs w:val="24"/>
          <w:lang w:val="en-US" w:bidi="ar"/>
        </w:rPr>
        <w:t>Mataria</w:t>
      </w:r>
      <w:proofErr w:type="spellEnd"/>
      <w:r>
        <w:rPr>
          <w:rFonts w:ascii="Times New Roman" w:eastAsia="SimSun" w:hAnsi="Times New Roman"/>
          <w:kern w:val="0"/>
          <w:sz w:val="24"/>
          <w:szCs w:val="24"/>
          <w:lang w:val="en-US" w:bidi="ar"/>
        </w:rPr>
        <w:t xml:space="preserve"> A, Saikat S, </w:t>
      </w:r>
      <w:proofErr w:type="spellStart"/>
      <w:r>
        <w:rPr>
          <w:rFonts w:ascii="Times New Roman" w:eastAsia="SimSun" w:hAnsi="Times New Roman"/>
          <w:kern w:val="0"/>
          <w:sz w:val="24"/>
          <w:szCs w:val="24"/>
          <w:lang w:val="en-US" w:bidi="ar"/>
        </w:rPr>
        <w:t>Rawaf</w:t>
      </w:r>
      <w:proofErr w:type="spellEnd"/>
      <w:r>
        <w:rPr>
          <w:rFonts w:ascii="Times New Roman" w:eastAsia="SimSun" w:hAnsi="Times New Roman"/>
          <w:kern w:val="0"/>
          <w:sz w:val="24"/>
          <w:szCs w:val="24"/>
          <w:lang w:val="en-US" w:bidi="ar"/>
        </w:rPr>
        <w:t xml:space="preserve"> S. Concept analysis of health system resilience. </w:t>
      </w:r>
      <w:r>
        <w:rPr>
          <w:rFonts w:ascii="Times New Roman" w:eastAsia="SimSun" w:hAnsi="Times New Roman"/>
          <w:i/>
          <w:iCs/>
          <w:kern w:val="0"/>
          <w:sz w:val="24"/>
          <w:szCs w:val="24"/>
          <w:lang w:val="en-US" w:bidi="ar"/>
        </w:rPr>
        <w:t>Health Res Policy Syst</w:t>
      </w:r>
      <w:r>
        <w:rPr>
          <w:rFonts w:ascii="Times New Roman" w:eastAsia="SimSun" w:hAnsi="Times New Roman"/>
          <w:kern w:val="0"/>
          <w:sz w:val="24"/>
          <w:szCs w:val="24"/>
          <w:lang w:val="en-US" w:bidi="ar"/>
        </w:rPr>
        <w:t>. 2024;22(1):43. Published 2024 Apr 5. doi:10.1186/s12961-024-01114-w</w:t>
      </w:r>
    </w:p>
    <w:p w14:paraId="41BC378C"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proofErr w:type="spellStart"/>
      <w:r w:rsidRPr="00977EF3">
        <w:rPr>
          <w:rFonts w:ascii="Times New Roman" w:hAnsi="Times New Roman"/>
          <w:kern w:val="0"/>
          <w:sz w:val="24"/>
          <w:szCs w:val="24"/>
          <w:lang w:val="en-US"/>
        </w:rPr>
        <w:t>Kinteh</w:t>
      </w:r>
      <w:proofErr w:type="spellEnd"/>
      <w:r w:rsidRPr="00977EF3">
        <w:rPr>
          <w:rFonts w:ascii="Times New Roman" w:hAnsi="Times New Roman"/>
          <w:kern w:val="0"/>
          <w:sz w:val="24"/>
          <w:szCs w:val="24"/>
          <w:lang w:val="en-US"/>
        </w:rPr>
        <w:t xml:space="preserve">, B., Jatta, S. P. S., </w:t>
      </w:r>
      <w:proofErr w:type="spellStart"/>
      <w:r w:rsidRPr="00977EF3">
        <w:rPr>
          <w:rFonts w:ascii="Times New Roman" w:hAnsi="Times New Roman"/>
          <w:kern w:val="0"/>
          <w:sz w:val="24"/>
          <w:szCs w:val="24"/>
          <w:lang w:val="en-US"/>
        </w:rPr>
        <w:t>Kinteh</w:t>
      </w:r>
      <w:proofErr w:type="spellEnd"/>
      <w:r w:rsidRPr="00977EF3">
        <w:rPr>
          <w:rFonts w:ascii="Times New Roman" w:hAnsi="Times New Roman"/>
          <w:kern w:val="0"/>
          <w:sz w:val="24"/>
          <w:szCs w:val="24"/>
          <w:lang w:val="en-US"/>
        </w:rPr>
        <w:t xml:space="preserve">, S. L. S., Badjie, M., Touray, E., Sillah, S. O., &amp; Barrow, A. (2024). Exploring rural households' knowledge and perception of acute kidney injury in the southern region of The Gambia: a mixed-method community-based cross-sectional study design. </w:t>
      </w:r>
      <w:r>
        <w:rPr>
          <w:rFonts w:ascii="Times New Roman" w:hAnsi="Times New Roman"/>
          <w:i/>
          <w:iCs/>
          <w:kern w:val="0"/>
          <w:sz w:val="24"/>
          <w:szCs w:val="24"/>
        </w:rPr>
        <w:t>BMJ Public Health</w:t>
      </w:r>
      <w:r>
        <w:rPr>
          <w:rFonts w:ascii="Times New Roman" w:hAnsi="Times New Roman"/>
          <w:kern w:val="0"/>
          <w:sz w:val="24"/>
          <w:szCs w:val="24"/>
        </w:rPr>
        <w:t xml:space="preserve">, 2(1), e000428. </w:t>
      </w:r>
      <w:r w:rsidR="008212A5">
        <w:fldChar w:fldCharType="begin"/>
      </w:r>
      <w:r w:rsidR="008212A5">
        <w:instrText>HYPERLINK "https://doi.org/10.1136/bmjph-2023-000428"</w:instrText>
      </w:r>
      <w:r w:rsidR="008212A5">
        <w:fldChar w:fldCharType="separate"/>
      </w:r>
      <w:r w:rsidR="008212A5">
        <w:rPr>
          <w:rStyle w:val="Hyperlink"/>
          <w:rFonts w:ascii="Times New Roman" w:hAnsi="Times New Roman"/>
          <w:kern w:val="0"/>
          <w:sz w:val="24"/>
          <w:szCs w:val="24"/>
        </w:rPr>
        <w:t>https://doi.org/10.1136/bmjph-2023-000428</w:t>
      </w:r>
      <w:r w:rsidR="008212A5">
        <w:fldChar w:fldCharType="end"/>
      </w:r>
    </w:p>
    <w:bookmarkEnd w:id="5"/>
    <w:p w14:paraId="6CABC43B" w14:textId="77777777" w:rsidR="008212A5" w:rsidRDefault="00000000">
      <w:pPr>
        <w:pStyle w:val="ListParagraph"/>
        <w:spacing w:after="100" w:afterAutospacing="1" w:line="480" w:lineRule="auto"/>
        <w:rPr>
          <w:rFonts w:ascii="Times New Roman" w:hAnsi="Times New Roman"/>
          <w:kern w:val="0"/>
          <w:sz w:val="24"/>
          <w:szCs w:val="24"/>
        </w:rPr>
      </w:pPr>
      <w:r>
        <w:rPr>
          <w:rFonts w:ascii="Times New Roman" w:hAnsi="Times New Roman"/>
          <w:kern w:val="0"/>
          <w:sz w:val="24"/>
          <w:szCs w:val="24"/>
        </w:rPr>
        <w:t xml:space="preserve"> </w:t>
      </w:r>
    </w:p>
    <w:p w14:paraId="14940B7D"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bookmarkStart w:id="6" w:name="_Hlk205921477"/>
      <w:bookmarkStart w:id="7" w:name="_Hlk206251653"/>
      <w:bookmarkEnd w:id="6"/>
      <w:bookmarkEnd w:id="7"/>
      <w:r w:rsidRPr="00977EF3">
        <w:rPr>
          <w:rFonts w:ascii="Times New Roman" w:hAnsi="Times New Roman"/>
          <w:kern w:val="0"/>
          <w:sz w:val="24"/>
          <w:szCs w:val="24"/>
          <w:lang w:val="en-US"/>
        </w:rPr>
        <w:t xml:space="preserve">Ostad-Ali-Askari, K. (2022). Management of risks substances and sustainable development. </w:t>
      </w:r>
      <w:r>
        <w:rPr>
          <w:rFonts w:ascii="Times New Roman" w:hAnsi="Times New Roman"/>
          <w:i/>
          <w:iCs/>
          <w:kern w:val="0"/>
          <w:sz w:val="24"/>
          <w:szCs w:val="24"/>
        </w:rPr>
        <w:t>Applied Water Science, 12</w:t>
      </w:r>
      <w:r>
        <w:rPr>
          <w:rFonts w:ascii="Times New Roman" w:hAnsi="Times New Roman"/>
          <w:kern w:val="0"/>
          <w:sz w:val="24"/>
          <w:szCs w:val="24"/>
        </w:rPr>
        <w:t xml:space="preserve">(65). </w:t>
      </w:r>
      <w:hyperlink r:id="rId32" w:history="1">
        <w:r w:rsidR="008212A5">
          <w:rPr>
            <w:rStyle w:val="16"/>
            <w:rFonts w:ascii="Times New Roman" w:hAnsi="Times New Roman" w:hint="default"/>
            <w:kern w:val="0"/>
            <w:sz w:val="24"/>
            <w:szCs w:val="24"/>
          </w:rPr>
          <w:t>https://doi.org/10.1007/s13201-021-01562-7</w:t>
        </w:r>
      </w:hyperlink>
    </w:p>
    <w:p w14:paraId="0E897E39" w14:textId="77777777" w:rsidR="008212A5" w:rsidRPr="00977EF3" w:rsidRDefault="00000000">
      <w:pPr>
        <w:pStyle w:val="ListParagraph"/>
        <w:numPr>
          <w:ilvl w:val="0"/>
          <w:numId w:val="11"/>
        </w:numPr>
        <w:spacing w:after="100" w:afterAutospacing="1" w:line="480" w:lineRule="auto"/>
        <w:rPr>
          <w:rFonts w:ascii="Times New Roman" w:hAnsi="Times New Roman"/>
          <w:kern w:val="0"/>
          <w:sz w:val="24"/>
          <w:szCs w:val="24"/>
          <w:lang w:val="en-US"/>
        </w:rPr>
      </w:pPr>
      <w:r w:rsidRPr="00977EF3">
        <w:rPr>
          <w:rFonts w:ascii="Times New Roman" w:hAnsi="Times New Roman"/>
          <w:kern w:val="0"/>
          <w:sz w:val="24"/>
          <w:szCs w:val="24"/>
          <w:lang w:val="en-US"/>
        </w:rPr>
        <w:t>Patient Safety Learning (2023). Patient Safety Learning. - The hub: An award-winning platform to share learning for patient safety.</w:t>
      </w:r>
    </w:p>
    <w:p w14:paraId="4BBC12F1" w14:textId="77777777" w:rsidR="008212A5" w:rsidRPr="00977EF3" w:rsidRDefault="00000000">
      <w:pPr>
        <w:pStyle w:val="ListParagraph"/>
        <w:numPr>
          <w:ilvl w:val="0"/>
          <w:numId w:val="11"/>
        </w:numPr>
        <w:spacing w:after="100" w:afterAutospacing="1" w:line="480" w:lineRule="auto"/>
        <w:rPr>
          <w:rFonts w:ascii="Times New Roman" w:eastAsia="Times New Roman" w:hAnsi="Times New Roman"/>
          <w:b/>
          <w:bCs/>
          <w:kern w:val="0"/>
          <w:sz w:val="27"/>
          <w:szCs w:val="27"/>
          <w:lang w:val="en-US"/>
        </w:rPr>
      </w:pPr>
      <w:bookmarkStart w:id="8" w:name="_Hlk195018697"/>
      <w:bookmarkEnd w:id="8"/>
      <w:r w:rsidRPr="00977EF3">
        <w:rPr>
          <w:rFonts w:ascii="Times New Roman" w:hAnsi="Times New Roman"/>
          <w:sz w:val="24"/>
          <w:szCs w:val="24"/>
          <w:lang w:val="en-US"/>
        </w:rPr>
        <w:t xml:space="preserve">Wilder R, Halabi S, Gostin LO (2025) Global and national actions to prevent trade in substandard and adulterated medicines. PLOS Glob Public Health 5(2): e0004024. </w:t>
      </w:r>
      <w:hyperlink r:id="rId33" w:history="1">
        <w:r w:rsidR="008212A5" w:rsidRPr="00977EF3">
          <w:rPr>
            <w:rStyle w:val="Hyperlink"/>
            <w:rFonts w:ascii="Times New Roman" w:hAnsi="Times New Roman"/>
            <w:sz w:val="24"/>
            <w:szCs w:val="24"/>
            <w:lang w:val="en-US"/>
          </w:rPr>
          <w:t>https://doi.org/10.1371/journal.pgph.000402</w:t>
        </w:r>
      </w:hyperlink>
    </w:p>
    <w:p w14:paraId="092F9746" w14:textId="77777777" w:rsidR="008212A5" w:rsidRDefault="00000000">
      <w:pPr>
        <w:pStyle w:val="ListParagraph"/>
        <w:numPr>
          <w:ilvl w:val="0"/>
          <w:numId w:val="11"/>
        </w:numPr>
        <w:spacing w:after="100" w:afterAutospacing="1" w:line="480" w:lineRule="auto"/>
        <w:rPr>
          <w:rFonts w:ascii="Times New Roman" w:hAnsi="Times New Roman"/>
          <w:kern w:val="0"/>
          <w:sz w:val="24"/>
          <w:szCs w:val="24"/>
        </w:rPr>
      </w:pPr>
      <w:r w:rsidRPr="00977EF3">
        <w:rPr>
          <w:rFonts w:ascii="Times New Roman" w:hAnsi="Times New Roman"/>
          <w:kern w:val="0"/>
          <w:sz w:val="24"/>
          <w:szCs w:val="24"/>
          <w:lang w:val="en-US"/>
        </w:rPr>
        <w:t xml:space="preserve">World Health Organization. (2022). Medical product alert No6/2022: Substandard (contaminated) </w:t>
      </w:r>
      <w:proofErr w:type="spellStart"/>
      <w:r w:rsidRPr="00977EF3">
        <w:rPr>
          <w:rFonts w:ascii="Times New Roman" w:hAnsi="Times New Roman"/>
          <w:kern w:val="0"/>
          <w:sz w:val="24"/>
          <w:szCs w:val="24"/>
          <w:lang w:val="en-US"/>
        </w:rPr>
        <w:t>paediatric</w:t>
      </w:r>
      <w:proofErr w:type="spellEnd"/>
      <w:r w:rsidRPr="00977EF3">
        <w:rPr>
          <w:rFonts w:ascii="Times New Roman" w:hAnsi="Times New Roman"/>
          <w:kern w:val="0"/>
          <w:sz w:val="24"/>
          <w:szCs w:val="24"/>
          <w:lang w:val="en-US"/>
        </w:rPr>
        <w:t xml:space="preserve"> medicines. </w:t>
      </w:r>
      <w:r>
        <w:rPr>
          <w:rFonts w:ascii="Times New Roman" w:hAnsi="Times New Roman"/>
          <w:kern w:val="0"/>
          <w:sz w:val="24"/>
          <w:szCs w:val="24"/>
        </w:rPr>
        <w:t>5 October 2022. [Accessed 11 August 2023</w:t>
      </w:r>
    </w:p>
    <w:p w14:paraId="01CB053E" w14:textId="77777777" w:rsidR="008212A5" w:rsidRDefault="00000000">
      <w:r>
        <w:rPr>
          <w:rFonts w:hint="eastAsia"/>
        </w:rPr>
        <w:t xml:space="preserve"> </w:t>
      </w:r>
    </w:p>
    <w:p w14:paraId="6494C076" w14:textId="77777777" w:rsidR="008212A5" w:rsidRDefault="00000000">
      <w:pPr>
        <w:spacing w:after="100" w:afterAutospacing="1" w:line="480" w:lineRule="auto"/>
        <w:rPr>
          <w:rFonts w:ascii="Times New Roman" w:hAnsi="Times New Roman"/>
          <w:b/>
          <w:bCs/>
          <w:kern w:val="0"/>
          <w:sz w:val="24"/>
          <w:szCs w:val="24"/>
        </w:rPr>
      </w:pPr>
      <w:r>
        <w:rPr>
          <w:rFonts w:ascii="Times New Roman" w:hAnsi="Times New Roman"/>
          <w:b/>
          <w:bCs/>
          <w:kern w:val="0"/>
          <w:sz w:val="24"/>
          <w:szCs w:val="24"/>
        </w:rPr>
        <w:t>List of Abbreviations</w:t>
      </w:r>
    </w:p>
    <w:p w14:paraId="39A85DC4" w14:textId="77777777" w:rsidR="008212A5" w:rsidRDefault="00000000">
      <w:pPr>
        <w:rPr>
          <w:rFonts w:ascii="Times New Roman" w:hAnsi="Times New Roman"/>
          <w:sz w:val="24"/>
          <w:szCs w:val="24"/>
        </w:rPr>
      </w:pPr>
      <w:r>
        <w:rPr>
          <w:rFonts w:ascii="Times New Roman" w:hAnsi="Times New Roman"/>
          <w:sz w:val="24"/>
          <w:szCs w:val="24"/>
        </w:rPr>
        <w:t>WHO: World Health Organization</w:t>
      </w:r>
    </w:p>
    <w:p w14:paraId="0B21EC17" w14:textId="77777777" w:rsidR="008212A5" w:rsidRDefault="00000000">
      <w:pPr>
        <w:rPr>
          <w:rFonts w:ascii="Times New Roman" w:hAnsi="Times New Roman"/>
          <w:sz w:val="24"/>
          <w:szCs w:val="24"/>
        </w:rPr>
      </w:pPr>
      <w:r>
        <w:rPr>
          <w:rFonts w:ascii="Times New Roman" w:hAnsi="Times New Roman"/>
          <w:sz w:val="24"/>
          <w:szCs w:val="24"/>
        </w:rPr>
        <w:t>TRM: Team Resource Management</w:t>
      </w:r>
    </w:p>
    <w:p w14:paraId="2F6AF790"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 xml:space="preserve">RBMK: </w:t>
      </w:r>
      <w:proofErr w:type="spellStart"/>
      <w:r w:rsidRPr="00977EF3">
        <w:rPr>
          <w:rFonts w:ascii="Times New Roman" w:hAnsi="Times New Roman"/>
          <w:sz w:val="24"/>
          <w:szCs w:val="24"/>
          <w:lang w:val="en-US"/>
        </w:rPr>
        <w:t>Reaktor</w:t>
      </w:r>
      <w:proofErr w:type="spellEnd"/>
      <w:r w:rsidRPr="00977EF3">
        <w:rPr>
          <w:rFonts w:ascii="Times New Roman" w:hAnsi="Times New Roman"/>
          <w:sz w:val="24"/>
          <w:szCs w:val="24"/>
          <w:lang w:val="en-US"/>
        </w:rPr>
        <w:t xml:space="preserve"> </w:t>
      </w:r>
      <w:proofErr w:type="spellStart"/>
      <w:r w:rsidRPr="00977EF3">
        <w:rPr>
          <w:rFonts w:ascii="Times New Roman" w:hAnsi="Times New Roman"/>
          <w:sz w:val="24"/>
          <w:szCs w:val="24"/>
          <w:lang w:val="en-US"/>
        </w:rPr>
        <w:t>Bolshoy</w:t>
      </w:r>
      <w:proofErr w:type="spellEnd"/>
      <w:r w:rsidRPr="00977EF3">
        <w:rPr>
          <w:rFonts w:ascii="Times New Roman" w:hAnsi="Times New Roman"/>
          <w:sz w:val="24"/>
          <w:szCs w:val="24"/>
          <w:lang w:val="en-US"/>
        </w:rPr>
        <w:t xml:space="preserve"> </w:t>
      </w:r>
      <w:proofErr w:type="spellStart"/>
      <w:r w:rsidRPr="00977EF3">
        <w:rPr>
          <w:rFonts w:ascii="Times New Roman" w:hAnsi="Times New Roman"/>
          <w:sz w:val="24"/>
          <w:szCs w:val="24"/>
          <w:lang w:val="en-US"/>
        </w:rPr>
        <w:t>Moshchnosti</w:t>
      </w:r>
      <w:proofErr w:type="spellEnd"/>
      <w:r w:rsidRPr="00977EF3">
        <w:rPr>
          <w:rFonts w:ascii="Times New Roman" w:hAnsi="Times New Roman"/>
          <w:sz w:val="24"/>
          <w:szCs w:val="24"/>
          <w:lang w:val="en-US"/>
        </w:rPr>
        <w:t xml:space="preserve"> </w:t>
      </w:r>
      <w:proofErr w:type="spellStart"/>
      <w:r w:rsidRPr="00977EF3">
        <w:rPr>
          <w:rFonts w:ascii="Times New Roman" w:hAnsi="Times New Roman"/>
          <w:sz w:val="24"/>
          <w:szCs w:val="24"/>
          <w:lang w:val="en-US"/>
        </w:rPr>
        <w:t>Kanalny</w:t>
      </w:r>
      <w:proofErr w:type="spellEnd"/>
      <w:r w:rsidRPr="00977EF3">
        <w:rPr>
          <w:rFonts w:ascii="Times New Roman" w:hAnsi="Times New Roman"/>
          <w:sz w:val="24"/>
          <w:szCs w:val="24"/>
          <w:lang w:val="en-US"/>
        </w:rPr>
        <w:t xml:space="preserve"> (High Power Channel-type Reactor)</w:t>
      </w:r>
    </w:p>
    <w:p w14:paraId="35A8148C"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MoH: Ministry of Health</w:t>
      </w:r>
    </w:p>
    <w:p w14:paraId="0C291268"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IAEA: International Atomic Energy Agency</w:t>
      </w:r>
    </w:p>
    <w:p w14:paraId="1EB3E791"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EG: Ethylene Glycol</w:t>
      </w:r>
    </w:p>
    <w:p w14:paraId="76C75999"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DEG: Diethylene Glycol</w:t>
      </w:r>
    </w:p>
    <w:p w14:paraId="58C53E10"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AKI: Acute Kidney Injury</w:t>
      </w:r>
    </w:p>
    <w:p w14:paraId="21EAD2D7" w14:textId="77777777" w:rsidR="008212A5" w:rsidRPr="00977EF3" w:rsidRDefault="00000000">
      <w:pPr>
        <w:rPr>
          <w:rFonts w:ascii="Times New Roman" w:hAnsi="Times New Roman"/>
          <w:sz w:val="24"/>
          <w:szCs w:val="24"/>
          <w:lang w:val="en-US"/>
        </w:rPr>
      </w:pPr>
      <w:r w:rsidRPr="00977EF3">
        <w:rPr>
          <w:rFonts w:ascii="Times New Roman" w:hAnsi="Times New Roman"/>
          <w:sz w:val="24"/>
          <w:szCs w:val="24"/>
          <w:lang w:val="en-US"/>
        </w:rPr>
        <w:t>List of Abbreviations</w:t>
      </w:r>
    </w:p>
    <w:p w14:paraId="48A75294"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 xml:space="preserve"> </w:t>
      </w:r>
    </w:p>
    <w:p w14:paraId="5617D4C0" w14:textId="77777777" w:rsidR="008212A5" w:rsidRDefault="00000000">
      <w:pPr>
        <w:spacing w:line="480" w:lineRule="auto"/>
        <w:rPr>
          <w:rFonts w:ascii="Times New Roman" w:hAnsi="Times New Roman"/>
          <w:b/>
          <w:bCs/>
          <w:sz w:val="24"/>
          <w:szCs w:val="24"/>
        </w:rPr>
      </w:pPr>
      <w:r>
        <w:rPr>
          <w:rFonts w:ascii="Times New Roman" w:hAnsi="Times New Roman"/>
          <w:b/>
          <w:bCs/>
          <w:sz w:val="24"/>
          <w:szCs w:val="24"/>
        </w:rPr>
        <w:t>Author Contribution;</w:t>
      </w:r>
    </w:p>
    <w:p w14:paraId="6B49B38C" w14:textId="77777777" w:rsidR="008212A5" w:rsidRPr="00977EF3" w:rsidRDefault="00000000">
      <w:pPr>
        <w:numPr>
          <w:ilvl w:val="0"/>
          <w:numId w:val="12"/>
        </w:numPr>
        <w:spacing w:line="480" w:lineRule="auto"/>
        <w:contextualSpacing/>
        <w:rPr>
          <w:rFonts w:ascii="Times New Roman" w:hAnsi="Times New Roman"/>
          <w:sz w:val="24"/>
          <w:szCs w:val="24"/>
          <w:lang w:val="en-US"/>
        </w:rPr>
      </w:pPr>
      <w:r w:rsidRPr="00977EF3">
        <w:rPr>
          <w:rFonts w:ascii="Times New Roman" w:hAnsi="Times New Roman"/>
          <w:sz w:val="24"/>
          <w:szCs w:val="24"/>
          <w:lang w:val="en-US"/>
        </w:rPr>
        <w:t xml:space="preserve">Lamin Makalo; </w:t>
      </w:r>
      <w:proofErr w:type="spellStart"/>
      <w:r w:rsidRPr="00977EF3">
        <w:rPr>
          <w:rFonts w:ascii="Times New Roman" w:hAnsi="Times New Roman"/>
          <w:sz w:val="24"/>
          <w:szCs w:val="24"/>
          <w:lang w:val="en-US"/>
        </w:rPr>
        <w:t>Conceptualisation</w:t>
      </w:r>
      <w:proofErr w:type="spellEnd"/>
      <w:r w:rsidRPr="00977EF3">
        <w:rPr>
          <w:rFonts w:ascii="Times New Roman" w:hAnsi="Times New Roman"/>
          <w:sz w:val="24"/>
          <w:szCs w:val="24"/>
          <w:lang w:val="en-US"/>
        </w:rPr>
        <w:t xml:space="preserve">, Data Validation, </w:t>
      </w:r>
      <w:proofErr w:type="spellStart"/>
      <w:r w:rsidRPr="00977EF3">
        <w:rPr>
          <w:rFonts w:ascii="Times New Roman" w:hAnsi="Times New Roman"/>
          <w:sz w:val="24"/>
          <w:szCs w:val="24"/>
          <w:lang w:val="en-US"/>
        </w:rPr>
        <w:t>Visualisation</w:t>
      </w:r>
      <w:proofErr w:type="spellEnd"/>
      <w:r w:rsidRPr="00977EF3">
        <w:rPr>
          <w:rFonts w:ascii="Times New Roman" w:hAnsi="Times New Roman"/>
          <w:sz w:val="24"/>
          <w:szCs w:val="24"/>
          <w:lang w:val="en-US"/>
        </w:rPr>
        <w:t>, Reviewing and editing</w:t>
      </w:r>
    </w:p>
    <w:p w14:paraId="0579EDFC" w14:textId="77777777" w:rsidR="008212A5" w:rsidRPr="00977EF3" w:rsidRDefault="00000000">
      <w:pPr>
        <w:spacing w:after="100" w:afterAutospacing="1" w:line="480" w:lineRule="auto"/>
        <w:rPr>
          <w:rFonts w:ascii="Times New Roman" w:hAnsi="Times New Roman"/>
          <w:b/>
          <w:bCs/>
          <w:kern w:val="0"/>
          <w:sz w:val="24"/>
          <w:szCs w:val="24"/>
          <w:lang w:val="en-US"/>
        </w:rPr>
      </w:pPr>
      <w:r w:rsidRPr="00977EF3">
        <w:rPr>
          <w:rFonts w:ascii="Times New Roman" w:hAnsi="Times New Roman"/>
          <w:b/>
          <w:bCs/>
          <w:kern w:val="0"/>
          <w:sz w:val="24"/>
          <w:szCs w:val="24"/>
          <w:lang w:val="en-US"/>
        </w:rPr>
        <w:t xml:space="preserve"> </w:t>
      </w:r>
    </w:p>
    <w:p w14:paraId="31AB9438"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Ethical Declaration</w:t>
      </w:r>
    </w:p>
    <w:p w14:paraId="1E62009D" w14:textId="77777777" w:rsidR="008212A5" w:rsidRPr="00977EF3" w:rsidRDefault="00000000">
      <w:pPr>
        <w:spacing w:line="480" w:lineRule="auto"/>
        <w:rPr>
          <w:rFonts w:ascii="Times New Roman" w:hAnsi="Times New Roman"/>
          <w:sz w:val="24"/>
          <w:szCs w:val="24"/>
          <w:lang w:val="en-US"/>
        </w:rPr>
      </w:pPr>
      <w:r w:rsidRPr="00977EF3">
        <w:rPr>
          <w:rFonts w:ascii="Times New Roman" w:hAnsi="Times New Roman"/>
          <w:sz w:val="24"/>
          <w:szCs w:val="24"/>
          <w:lang w:val="en-US"/>
        </w:rPr>
        <w:t>Not Applicable</w:t>
      </w:r>
    </w:p>
    <w:p w14:paraId="30BE3977"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Consent to Publish</w:t>
      </w:r>
    </w:p>
    <w:p w14:paraId="0CAF4713" w14:textId="77777777" w:rsidR="008212A5" w:rsidRPr="00977EF3" w:rsidRDefault="00000000">
      <w:pPr>
        <w:spacing w:line="480" w:lineRule="auto"/>
        <w:rPr>
          <w:rFonts w:ascii="Times New Roman" w:hAnsi="Times New Roman"/>
          <w:sz w:val="24"/>
          <w:szCs w:val="24"/>
          <w:lang w:val="en-US"/>
        </w:rPr>
      </w:pPr>
      <w:r w:rsidRPr="00977EF3">
        <w:rPr>
          <w:rFonts w:ascii="Times New Roman" w:hAnsi="Times New Roman"/>
          <w:sz w:val="24"/>
          <w:szCs w:val="24"/>
          <w:lang w:val="en-US"/>
        </w:rPr>
        <w:t>Not Applicable</w:t>
      </w:r>
    </w:p>
    <w:p w14:paraId="3B466A43"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Consent to Participate</w:t>
      </w:r>
    </w:p>
    <w:p w14:paraId="17675553" w14:textId="77777777" w:rsidR="008212A5" w:rsidRPr="00977EF3" w:rsidRDefault="00000000">
      <w:pPr>
        <w:spacing w:after="100" w:afterAutospacing="1" w:line="480" w:lineRule="auto"/>
        <w:rPr>
          <w:rFonts w:ascii="Times New Roman" w:hAnsi="Times New Roman"/>
          <w:kern w:val="0"/>
          <w:sz w:val="24"/>
          <w:szCs w:val="24"/>
          <w:lang w:val="en-US"/>
        </w:rPr>
      </w:pPr>
      <w:r w:rsidRPr="00977EF3">
        <w:rPr>
          <w:rFonts w:ascii="Times New Roman" w:hAnsi="Times New Roman"/>
          <w:sz w:val="24"/>
          <w:szCs w:val="24"/>
          <w:lang w:val="en-US"/>
        </w:rPr>
        <w:t>Not Applicable</w:t>
      </w:r>
    </w:p>
    <w:p w14:paraId="7241017A" w14:textId="77777777" w:rsidR="008212A5" w:rsidRPr="00977EF3" w:rsidRDefault="00000000">
      <w:pPr>
        <w:spacing w:line="480" w:lineRule="auto"/>
        <w:rPr>
          <w:rFonts w:ascii="Times New Roman" w:hAnsi="Times New Roman"/>
          <w:b/>
          <w:bCs/>
          <w:sz w:val="24"/>
          <w:szCs w:val="24"/>
          <w:lang w:val="en-US"/>
        </w:rPr>
      </w:pPr>
      <w:r w:rsidRPr="00977EF3">
        <w:rPr>
          <w:rFonts w:ascii="Times New Roman" w:hAnsi="Times New Roman"/>
          <w:b/>
          <w:bCs/>
          <w:sz w:val="24"/>
          <w:szCs w:val="24"/>
          <w:lang w:val="en-US"/>
        </w:rPr>
        <w:t>Source of Funding</w:t>
      </w:r>
    </w:p>
    <w:p w14:paraId="42E2AB98" w14:textId="77777777" w:rsidR="008212A5" w:rsidRPr="00977EF3" w:rsidRDefault="00000000">
      <w:pPr>
        <w:spacing w:line="480" w:lineRule="auto"/>
        <w:rPr>
          <w:rFonts w:ascii="Times New Roman" w:hAnsi="Times New Roman"/>
          <w:sz w:val="24"/>
          <w:szCs w:val="24"/>
          <w:lang w:val="en-US"/>
        </w:rPr>
      </w:pPr>
      <w:proofErr w:type="spellStart"/>
      <w:r w:rsidRPr="00977EF3">
        <w:rPr>
          <w:rFonts w:ascii="Times New Roman" w:hAnsi="Times New Roman"/>
          <w:sz w:val="24"/>
          <w:szCs w:val="24"/>
          <w:lang w:val="en-US"/>
        </w:rPr>
        <w:t>Self Funded</w:t>
      </w:r>
      <w:proofErr w:type="spellEnd"/>
    </w:p>
    <w:p w14:paraId="0CDDACE1" w14:textId="77777777" w:rsidR="008212A5" w:rsidRPr="00977EF3" w:rsidRDefault="00000000">
      <w:pPr>
        <w:spacing w:after="100" w:afterAutospacing="1" w:line="480" w:lineRule="auto"/>
        <w:rPr>
          <w:rFonts w:ascii="Times New Roman" w:hAnsi="Times New Roman"/>
          <w:sz w:val="24"/>
          <w:szCs w:val="24"/>
          <w:lang w:val="en-US"/>
        </w:rPr>
      </w:pPr>
      <w:r w:rsidRPr="00977EF3">
        <w:rPr>
          <w:rFonts w:ascii="Times New Roman" w:hAnsi="Times New Roman"/>
          <w:b/>
          <w:bCs/>
          <w:sz w:val="24"/>
          <w:szCs w:val="24"/>
          <w:lang w:val="en-US"/>
        </w:rPr>
        <w:t>Clinical trial number</w:t>
      </w:r>
    </w:p>
    <w:p w14:paraId="2F3DF23B" w14:textId="77777777" w:rsidR="008212A5" w:rsidRPr="00977EF3" w:rsidRDefault="00000000">
      <w:pPr>
        <w:spacing w:after="100" w:afterAutospacing="1" w:line="480" w:lineRule="auto"/>
        <w:rPr>
          <w:rFonts w:ascii="Times New Roman" w:hAnsi="Times New Roman"/>
          <w:sz w:val="24"/>
          <w:szCs w:val="24"/>
          <w:lang w:val="en-US"/>
        </w:rPr>
      </w:pPr>
      <w:r w:rsidRPr="00977EF3">
        <w:rPr>
          <w:rFonts w:ascii="Times New Roman" w:hAnsi="Times New Roman"/>
          <w:sz w:val="24"/>
          <w:szCs w:val="24"/>
          <w:lang w:val="en-US"/>
        </w:rPr>
        <w:t>Not applicable</w:t>
      </w:r>
    </w:p>
    <w:p w14:paraId="768287A3" w14:textId="77777777" w:rsidR="008212A5" w:rsidRPr="00977EF3" w:rsidRDefault="00000000">
      <w:pPr>
        <w:spacing w:after="100" w:afterAutospacing="1" w:line="480" w:lineRule="auto"/>
        <w:rPr>
          <w:rFonts w:ascii="Times New Roman" w:hAnsi="Times New Roman"/>
          <w:kern w:val="0"/>
          <w:sz w:val="24"/>
          <w:szCs w:val="24"/>
          <w:lang w:val="en-US"/>
        </w:rPr>
      </w:pPr>
      <w:r w:rsidRPr="00977EF3">
        <w:rPr>
          <w:rFonts w:ascii="Times New Roman" w:hAnsi="Times New Roman"/>
          <w:b/>
          <w:bCs/>
          <w:kern w:val="0"/>
          <w:sz w:val="24"/>
          <w:szCs w:val="24"/>
          <w:lang w:val="en-US"/>
        </w:rPr>
        <w:t>Conflict of Interest</w:t>
      </w:r>
      <w:r w:rsidRPr="00977EF3">
        <w:rPr>
          <w:rFonts w:ascii="Times New Roman" w:hAnsi="Times New Roman"/>
          <w:kern w:val="0"/>
          <w:sz w:val="24"/>
          <w:szCs w:val="24"/>
          <w:lang w:val="en-US"/>
        </w:rPr>
        <w:br/>
        <w:t>The authors declare no conflict of interest.</w:t>
      </w:r>
    </w:p>
    <w:p w14:paraId="089A7FFD" w14:textId="77777777" w:rsidR="008212A5" w:rsidRPr="00977EF3" w:rsidRDefault="00000000">
      <w:pPr>
        <w:spacing w:after="100" w:afterAutospacing="1" w:line="480" w:lineRule="auto"/>
        <w:rPr>
          <w:rFonts w:ascii="Times New Roman" w:hAnsi="Times New Roman"/>
          <w:b/>
          <w:bCs/>
          <w:kern w:val="0"/>
          <w:sz w:val="27"/>
          <w:szCs w:val="27"/>
          <w:lang w:val="en-US"/>
        </w:rPr>
      </w:pPr>
      <w:r w:rsidRPr="00977EF3">
        <w:rPr>
          <w:rFonts w:ascii="Times New Roman" w:hAnsi="Times New Roman"/>
          <w:b/>
          <w:bCs/>
          <w:kern w:val="0"/>
          <w:sz w:val="24"/>
          <w:szCs w:val="24"/>
          <w:lang w:val="en-US"/>
        </w:rPr>
        <w:t>Data Availability Statement</w:t>
      </w:r>
      <w:r w:rsidRPr="00977EF3">
        <w:rPr>
          <w:rFonts w:ascii="Times New Roman" w:hAnsi="Times New Roman"/>
          <w:kern w:val="0"/>
          <w:sz w:val="24"/>
          <w:szCs w:val="24"/>
          <w:lang w:val="en-US"/>
        </w:rPr>
        <w:br/>
        <w:t>Not applicable</w:t>
      </w:r>
    </w:p>
    <w:p w14:paraId="0B759F52"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1F44E493"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2881C97C"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3196728D"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0D3B734B"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1833E1AC"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5A7612FD"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25231514"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034638CC"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15FB2789"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2AFE7B09" w14:textId="77777777" w:rsidR="00482BB6" w:rsidRDefault="00482BB6">
      <w:pPr>
        <w:spacing w:after="100" w:afterAutospacing="1" w:line="480" w:lineRule="auto"/>
        <w:rPr>
          <w:rFonts w:ascii="Times New Roman" w:eastAsia="Times New Roman" w:hAnsi="Times New Roman"/>
          <w:kern w:val="0"/>
          <w:sz w:val="24"/>
          <w:szCs w:val="24"/>
          <w:lang w:val="en-US"/>
        </w:rPr>
      </w:pPr>
    </w:p>
    <w:p w14:paraId="70A01267" w14:textId="77777777" w:rsidR="00482BB6" w:rsidRPr="00C156DE" w:rsidRDefault="00482BB6">
      <w:pPr>
        <w:spacing w:after="100" w:afterAutospacing="1" w:line="480" w:lineRule="auto"/>
        <w:rPr>
          <w:rFonts w:ascii="Times New Roman" w:eastAsia="Times New Roman" w:hAnsi="Times New Roman"/>
          <w:b/>
          <w:bCs/>
          <w:kern w:val="0"/>
          <w:sz w:val="24"/>
          <w:szCs w:val="24"/>
          <w:lang w:val="en-US"/>
        </w:rPr>
      </w:pPr>
    </w:p>
    <w:p w14:paraId="0ACABBB2" w14:textId="38654CB6" w:rsidR="008212A5" w:rsidRPr="00C156DE" w:rsidRDefault="00482BB6">
      <w:pPr>
        <w:spacing w:after="100" w:afterAutospacing="1" w:line="480" w:lineRule="auto"/>
        <w:rPr>
          <w:rFonts w:ascii="Times New Roman" w:eastAsia="Times New Roman" w:hAnsi="Times New Roman"/>
          <w:b/>
          <w:bCs/>
          <w:kern w:val="0"/>
          <w:sz w:val="24"/>
          <w:szCs w:val="24"/>
          <w:lang w:val="en-US"/>
        </w:rPr>
      </w:pPr>
      <w:r w:rsidRPr="00C156DE">
        <w:rPr>
          <w:rFonts w:ascii="Times New Roman" w:eastAsia="Times New Roman" w:hAnsi="Times New Roman"/>
          <w:b/>
          <w:bCs/>
          <w:kern w:val="0"/>
          <w:sz w:val="24"/>
          <w:szCs w:val="24"/>
          <w:lang w:val="en-US"/>
        </w:rPr>
        <w:t xml:space="preserve">Table 1. Safety </w:t>
      </w:r>
      <w:r w:rsidR="00FA626A">
        <w:rPr>
          <w:rFonts w:ascii="Times New Roman" w:eastAsia="Times New Roman" w:hAnsi="Times New Roman"/>
          <w:b/>
          <w:bCs/>
          <w:kern w:val="0"/>
          <w:sz w:val="24"/>
          <w:szCs w:val="24"/>
          <w:lang w:val="en-US"/>
        </w:rPr>
        <w:t>m</w:t>
      </w:r>
      <w:r w:rsidRPr="00C156DE">
        <w:rPr>
          <w:rFonts w:ascii="Times New Roman" w:eastAsia="Times New Roman" w:hAnsi="Times New Roman"/>
          <w:b/>
          <w:bCs/>
          <w:kern w:val="0"/>
          <w:sz w:val="24"/>
          <w:szCs w:val="24"/>
          <w:lang w:val="en-US"/>
        </w:rPr>
        <w:t xml:space="preserve">odel </w:t>
      </w:r>
      <w:r w:rsidR="00FA626A">
        <w:rPr>
          <w:rFonts w:ascii="Times New Roman" w:eastAsia="Times New Roman" w:hAnsi="Times New Roman"/>
          <w:b/>
          <w:bCs/>
          <w:kern w:val="0"/>
          <w:sz w:val="24"/>
          <w:szCs w:val="24"/>
          <w:lang w:val="en-US"/>
        </w:rPr>
        <w:t>f</w:t>
      </w:r>
      <w:r w:rsidRPr="00C156DE">
        <w:rPr>
          <w:rFonts w:ascii="Times New Roman" w:eastAsia="Times New Roman" w:hAnsi="Times New Roman"/>
          <w:b/>
          <w:bCs/>
          <w:kern w:val="0"/>
          <w:sz w:val="24"/>
          <w:szCs w:val="24"/>
          <w:lang w:val="en-US"/>
        </w:rPr>
        <w:t xml:space="preserve">indings from the 2022 </w:t>
      </w:r>
      <w:proofErr w:type="spellStart"/>
      <w:r w:rsidR="00FA626A">
        <w:rPr>
          <w:rFonts w:ascii="Times New Roman" w:eastAsia="Times New Roman" w:hAnsi="Times New Roman"/>
          <w:b/>
          <w:bCs/>
          <w:kern w:val="0"/>
          <w:sz w:val="24"/>
          <w:szCs w:val="24"/>
          <w:lang w:val="en-US"/>
        </w:rPr>
        <w:t>pa</w:t>
      </w:r>
      <w:r w:rsidRPr="00C156DE">
        <w:rPr>
          <w:rFonts w:ascii="Times New Roman" w:eastAsia="Times New Roman" w:hAnsi="Times New Roman"/>
          <w:b/>
          <w:bCs/>
          <w:kern w:val="0"/>
          <w:sz w:val="24"/>
          <w:szCs w:val="24"/>
          <w:lang w:val="en-US"/>
        </w:rPr>
        <w:t>ediatric</w:t>
      </w:r>
      <w:proofErr w:type="spellEnd"/>
      <w:r w:rsidRPr="00C156DE">
        <w:rPr>
          <w:rFonts w:ascii="Times New Roman" w:eastAsia="Times New Roman" w:hAnsi="Times New Roman"/>
          <w:b/>
          <w:bCs/>
          <w:kern w:val="0"/>
          <w:sz w:val="24"/>
          <w:szCs w:val="24"/>
          <w:lang w:val="en-US"/>
        </w:rPr>
        <w:t xml:space="preserve"> AKI </w:t>
      </w:r>
      <w:r w:rsidR="00FA626A">
        <w:rPr>
          <w:rFonts w:ascii="Times New Roman" w:eastAsia="Times New Roman" w:hAnsi="Times New Roman"/>
          <w:b/>
          <w:bCs/>
          <w:kern w:val="0"/>
          <w:sz w:val="24"/>
          <w:szCs w:val="24"/>
          <w:lang w:val="en-US"/>
        </w:rPr>
        <w:t>e</w:t>
      </w:r>
      <w:r w:rsidRPr="00C156DE">
        <w:rPr>
          <w:rFonts w:ascii="Times New Roman" w:eastAsia="Times New Roman" w:hAnsi="Times New Roman"/>
          <w:b/>
          <w:bCs/>
          <w:kern w:val="0"/>
          <w:sz w:val="24"/>
          <w:szCs w:val="24"/>
          <w:lang w:val="en-US"/>
        </w:rPr>
        <w:t xml:space="preserve">pidemic in The Gambia, </w:t>
      </w:r>
      <w:r w:rsidR="00FA626A">
        <w:rPr>
          <w:rFonts w:ascii="Times New Roman" w:eastAsia="Times New Roman" w:hAnsi="Times New Roman"/>
          <w:b/>
          <w:bCs/>
          <w:kern w:val="0"/>
          <w:sz w:val="24"/>
          <w:szCs w:val="24"/>
          <w:lang w:val="en-US"/>
        </w:rPr>
        <w:t>a</w:t>
      </w:r>
      <w:r w:rsidRPr="00C156DE">
        <w:rPr>
          <w:rFonts w:ascii="Times New Roman" w:eastAsia="Times New Roman" w:hAnsi="Times New Roman"/>
          <w:b/>
          <w:bCs/>
          <w:kern w:val="0"/>
          <w:sz w:val="24"/>
          <w:szCs w:val="24"/>
          <w:lang w:val="en-US"/>
        </w:rPr>
        <w:t>lignment with WHO Global Patient Safety Action Plan, and National Policy Responses</w:t>
      </w:r>
    </w:p>
    <w:tbl>
      <w:tblPr>
        <w:tblStyle w:val="TableGrid"/>
        <w:tblW w:w="0" w:type="auto"/>
        <w:tblLook w:val="04A0" w:firstRow="1" w:lastRow="0" w:firstColumn="1" w:lastColumn="0" w:noHBand="0" w:noVBand="1"/>
      </w:tblPr>
      <w:tblGrid>
        <w:gridCol w:w="1506"/>
        <w:gridCol w:w="2297"/>
        <w:gridCol w:w="2186"/>
        <w:gridCol w:w="3027"/>
      </w:tblGrid>
      <w:tr w:rsidR="00C156DE" w:rsidRPr="00130584" w14:paraId="1E0057CC" w14:textId="77777777" w:rsidTr="00FA626A">
        <w:tc>
          <w:tcPr>
            <w:tcW w:w="0" w:type="auto"/>
            <w:hideMark/>
          </w:tcPr>
          <w:p w14:paraId="3A71238B" w14:textId="77777777" w:rsidR="00482BB6" w:rsidRPr="00482BB6" w:rsidRDefault="00482BB6" w:rsidP="00482BB6">
            <w:pPr>
              <w:spacing w:before="0" w:beforeAutospacing="0" w:after="0" w:line="240" w:lineRule="auto"/>
              <w:jc w:val="center"/>
              <w:rPr>
                <w:rFonts w:ascii="Times New Roman" w:eastAsia="Times New Roman" w:hAnsi="Times New Roman"/>
                <w:b/>
                <w:bCs/>
                <w:kern w:val="0"/>
                <w:sz w:val="24"/>
                <w:szCs w:val="24"/>
                <w:lang w:val="en-GM"/>
              </w:rPr>
            </w:pPr>
            <w:r w:rsidRPr="00482BB6">
              <w:rPr>
                <w:rFonts w:ascii="Times New Roman" w:eastAsia="Times New Roman" w:hAnsi="Times New Roman"/>
                <w:b/>
                <w:bCs/>
                <w:kern w:val="0"/>
                <w:sz w:val="24"/>
                <w:szCs w:val="24"/>
                <w:lang w:val="en-GM"/>
              </w:rPr>
              <w:t>Safety Model</w:t>
            </w:r>
          </w:p>
        </w:tc>
        <w:tc>
          <w:tcPr>
            <w:tcW w:w="0" w:type="auto"/>
            <w:hideMark/>
          </w:tcPr>
          <w:p w14:paraId="216D6BC8" w14:textId="77777777" w:rsidR="00482BB6" w:rsidRPr="00482BB6" w:rsidRDefault="00482BB6" w:rsidP="00482BB6">
            <w:pPr>
              <w:spacing w:before="0" w:beforeAutospacing="0" w:after="0" w:line="240" w:lineRule="auto"/>
              <w:jc w:val="center"/>
              <w:rPr>
                <w:rFonts w:ascii="Times New Roman" w:eastAsia="Times New Roman" w:hAnsi="Times New Roman"/>
                <w:b/>
                <w:bCs/>
                <w:kern w:val="0"/>
                <w:sz w:val="24"/>
                <w:szCs w:val="24"/>
                <w:lang w:val="en-GM"/>
              </w:rPr>
            </w:pPr>
            <w:r w:rsidRPr="00482BB6">
              <w:rPr>
                <w:rFonts w:ascii="Times New Roman" w:eastAsia="Times New Roman" w:hAnsi="Times New Roman"/>
                <w:b/>
                <w:bCs/>
                <w:kern w:val="0"/>
                <w:sz w:val="24"/>
                <w:szCs w:val="24"/>
                <w:lang w:val="en-GM"/>
              </w:rPr>
              <w:t>Key Failures Identified in the AKI Epidemic</w:t>
            </w:r>
          </w:p>
        </w:tc>
        <w:tc>
          <w:tcPr>
            <w:tcW w:w="2186" w:type="dxa"/>
            <w:hideMark/>
          </w:tcPr>
          <w:p w14:paraId="7DCC9ACA" w14:textId="77777777" w:rsidR="00482BB6" w:rsidRPr="00482BB6" w:rsidRDefault="00482BB6" w:rsidP="00482BB6">
            <w:pPr>
              <w:spacing w:before="0" w:beforeAutospacing="0" w:after="0" w:line="240" w:lineRule="auto"/>
              <w:jc w:val="center"/>
              <w:rPr>
                <w:rFonts w:ascii="Times New Roman" w:eastAsia="Times New Roman" w:hAnsi="Times New Roman"/>
                <w:b/>
                <w:bCs/>
                <w:kern w:val="0"/>
                <w:sz w:val="24"/>
                <w:szCs w:val="24"/>
                <w:lang w:val="en-GM"/>
              </w:rPr>
            </w:pPr>
            <w:r w:rsidRPr="00482BB6">
              <w:rPr>
                <w:rFonts w:ascii="Times New Roman" w:eastAsia="Times New Roman" w:hAnsi="Times New Roman"/>
                <w:b/>
                <w:bCs/>
                <w:kern w:val="0"/>
                <w:sz w:val="24"/>
                <w:szCs w:val="24"/>
                <w:lang w:val="en-GM"/>
              </w:rPr>
              <w:t>Relevant WHO GPSAP Strategic Objectives</w:t>
            </w:r>
          </w:p>
        </w:tc>
        <w:tc>
          <w:tcPr>
            <w:tcW w:w="3027" w:type="dxa"/>
            <w:hideMark/>
          </w:tcPr>
          <w:p w14:paraId="2D5B2DFF" w14:textId="77777777" w:rsidR="00482BB6" w:rsidRPr="00482BB6" w:rsidRDefault="00482BB6" w:rsidP="00482BB6">
            <w:pPr>
              <w:spacing w:before="0" w:beforeAutospacing="0" w:after="0" w:line="240" w:lineRule="auto"/>
              <w:jc w:val="center"/>
              <w:rPr>
                <w:rFonts w:ascii="Times New Roman" w:eastAsia="Times New Roman" w:hAnsi="Times New Roman"/>
                <w:b/>
                <w:bCs/>
                <w:kern w:val="0"/>
                <w:sz w:val="24"/>
                <w:szCs w:val="24"/>
                <w:lang w:val="en-GM"/>
              </w:rPr>
            </w:pPr>
            <w:r w:rsidRPr="00482BB6">
              <w:rPr>
                <w:rFonts w:ascii="Times New Roman" w:eastAsia="Times New Roman" w:hAnsi="Times New Roman"/>
                <w:b/>
                <w:bCs/>
                <w:kern w:val="0"/>
                <w:sz w:val="24"/>
                <w:szCs w:val="24"/>
                <w:lang w:val="en-GM"/>
              </w:rPr>
              <w:t>Policy Actions Taken by The Gambia (Medicines Control Agency &amp; MoH)</w:t>
            </w:r>
          </w:p>
        </w:tc>
      </w:tr>
      <w:tr w:rsidR="00C156DE" w:rsidRPr="00130584" w14:paraId="5DD98507" w14:textId="77777777" w:rsidTr="00FA626A">
        <w:tc>
          <w:tcPr>
            <w:tcW w:w="0" w:type="auto"/>
            <w:hideMark/>
          </w:tcPr>
          <w:p w14:paraId="0E34DD84" w14:textId="77777777"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Swiss Cheese Model</w:t>
            </w:r>
          </w:p>
        </w:tc>
        <w:tc>
          <w:tcPr>
            <w:tcW w:w="0" w:type="auto"/>
            <w:hideMark/>
          </w:tcPr>
          <w:p w14:paraId="6144AB93" w14:textId="77777777" w:rsidR="00C156DE"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Weak medicine import regulation</w:t>
            </w:r>
          </w:p>
          <w:p w14:paraId="4EC648DA" w14:textId="77777777" w:rsidR="00C156DE"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Absence of routine quality testing</w:t>
            </w:r>
          </w:p>
          <w:p w14:paraId="33230D4F" w14:textId="77777777" w:rsidR="00C156DE"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Delayed detection of medicine-related harm</w:t>
            </w:r>
          </w:p>
          <w:p w14:paraId="1D22D178" w14:textId="27E5BA26"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xml:space="preserve">• Limited </w:t>
            </w:r>
            <w:proofErr w:type="spellStart"/>
            <w:r w:rsidRPr="00482BB6">
              <w:rPr>
                <w:rFonts w:ascii="Times New Roman" w:eastAsia="Times New Roman" w:hAnsi="Times New Roman"/>
                <w:kern w:val="0"/>
                <w:sz w:val="24"/>
                <w:szCs w:val="24"/>
                <w:lang w:val="en-GM"/>
              </w:rPr>
              <w:t>pediatric</w:t>
            </w:r>
            <w:proofErr w:type="spellEnd"/>
            <w:r w:rsidRPr="00482BB6">
              <w:rPr>
                <w:rFonts w:ascii="Times New Roman" w:eastAsia="Times New Roman" w:hAnsi="Times New Roman"/>
                <w:kern w:val="0"/>
                <w:sz w:val="24"/>
                <w:szCs w:val="24"/>
                <w:lang w:val="en-GM"/>
              </w:rPr>
              <w:t xml:space="preserve"> renal treatment capacity</w:t>
            </w:r>
          </w:p>
        </w:tc>
        <w:tc>
          <w:tcPr>
            <w:tcW w:w="2186" w:type="dxa"/>
            <w:hideMark/>
          </w:tcPr>
          <w:p w14:paraId="7AF89C9D" w14:textId="77777777" w:rsidR="00C156DE"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SO1: Build resilient health systems</w:t>
            </w:r>
          </w:p>
          <w:p w14:paraId="203D4B49" w14:textId="6A7DE64A" w:rsidR="00C156DE"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SO3: Ensure safe clinical processes</w:t>
            </w:r>
          </w:p>
          <w:p w14:paraId="5BCAAB21" w14:textId="24AD1CF9" w:rsidR="00482BB6" w:rsidRPr="00482BB6"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SO5: Strengthen patient safety surveillance</w:t>
            </w:r>
          </w:p>
        </w:tc>
        <w:tc>
          <w:tcPr>
            <w:tcW w:w="3027" w:type="dxa"/>
            <w:hideMark/>
          </w:tcPr>
          <w:p w14:paraId="586E7842" w14:textId="77777777" w:rsidR="00C156DE"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Immediate recall and nationwide withdrawal of implicated syrups</w:t>
            </w:r>
          </w:p>
          <w:p w14:paraId="5B157EF6" w14:textId="77777777" w:rsidR="00C156DE"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Suspension of importation of liquid oral medicines from high-risk manufacturers</w:t>
            </w:r>
          </w:p>
          <w:p w14:paraId="0913F638" w14:textId="21086B9F"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Strengthened pre-market authorization requirements for imported medicines</w:t>
            </w:r>
          </w:p>
        </w:tc>
      </w:tr>
      <w:tr w:rsidR="00C156DE" w:rsidRPr="00130584" w14:paraId="42074E6D" w14:textId="77777777" w:rsidTr="00FA626A">
        <w:tc>
          <w:tcPr>
            <w:tcW w:w="0" w:type="auto"/>
            <w:hideMark/>
          </w:tcPr>
          <w:p w14:paraId="7CD150B4" w14:textId="77777777"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SHELL Model</w:t>
            </w:r>
          </w:p>
        </w:tc>
        <w:tc>
          <w:tcPr>
            <w:tcW w:w="0" w:type="auto"/>
            <w:hideMark/>
          </w:tcPr>
          <w:p w14:paraId="07EB04E6"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Software:</w:t>
            </w:r>
            <w:r w:rsidRPr="00482BB6">
              <w:rPr>
                <w:rFonts w:ascii="Times New Roman" w:eastAsia="Times New Roman" w:hAnsi="Times New Roman"/>
                <w:kern w:val="0"/>
                <w:sz w:val="24"/>
                <w:szCs w:val="24"/>
                <w:lang w:val="en-GM"/>
              </w:rPr>
              <w:t xml:space="preserve"> Absence of AKI protocols</w:t>
            </w:r>
          </w:p>
          <w:p w14:paraId="32FE1135"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Hardware:</w:t>
            </w:r>
            <w:r w:rsidRPr="00482BB6">
              <w:rPr>
                <w:rFonts w:ascii="Times New Roman" w:eastAsia="Times New Roman" w:hAnsi="Times New Roman"/>
                <w:kern w:val="0"/>
                <w:sz w:val="24"/>
                <w:szCs w:val="24"/>
                <w:lang w:val="en-GM"/>
              </w:rPr>
              <w:t xml:space="preserve"> Limited diagnostics and dialysis capacity</w:t>
            </w:r>
          </w:p>
          <w:p w14:paraId="4F5BC9D6"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Environment:</w:t>
            </w:r>
            <w:r w:rsidRPr="00482BB6">
              <w:rPr>
                <w:rFonts w:ascii="Times New Roman" w:eastAsia="Times New Roman" w:hAnsi="Times New Roman"/>
                <w:kern w:val="0"/>
                <w:sz w:val="24"/>
                <w:szCs w:val="24"/>
                <w:lang w:val="en-GM"/>
              </w:rPr>
              <w:t xml:space="preserve"> Resource-constrained facilities</w:t>
            </w:r>
          </w:p>
          <w:p w14:paraId="05121091" w14:textId="57E6E13D"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Liveware:</w:t>
            </w:r>
            <w:r w:rsidRPr="00482BB6">
              <w:rPr>
                <w:rFonts w:ascii="Times New Roman" w:eastAsia="Times New Roman" w:hAnsi="Times New Roman"/>
                <w:kern w:val="0"/>
                <w:sz w:val="24"/>
                <w:szCs w:val="24"/>
                <w:lang w:val="en-GM"/>
              </w:rPr>
              <w:t xml:space="preserve"> Overburdened healthcare workforce</w:t>
            </w:r>
          </w:p>
        </w:tc>
        <w:tc>
          <w:tcPr>
            <w:tcW w:w="2186" w:type="dxa"/>
            <w:hideMark/>
          </w:tcPr>
          <w:p w14:paraId="4D367955" w14:textId="77777777" w:rsidR="00C156DE"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SO2: Strengthen safety culture and leadership</w:t>
            </w:r>
          </w:p>
          <w:p w14:paraId="5EFCD610" w14:textId="77777777" w:rsidR="00C156DE"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SO4: Protect and support health workers</w:t>
            </w:r>
          </w:p>
          <w:p w14:paraId="211231DE" w14:textId="3DD99383"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SO6: Ensure safe use of medicines and technologies</w:t>
            </w:r>
          </w:p>
        </w:tc>
        <w:tc>
          <w:tcPr>
            <w:tcW w:w="3027" w:type="dxa"/>
            <w:hideMark/>
          </w:tcPr>
          <w:p w14:paraId="2D5F463A"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Revision of medicine registration and licensing procedures</w:t>
            </w:r>
          </w:p>
          <w:p w14:paraId="52DB8CC2"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Introduction of enhanced batch documentation and manufacturer verification</w:t>
            </w:r>
          </w:p>
          <w:p w14:paraId="520FC50C" w14:textId="3B15EAC0"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Clinical alerts and interim guidance issued to health facilities</w:t>
            </w:r>
          </w:p>
        </w:tc>
      </w:tr>
      <w:tr w:rsidR="00C156DE" w:rsidRPr="00130584" w14:paraId="6E128837" w14:textId="77777777" w:rsidTr="00FA626A">
        <w:tc>
          <w:tcPr>
            <w:tcW w:w="0" w:type="auto"/>
            <w:hideMark/>
          </w:tcPr>
          <w:p w14:paraId="2D58891C" w14:textId="77777777"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SHEEP Model</w:t>
            </w:r>
          </w:p>
        </w:tc>
        <w:tc>
          <w:tcPr>
            <w:tcW w:w="0" w:type="auto"/>
            <w:hideMark/>
          </w:tcPr>
          <w:p w14:paraId="557AD50D"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System:</w:t>
            </w:r>
            <w:r w:rsidRPr="00482BB6">
              <w:rPr>
                <w:rFonts w:ascii="Times New Roman" w:eastAsia="Times New Roman" w:hAnsi="Times New Roman"/>
                <w:kern w:val="0"/>
                <w:sz w:val="24"/>
                <w:szCs w:val="24"/>
                <w:lang w:val="en-GM"/>
              </w:rPr>
              <w:t xml:space="preserve"> Weak pharmacovigilance systems</w:t>
            </w:r>
          </w:p>
          <w:p w14:paraId="5C204097"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Human:</w:t>
            </w:r>
            <w:r w:rsidRPr="00482BB6">
              <w:rPr>
                <w:rFonts w:ascii="Times New Roman" w:eastAsia="Times New Roman" w:hAnsi="Times New Roman"/>
                <w:kern w:val="0"/>
                <w:sz w:val="24"/>
                <w:szCs w:val="24"/>
                <w:lang w:val="en-GM"/>
              </w:rPr>
              <w:t xml:space="preserve"> Limited toxicity awareness</w:t>
            </w:r>
          </w:p>
          <w:p w14:paraId="24003F11"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Environment:</w:t>
            </w:r>
            <w:r w:rsidRPr="00482BB6">
              <w:rPr>
                <w:rFonts w:ascii="Times New Roman" w:eastAsia="Times New Roman" w:hAnsi="Times New Roman"/>
                <w:kern w:val="0"/>
                <w:sz w:val="24"/>
                <w:szCs w:val="24"/>
                <w:lang w:val="en-GM"/>
              </w:rPr>
              <w:t xml:space="preserve"> Urban–rural inequities</w:t>
            </w:r>
          </w:p>
          <w:p w14:paraId="27174E55"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Equipment:</w:t>
            </w:r>
            <w:r w:rsidRPr="00482BB6">
              <w:rPr>
                <w:rFonts w:ascii="Times New Roman" w:eastAsia="Times New Roman" w:hAnsi="Times New Roman"/>
                <w:kern w:val="0"/>
                <w:sz w:val="24"/>
                <w:szCs w:val="24"/>
                <w:lang w:val="en-GM"/>
              </w:rPr>
              <w:t xml:space="preserve"> Inadequate renal care resources</w:t>
            </w:r>
          </w:p>
          <w:p w14:paraId="3890C506" w14:textId="388024FA"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Process:</w:t>
            </w:r>
            <w:r w:rsidRPr="00482BB6">
              <w:rPr>
                <w:rFonts w:ascii="Times New Roman" w:eastAsia="Times New Roman" w:hAnsi="Times New Roman"/>
                <w:kern w:val="0"/>
                <w:sz w:val="24"/>
                <w:szCs w:val="24"/>
                <w:lang w:val="en-GM"/>
              </w:rPr>
              <w:t xml:space="preserve"> Fragmented referral pathways</w:t>
            </w:r>
          </w:p>
        </w:tc>
        <w:tc>
          <w:tcPr>
            <w:tcW w:w="2186" w:type="dxa"/>
            <w:hideMark/>
          </w:tcPr>
          <w:p w14:paraId="785EEA8C" w14:textId="77777777" w:rsidR="00482BB6"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SO1: Resilient health systems</w:t>
            </w:r>
          </w:p>
          <w:p w14:paraId="2939AB4B" w14:textId="77777777" w:rsidR="00482BB6"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SO3: Safe and effective clinical processes</w:t>
            </w:r>
          </w:p>
          <w:p w14:paraId="24E34675" w14:textId="6C58E442" w:rsidR="00482BB6" w:rsidRPr="00482BB6"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SO5: Learning systems for patient safety</w:t>
            </w:r>
          </w:p>
        </w:tc>
        <w:tc>
          <w:tcPr>
            <w:tcW w:w="3027" w:type="dxa"/>
            <w:hideMark/>
          </w:tcPr>
          <w:p w14:paraId="4CC4E9D4"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Strengthening of adverse drug reaction (ADR) reporting mechanisms</w:t>
            </w:r>
          </w:p>
          <w:p w14:paraId="175D1B66" w14:textId="77777777" w:rsid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Establishment of inter-agency coordination between MCA, MoH, and customs authorities</w:t>
            </w:r>
          </w:p>
          <w:p w14:paraId="3E12B0B9" w14:textId="394B432E"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Engagement with WHO Prequalification and Global Surveillance systems</w:t>
            </w:r>
          </w:p>
        </w:tc>
      </w:tr>
      <w:tr w:rsidR="00C156DE" w:rsidRPr="00130584" w14:paraId="01C06FDE" w14:textId="77777777" w:rsidTr="00FA626A">
        <w:tc>
          <w:tcPr>
            <w:tcW w:w="0" w:type="auto"/>
            <w:hideMark/>
          </w:tcPr>
          <w:p w14:paraId="58008C1B" w14:textId="77777777" w:rsidR="00482BB6" w:rsidRPr="00482BB6" w:rsidRDefault="00482BB6" w:rsidP="00482BB6">
            <w:pPr>
              <w:spacing w:before="0" w:beforeAutospacing="0" w:after="0" w:line="240" w:lineRule="auto"/>
              <w:rPr>
                <w:rFonts w:ascii="Times New Roman" w:eastAsia="Times New Roman" w:hAnsi="Times New Roman"/>
                <w:kern w:val="0"/>
                <w:sz w:val="24"/>
                <w:szCs w:val="24"/>
                <w:lang w:val="en-GM"/>
              </w:rPr>
            </w:pPr>
            <w:r w:rsidRPr="00482BB6">
              <w:rPr>
                <w:rFonts w:ascii="Times New Roman" w:eastAsia="Times New Roman" w:hAnsi="Times New Roman"/>
                <w:b/>
                <w:bCs/>
                <w:kern w:val="0"/>
                <w:sz w:val="24"/>
                <w:szCs w:val="24"/>
                <w:lang w:val="en-GM"/>
              </w:rPr>
              <w:t>Situational Awareness (Endsley)</w:t>
            </w:r>
          </w:p>
        </w:tc>
        <w:tc>
          <w:tcPr>
            <w:tcW w:w="0" w:type="auto"/>
            <w:hideMark/>
          </w:tcPr>
          <w:p w14:paraId="308D5EAB" w14:textId="77777777" w:rsidR="00482BB6" w:rsidRDefault="00482BB6" w:rsidP="00482BB6">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Missed early warning signals</w:t>
            </w:r>
          </w:p>
          <w:p w14:paraId="4BDFE50D" w14:textId="77777777" w:rsidR="00482BB6" w:rsidRDefault="00482BB6" w:rsidP="00482BB6">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Poor recognition of nephrotoxic risk</w:t>
            </w:r>
          </w:p>
          <w:p w14:paraId="280BD7D4" w14:textId="3A7594F2" w:rsidR="00482BB6" w:rsidRPr="00482BB6" w:rsidRDefault="00482BB6" w:rsidP="00482BB6">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Delayed escalation and public communication</w:t>
            </w:r>
          </w:p>
        </w:tc>
        <w:tc>
          <w:tcPr>
            <w:tcW w:w="2186" w:type="dxa"/>
            <w:hideMark/>
          </w:tcPr>
          <w:p w14:paraId="1883375E" w14:textId="77777777" w:rsidR="00C156DE"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SO2: Leadership and teamwork</w:t>
            </w:r>
          </w:p>
          <w:p w14:paraId="173CC9F2" w14:textId="77777777" w:rsidR="00C156DE"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SO5: Early warning and surveillance</w:t>
            </w:r>
          </w:p>
          <w:p w14:paraId="6963A8B2" w14:textId="7CEFD149" w:rsidR="00482BB6" w:rsidRPr="00482BB6" w:rsidRDefault="00482BB6" w:rsidP="00C156DE">
            <w:pPr>
              <w:spacing w:before="0" w:beforeAutospacing="0" w:after="0" w:line="360"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SO7: Patient and community engagement</w:t>
            </w:r>
          </w:p>
        </w:tc>
        <w:tc>
          <w:tcPr>
            <w:tcW w:w="3027" w:type="dxa"/>
            <w:hideMark/>
          </w:tcPr>
          <w:p w14:paraId="55A31726" w14:textId="77777777" w:rsidR="00482BB6" w:rsidRDefault="00482BB6" w:rsidP="00C156DE">
            <w:pPr>
              <w:spacing w:before="0" w:beforeAutospacing="0" w:after="0" w:line="276"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Public safety communications and media briefings on unsafe medicines</w:t>
            </w:r>
          </w:p>
          <w:p w14:paraId="7E52C7B5" w14:textId="77777777" w:rsidR="00482BB6" w:rsidRDefault="00482BB6" w:rsidP="00C156DE">
            <w:pPr>
              <w:spacing w:before="0" w:beforeAutospacing="0" w:after="0" w:line="276"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Risk communication to healthcare workers and the public</w:t>
            </w:r>
          </w:p>
          <w:p w14:paraId="2F4B95D9" w14:textId="6CBBDE79" w:rsidR="00482BB6" w:rsidRPr="00482BB6" w:rsidRDefault="00482BB6" w:rsidP="00C156DE">
            <w:pPr>
              <w:spacing w:before="0" w:beforeAutospacing="0" w:after="0" w:line="276" w:lineRule="auto"/>
              <w:rPr>
                <w:rFonts w:ascii="Times New Roman" w:eastAsia="Times New Roman" w:hAnsi="Times New Roman"/>
                <w:kern w:val="0"/>
                <w:sz w:val="24"/>
                <w:szCs w:val="24"/>
                <w:lang w:val="en-GM"/>
              </w:rPr>
            </w:pPr>
            <w:r w:rsidRPr="00482BB6">
              <w:rPr>
                <w:rFonts w:ascii="Times New Roman" w:eastAsia="Times New Roman" w:hAnsi="Times New Roman"/>
                <w:kern w:val="0"/>
                <w:sz w:val="24"/>
                <w:szCs w:val="24"/>
                <w:lang w:val="en-GM"/>
              </w:rPr>
              <w:t>• Commitment to ongoing regulatory reform and crisis preparedness</w:t>
            </w:r>
          </w:p>
        </w:tc>
      </w:tr>
    </w:tbl>
    <w:p w14:paraId="1E8F43E7" w14:textId="77777777" w:rsidR="008212A5" w:rsidRPr="00482BB6" w:rsidRDefault="008212A5">
      <w:pPr>
        <w:spacing w:after="100" w:afterAutospacing="1" w:line="240" w:lineRule="auto"/>
        <w:rPr>
          <w:rFonts w:ascii="Times New Roman" w:eastAsia="Times New Roman" w:hAnsi="Times New Roman"/>
          <w:kern w:val="0"/>
          <w:sz w:val="24"/>
          <w:szCs w:val="24"/>
          <w:lang w:val="en-GM"/>
        </w:rPr>
      </w:pPr>
    </w:p>
    <w:sectPr w:rsidR="008212A5" w:rsidRPr="00482B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0C59" w14:textId="77777777" w:rsidR="00B66D22" w:rsidRDefault="00B66D22">
      <w:pPr>
        <w:spacing w:line="240" w:lineRule="auto"/>
      </w:pPr>
      <w:r>
        <w:separator/>
      </w:r>
    </w:p>
  </w:endnote>
  <w:endnote w:type="continuationSeparator" w:id="0">
    <w:p w14:paraId="662E8904" w14:textId="77777777" w:rsidR="00B66D22" w:rsidRDefault="00B66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41D0" w14:textId="77777777" w:rsidR="00B66D22" w:rsidRDefault="00B66D22">
      <w:pPr>
        <w:spacing w:before="0" w:after="0"/>
      </w:pPr>
      <w:r>
        <w:separator/>
      </w:r>
    </w:p>
  </w:footnote>
  <w:footnote w:type="continuationSeparator" w:id="0">
    <w:p w14:paraId="5CD414C5" w14:textId="77777777" w:rsidR="00B66D22" w:rsidRDefault="00B66D2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945"/>
    <w:multiLevelType w:val="multilevel"/>
    <w:tmpl w:val="04EF7945"/>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7D775F8"/>
    <w:multiLevelType w:val="multilevel"/>
    <w:tmpl w:val="07D775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8ED7012"/>
    <w:multiLevelType w:val="multilevel"/>
    <w:tmpl w:val="18ED70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9BB3FFD"/>
    <w:multiLevelType w:val="multilevel"/>
    <w:tmpl w:val="19BB3FFD"/>
    <w:lvl w:ilvl="0">
      <w:start w:val="1"/>
      <w:numFmt w:val="decimal"/>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1F181222"/>
    <w:multiLevelType w:val="multilevel"/>
    <w:tmpl w:val="1F1812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8FB5B2E"/>
    <w:multiLevelType w:val="multilevel"/>
    <w:tmpl w:val="28FB5B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A006C1D"/>
    <w:multiLevelType w:val="multilevel"/>
    <w:tmpl w:val="2A006C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7416EE1"/>
    <w:multiLevelType w:val="multilevel"/>
    <w:tmpl w:val="37416EE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499B0F1B"/>
    <w:multiLevelType w:val="multilevel"/>
    <w:tmpl w:val="499B0F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E45424"/>
    <w:multiLevelType w:val="multilevel"/>
    <w:tmpl w:val="51E454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3871BEA"/>
    <w:multiLevelType w:val="multilevel"/>
    <w:tmpl w:val="53871BEA"/>
    <w:lvl w:ilvl="0">
      <w:start w:val="1"/>
      <w:numFmt w:val="decimal"/>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66395396"/>
    <w:multiLevelType w:val="multilevel"/>
    <w:tmpl w:val="663953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359278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095524">
    <w:abstractNumId w:val="2"/>
  </w:num>
  <w:num w:numId="3" w16cid:durableId="1223635472">
    <w:abstractNumId w:val="5"/>
  </w:num>
  <w:num w:numId="4" w16cid:durableId="1002003434">
    <w:abstractNumId w:val="9"/>
  </w:num>
  <w:num w:numId="5" w16cid:durableId="1259414283">
    <w:abstractNumId w:val="6"/>
  </w:num>
  <w:num w:numId="6" w16cid:durableId="1808695288">
    <w:abstractNumId w:val="1"/>
  </w:num>
  <w:num w:numId="7" w16cid:durableId="1149592905">
    <w:abstractNumId w:val="4"/>
  </w:num>
  <w:num w:numId="8" w16cid:durableId="955478959">
    <w:abstractNumId w:val="11"/>
  </w:num>
  <w:num w:numId="9" w16cid:durableId="1270508313">
    <w:abstractNumId w:val="8"/>
  </w:num>
  <w:num w:numId="10" w16cid:durableId="1564828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3130959">
    <w:abstractNumId w:val="7"/>
  </w:num>
  <w:num w:numId="12" w16cid:durableId="2043555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4D0"/>
    <w:rsid w:val="000158CC"/>
    <w:rsid w:val="0003452A"/>
    <w:rsid w:val="0004094C"/>
    <w:rsid w:val="000B701C"/>
    <w:rsid w:val="000C738E"/>
    <w:rsid w:val="000D6704"/>
    <w:rsid w:val="00121F01"/>
    <w:rsid w:val="00130584"/>
    <w:rsid w:val="00150EBA"/>
    <w:rsid w:val="00177135"/>
    <w:rsid w:val="001932CF"/>
    <w:rsid w:val="001A5465"/>
    <w:rsid w:val="001B4F9D"/>
    <w:rsid w:val="001C73B5"/>
    <w:rsid w:val="001F513A"/>
    <w:rsid w:val="002125ED"/>
    <w:rsid w:val="00251F42"/>
    <w:rsid w:val="00262EBA"/>
    <w:rsid w:val="0029404A"/>
    <w:rsid w:val="002977DE"/>
    <w:rsid w:val="002A1FB8"/>
    <w:rsid w:val="002A5ACD"/>
    <w:rsid w:val="002A6092"/>
    <w:rsid w:val="002A798C"/>
    <w:rsid w:val="002B7701"/>
    <w:rsid w:val="002F56F0"/>
    <w:rsid w:val="003014B2"/>
    <w:rsid w:val="00361942"/>
    <w:rsid w:val="0036567B"/>
    <w:rsid w:val="0037349B"/>
    <w:rsid w:val="0039448A"/>
    <w:rsid w:val="003A19F7"/>
    <w:rsid w:val="003A6A74"/>
    <w:rsid w:val="003B686B"/>
    <w:rsid w:val="003E3D04"/>
    <w:rsid w:val="003E58EB"/>
    <w:rsid w:val="003F1B19"/>
    <w:rsid w:val="00413E9B"/>
    <w:rsid w:val="00452A50"/>
    <w:rsid w:val="00474AE1"/>
    <w:rsid w:val="00482BB6"/>
    <w:rsid w:val="004A0E43"/>
    <w:rsid w:val="004A3993"/>
    <w:rsid w:val="004B1BE0"/>
    <w:rsid w:val="004C34D0"/>
    <w:rsid w:val="004C6080"/>
    <w:rsid w:val="004D2FA2"/>
    <w:rsid w:val="004D5433"/>
    <w:rsid w:val="004D6EA9"/>
    <w:rsid w:val="004F37E6"/>
    <w:rsid w:val="004F60D5"/>
    <w:rsid w:val="004F7942"/>
    <w:rsid w:val="00501ABB"/>
    <w:rsid w:val="005060E4"/>
    <w:rsid w:val="00515725"/>
    <w:rsid w:val="00540DCE"/>
    <w:rsid w:val="005603C7"/>
    <w:rsid w:val="00593661"/>
    <w:rsid w:val="005E06F6"/>
    <w:rsid w:val="00610280"/>
    <w:rsid w:val="00614B45"/>
    <w:rsid w:val="00634AC6"/>
    <w:rsid w:val="006B1962"/>
    <w:rsid w:val="006C2B8A"/>
    <w:rsid w:val="006C62BB"/>
    <w:rsid w:val="006E2676"/>
    <w:rsid w:val="00706CEE"/>
    <w:rsid w:val="00712DEA"/>
    <w:rsid w:val="007235DD"/>
    <w:rsid w:val="00734391"/>
    <w:rsid w:val="0075289A"/>
    <w:rsid w:val="00760B50"/>
    <w:rsid w:val="00781461"/>
    <w:rsid w:val="007840F1"/>
    <w:rsid w:val="007A580B"/>
    <w:rsid w:val="007D0924"/>
    <w:rsid w:val="007E2524"/>
    <w:rsid w:val="00802680"/>
    <w:rsid w:val="008035D4"/>
    <w:rsid w:val="008212A5"/>
    <w:rsid w:val="00821E72"/>
    <w:rsid w:val="00857516"/>
    <w:rsid w:val="00860A4D"/>
    <w:rsid w:val="00894452"/>
    <w:rsid w:val="008A6ABF"/>
    <w:rsid w:val="008B1D0E"/>
    <w:rsid w:val="008B72D5"/>
    <w:rsid w:val="008D4F7C"/>
    <w:rsid w:val="0090376A"/>
    <w:rsid w:val="00911271"/>
    <w:rsid w:val="00914A53"/>
    <w:rsid w:val="00916E81"/>
    <w:rsid w:val="0093087A"/>
    <w:rsid w:val="00936E67"/>
    <w:rsid w:val="00944809"/>
    <w:rsid w:val="00956946"/>
    <w:rsid w:val="00967119"/>
    <w:rsid w:val="00977EF3"/>
    <w:rsid w:val="00991EBA"/>
    <w:rsid w:val="009B3653"/>
    <w:rsid w:val="009C1BF7"/>
    <w:rsid w:val="009D7759"/>
    <w:rsid w:val="00A02BC7"/>
    <w:rsid w:val="00A07BD8"/>
    <w:rsid w:val="00A2336D"/>
    <w:rsid w:val="00A25859"/>
    <w:rsid w:val="00A264BB"/>
    <w:rsid w:val="00A3162B"/>
    <w:rsid w:val="00A50CA9"/>
    <w:rsid w:val="00A53766"/>
    <w:rsid w:val="00A63D13"/>
    <w:rsid w:val="00A71CE2"/>
    <w:rsid w:val="00A72B3B"/>
    <w:rsid w:val="00A90790"/>
    <w:rsid w:val="00AB3C92"/>
    <w:rsid w:val="00AC20A8"/>
    <w:rsid w:val="00AC67CF"/>
    <w:rsid w:val="00AE23D7"/>
    <w:rsid w:val="00B33E19"/>
    <w:rsid w:val="00B66D22"/>
    <w:rsid w:val="00B70280"/>
    <w:rsid w:val="00B70A3D"/>
    <w:rsid w:val="00B71FF0"/>
    <w:rsid w:val="00B7488E"/>
    <w:rsid w:val="00B8277F"/>
    <w:rsid w:val="00B84768"/>
    <w:rsid w:val="00BB73E3"/>
    <w:rsid w:val="00BC2B9B"/>
    <w:rsid w:val="00BD297E"/>
    <w:rsid w:val="00BF3832"/>
    <w:rsid w:val="00C1242F"/>
    <w:rsid w:val="00C156DE"/>
    <w:rsid w:val="00C44E37"/>
    <w:rsid w:val="00C56E90"/>
    <w:rsid w:val="00C57B8F"/>
    <w:rsid w:val="00C64711"/>
    <w:rsid w:val="00C9410B"/>
    <w:rsid w:val="00CD3813"/>
    <w:rsid w:val="00CD5777"/>
    <w:rsid w:val="00CD5AC8"/>
    <w:rsid w:val="00D11D5C"/>
    <w:rsid w:val="00D3167E"/>
    <w:rsid w:val="00D32E00"/>
    <w:rsid w:val="00D54566"/>
    <w:rsid w:val="00D550B0"/>
    <w:rsid w:val="00D706FD"/>
    <w:rsid w:val="00D74E89"/>
    <w:rsid w:val="00D84BAE"/>
    <w:rsid w:val="00D8572D"/>
    <w:rsid w:val="00D968EF"/>
    <w:rsid w:val="00DB35E2"/>
    <w:rsid w:val="00DB53AA"/>
    <w:rsid w:val="00DC36DD"/>
    <w:rsid w:val="00DD1001"/>
    <w:rsid w:val="00E01901"/>
    <w:rsid w:val="00E36C79"/>
    <w:rsid w:val="00E51933"/>
    <w:rsid w:val="00E7212E"/>
    <w:rsid w:val="00E721D3"/>
    <w:rsid w:val="00E73BFC"/>
    <w:rsid w:val="00EA2774"/>
    <w:rsid w:val="00F00145"/>
    <w:rsid w:val="00F004D7"/>
    <w:rsid w:val="00F11E4F"/>
    <w:rsid w:val="00F32F2D"/>
    <w:rsid w:val="00F43342"/>
    <w:rsid w:val="00F47607"/>
    <w:rsid w:val="00F67FB4"/>
    <w:rsid w:val="00F77FDD"/>
    <w:rsid w:val="00F97A1A"/>
    <w:rsid w:val="00FA626A"/>
    <w:rsid w:val="00FB635F"/>
    <w:rsid w:val="00FC5455"/>
    <w:rsid w:val="00FD1FDC"/>
    <w:rsid w:val="00FE35E1"/>
    <w:rsid w:val="00FF6DB3"/>
    <w:rsid w:val="12F40AB6"/>
    <w:rsid w:val="23F976AA"/>
    <w:rsid w:val="319D502C"/>
    <w:rsid w:val="63873BF5"/>
    <w:rsid w:val="646C4442"/>
    <w:rsid w:val="7792287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57EEA9"/>
  <w15:docId w15:val="{04C8C1CF-3E46-418C-91C2-EAB8D9AE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M"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DengXian" w:eastAsia="DengXian" w:hAnsi="DengXian"/>
      <w:kern w:val="2"/>
      <w:sz w:val="22"/>
      <w:szCs w:val="22"/>
      <w:lang w:val="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kern w:val="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qFormat/>
    <w:rPr>
      <w:rFonts w:eastAsia="Times New Roman"/>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15">
    <w:name w:val="15"/>
    <w:basedOn w:val="DefaultParagraphFont"/>
    <w:qFormat/>
    <w:rPr>
      <w:rFonts w:ascii="DengXian" w:eastAsia="DengXian" w:hAnsi="DengXian" w:hint="eastAsia"/>
      <w:i/>
      <w:iCs/>
    </w:rPr>
  </w:style>
  <w:style w:type="character" w:customStyle="1" w:styleId="16">
    <w:name w:val="16"/>
    <w:basedOn w:val="DefaultParagraphFont"/>
    <w:qFormat/>
    <w:rPr>
      <w:rFonts w:ascii="DengXian" w:eastAsia="DengXian" w:hAnsi="DengXian" w:hint="eastAsia"/>
      <w:color w:val="0563C1"/>
      <w:u w:val="single"/>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doi.org/10.21804/27-1-6692"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customXml" Target="ink/ink5.xml"/><Relationship Id="rId25" Type="http://schemas.openxmlformats.org/officeDocument/2006/relationships/image" Target="media/image7.png"/><Relationship Id="rId33" Type="http://schemas.openxmlformats.org/officeDocument/2006/relationships/hyperlink" Target="https://doi.org/10.1371/journal.pgph.000402"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ustomXml" Target="ink/ink7.xml"/><Relationship Id="rId29" Type="http://schemas.openxmlformats.org/officeDocument/2006/relationships/customXml" Target="ink/ink1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10.xml"/><Relationship Id="rId32" Type="http://schemas.openxmlformats.org/officeDocument/2006/relationships/hyperlink" Target="https://doi.org/10.1007/s13201-021-01562-7" TargetMode="Externa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customXml" Target="ink/ink9.xml"/><Relationship Id="rId28" Type="http://schemas.openxmlformats.org/officeDocument/2006/relationships/hyperlink" Target="https://doi.org/10.1136/qhc.12.suppl_2.ii46" TargetMode="External"/><Relationship Id="rId10" Type="http://schemas.openxmlformats.org/officeDocument/2006/relationships/customXml" Target="ink/ink2.xml"/><Relationship Id="rId19" Type="http://schemas.openxmlformats.org/officeDocument/2006/relationships/customXml" Target="ink/ink6.xml"/><Relationship Id="rId31" Type="http://schemas.openxmlformats.org/officeDocument/2006/relationships/hyperlink" Target="https://doi.org/10.1186/s13690-023-01223-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3.xml"/><Relationship Id="rId22" Type="http://schemas.openxmlformats.org/officeDocument/2006/relationships/customXml" Target="ink/ink8.xml"/><Relationship Id="rId27" Type="http://schemas.openxmlformats.org/officeDocument/2006/relationships/hyperlink" Target="https://doi.org/10.1097/JS9.0000000000000112" TargetMode="External"/><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16T16:23:59.930"/>
    </inkml:context>
    <inkml:brush xml:id="br0">
      <inkml:brushProperty name="width" value="0.05" units="cm"/>
      <inkml:brushProperty name="height" value="0.05" units="cm"/>
    </inkml:brush>
  </inkml:definitions>
  <inkml:trace contextRef="#ctx0" brushRef="#br0">0 1 7528 0 0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59:01"/>
    </inkml:context>
    <inkml:brush xml:id="br0">
      <inkml:brushProperty name="width" value="0.05" units="cm"/>
      <inkml:brushProperty name="height" value="0.05" units="cm"/>
    </inkml:brush>
  </inkml:definitions>
  <inkml:trace contextRef="#ctx0" brushRef="#br0">1 0 2608 0 0,'0'0'0'0'0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7:00:13"/>
    </inkml:context>
    <inkml:brush xml:id="br0">
      <inkml:brushProperty name="width" value="0.05" units="cm"/>
      <inkml:brushProperty name="height" value="0.05" units="cm"/>
    </inkml:brush>
  </inkml:definitions>
  <inkml:trace contextRef="#ctx0" brushRef="#br0">1 0 12600 0 0,'0'0'0'0'0</inkml:trace>
  <inkml:trace contextRef="#ctx0" brushRef="#br0">16 32 9296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5:59:35"/>
    </inkml:context>
    <inkml:brush xml:id="br0">
      <inkml:brushProperty name="width" value="0.05" units="cm"/>
      <inkml:brushProperty name="height" value="0.05" units="cm"/>
    </inkml:brush>
  </inkml:definitions>
  <inkml:trace contextRef="#ctx0" brushRef="#br0">4 1 21103 0 0</inkml:trace>
  <inkml:trace contextRef="#ctx0" brushRef="#br0">1 61 9240 0 0,'0'-7'0'0'0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16T16:47:25.849"/>
    </inkml:context>
    <inkml:brush xml:id="br0">
      <inkml:brushProperty name="width" value="0.05" units="cm"/>
      <inkml:brushProperty name="height" value="0.05" units="cm"/>
    </inkml:brush>
  </inkml:definitions>
  <inkml:trace contextRef="#ctx0" brushRef="#br0">1 1 6328 0 0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3:09:54"/>
    </inkml:context>
    <inkml:brush xml:id="br0">
      <inkml:brushProperty name="width" value="0.05" units="cm"/>
      <inkml:brushProperty name="height" value="0.05" units="cm"/>
    </inkml:brush>
  </inkml:definitions>
  <inkml:trace contextRef="#ctx0" brushRef="#br0">1 0 27303 0 0,'0'0'0'0'0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3:09:54"/>
    </inkml:context>
    <inkml:brush xml:id="br0">
      <inkml:brushProperty name="width" value="0.05" units="cm"/>
      <inkml:brushProperty name="height" value="0.05" units="cm"/>
    </inkml:brush>
  </inkml:definitions>
  <inkml:trace contextRef="#ctx0" brushRef="#br0">1 0 18591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16T16:55:28.132"/>
    </inkml:context>
    <inkml:brush xml:id="br0">
      <inkml:brushProperty name="width" value="0.05" units="cm"/>
      <inkml:brushProperty name="height" value="0.05" units="cm"/>
    </inkml:brush>
  </inkml:definitions>
  <inkml:trace contextRef="#ctx0" brushRef="#br0">0 0 9144 0 0,'0'0'0'0'0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51:56"/>
    </inkml:context>
    <inkml:brush xml:id="br0">
      <inkml:brushProperty name="width" value="0.05" units="cm"/>
      <inkml:brushProperty name="height" value="0.05" units="cm"/>
    </inkml:brush>
  </inkml:definitions>
  <inkml:trace contextRef="#ctx0" brushRef="#br0">0 1 9536 0 0,'0'0'0'0'0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16T17:01:07.795"/>
    </inkml:context>
    <inkml:brush xml:id="br0">
      <inkml:brushProperty name="width" value="0.05" units="cm"/>
      <inkml:brushProperty name="height" value="0.05" units="cm"/>
    </inkml:brush>
  </inkml:definitions>
  <inkml:trace contextRef="#ctx0" brushRef="#br0">1 0 19295 0 0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16T17:03:49.365"/>
    </inkml:context>
    <inkml:brush xml:id="br0">
      <inkml:brushProperty name="width" value="0.05" units="cm"/>
      <inkml:brushProperty name="height" value="0.05" units="cm"/>
    </inkml:brush>
  </inkml:definitions>
  <inkml:trace contextRef="#ctx0" brushRef="#br0">1 1 8336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28</Pages>
  <Words>6156</Words>
  <Characters>35091</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Abstract</vt:lpstr>
      <vt:lpstr>    Introduction</vt:lpstr>
      <vt:lpstr>    Results</vt:lpstr>
      <vt:lpstr>        Overview of key systemic failures in the Gambian AKI epidemic</vt:lpstr>
      <vt:lpstr>        1. Swiss cheese model analysis</vt:lpstr>
      <vt:lpstr>        2. SHELL model analysis</vt:lpstr>
      <vt:lpstr>        3. SHEEP model findings for paediatric AKI</vt:lpstr>
      <vt:lpstr>        4. Situational Awareness Gaps</vt:lpstr>
      <vt:lpstr>        Cross-cutting systemic themes identified</vt:lpstr>
      <vt:lpstr>    Discussions</vt:lpstr>
      <vt:lpstr>        Systemic failures across defensive layers (Swiss Cheese Model)</vt:lpstr>
      <vt:lpstr>        Human–system misalignment (SHELL Model)</vt:lpstr>
      <vt:lpstr>        Gaps in AKI detection and management (SHEEP Model)</vt:lpstr>
      <vt:lpstr>        Situational awareness deficits and delayed response</vt:lpstr>
      <vt:lpstr>        Cross-cutting themes and implications for health system resilience</vt:lpstr>
      <vt:lpstr>        Sociocultural Context and Care-Seeking Behavior</vt:lpstr>
      <vt:lpstr>    Policy implications for medication safety and patient safety systems</vt:lpstr>
      <vt:lpstr>    Conclusions</vt:lpstr>
      <vt:lpstr>    Limitations</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sisawomakalo@outlook.com</dc:creator>
  <cp:lastModifiedBy>sisawomakalo@outlook.com</cp:lastModifiedBy>
  <cp:revision>9</cp:revision>
  <dcterms:created xsi:type="dcterms:W3CDTF">2025-12-23T19:28:00Z</dcterms:created>
  <dcterms:modified xsi:type="dcterms:W3CDTF">2026-05-16T17:12:00Z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3F318CCC462841C6B56B4D7AD288D3D1_12</vt:lpwstr>
  </property>
</Properties>
</file>