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4232E">
      <w:pPr>
        <w:pStyle w:val="9"/>
        <w:spacing w:before="0" w:beforeAutospacing="0" w:after="0" w:afterAutospacing="0" w:line="240" w:lineRule="auto"/>
        <w:jc w:val="center"/>
      </w:pPr>
      <w:bookmarkStart w:id="0" w:name="_GoBack"/>
      <w:bookmarkEnd w:id="0"/>
    </w:p>
    <w:p w14:paraId="14FA29CC">
      <w:pPr>
        <w:pStyle w:val="9"/>
        <w:spacing w:before="0" w:beforeAutospacing="0" w:after="0" w:afterAutospacing="0" w:line="240" w:lineRule="auto"/>
        <w:jc w:val="center"/>
        <w:rPr>
          <w:b/>
        </w:rPr>
      </w:pPr>
      <w:r>
        <w:rPr>
          <w:b/>
        </w:rPr>
        <w:t>THE IMPACT OF CHRISTIAN TEACHINGS ON TRADITIONAL POLYGAMOUS MARRIAGE PRACTICES AMONG THE NANDI COMMUNITY, KENYA</w:t>
      </w:r>
    </w:p>
    <w:p w14:paraId="3CBD290D">
      <w:pPr>
        <w:pStyle w:val="9"/>
        <w:spacing w:before="0" w:beforeAutospacing="0" w:after="0" w:afterAutospacing="0" w:line="240" w:lineRule="auto"/>
        <w:jc w:val="center"/>
        <w:rPr>
          <w:b/>
        </w:rPr>
      </w:pPr>
    </w:p>
    <w:p w14:paraId="645E2A4B">
      <w:pPr>
        <w:pStyle w:val="9"/>
        <w:spacing w:before="0" w:beforeAutospacing="0" w:after="0" w:afterAutospacing="0" w:line="240" w:lineRule="auto"/>
        <w:jc w:val="center"/>
        <w:rPr>
          <w:rFonts w:hint="default"/>
          <w:b/>
          <w:lang w:val="en-US"/>
        </w:rPr>
      </w:pPr>
      <w:r>
        <w:rPr>
          <w:rFonts w:hint="default"/>
          <w:b/>
          <w:lang w:val="en-US"/>
        </w:rPr>
        <w:t xml:space="preserve">Authors: </w:t>
      </w:r>
    </w:p>
    <w:p w14:paraId="24E43478">
      <w:pPr>
        <w:pStyle w:val="9"/>
        <w:spacing w:before="0" w:beforeAutospacing="0" w:after="0" w:afterAutospacing="0" w:line="240" w:lineRule="auto"/>
        <w:jc w:val="center"/>
        <w:rPr>
          <w:rFonts w:hint="default"/>
          <w:b w:val="0"/>
          <w:bCs/>
          <w:sz w:val="24"/>
          <w:szCs w:val="24"/>
          <w:shd w:val="clear" w:color="auto" w:fill="FFFFFF"/>
          <w:lang w:val="en-US"/>
        </w:rPr>
      </w:pPr>
      <w:r>
        <w:rPr>
          <w:rFonts w:hint="default"/>
          <w:b w:val="0"/>
          <w:bCs/>
          <w:lang w:val="en-US"/>
        </w:rPr>
        <w:t xml:space="preserve">Pillah </w:t>
      </w:r>
      <w:r>
        <w:rPr>
          <w:b w:val="0"/>
          <w:bCs/>
          <w:sz w:val="24"/>
          <w:szCs w:val="24"/>
          <w:shd w:val="clear" w:color="auto" w:fill="FFFFFF"/>
        </w:rPr>
        <w:t>Chepkemboi</w:t>
      </w:r>
      <w:r>
        <w:rPr>
          <w:rFonts w:hint="default"/>
          <w:b w:val="0"/>
          <w:bCs/>
          <w:sz w:val="24"/>
          <w:szCs w:val="24"/>
          <w:shd w:val="clear" w:color="auto" w:fill="FFFFFF"/>
          <w:lang w:val="en-US"/>
        </w:rPr>
        <w:t>, Anthony Ichuloi, and Gerface Ochieng Ojwang</w:t>
      </w:r>
    </w:p>
    <w:p w14:paraId="282D9D27">
      <w:pPr>
        <w:keepNext w:val="0"/>
        <w:keepLines w:val="0"/>
        <w:widowControl/>
        <w:suppressLineNumbers w:val="0"/>
        <w:spacing w:before="0" w:beforeAutospacing="0" w:after="0" w:afterAutospacing="0" w:line="256" w:lineRule="auto"/>
        <w:ind w:left="0" w:right="0"/>
        <w:jc w:val="center"/>
        <w:rPr>
          <w:rFonts w:hint="default"/>
          <w:b w:val="0"/>
          <w:bCs/>
          <w:sz w:val="24"/>
          <w:szCs w:val="24"/>
          <w:shd w:val="clear" w:color="auto" w:fill="FFFFFF"/>
          <w:lang w:val="en-US"/>
        </w:rPr>
      </w:pPr>
      <w:r>
        <w:rPr>
          <w:rFonts w:hint="default"/>
          <w:b w:val="0"/>
          <w:bCs/>
          <w:sz w:val="24"/>
          <w:szCs w:val="24"/>
          <w:shd w:val="clear" w:color="auto" w:fill="FFFFFF"/>
          <w:lang w:val="en-US"/>
        </w:rPr>
        <w:t>(</w:t>
      </w:r>
      <w:r>
        <w:rPr>
          <w:rFonts w:hint="default" w:ascii="Times New Roman" w:hAnsi="Times New Roman" w:eastAsia="Calibri" w:cs="Times New Roman"/>
          <w:kern w:val="0"/>
          <w:sz w:val="24"/>
          <w:szCs w:val="24"/>
          <w:lang w:val="en-US" w:eastAsia="zh-CN" w:bidi="ar"/>
        </w:rPr>
        <w:t>School of Arts and Social Sciences, Department of Philosophy and Religious Studies Kisii University, Kenya P.O Box 408-40200, Kenya</w:t>
      </w:r>
      <w:r>
        <w:rPr>
          <w:rFonts w:hint="default"/>
          <w:b w:val="0"/>
          <w:bCs/>
          <w:sz w:val="24"/>
          <w:szCs w:val="24"/>
          <w:shd w:val="clear" w:color="auto" w:fill="FFFFFF"/>
          <w:lang w:val="en-US"/>
        </w:rPr>
        <w:t>)</w:t>
      </w:r>
    </w:p>
    <w:p w14:paraId="4B8D26A7">
      <w:pPr>
        <w:pStyle w:val="9"/>
        <w:spacing w:before="0" w:beforeAutospacing="0" w:after="0" w:afterAutospacing="0" w:line="240" w:lineRule="auto"/>
        <w:jc w:val="both"/>
        <w:rPr>
          <w:bCs/>
        </w:rPr>
      </w:pPr>
    </w:p>
    <w:p w14:paraId="756CB301">
      <w:pPr>
        <w:pStyle w:val="9"/>
        <w:spacing w:before="0" w:beforeAutospacing="0" w:after="0" w:afterAutospacing="0" w:line="240" w:lineRule="auto"/>
        <w:jc w:val="both"/>
        <w:rPr>
          <w:b/>
          <w:bCs/>
          <w:i/>
        </w:rPr>
      </w:pPr>
      <w:r>
        <w:rPr>
          <w:b/>
          <w:bCs/>
          <w:i/>
        </w:rPr>
        <w:t>Abstract</w:t>
      </w:r>
    </w:p>
    <w:p w14:paraId="1AEF0352">
      <w:pPr>
        <w:spacing w:before="0" w:beforeAutospacing="0" w:after="0" w:line="254" w:lineRule="auto"/>
        <w:rPr>
          <w:rFonts w:eastAsia="Calibri"/>
          <w:i/>
        </w:rPr>
      </w:pPr>
      <w:r>
        <w:rPr>
          <w:i/>
        </w:rPr>
        <w:t xml:space="preserve">Marriage is a fundamental social institution that shapes family organization, cultural identity, and social order within human societies. Among the Nandi community, polygamous marriage has traditionally served important social, economic, and lineage functions that sustain communal cohesion. However, the introduction of Christianity created tensions with these indigenous practices, resulting in the discreet continuation of polygamy or the selective integration of Christian teachings with traditional values, thereby producing a dual value system. This study investigated </w:t>
      </w:r>
      <w:r>
        <w:rPr>
          <w:rFonts w:eastAsia="Calibri"/>
          <w:i/>
        </w:rPr>
        <w:t>the impact of Christian teachings on traditional polygamous marriage practices of the Nandi community</w:t>
      </w:r>
      <w:r>
        <w:rPr>
          <w:i/>
        </w:rPr>
        <w:t xml:space="preserve">. It was guided by Diffusion Theory, Structural-Functionalist Theory, and Acculturation Theory, and employed a descriptive research design. The target population comprised of 1,000 participants, from which a sample size of 286 respondents was determined using Glenn’s (1992) tabulation. Data was collected through questionnaires, in-depth interviews, and focus group discussions. Data was analyzed thematically using Likert Scale approach and narration. </w:t>
      </w:r>
      <w:r>
        <w:rPr>
          <w:rFonts w:eastAsia="Calibri"/>
          <w:i/>
        </w:rPr>
        <w:t>The study found that while strong majorities affirm the relational and spiritual dimensions of Christian marriage (58.0%-73.3%), Christianity is simultaneously driving significant transformations in Nandi polygamous practices (61.8%-93.9%), even as church reconciliation strategies remain mixed and contested, with support and opposition often closely divided (45.0%-63.4%). It concluded that Christian marriage teachings have reshaped marriage in the Nandi community, but ongoing tensions reveal a complex negotiation between Christian ideals and traditional cultural norms. And the study recommended that churches in the region strengthen culturally sensitive and theologically grounded interventions to support a balanced reconciliation between Christian marriage ideals and Nandi cultural traditions.</w:t>
      </w:r>
    </w:p>
    <w:p w14:paraId="3DABAC81">
      <w:pPr>
        <w:spacing w:before="0" w:beforeAutospacing="0" w:after="0" w:line="254" w:lineRule="auto"/>
        <w:rPr>
          <w:rFonts w:eastAsia="Calibri"/>
        </w:rPr>
      </w:pPr>
    </w:p>
    <w:p w14:paraId="35643251">
      <w:pPr>
        <w:spacing w:before="0" w:beforeAutospacing="0" w:after="0" w:line="240" w:lineRule="auto"/>
        <w:rPr>
          <w:i/>
        </w:rPr>
      </w:pPr>
      <w:r>
        <w:rPr>
          <w:rFonts w:hAnsi="Symbol"/>
          <w:b/>
          <w:i/>
        </w:rPr>
        <w:t>Keywords:</w:t>
      </w:r>
      <w:r>
        <w:rPr>
          <w:rFonts w:hAnsi="Symbol"/>
          <w:i/>
        </w:rPr>
        <w:t xml:space="preserve"> </w:t>
      </w:r>
      <w:r>
        <w:rPr>
          <w:i/>
        </w:rPr>
        <w:t>Christianity, Polygamous Marriage, Nandi Community, Cultural Transformation, Traditional Marriage Practices</w:t>
      </w:r>
    </w:p>
    <w:p w14:paraId="51908C60">
      <w:pPr>
        <w:spacing w:before="0" w:beforeAutospacing="0" w:after="0" w:line="240" w:lineRule="auto"/>
      </w:pPr>
    </w:p>
    <w:p w14:paraId="0B9B0D29">
      <w:pPr>
        <w:pStyle w:val="9"/>
        <w:spacing w:before="0" w:beforeAutospacing="0" w:after="0" w:afterAutospacing="0" w:line="240" w:lineRule="auto"/>
        <w:jc w:val="both"/>
        <w:rPr>
          <w:b/>
          <w:bCs/>
        </w:rPr>
      </w:pPr>
      <w:r>
        <w:rPr>
          <w:b/>
          <w:bCs/>
        </w:rPr>
        <w:t>Background of the Study</w:t>
      </w:r>
    </w:p>
    <w:p w14:paraId="6FAB49CF">
      <w:pPr>
        <w:pStyle w:val="9"/>
        <w:spacing w:before="0" w:beforeAutospacing="0" w:after="0" w:afterAutospacing="0" w:line="240" w:lineRule="auto"/>
        <w:jc w:val="both"/>
        <w:rPr>
          <w:bCs/>
        </w:rPr>
      </w:pPr>
    </w:p>
    <w:p w14:paraId="1083FD15">
      <w:pPr>
        <w:spacing w:before="0" w:beforeAutospacing="0" w:after="0" w:line="240" w:lineRule="auto"/>
      </w:pPr>
      <w:r>
        <w:t>Marriage is a foundational social institution that influences family organization, cultural identity, and social order within human societies. Different societies have historically developed diverse marital systems such as monogamy, polygyny, and polyandry based on their cultural, economic, religious, and social realities. In the Western Christian tradition, marriage gradually evolved into an exclusive and lifelong union between one man and one woman through the influence of church teachings, ecclesiastical laws, and missionary expansion (Goody, 2012; MacCulloch, 2003). As  result, monogamy became institutionalized not only as a religious ideal but also as a symbol of morality, civilization, and social stability. Even in contemporary secular societies, Christian monogamous marriage continues to influence legal and social structures (Pew Research Center, 2020).</w:t>
      </w:r>
    </w:p>
    <w:p w14:paraId="106CEB2E">
      <w:pPr>
        <w:spacing w:before="0" w:beforeAutospacing="0" w:after="0" w:line="240" w:lineRule="auto"/>
      </w:pPr>
    </w:p>
    <w:p w14:paraId="4383F6E4">
      <w:pPr>
        <w:spacing w:before="0" w:beforeAutospacing="0" w:after="0" w:line="240" w:lineRule="auto"/>
      </w:pPr>
      <w:r>
        <w:t xml:space="preserve">In contrast, many indigenous societies across Africa traditionally embraced polygamous marriage systems deeply rooted in kinship organization, communal responsibility, lineage continuity, and economic cooperation. Among African communities such as the Yoruba, Maasai, Zulu, Akan, and Nandi, polygamy functioned as an important social institution regulated by customary laws and communal expectations rather than merely a private marital arrangement (Oboler, 1995). Within the Nandi community, polygamous marriage promotes social cohesion, labor organization, lineage continuity, and communal solidarity. However, the expansion of Christianity through missionary activity and colonial influence introduced monogamous marriage as the only biblically acceptable marital model (Magesa, </w:t>
      </w:r>
      <w:r>
        <w:rPr>
          <w:rFonts w:hint="default"/>
          <w:lang w:val="en-US"/>
        </w:rPr>
        <w:t>2010</w:t>
      </w:r>
      <w:r>
        <w:t xml:space="preserve">; Coontz, 2016). Christian missionaries condemned polygamy and often required converts to abandon </w:t>
      </w:r>
      <w:r>
        <w:rPr>
          <w:rFonts w:hint="default"/>
          <w:lang w:val="en-US"/>
        </w:rPr>
        <w:t>multiple</w:t>
      </w:r>
      <w:r>
        <w:t xml:space="preserve"> marriages as a condition for baptism, church leadership, and full participation in Christian life (Mbiti, 1969).</w:t>
      </w:r>
    </w:p>
    <w:p w14:paraId="39CB9AD5">
      <w:pPr>
        <w:spacing w:before="0" w:beforeAutospacing="0" w:after="0" w:line="240" w:lineRule="auto"/>
      </w:pPr>
    </w:p>
    <w:p w14:paraId="60616219">
      <w:pPr>
        <w:spacing w:before="0" w:beforeAutospacing="0" w:after="0" w:line="240" w:lineRule="auto"/>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kern w:val="0"/>
          <w:sz w:val="24"/>
          <w:szCs w:val="24"/>
          <w:lang w:val="en-US" w:eastAsia="zh-CN" w:bidi="ar"/>
        </w:rPr>
        <w:t xml:space="preserve">Despite the continued influence of Christianity, polygamy remains prevalent among the Nandi, especially in rural areas where customary traditions are deeply rooted. This practice is further reinforced by the Marriage Act of 2014, which recognizes customary marriages, including polygamous unions, thereby creating tension between Christian doctrine, state law, and cultural obligations (Republic of Kenya, 2014). </w:t>
      </w:r>
      <w:r>
        <w:rPr>
          <w:rFonts w:hint="default" w:eastAsia="Calibri" w:cs="Times New Roman"/>
          <w:kern w:val="0"/>
          <w:sz w:val="24"/>
          <w:szCs w:val="24"/>
          <w:lang w:val="en-US" w:eastAsia="zh-CN" w:bidi="ar"/>
        </w:rPr>
        <w:t xml:space="preserve">Accodingly, </w:t>
      </w:r>
      <w:r>
        <w:rPr>
          <w:rFonts w:hint="default" w:ascii="Times New Roman" w:hAnsi="Times New Roman" w:eastAsia="Calibri" w:cs="Times New Roman"/>
          <w:kern w:val="0"/>
          <w:sz w:val="24"/>
          <w:szCs w:val="24"/>
          <w:lang w:val="en-US" w:eastAsia="zh-CN" w:bidi="ar"/>
        </w:rPr>
        <w:t>some Christian converts continue to practice polygamy despite church condemnation, while others seek to reconcile Christian teachings with traditional marital responsibilities, resulting in what Kobimbo (2019) describes as a “dual value system.”</w:t>
      </w:r>
    </w:p>
    <w:p w14:paraId="3A3F9F07">
      <w:pPr>
        <w:spacing w:before="0" w:beforeAutospacing="0" w:after="0" w:line="240" w:lineRule="auto"/>
        <w:rPr>
          <w:rFonts w:hint="default" w:ascii="Times New Roman" w:hAnsi="Times New Roman" w:eastAsia="Calibri" w:cs="Times New Roman"/>
          <w:kern w:val="0"/>
          <w:sz w:val="24"/>
          <w:szCs w:val="24"/>
          <w:lang w:val="en-US" w:eastAsia="zh-CN" w:bidi="ar"/>
        </w:rPr>
      </w:pPr>
    </w:p>
    <w:p w14:paraId="39845A0F">
      <w:pPr>
        <w:keepNext w:val="0"/>
        <w:keepLines w:val="0"/>
        <w:widowControl/>
        <w:suppressLineNumbers w:val="0"/>
        <w:spacing w:before="0" w:beforeAutospacing="0" w:after="0" w:afterAutospacing="0" w:line="256" w:lineRule="auto"/>
        <w:ind w:left="0" w:right="0"/>
        <w:jc w:val="both"/>
        <w:rPr>
          <w:rFonts w:hint="default" w:ascii="Times New Roman" w:hAnsi="Times New Roman" w:cs="Times New Roman"/>
          <w:sz w:val="24"/>
          <w:szCs w:val="24"/>
          <w:lang w:val="en-US"/>
        </w:rPr>
      </w:pPr>
      <w:r>
        <w:rPr>
          <w:rFonts w:hint="default" w:ascii="Times New Roman" w:hAnsi="Times New Roman" w:eastAsia="Calibri" w:cs="Times New Roman"/>
          <w:kern w:val="0"/>
          <w:sz w:val="24"/>
          <w:szCs w:val="24"/>
          <w:lang w:val="en-US" w:eastAsia="zh-CN" w:bidi="ar"/>
        </w:rPr>
        <w:t>In addition, much of the literature on Christianity and African marriage systems remains largely historical, theological, or generalized, offering limited insight into the lived realities of local communities (Oboler, 2005; Magesa, 2010). As a result, the influence of Christian teachings on marital decision-making, household organization, kinship obligations, gender relations, and social cohesion at the grassroots level is insufficiently explored. The continued practice of polygamy alongside Christian influence, coupled with persistent tensions between religious teachings and traditional values, underscores the need for this study on the impact of Christian teachings on traditional polygamous marriage practices among the Nandi community in Kenya.</w:t>
      </w:r>
    </w:p>
    <w:p w14:paraId="41DDE334">
      <w:pPr>
        <w:pStyle w:val="9"/>
        <w:spacing w:before="0" w:beforeAutospacing="0" w:after="0" w:afterAutospacing="0" w:line="240" w:lineRule="auto"/>
        <w:jc w:val="both"/>
        <w:rPr>
          <w:bCs/>
        </w:rPr>
      </w:pPr>
    </w:p>
    <w:p w14:paraId="37D6F11C">
      <w:pPr>
        <w:pStyle w:val="9"/>
        <w:spacing w:before="0" w:beforeAutospacing="0" w:after="0" w:afterAutospacing="0" w:line="240" w:lineRule="auto"/>
        <w:jc w:val="both"/>
        <w:rPr>
          <w:b/>
          <w:bCs/>
        </w:rPr>
      </w:pPr>
      <w:r>
        <w:rPr>
          <w:b/>
          <w:bCs/>
        </w:rPr>
        <w:t>Statement of the Problem</w:t>
      </w:r>
    </w:p>
    <w:p w14:paraId="5F3CEC62">
      <w:pPr>
        <w:spacing w:before="0" w:beforeAutospacing="0" w:after="0" w:line="240" w:lineRule="auto"/>
      </w:pPr>
      <w:r>
        <w:t>Marriage among the Nandi community is an important cultural institution that promotes lineage continuity, social cohesion, economic cooperation, and kinship support. However, the introduction of Christianity brought monogamous marriage teachings that conflict with traditional polygamous practices. Consequently, many Christian converts experience tensions between religious expectations and cultural obligations, leading to clandestine polygamous unions, moral dilemmas, and the emergence of a “dual value system” in which Christian teachings and traditional practices coexist in contradiction. In addition, although several studies have examined Christianity and African marriage systems, much of the existing literature remains historical, theological, or generalized, with limited attention to the lived experiences of the Nandi community. In particular, there is inadequate empirical research on how Christian teachings influence traditional polygamous marriage practices. These gaps necessitated a focused study on the impact of Christian teachings on traditional polygamous marriage practices among the Nandi community in Kenya.</w:t>
      </w:r>
    </w:p>
    <w:p w14:paraId="439E3E04">
      <w:pPr>
        <w:pStyle w:val="9"/>
        <w:spacing w:before="0" w:beforeAutospacing="0" w:after="0" w:afterAutospacing="0" w:line="240" w:lineRule="auto"/>
        <w:jc w:val="both"/>
        <w:rPr>
          <w:bCs/>
        </w:rPr>
      </w:pPr>
    </w:p>
    <w:p w14:paraId="7A8B182F">
      <w:pPr>
        <w:pStyle w:val="9"/>
        <w:spacing w:before="0" w:beforeAutospacing="0" w:after="0" w:afterAutospacing="0" w:line="240" w:lineRule="auto"/>
        <w:jc w:val="both"/>
        <w:rPr>
          <w:b/>
          <w:bCs/>
        </w:rPr>
      </w:pPr>
      <w:r>
        <w:rPr>
          <w:b/>
          <w:bCs/>
        </w:rPr>
        <w:t>Literature Review</w:t>
      </w:r>
    </w:p>
    <w:p w14:paraId="3D2A152B">
      <w:pPr>
        <w:pStyle w:val="9"/>
        <w:spacing w:before="0" w:beforeAutospacing="0" w:after="0" w:afterAutospacing="0" w:line="240" w:lineRule="auto"/>
        <w:jc w:val="both"/>
        <w:rPr>
          <w:b/>
          <w:bCs/>
        </w:rPr>
      </w:pPr>
    </w:p>
    <w:p w14:paraId="2CCAEA12">
      <w:pPr>
        <w:pStyle w:val="9"/>
        <w:spacing w:before="0" w:beforeAutospacing="0" w:after="0" w:afterAutospacing="0" w:line="240" w:lineRule="auto"/>
        <w:jc w:val="both"/>
      </w:pPr>
      <w:r>
        <w:t>Christian teachings on marriage profoundly reshaped traditional polygamous marriage systems across many societies, particularly in Africa, Asia, and parts of the Middle East (Lamin, 2009; Anderson, 2014). Historically</w:t>
      </w:r>
      <w:r>
        <w:rPr>
          <w:rFonts w:hint="default"/>
          <w:lang w:val="en-US"/>
        </w:rPr>
        <w:t xml:space="preserve"> and traditionally</w:t>
      </w:r>
      <w:r>
        <w:t>, polygamy functioned as a socially embedded institution that served multiple purposes, including labor organization, lineage continuity, social security for women, population growth, and the strengthening of kinship and political alliances. Within many African communities, for instance, polygamous households contributed to agricultural productivity and ensured communal resilience through extended family networks. However, the expansion of Christianity through missionary activity and colonial encounters introduced a competing moral framework that positioned monogamy as the only legitimate and divinely sanctioned form of marriage, thereby reshaping indigenous marital norms and practices.</w:t>
      </w:r>
    </w:p>
    <w:p w14:paraId="256AF95B">
      <w:pPr>
        <w:spacing w:before="0" w:beforeAutospacing="0" w:after="0" w:line="240" w:lineRule="auto"/>
      </w:pPr>
    </w:p>
    <w:p w14:paraId="3F410DC8">
      <w:pPr>
        <w:spacing w:before="0" w:beforeAutospacing="0" w:after="0" w:line="240" w:lineRule="auto"/>
      </w:pPr>
      <w:r>
        <w:t xml:space="preserve">The Christian rejection of polygamy is primarily rooted in biblical interpretations of marriage, especially Genesis 2:24, and Jesus’ teachings in Matthew 19:3–9, which affirm a lifelong monogamous union between one man and one woman (Mulvaney, 2019). While the Old Testament contains examples of polygamous relationships, many Christian traditions interpret these as historical concessions rather than normative ideals. </w:t>
      </w:r>
      <w:r>
        <w:rPr>
          <w:rFonts w:hint="default"/>
          <w:lang w:val="en-US"/>
        </w:rPr>
        <w:t>Informed by this</w:t>
      </w:r>
      <w:r>
        <w:t xml:space="preserve">, Christian doctrine </w:t>
      </w:r>
      <w:r>
        <w:rPr>
          <w:rFonts w:hint="default"/>
          <w:lang w:val="en-US"/>
        </w:rPr>
        <w:t>highlights</w:t>
      </w:r>
      <w:r>
        <w:t xml:space="preserve"> monogamy, exclusivity, fidelity, and permanence as central ethical foundations of marriage. Through missionary preaching, catechesis, and institutional regulations like baptismal conditions, church discipline, and leadership restrictions, these ideals </w:t>
      </w:r>
      <w:r>
        <w:rPr>
          <w:rFonts w:hint="default"/>
          <w:lang w:val="en-US"/>
        </w:rPr>
        <w:t>are</w:t>
      </w:r>
      <w:r>
        <w:t xml:space="preserve"> </w:t>
      </w:r>
      <w:r>
        <w:rPr>
          <w:rFonts w:hint="default"/>
          <w:lang w:val="en-US"/>
        </w:rPr>
        <w:t xml:space="preserve">consistently </w:t>
      </w:r>
      <w:r>
        <w:t xml:space="preserve">transmitted to societies where polygamy </w:t>
      </w:r>
      <w:r>
        <w:rPr>
          <w:rFonts w:hint="default"/>
          <w:lang w:val="en-US"/>
        </w:rPr>
        <w:t>has</w:t>
      </w:r>
      <w:r>
        <w:t xml:space="preserve"> long been culturally normative (Bompani &amp; Frahm-Arp, 2017; Witte, 2012). In many mission contexts, converts </w:t>
      </w:r>
      <w:r>
        <w:rPr>
          <w:rFonts w:hint="default"/>
          <w:lang w:val="en-US"/>
        </w:rPr>
        <w:t>are</w:t>
      </w:r>
      <w:r>
        <w:t xml:space="preserve"> required to abandon existing polygamous unions to fully participate in church life, often producing moral dilemmas, fractured households, and community tensions.</w:t>
      </w:r>
    </w:p>
    <w:p w14:paraId="5CFE432C">
      <w:pPr>
        <w:spacing w:before="0" w:beforeAutospacing="0" w:after="0" w:line="240" w:lineRule="auto"/>
      </w:pPr>
    </w:p>
    <w:p w14:paraId="0A67820F">
      <w:pPr>
        <w:spacing w:before="0" w:beforeAutospacing="0" w:after="0" w:line="240" w:lineRule="auto"/>
      </w:pPr>
      <w:r>
        <w:t xml:space="preserve">Scholarly writings widely observe that these Christian interventions significantly undermine the social legitimacy of polygamy and restructure indigenous marital systems. For instance, in many </w:t>
      </w:r>
      <w:r>
        <w:rPr>
          <w:rFonts w:hint="default"/>
          <w:lang w:val="en-US"/>
        </w:rPr>
        <w:t xml:space="preserve">traditional </w:t>
      </w:r>
      <w:r>
        <w:t xml:space="preserve">African contexts, polygamy had functioned </w:t>
      </w:r>
      <w:r>
        <w:rPr>
          <w:rFonts w:hint="default"/>
          <w:lang w:val="en-US"/>
        </w:rPr>
        <w:t xml:space="preserve">and continues to function </w:t>
      </w:r>
      <w:r>
        <w:t>as a vital socio-economic institution that supported food security, widow care, and communal solidarity (Sarpong, 2013). However, missionary discourse frequently dismisses these functions and redefines marriage through Western Christian ideals, thereby imposing a moral hierarchy that favored monogamy (Magesa, 2010). Colonial legal frameworks also reinforced this shift by recognizing civil and Christian monogamous marriages while marginalizing customary polygamous unions (Merry, 2000). Gradually, monogamous marriage became associated with modernity, education, and social advancement, contributing to the gradual erosion of polygamy’s public legitimacy.</w:t>
      </w:r>
    </w:p>
    <w:p w14:paraId="022BEA1D">
      <w:pPr>
        <w:spacing w:before="0" w:beforeAutospacing="0" w:after="0" w:line="240" w:lineRule="auto"/>
      </w:pPr>
    </w:p>
    <w:p w14:paraId="4ABBDFFA">
      <w:pPr>
        <w:keepNext w:val="0"/>
        <w:keepLines w:val="0"/>
        <w:widowControl/>
        <w:suppressLineNumbers w:val="0"/>
        <w:spacing w:before="0" w:beforeAutospacing="0" w:after="0" w:afterAutospacing="0" w:line="256" w:lineRule="auto"/>
        <w:ind w:left="0" w:right="0"/>
        <w:jc w:val="both"/>
        <w:rPr>
          <w:rFonts w:hint="default" w:ascii="Times New Roman" w:hAnsi="Times New Roman" w:cs="Times New Roman"/>
          <w:sz w:val="24"/>
          <w:szCs w:val="24"/>
          <w:lang w:val="en-US"/>
        </w:rPr>
      </w:pPr>
      <w:r>
        <w:t xml:space="preserve">Despite these structural pressures, the influence of Christian teachings on polygamy </w:t>
      </w:r>
      <w:r>
        <w:rPr>
          <w:rFonts w:hint="default"/>
          <w:lang w:val="en-US"/>
        </w:rPr>
        <w:t>i</w:t>
      </w:r>
      <w:r>
        <w:t xml:space="preserve">s not uniform or absolute. Polygamous practices persist in many societies, often in modified, negotiated, or partially concealed forms (Shorter, 2006; Phiri, 2011). In some contexts, individuals maintain traditional polygamous arrangements while simultaneously participating in Christian </w:t>
      </w:r>
      <w:r>
        <w:rPr>
          <w:rFonts w:hint="default"/>
          <w:lang w:val="en-US"/>
        </w:rPr>
        <w:t>faith</w:t>
      </w:r>
      <w:r>
        <w:t xml:space="preserve">, resulting in what scholars describe as a “dual moral system” in which Christian doctrine and indigenous practice coexist in tension (Gifford, 1998; Kroeger, 2007). This persistence </w:t>
      </w:r>
      <w:r>
        <w:rPr>
          <w:rFonts w:hint="default"/>
          <w:lang w:val="en-US"/>
        </w:rPr>
        <w:t>underscores</w:t>
      </w:r>
      <w:r>
        <w:t xml:space="preserve"> both the resilience of culturally embedded institutions and the limitations of doctrinal authority in fully transforming lived social realities. In response, African theologians such as Mbiti (19</w:t>
      </w:r>
      <w:r>
        <w:rPr>
          <w:rFonts w:hint="default"/>
          <w:lang w:val="en-US"/>
        </w:rPr>
        <w:t>69</w:t>
      </w:r>
      <w:r>
        <w:t xml:space="preserve">), Oduyoye (2001), and Nyamiti (2015) advocate for inculturation approaches that engage polygamy </w:t>
      </w:r>
      <w:r>
        <w:rPr>
          <w:rFonts w:hint="default" w:ascii="Times New Roman" w:hAnsi="Times New Roman" w:eastAsia="Calibri" w:cs="Times New Roman"/>
          <w:kern w:val="0"/>
          <w:sz w:val="24"/>
          <w:szCs w:val="24"/>
          <w:lang w:val="en-US" w:eastAsia="zh-CN" w:bidi="ar"/>
        </w:rPr>
        <w:t>as a complex social institution requiring contextual theological interpretation rather than treating it solely as a moral deviation.</w:t>
      </w:r>
    </w:p>
    <w:p w14:paraId="6F247605">
      <w:pPr>
        <w:spacing w:before="0" w:beforeAutospacing="0" w:after="0" w:line="240" w:lineRule="auto"/>
      </w:pPr>
    </w:p>
    <w:p w14:paraId="6B4A2B2B">
      <w:pPr>
        <w:spacing w:before="0" w:beforeAutospacing="0" w:after="0" w:line="240" w:lineRule="auto"/>
      </w:pPr>
      <w:r>
        <w:t xml:space="preserve">Gender dynamics </w:t>
      </w:r>
      <w:r>
        <w:rPr>
          <w:rFonts w:hint="default"/>
          <w:lang w:val="en-US"/>
        </w:rPr>
        <w:t xml:space="preserve">is another significant element that </w:t>
      </w:r>
      <w:r>
        <w:t>complicate</w:t>
      </w:r>
      <w:r>
        <w:rPr>
          <w:rFonts w:hint="default"/>
          <w:lang w:val="en-US"/>
        </w:rPr>
        <w:t>s</w:t>
      </w:r>
      <w:r>
        <w:t xml:space="preserve"> the relationship between Christian teachings and </w:t>
      </w:r>
      <w:r>
        <w:rPr>
          <w:rFonts w:hint="default"/>
          <w:lang w:val="en-US"/>
        </w:rPr>
        <w:t xml:space="preserve">the practice of </w:t>
      </w:r>
      <w:r>
        <w:t>polygamy. Christian critiques often frame polygamy as inherently oppressive due to unequal marital relations, emotional strain, and diminished mutuality (Turaki, 1999; Oduyoye, 2001). However, feminist scholars caution against assuming that monogamy is inherently more equitable</w:t>
      </w:r>
      <w:r>
        <w:rPr>
          <w:rFonts w:hint="default"/>
          <w:lang w:val="en-US"/>
        </w:rPr>
        <w:t xml:space="preserve">; they argue </w:t>
      </w:r>
      <w:r>
        <w:t xml:space="preserve">that gender inequality </w:t>
      </w:r>
      <w:r>
        <w:rPr>
          <w:rFonts w:hint="default"/>
          <w:lang w:val="en-US"/>
        </w:rPr>
        <w:t>exi</w:t>
      </w:r>
      <w:r>
        <w:t>st in both systems depending on broader socio-economic conditions (Amadiume, 1997; Tamale, 2020). Moreover, while Christian monogamy introduced ideals of emotional intimacy, companionship, and personal choice (Cherlin, 2009; Parsitau, 2018), it has also, in some cases, weakened extended kinship support systems that previously provided collective care for women and children.</w:t>
      </w:r>
    </w:p>
    <w:p w14:paraId="0B0257DA">
      <w:pPr>
        <w:spacing w:before="0" w:beforeAutospacing="0" w:after="0" w:line="240" w:lineRule="auto"/>
      </w:pPr>
    </w:p>
    <w:p w14:paraId="5A96D694">
      <w:pPr>
        <w:spacing w:before="0" w:beforeAutospacing="0" w:after="0" w:line="240" w:lineRule="auto"/>
      </w:pPr>
      <w:r>
        <w:rPr>
          <w:rFonts w:hint="default"/>
          <w:lang w:val="en-US"/>
        </w:rPr>
        <w:t xml:space="preserve">Additionally, </w:t>
      </w:r>
      <w:r>
        <w:t xml:space="preserve">contemporary legal pluralism </w:t>
      </w:r>
      <w:r>
        <w:rPr>
          <w:rFonts w:hint="default"/>
          <w:lang w:val="en-US"/>
        </w:rPr>
        <w:t>also</w:t>
      </w:r>
      <w:r>
        <w:t xml:space="preserve"> shape</w:t>
      </w:r>
      <w:r>
        <w:rPr>
          <w:rFonts w:hint="default"/>
          <w:lang w:val="en-US"/>
        </w:rPr>
        <w:t>s</w:t>
      </w:r>
      <w:r>
        <w:t xml:space="preserve"> the interaction between Christianity and polygamy. Many African states, including Kenya, recognize both customary polygamous marriages and statutory monogamous unions, allowing individuals to navigate multiple legal and cultural frameworks (Banda, 2021). At the same time, generational shifts influenced by </w:t>
      </w:r>
      <w:r>
        <w:rPr>
          <w:rFonts w:hint="default"/>
          <w:lang w:val="en-US"/>
        </w:rPr>
        <w:t xml:space="preserve">migration to </w:t>
      </w:r>
      <w:r>
        <w:t>urban</w:t>
      </w:r>
      <w:r>
        <w:rPr>
          <w:rFonts w:hint="default"/>
          <w:lang w:val="en-US"/>
        </w:rPr>
        <w:t xml:space="preserve"> centres and other areas</w:t>
      </w:r>
      <w:r>
        <w:t>, education, and global Christian norms le</w:t>
      </w:r>
      <w:r>
        <w:rPr>
          <w:rFonts w:hint="default"/>
          <w:lang w:val="en-US"/>
        </w:rPr>
        <w:t>a</w:t>
      </w:r>
      <w:r>
        <w:t>d many young people to prefer monogamous marriage, often associating polygamy with tradition or incompatibility with modern Christian identity (Pew Research Center, 2020; Gathogo, 20</w:t>
      </w:r>
      <w:r>
        <w:rPr>
          <w:rFonts w:hint="default"/>
          <w:lang w:val="en-US"/>
        </w:rPr>
        <w:t>17</w:t>
      </w:r>
      <w:r>
        <w:t xml:space="preserve">). </w:t>
      </w:r>
      <w:r>
        <w:rPr>
          <w:rFonts w:hint="default"/>
          <w:lang w:val="en-US"/>
        </w:rPr>
        <w:t>Even so</w:t>
      </w:r>
      <w:r>
        <w:t xml:space="preserve">, polygamy remains socially significant in various rural and culturally rooted settings where economic and communal </w:t>
      </w:r>
      <w:r>
        <w:rPr>
          <w:rFonts w:hint="default" w:ascii="Times New Roman" w:hAnsi="Times New Roman" w:eastAsia="Times New Roman" w:cs="Times New Roman"/>
          <w:sz w:val="24"/>
          <w:szCs w:val="24"/>
          <w:lang w:val="en-US" w:eastAsia="en-US" w:bidi="ar"/>
        </w:rPr>
        <w:t>inducements</w:t>
      </w:r>
      <w:r>
        <w:t xml:space="preserve"> continue to sustain its practice.</w:t>
      </w:r>
    </w:p>
    <w:p w14:paraId="1B848734">
      <w:pPr>
        <w:spacing w:before="0" w:beforeAutospacing="0" w:after="0" w:line="240" w:lineRule="auto"/>
      </w:pPr>
    </w:p>
    <w:p w14:paraId="14F39821">
      <w:pPr>
        <w:pStyle w:val="9"/>
        <w:spacing w:before="0" w:beforeAutospacing="0" w:after="0" w:afterAutospacing="0" w:line="240" w:lineRule="auto"/>
        <w:jc w:val="both"/>
        <w:rPr>
          <w:b/>
        </w:rPr>
      </w:pPr>
      <w:r>
        <w:rPr>
          <w:b/>
        </w:rPr>
        <w:t>Methodology</w:t>
      </w:r>
    </w:p>
    <w:p w14:paraId="3D98EEDC">
      <w:pPr>
        <w:spacing w:before="0" w:beforeAutospacing="0" w:after="0" w:line="240" w:lineRule="auto"/>
      </w:pPr>
      <w:r>
        <w:t xml:space="preserve">The study employed a descriptive survey research design and </w:t>
      </w:r>
      <w:r>
        <w:rPr>
          <w:rFonts w:eastAsia="Calibri"/>
        </w:rPr>
        <w:t xml:space="preserve">was guided by three theories: </w:t>
      </w:r>
      <w:r>
        <w:t>Diffusion Theory, Structural-Functionalist Theory, and Acculturation Theory. The target comprised 1000 participants made up of lay church members, elders, pastors, individuals in polygamous and monogamous marriages, and Christian educationists as illustrated in table 1.2 below.</w:t>
      </w:r>
    </w:p>
    <w:p w14:paraId="3EC99E0C">
      <w:pPr>
        <w:spacing w:before="0" w:beforeAutospacing="0" w:after="0" w:line="240" w:lineRule="auto"/>
      </w:pPr>
    </w:p>
    <w:p w14:paraId="417134C6">
      <w:pPr>
        <w:spacing w:before="0" w:beforeAutospacing="0" w:after="0" w:line="252" w:lineRule="auto"/>
        <w:jc w:val="left"/>
        <w:rPr>
          <w:rFonts w:eastAsia="等线 Light"/>
          <w:i/>
        </w:rPr>
      </w:pPr>
      <w:r>
        <w:rPr>
          <w:i/>
        </w:rPr>
        <w:t>Table 1.</w:t>
      </w:r>
      <w:r>
        <w:rPr>
          <w:rFonts w:hint="default"/>
          <w:i/>
          <w:lang w:val="en-US"/>
        </w:rPr>
        <w:t>1</w:t>
      </w:r>
      <w:r>
        <w:rPr>
          <w:i/>
        </w:rPr>
        <w:t xml:space="preserve"> The </w:t>
      </w:r>
      <w:r>
        <w:rPr>
          <w:rFonts w:hint="default"/>
          <w:i/>
          <w:lang w:val="en-US"/>
        </w:rPr>
        <w:t>target population, sampling techniques and s</w:t>
      </w:r>
      <w:r>
        <w:rPr>
          <w:i/>
        </w:rPr>
        <w:t>ample Size</w:t>
      </w:r>
    </w:p>
    <w:tbl>
      <w:tblPr>
        <w:tblStyle w:val="5"/>
        <w:tblW w:w="4998" w:type="pct"/>
        <w:tblInd w:w="142" w:type="dxa"/>
        <w:tblBorders>
          <w:top w:val="single" w:color="000000" w:sz="8" w:space="0"/>
          <w:left w:val="none" w:color="auto" w:sz="0" w:space="0"/>
          <w:bottom w:val="single" w:color="000000" w:sz="8" w:space="0"/>
          <w:right w:val="none" w:color="auto" w:sz="0" w:space="0"/>
          <w:insideH w:val="outset" w:color="auto" w:sz="6" w:space="0"/>
          <w:insideV w:val="outset" w:color="auto" w:sz="6" w:space="0"/>
        </w:tblBorders>
        <w:tblLayout w:type="autofit"/>
        <w:tblCellMar>
          <w:top w:w="0" w:type="dxa"/>
          <w:left w:w="108" w:type="dxa"/>
          <w:bottom w:w="0" w:type="dxa"/>
          <w:right w:w="108" w:type="dxa"/>
        </w:tblCellMar>
      </w:tblPr>
      <w:tblGrid>
        <w:gridCol w:w="4351"/>
        <w:gridCol w:w="1505"/>
        <w:gridCol w:w="1300"/>
        <w:gridCol w:w="999"/>
        <w:gridCol w:w="1417"/>
      </w:tblGrid>
      <w:tr w14:paraId="151CB499">
        <w:tblPrEx>
          <w:tblBorders>
            <w:top w:val="single" w:color="000000" w:sz="8" w:space="0"/>
            <w:left w:val="none" w:color="auto" w:sz="0" w:space="0"/>
            <w:bottom w:val="single" w:color="000000" w:sz="8"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2273" w:type="pct"/>
            <w:tcBorders>
              <w:top w:val="single" w:color="000000" w:sz="8" w:space="0"/>
              <w:left w:val="nil"/>
              <w:bottom w:val="single" w:color="000000" w:sz="8" w:space="0"/>
              <w:right w:val="nil"/>
            </w:tcBorders>
            <w:shd w:val="clear" w:color="auto" w:fill="E7E6E6"/>
          </w:tcPr>
          <w:p w14:paraId="38E3B081">
            <w:pPr>
              <w:keepNext w:val="0"/>
              <w:keepLines w:val="0"/>
              <w:widowControl/>
              <w:suppressLineNumbers w:val="0"/>
              <w:spacing w:before="0" w:beforeAutospacing="0" w:after="0" w:afterAutospacing="0" w:line="240" w:lineRule="auto"/>
              <w:ind w:left="0" w:right="0"/>
              <w:jc w:val="left"/>
              <w:rPr>
                <w:rFonts w:hint="eastAsia" w:eastAsia="Calibri"/>
                <w:b/>
                <w:bCs/>
              </w:rPr>
            </w:pPr>
            <w:r>
              <w:rPr>
                <w:rFonts w:hint="eastAsia" w:eastAsia="Calibri"/>
                <w:b/>
                <w:bCs/>
              </w:rPr>
              <w:t xml:space="preserve">Target group </w:t>
            </w:r>
          </w:p>
        </w:tc>
        <w:tc>
          <w:tcPr>
            <w:tcW w:w="786" w:type="pct"/>
            <w:tcBorders>
              <w:top w:val="single" w:color="000000" w:sz="8" w:space="0"/>
              <w:left w:val="nil"/>
              <w:bottom w:val="single" w:color="000000" w:sz="8" w:space="0"/>
              <w:right w:val="nil"/>
            </w:tcBorders>
            <w:shd w:val="clear" w:color="auto" w:fill="E7E6E6"/>
          </w:tcPr>
          <w:p w14:paraId="234FC6DA">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b/>
                <w:bCs/>
              </w:rPr>
              <w:t>Target Population</w:t>
            </w:r>
          </w:p>
        </w:tc>
        <w:tc>
          <w:tcPr>
            <w:tcW w:w="679" w:type="pct"/>
            <w:tcBorders>
              <w:top w:val="single" w:color="000000" w:sz="8" w:space="0"/>
              <w:left w:val="nil"/>
              <w:bottom w:val="single" w:color="000000" w:sz="8" w:space="0"/>
              <w:right w:val="nil"/>
            </w:tcBorders>
            <w:shd w:val="clear" w:color="auto" w:fill="E7E6E6"/>
          </w:tcPr>
          <w:p w14:paraId="12E1834A">
            <w:pPr>
              <w:keepNext w:val="0"/>
              <w:keepLines w:val="0"/>
              <w:widowControl/>
              <w:suppressLineNumbers w:val="0"/>
              <w:spacing w:before="0" w:beforeAutospacing="0" w:after="0" w:afterAutospacing="0" w:line="240" w:lineRule="auto"/>
              <w:ind w:left="0" w:right="0"/>
              <w:jc w:val="center"/>
              <w:rPr>
                <w:rFonts w:hint="default" w:eastAsia="Calibri"/>
                <w:b/>
                <w:bCs/>
                <w:lang w:val="en-US"/>
              </w:rPr>
            </w:pPr>
            <w:r>
              <w:rPr>
                <w:rFonts w:hint="eastAsia" w:eastAsia="Calibri"/>
                <w:b/>
                <w:bCs/>
              </w:rPr>
              <w:t xml:space="preserve">Sampling </w:t>
            </w:r>
            <w:r>
              <w:rPr>
                <w:rFonts w:hint="default" w:eastAsia="Calibri"/>
                <w:b/>
                <w:bCs/>
                <w:lang w:val="en-US"/>
              </w:rPr>
              <w:t>Technique</w:t>
            </w:r>
          </w:p>
        </w:tc>
        <w:tc>
          <w:tcPr>
            <w:tcW w:w="522" w:type="pct"/>
            <w:tcBorders>
              <w:top w:val="single" w:color="000000" w:sz="8" w:space="0"/>
              <w:left w:val="nil"/>
              <w:bottom w:val="single" w:color="000000" w:sz="8" w:space="0"/>
              <w:right w:val="nil"/>
            </w:tcBorders>
            <w:shd w:val="clear" w:color="auto" w:fill="E7E6E6"/>
          </w:tcPr>
          <w:p w14:paraId="51A8BC8A">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b/>
                <w:bCs/>
              </w:rPr>
              <w:t>Sample Size</w:t>
            </w:r>
          </w:p>
        </w:tc>
        <w:tc>
          <w:tcPr>
            <w:tcW w:w="740" w:type="pct"/>
            <w:tcBorders>
              <w:top w:val="single" w:color="000000" w:sz="8" w:space="0"/>
              <w:left w:val="nil"/>
              <w:bottom w:val="single" w:color="000000" w:sz="8" w:space="0"/>
              <w:right w:val="nil"/>
            </w:tcBorders>
            <w:shd w:val="clear" w:color="auto" w:fill="E7E6E6"/>
          </w:tcPr>
          <w:p w14:paraId="5A6A4622">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b/>
                <w:bCs/>
              </w:rPr>
              <w:t>Percentage</w:t>
            </w:r>
          </w:p>
        </w:tc>
      </w:tr>
      <w:tr w14:paraId="46F21ACD">
        <w:tblPrEx>
          <w:tblBorders>
            <w:top w:val="single" w:color="000000" w:sz="8" w:space="0"/>
            <w:left w:val="none" w:color="auto" w:sz="0" w:space="0"/>
            <w:bottom w:val="single" w:color="000000" w:sz="8"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35" w:hRule="atLeast"/>
        </w:trPr>
        <w:tc>
          <w:tcPr>
            <w:tcW w:w="2273" w:type="pct"/>
            <w:tcBorders>
              <w:top w:val="nil"/>
              <w:left w:val="nil"/>
              <w:bottom w:val="nil"/>
              <w:right w:val="nil"/>
            </w:tcBorders>
            <w:shd w:val="clear" w:color="auto" w:fill="BDD6EE"/>
          </w:tcPr>
          <w:p w14:paraId="086A6926">
            <w:pPr>
              <w:keepNext w:val="0"/>
              <w:keepLines w:val="0"/>
              <w:widowControl/>
              <w:suppressLineNumbers w:val="0"/>
              <w:spacing w:before="0" w:beforeAutospacing="0" w:after="0" w:afterAutospacing="0" w:line="240" w:lineRule="auto"/>
              <w:ind w:left="0" w:right="0"/>
              <w:jc w:val="left"/>
              <w:rPr>
                <w:rFonts w:hint="eastAsia" w:eastAsia="Calibri"/>
              </w:rPr>
            </w:pPr>
            <w:r>
              <w:rPr>
                <w:rFonts w:hint="eastAsia" w:eastAsia="Calibri"/>
              </w:rPr>
              <w:t xml:space="preserve">Church Members                                    </w:t>
            </w:r>
          </w:p>
        </w:tc>
        <w:tc>
          <w:tcPr>
            <w:tcW w:w="786" w:type="pct"/>
            <w:tcBorders>
              <w:top w:val="nil"/>
              <w:left w:val="nil"/>
              <w:bottom w:val="nil"/>
              <w:right w:val="nil"/>
            </w:tcBorders>
            <w:shd w:val="clear" w:color="auto" w:fill="BDD6EE"/>
          </w:tcPr>
          <w:p w14:paraId="626A68DC">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250</w:t>
            </w:r>
          </w:p>
        </w:tc>
        <w:tc>
          <w:tcPr>
            <w:tcW w:w="679" w:type="pct"/>
            <w:tcBorders>
              <w:top w:val="nil"/>
              <w:left w:val="nil"/>
              <w:bottom w:val="nil"/>
              <w:right w:val="nil"/>
            </w:tcBorders>
            <w:shd w:val="clear" w:color="auto" w:fill="BDD6EE"/>
          </w:tcPr>
          <w:p w14:paraId="50DDAF8F">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Simple Random</w:t>
            </w:r>
          </w:p>
        </w:tc>
        <w:tc>
          <w:tcPr>
            <w:tcW w:w="522" w:type="pct"/>
            <w:tcBorders>
              <w:top w:val="nil"/>
              <w:left w:val="nil"/>
              <w:bottom w:val="nil"/>
              <w:right w:val="nil"/>
            </w:tcBorders>
            <w:shd w:val="clear" w:color="auto" w:fill="BDD6EE"/>
          </w:tcPr>
          <w:p w14:paraId="03135A08">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68</w:t>
            </w:r>
          </w:p>
        </w:tc>
        <w:tc>
          <w:tcPr>
            <w:tcW w:w="740" w:type="pct"/>
            <w:tcBorders>
              <w:top w:val="nil"/>
              <w:left w:val="nil"/>
              <w:bottom w:val="nil"/>
              <w:right w:val="nil"/>
            </w:tcBorders>
            <w:shd w:val="clear" w:color="auto" w:fill="BDD6EE"/>
          </w:tcPr>
          <w:p w14:paraId="7B52B159">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23.8%</w:t>
            </w:r>
          </w:p>
        </w:tc>
      </w:tr>
      <w:tr w14:paraId="0F4BC6E3">
        <w:tblPrEx>
          <w:tblBorders>
            <w:top w:val="single" w:color="000000" w:sz="8" w:space="0"/>
            <w:left w:val="none" w:color="auto" w:sz="0" w:space="0"/>
            <w:bottom w:val="single" w:color="000000" w:sz="8"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35" w:hRule="atLeast"/>
        </w:trPr>
        <w:tc>
          <w:tcPr>
            <w:tcW w:w="2273" w:type="pct"/>
            <w:tcBorders>
              <w:top w:val="nil"/>
              <w:left w:val="nil"/>
              <w:bottom w:val="nil"/>
              <w:right w:val="nil"/>
            </w:tcBorders>
            <w:shd w:val="clear" w:color="auto" w:fill="E7E6E6"/>
          </w:tcPr>
          <w:p w14:paraId="688353EA">
            <w:pPr>
              <w:keepNext w:val="0"/>
              <w:keepLines w:val="0"/>
              <w:widowControl/>
              <w:suppressLineNumbers w:val="0"/>
              <w:spacing w:before="0" w:beforeAutospacing="0" w:after="0" w:afterAutospacing="0" w:line="240" w:lineRule="auto"/>
              <w:ind w:left="0" w:right="0"/>
              <w:jc w:val="left"/>
              <w:rPr>
                <w:rFonts w:hint="eastAsia" w:eastAsia="Calibri"/>
              </w:rPr>
            </w:pPr>
            <w:r>
              <w:rPr>
                <w:rFonts w:hint="eastAsia" w:eastAsia="Calibri"/>
              </w:rPr>
              <w:t xml:space="preserve">Community Elders                              </w:t>
            </w:r>
          </w:p>
        </w:tc>
        <w:tc>
          <w:tcPr>
            <w:tcW w:w="786" w:type="pct"/>
            <w:tcBorders>
              <w:top w:val="nil"/>
              <w:left w:val="nil"/>
              <w:bottom w:val="nil"/>
              <w:right w:val="nil"/>
            </w:tcBorders>
            <w:shd w:val="clear" w:color="auto" w:fill="E7E6E6"/>
          </w:tcPr>
          <w:p w14:paraId="6B0C349E">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125</w:t>
            </w:r>
          </w:p>
        </w:tc>
        <w:tc>
          <w:tcPr>
            <w:tcW w:w="679" w:type="pct"/>
            <w:tcBorders>
              <w:top w:val="nil"/>
              <w:left w:val="nil"/>
              <w:bottom w:val="nil"/>
              <w:right w:val="nil"/>
            </w:tcBorders>
            <w:shd w:val="clear" w:color="auto" w:fill="E7E6E6"/>
          </w:tcPr>
          <w:p w14:paraId="5D2D8D51">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Purposive</w:t>
            </w:r>
          </w:p>
        </w:tc>
        <w:tc>
          <w:tcPr>
            <w:tcW w:w="522" w:type="pct"/>
            <w:tcBorders>
              <w:top w:val="nil"/>
              <w:left w:val="nil"/>
              <w:bottom w:val="nil"/>
              <w:right w:val="nil"/>
            </w:tcBorders>
            <w:shd w:val="clear" w:color="auto" w:fill="E7E6E6"/>
          </w:tcPr>
          <w:p w14:paraId="23C448DE">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50</w:t>
            </w:r>
          </w:p>
        </w:tc>
        <w:tc>
          <w:tcPr>
            <w:tcW w:w="740" w:type="pct"/>
            <w:tcBorders>
              <w:top w:val="nil"/>
              <w:left w:val="nil"/>
              <w:bottom w:val="nil"/>
              <w:right w:val="nil"/>
            </w:tcBorders>
            <w:shd w:val="clear" w:color="auto" w:fill="E7E6E6"/>
          </w:tcPr>
          <w:p w14:paraId="3778E3D2">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17.5%</w:t>
            </w:r>
          </w:p>
        </w:tc>
      </w:tr>
      <w:tr w14:paraId="2CD92B81">
        <w:tblPrEx>
          <w:tblBorders>
            <w:top w:val="single" w:color="000000" w:sz="8" w:space="0"/>
            <w:left w:val="none" w:color="auto" w:sz="0" w:space="0"/>
            <w:bottom w:val="single" w:color="000000" w:sz="8"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376" w:hRule="atLeast"/>
        </w:trPr>
        <w:tc>
          <w:tcPr>
            <w:tcW w:w="2273" w:type="pct"/>
            <w:tcBorders>
              <w:top w:val="nil"/>
              <w:left w:val="nil"/>
              <w:bottom w:val="nil"/>
              <w:right w:val="nil"/>
            </w:tcBorders>
            <w:shd w:val="clear" w:color="auto" w:fill="FEF2CC"/>
          </w:tcPr>
          <w:p w14:paraId="19EEA94C">
            <w:pPr>
              <w:keepNext w:val="0"/>
              <w:keepLines w:val="0"/>
              <w:widowControl/>
              <w:suppressLineNumbers w:val="0"/>
              <w:spacing w:before="0" w:beforeAutospacing="0" w:after="0" w:afterAutospacing="0" w:line="240" w:lineRule="auto"/>
              <w:ind w:left="0" w:right="0"/>
              <w:jc w:val="left"/>
              <w:rPr>
                <w:rFonts w:hint="eastAsia" w:eastAsia="Calibri"/>
              </w:rPr>
            </w:pPr>
            <w:r>
              <w:rPr>
                <w:rFonts w:hint="eastAsia" w:eastAsia="Calibri"/>
              </w:rPr>
              <w:t xml:space="preserve">Pastors                                 </w:t>
            </w:r>
          </w:p>
        </w:tc>
        <w:tc>
          <w:tcPr>
            <w:tcW w:w="786" w:type="pct"/>
            <w:tcBorders>
              <w:top w:val="nil"/>
              <w:left w:val="nil"/>
              <w:bottom w:val="nil"/>
              <w:right w:val="nil"/>
            </w:tcBorders>
            <w:shd w:val="clear" w:color="auto" w:fill="FEF2CC"/>
          </w:tcPr>
          <w:p w14:paraId="058E599A">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125</w:t>
            </w:r>
          </w:p>
        </w:tc>
        <w:tc>
          <w:tcPr>
            <w:tcW w:w="679" w:type="pct"/>
            <w:tcBorders>
              <w:top w:val="nil"/>
              <w:left w:val="nil"/>
              <w:bottom w:val="nil"/>
              <w:right w:val="nil"/>
            </w:tcBorders>
            <w:shd w:val="clear" w:color="auto" w:fill="FEF2CC"/>
          </w:tcPr>
          <w:p w14:paraId="32C4B78D">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Purposive</w:t>
            </w:r>
          </w:p>
        </w:tc>
        <w:tc>
          <w:tcPr>
            <w:tcW w:w="522" w:type="pct"/>
            <w:tcBorders>
              <w:top w:val="nil"/>
              <w:left w:val="nil"/>
              <w:bottom w:val="nil"/>
              <w:right w:val="nil"/>
            </w:tcBorders>
            <w:shd w:val="clear" w:color="auto" w:fill="FEF2CC"/>
          </w:tcPr>
          <w:p w14:paraId="51DA3F01">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32</w:t>
            </w:r>
          </w:p>
        </w:tc>
        <w:tc>
          <w:tcPr>
            <w:tcW w:w="740" w:type="pct"/>
            <w:tcBorders>
              <w:top w:val="nil"/>
              <w:left w:val="nil"/>
              <w:bottom w:val="nil"/>
              <w:right w:val="nil"/>
            </w:tcBorders>
            <w:shd w:val="clear" w:color="auto" w:fill="FEF2CC"/>
          </w:tcPr>
          <w:p w14:paraId="23AB13AA">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11.2%</w:t>
            </w:r>
          </w:p>
        </w:tc>
      </w:tr>
      <w:tr w14:paraId="297B673F">
        <w:tblPrEx>
          <w:tblBorders>
            <w:top w:val="single" w:color="000000" w:sz="8" w:space="0"/>
            <w:left w:val="none" w:color="auto" w:sz="0" w:space="0"/>
            <w:bottom w:val="single" w:color="000000" w:sz="8"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590" w:hRule="atLeast"/>
        </w:trPr>
        <w:tc>
          <w:tcPr>
            <w:tcW w:w="4318" w:type="dxa"/>
            <w:tcBorders>
              <w:top w:val="nil"/>
              <w:left w:val="nil"/>
              <w:bottom w:val="nil"/>
              <w:right w:val="nil"/>
            </w:tcBorders>
            <w:shd w:val="clear" w:color="auto" w:fill="FFFFFF"/>
          </w:tcPr>
          <w:p w14:paraId="4CC60FEE">
            <w:pPr>
              <w:keepNext w:val="0"/>
              <w:keepLines w:val="0"/>
              <w:widowControl/>
              <w:suppressLineNumbers w:val="0"/>
              <w:spacing w:before="0" w:beforeAutospacing="0" w:after="0" w:afterAutospacing="0" w:line="240" w:lineRule="auto"/>
              <w:ind w:left="0" w:right="0"/>
              <w:jc w:val="left"/>
              <w:rPr>
                <w:rFonts w:hint="eastAsia" w:eastAsia="Calibri"/>
              </w:rPr>
            </w:pPr>
            <w:r>
              <w:rPr>
                <w:rFonts w:hint="eastAsia" w:eastAsia="SimSun"/>
              </w:rPr>
              <w:t>Members of monogamous marriage</w:t>
            </w:r>
          </w:p>
        </w:tc>
        <w:tc>
          <w:tcPr>
            <w:tcW w:w="786" w:type="pct"/>
            <w:tcBorders>
              <w:top w:val="nil"/>
              <w:left w:val="nil"/>
              <w:bottom w:val="nil"/>
              <w:right w:val="nil"/>
            </w:tcBorders>
            <w:shd w:val="clear" w:color="auto" w:fill="FFFFFF"/>
          </w:tcPr>
          <w:p w14:paraId="74733CC0">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250</w:t>
            </w:r>
          </w:p>
        </w:tc>
        <w:tc>
          <w:tcPr>
            <w:tcW w:w="679" w:type="pct"/>
            <w:tcBorders>
              <w:top w:val="nil"/>
              <w:left w:val="nil"/>
              <w:bottom w:val="nil"/>
              <w:right w:val="nil"/>
            </w:tcBorders>
            <w:shd w:val="clear" w:color="auto" w:fill="FFFFFF"/>
          </w:tcPr>
          <w:p w14:paraId="0AA445F0">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Simple Random</w:t>
            </w:r>
          </w:p>
        </w:tc>
        <w:tc>
          <w:tcPr>
            <w:tcW w:w="522" w:type="pct"/>
            <w:tcBorders>
              <w:top w:val="nil"/>
              <w:left w:val="nil"/>
              <w:bottom w:val="nil"/>
              <w:right w:val="nil"/>
            </w:tcBorders>
            <w:shd w:val="clear" w:color="auto" w:fill="FFFFFF"/>
          </w:tcPr>
          <w:p w14:paraId="74C4441B">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68</w:t>
            </w:r>
          </w:p>
        </w:tc>
        <w:tc>
          <w:tcPr>
            <w:tcW w:w="740" w:type="pct"/>
            <w:tcBorders>
              <w:top w:val="nil"/>
              <w:left w:val="nil"/>
              <w:bottom w:val="nil"/>
              <w:right w:val="nil"/>
            </w:tcBorders>
            <w:shd w:val="clear" w:color="auto" w:fill="FFFFFF"/>
          </w:tcPr>
          <w:p w14:paraId="1D8E7442">
            <w:pPr>
              <w:keepNext w:val="0"/>
              <w:keepLines w:val="0"/>
              <w:widowControl/>
              <w:suppressLineNumbers w:val="0"/>
              <w:spacing w:before="0" w:beforeAutospacing="0" w:after="0" w:afterAutospacing="0" w:line="240" w:lineRule="auto"/>
              <w:ind w:left="0" w:right="0"/>
              <w:jc w:val="center"/>
              <w:rPr>
                <w:rFonts w:hint="eastAsia" w:eastAsia="Calibri"/>
              </w:rPr>
            </w:pPr>
            <w:r>
              <w:rPr>
                <w:rFonts w:hint="eastAsia" w:eastAsia="Calibri"/>
              </w:rPr>
              <w:t>23.8%</w:t>
            </w:r>
          </w:p>
        </w:tc>
      </w:tr>
      <w:tr w14:paraId="2E9F5935">
        <w:tblPrEx>
          <w:tblBorders>
            <w:top w:val="single" w:color="000000" w:sz="8" w:space="0"/>
            <w:left w:val="none" w:color="auto" w:sz="0" w:space="0"/>
            <w:bottom w:val="single" w:color="000000" w:sz="8"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4318" w:type="dxa"/>
            <w:tcBorders>
              <w:top w:val="nil"/>
              <w:left w:val="nil"/>
              <w:bottom w:val="single" w:color="000000" w:sz="8" w:space="0"/>
              <w:right w:val="nil"/>
            </w:tcBorders>
            <w:shd w:val="clear" w:color="auto" w:fill="C5E0B3"/>
          </w:tcPr>
          <w:p w14:paraId="2D839179">
            <w:pPr>
              <w:keepNext w:val="0"/>
              <w:keepLines w:val="0"/>
              <w:widowControl/>
              <w:suppressLineNumbers w:val="0"/>
              <w:spacing w:before="0" w:beforeAutospacing="0" w:after="0" w:afterAutospacing="0" w:line="240" w:lineRule="auto"/>
              <w:ind w:left="0" w:right="0"/>
              <w:jc w:val="left"/>
              <w:rPr>
                <w:rFonts w:hint="eastAsia" w:eastAsia="Calibri"/>
                <w:b/>
                <w:bCs/>
              </w:rPr>
            </w:pPr>
            <w:r>
              <w:rPr>
                <w:rFonts w:hint="eastAsia" w:eastAsia="SimSun"/>
              </w:rPr>
              <w:t>Members of Polygamous marriage</w:t>
            </w:r>
          </w:p>
        </w:tc>
        <w:tc>
          <w:tcPr>
            <w:tcW w:w="786" w:type="pct"/>
            <w:tcBorders>
              <w:top w:val="nil"/>
              <w:left w:val="nil"/>
              <w:bottom w:val="single" w:color="000000" w:sz="8" w:space="0"/>
              <w:right w:val="nil"/>
            </w:tcBorders>
            <w:shd w:val="clear" w:color="auto" w:fill="C5E0B3"/>
          </w:tcPr>
          <w:p w14:paraId="21D9AB06">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rPr>
              <w:t>250</w:t>
            </w:r>
          </w:p>
        </w:tc>
        <w:tc>
          <w:tcPr>
            <w:tcW w:w="679" w:type="pct"/>
            <w:tcBorders>
              <w:top w:val="nil"/>
              <w:left w:val="nil"/>
              <w:bottom w:val="single" w:color="000000" w:sz="8" w:space="0"/>
              <w:right w:val="nil"/>
            </w:tcBorders>
            <w:shd w:val="clear" w:color="auto" w:fill="C5E0B3"/>
          </w:tcPr>
          <w:p w14:paraId="3ED3D34D">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rPr>
              <w:t>Simple Random</w:t>
            </w:r>
          </w:p>
        </w:tc>
        <w:tc>
          <w:tcPr>
            <w:tcW w:w="522" w:type="pct"/>
            <w:tcBorders>
              <w:top w:val="nil"/>
              <w:left w:val="nil"/>
              <w:bottom w:val="single" w:color="000000" w:sz="8" w:space="0"/>
              <w:right w:val="nil"/>
            </w:tcBorders>
            <w:shd w:val="clear" w:color="auto" w:fill="C5E0B3"/>
          </w:tcPr>
          <w:p w14:paraId="59CDF1B2">
            <w:pPr>
              <w:keepNext w:val="0"/>
              <w:keepLines w:val="0"/>
              <w:widowControl/>
              <w:suppressLineNumbers w:val="0"/>
              <w:spacing w:before="0" w:beforeAutospacing="0" w:after="0" w:afterAutospacing="0" w:line="240" w:lineRule="auto"/>
              <w:ind w:left="0" w:right="0"/>
              <w:jc w:val="center"/>
              <w:rPr>
                <w:rFonts w:hint="eastAsia" w:eastAsia="Calibri"/>
                <w:bCs/>
              </w:rPr>
            </w:pPr>
            <w:r>
              <w:rPr>
                <w:rFonts w:hint="eastAsia" w:eastAsia="Calibri"/>
                <w:bCs/>
              </w:rPr>
              <w:t>68</w:t>
            </w:r>
          </w:p>
        </w:tc>
        <w:tc>
          <w:tcPr>
            <w:tcW w:w="740" w:type="pct"/>
            <w:tcBorders>
              <w:top w:val="nil"/>
              <w:left w:val="nil"/>
              <w:bottom w:val="single" w:color="000000" w:sz="8" w:space="0"/>
              <w:right w:val="nil"/>
            </w:tcBorders>
            <w:shd w:val="clear" w:color="auto" w:fill="C5E0B3"/>
          </w:tcPr>
          <w:p w14:paraId="07A251D3">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rPr>
              <w:t>23.8%</w:t>
            </w:r>
          </w:p>
        </w:tc>
      </w:tr>
      <w:tr w14:paraId="6B2C8022">
        <w:tblPrEx>
          <w:tblBorders>
            <w:top w:val="single" w:color="000000" w:sz="8" w:space="0"/>
            <w:left w:val="none" w:color="auto" w:sz="0" w:space="0"/>
            <w:bottom w:val="single" w:color="000000" w:sz="8"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2273" w:type="pct"/>
            <w:tcBorders>
              <w:top w:val="nil"/>
              <w:left w:val="nil"/>
              <w:bottom w:val="single" w:color="000000" w:sz="8" w:space="0"/>
              <w:right w:val="nil"/>
            </w:tcBorders>
            <w:shd w:val="clear" w:color="auto" w:fill="E7E6E6"/>
          </w:tcPr>
          <w:p w14:paraId="193A04D9">
            <w:pPr>
              <w:keepNext w:val="0"/>
              <w:keepLines w:val="0"/>
              <w:widowControl/>
              <w:suppressLineNumbers w:val="0"/>
              <w:spacing w:before="0" w:beforeAutospacing="0" w:after="0" w:afterAutospacing="0" w:line="240" w:lineRule="auto"/>
              <w:ind w:left="0" w:right="0"/>
              <w:jc w:val="left"/>
              <w:rPr>
                <w:rFonts w:hint="eastAsia" w:eastAsia="Calibri"/>
                <w:b/>
                <w:bCs/>
              </w:rPr>
            </w:pPr>
            <w:r>
              <w:rPr>
                <w:rFonts w:hint="eastAsia" w:eastAsia="Calibri"/>
                <w:b/>
                <w:bCs/>
              </w:rPr>
              <w:t xml:space="preserve">Total                                               </w:t>
            </w:r>
          </w:p>
        </w:tc>
        <w:tc>
          <w:tcPr>
            <w:tcW w:w="786" w:type="pct"/>
            <w:tcBorders>
              <w:top w:val="nil"/>
              <w:left w:val="nil"/>
              <w:bottom w:val="single" w:color="000000" w:sz="8" w:space="0"/>
              <w:right w:val="nil"/>
            </w:tcBorders>
            <w:shd w:val="clear" w:color="auto" w:fill="E7E6E6"/>
          </w:tcPr>
          <w:p w14:paraId="25D8DBCF">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b/>
                <w:bCs/>
              </w:rPr>
              <w:t>1000</w:t>
            </w:r>
          </w:p>
        </w:tc>
        <w:tc>
          <w:tcPr>
            <w:tcW w:w="679" w:type="pct"/>
            <w:tcBorders>
              <w:top w:val="nil"/>
              <w:left w:val="nil"/>
              <w:bottom w:val="single" w:color="000000" w:sz="8" w:space="0"/>
              <w:right w:val="nil"/>
            </w:tcBorders>
            <w:shd w:val="clear" w:color="auto" w:fill="E7E6E6"/>
          </w:tcPr>
          <w:p w14:paraId="0B5620AC">
            <w:pPr>
              <w:keepNext w:val="0"/>
              <w:keepLines w:val="0"/>
              <w:widowControl/>
              <w:suppressLineNumbers w:val="0"/>
              <w:spacing w:before="0" w:beforeAutospacing="0" w:after="0" w:afterAutospacing="0" w:line="240" w:lineRule="auto"/>
              <w:ind w:left="0" w:right="0"/>
              <w:jc w:val="center"/>
              <w:rPr>
                <w:rFonts w:hint="eastAsia" w:eastAsia="Calibri"/>
                <w:b/>
                <w:bCs/>
              </w:rPr>
            </w:pPr>
          </w:p>
        </w:tc>
        <w:tc>
          <w:tcPr>
            <w:tcW w:w="522" w:type="pct"/>
            <w:tcBorders>
              <w:top w:val="nil"/>
              <w:left w:val="nil"/>
              <w:bottom w:val="single" w:color="000000" w:sz="8" w:space="0"/>
              <w:right w:val="nil"/>
            </w:tcBorders>
            <w:shd w:val="clear" w:color="auto" w:fill="E7E6E6"/>
          </w:tcPr>
          <w:p w14:paraId="6D42A486">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b/>
                <w:bCs/>
              </w:rPr>
              <w:t>286</w:t>
            </w:r>
          </w:p>
        </w:tc>
        <w:tc>
          <w:tcPr>
            <w:tcW w:w="740" w:type="pct"/>
            <w:tcBorders>
              <w:top w:val="nil"/>
              <w:left w:val="nil"/>
              <w:bottom w:val="single" w:color="000000" w:sz="8" w:space="0"/>
              <w:right w:val="nil"/>
            </w:tcBorders>
            <w:shd w:val="clear" w:color="auto" w:fill="E7E6E6"/>
          </w:tcPr>
          <w:p w14:paraId="629331F2">
            <w:pPr>
              <w:keepNext w:val="0"/>
              <w:keepLines w:val="0"/>
              <w:widowControl/>
              <w:suppressLineNumbers w:val="0"/>
              <w:spacing w:before="0" w:beforeAutospacing="0" w:after="0" w:afterAutospacing="0" w:line="240" w:lineRule="auto"/>
              <w:ind w:left="0" w:right="0"/>
              <w:jc w:val="center"/>
              <w:rPr>
                <w:rFonts w:hint="eastAsia" w:eastAsia="Calibri"/>
                <w:b/>
                <w:bCs/>
              </w:rPr>
            </w:pPr>
            <w:r>
              <w:rPr>
                <w:rFonts w:hint="eastAsia" w:eastAsia="Calibri"/>
                <w:b/>
                <w:bCs/>
              </w:rPr>
              <w:t>100%</w:t>
            </w:r>
          </w:p>
        </w:tc>
      </w:tr>
    </w:tbl>
    <w:p w14:paraId="1D05F15E">
      <w:pPr>
        <w:spacing w:before="0" w:beforeAutospacing="0" w:after="0" w:line="252" w:lineRule="auto"/>
        <w:jc w:val="left"/>
        <w:rPr>
          <w:rFonts w:eastAsia="Calibri"/>
          <w:b/>
          <w:bCs/>
          <w:i/>
          <w:iCs/>
        </w:rPr>
      </w:pPr>
      <w:r>
        <w:rPr>
          <w:rFonts w:eastAsia="Calibri"/>
          <w:b/>
          <w:bCs/>
          <w:i/>
          <w:iCs/>
        </w:rPr>
        <w:t>Source: Researcher (2026)</w:t>
      </w:r>
    </w:p>
    <w:p w14:paraId="61137F0F">
      <w:pPr>
        <w:spacing w:before="0" w:beforeAutospacing="0" w:after="0" w:line="240" w:lineRule="auto"/>
      </w:pPr>
      <w:r>
        <w:rPr>
          <w:rFonts w:hint="default"/>
          <w:lang w:val="en-US"/>
        </w:rPr>
        <w:t>The study target population was 1000, from which a</w:t>
      </w:r>
      <w:r>
        <w:t xml:space="preserve"> sample size of 286 respondents was determined using Glenn’s (1992) tabulation formula. Glenn recommends that, from a target population of 1,000, an adequate sample size is 286 participants. Data were collected using structured questionnaires, interview guides, and focus group discussions, and were analyzed using Likert scale techniques and verbatim thematic analysis.</w:t>
      </w:r>
    </w:p>
    <w:p w14:paraId="253AA80E">
      <w:pPr>
        <w:spacing w:before="0" w:beforeAutospacing="0" w:after="0" w:line="240" w:lineRule="auto"/>
      </w:pPr>
    </w:p>
    <w:p w14:paraId="63A16732">
      <w:pPr>
        <w:pStyle w:val="9"/>
        <w:spacing w:before="0" w:beforeAutospacing="0" w:after="0" w:afterAutospacing="0" w:line="240" w:lineRule="auto"/>
        <w:jc w:val="both"/>
        <w:rPr>
          <w:b/>
          <w:bCs/>
        </w:rPr>
      </w:pPr>
      <w:r>
        <w:rPr>
          <w:b/>
          <w:bCs/>
        </w:rPr>
        <w:t>Results and Discussions</w:t>
      </w:r>
    </w:p>
    <w:p w14:paraId="2AD4341B">
      <w:pPr>
        <w:pStyle w:val="9"/>
        <w:spacing w:before="0" w:beforeAutospacing="0" w:after="0" w:afterAutospacing="0" w:line="240" w:lineRule="auto"/>
        <w:jc w:val="both"/>
        <w:rPr>
          <w:bCs/>
        </w:rPr>
      </w:pPr>
      <w:r>
        <w:rPr>
          <w:bCs/>
        </w:rPr>
        <w:t xml:space="preserve">The objective of the study was to examine the </w:t>
      </w:r>
      <w:r>
        <w:rPr>
          <w:rFonts w:hint="default"/>
          <w:bCs/>
          <w:lang w:val="en-US"/>
        </w:rPr>
        <w:t xml:space="preserve">impact of </w:t>
      </w:r>
      <w:r>
        <w:rPr>
          <w:bCs/>
        </w:rPr>
        <w:t xml:space="preserve">Christian teachings </w:t>
      </w:r>
      <w:r>
        <w:rPr>
          <w:rFonts w:hint="default"/>
          <w:bCs/>
          <w:lang w:val="en-US"/>
        </w:rPr>
        <w:t>on t</w:t>
      </w:r>
      <w:r>
        <w:rPr>
          <w:bCs/>
        </w:rPr>
        <w:t xml:space="preserve">raditional Nandi polygamous marriage practices. The </w:t>
      </w:r>
      <w:r>
        <w:rPr>
          <w:rFonts w:hint="default"/>
          <w:bCs/>
          <w:lang w:val="en-US"/>
        </w:rPr>
        <w:t xml:space="preserve">thematic </w:t>
      </w:r>
      <w:r>
        <w:rPr>
          <w:bCs/>
        </w:rPr>
        <w:t>field questionnaire results are as presented in table 1.</w:t>
      </w:r>
      <w:r>
        <w:rPr>
          <w:rFonts w:hint="default"/>
          <w:bCs/>
          <w:lang w:val="en-US"/>
        </w:rPr>
        <w:t>2 below</w:t>
      </w:r>
      <w:r>
        <w:rPr>
          <w:bCs/>
        </w:rPr>
        <w:t>.</w:t>
      </w:r>
    </w:p>
    <w:p w14:paraId="791645B3">
      <w:pPr>
        <w:pStyle w:val="9"/>
        <w:spacing w:before="0" w:beforeAutospacing="0" w:after="0" w:afterAutospacing="0" w:line="240" w:lineRule="auto"/>
        <w:jc w:val="both"/>
        <w:rPr>
          <w:bCs/>
        </w:rPr>
      </w:pPr>
    </w:p>
    <w:p w14:paraId="44B41AD9">
      <w:pPr>
        <w:pStyle w:val="9"/>
        <w:spacing w:before="0" w:beforeAutospacing="0" w:after="0" w:afterAutospacing="0" w:line="240" w:lineRule="auto"/>
        <w:jc w:val="both"/>
        <w:rPr>
          <w:i/>
          <w:iCs/>
        </w:rPr>
      </w:pPr>
      <w:r>
        <w:rPr>
          <w:i/>
          <w:iCs/>
        </w:rPr>
        <w:t>Table 1.</w:t>
      </w:r>
      <w:r>
        <w:rPr>
          <w:rFonts w:hint="default"/>
          <w:i/>
          <w:iCs/>
          <w:lang w:val="en-US"/>
        </w:rPr>
        <w:t>2</w:t>
      </w:r>
      <w:r>
        <w:rPr>
          <w:i/>
          <w:iCs/>
        </w:rPr>
        <w:t>: The impact of Christian teachings on Traditional Nandi polygamous marriage practices</w:t>
      </w:r>
    </w:p>
    <w:tbl>
      <w:tblPr>
        <w:tblStyle w:val="5"/>
        <w:tblW w:w="4964" w:type="pct"/>
        <w:tblInd w:w="0"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8"/>
        <w:gridCol w:w="984"/>
        <w:gridCol w:w="959"/>
        <w:gridCol w:w="945"/>
        <w:gridCol w:w="972"/>
        <w:gridCol w:w="960"/>
        <w:gridCol w:w="970"/>
      </w:tblGrid>
      <w:tr w14:paraId="4F9217F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590" w:type="dxa"/>
            <w:tcBorders>
              <w:top w:val="single" w:color="000000" w:sz="4" w:space="0"/>
              <w:left w:val="nil"/>
              <w:bottom w:val="single" w:color="000000" w:sz="4" w:space="0"/>
              <w:right w:val="nil"/>
            </w:tcBorders>
            <w:shd w:val="clear" w:color="auto" w:fill="D6E3BC"/>
            <w:noWrap/>
          </w:tcPr>
          <w:p w14:paraId="0ED0C395">
            <w:pPr>
              <w:keepNext w:val="0"/>
              <w:keepLines w:val="0"/>
              <w:widowControl/>
              <w:suppressLineNumbers w:val="0"/>
              <w:spacing w:before="0" w:beforeAutospacing="0" w:after="0" w:afterAutospacing="0" w:line="240" w:lineRule="auto"/>
              <w:ind w:left="0" w:right="0"/>
              <w:jc w:val="center"/>
              <w:rPr>
                <w:rFonts w:hint="eastAsia" w:eastAsia="SimSun"/>
                <w:b/>
                <w:color w:val="000000"/>
              </w:rPr>
            </w:pPr>
            <w:r>
              <w:rPr>
                <w:rFonts w:hint="eastAsia" w:eastAsia="SimSun"/>
                <w:b/>
                <w:color w:val="000000"/>
              </w:rPr>
              <w:t>ITEM</w:t>
            </w:r>
          </w:p>
        </w:tc>
        <w:tc>
          <w:tcPr>
            <w:tcW w:w="950" w:type="dxa"/>
            <w:tcBorders>
              <w:top w:val="single" w:color="000000" w:sz="4" w:space="0"/>
              <w:left w:val="nil"/>
              <w:bottom w:val="single" w:color="000000" w:sz="4" w:space="0"/>
              <w:right w:val="nil"/>
            </w:tcBorders>
            <w:shd w:val="clear" w:color="auto" w:fill="D6E3BC"/>
          </w:tcPr>
          <w:p w14:paraId="0AD8C410">
            <w:pPr>
              <w:keepNext w:val="0"/>
              <w:keepLines w:val="0"/>
              <w:widowControl/>
              <w:suppressLineNumbers w:val="0"/>
              <w:spacing w:before="0" w:beforeAutospacing="0" w:after="0" w:afterAutospacing="0" w:line="240" w:lineRule="auto"/>
              <w:ind w:left="0" w:right="0"/>
              <w:jc w:val="center"/>
              <w:rPr>
                <w:rFonts w:hint="eastAsia" w:eastAsia="SimSun"/>
                <w:b/>
                <w:color w:val="000000"/>
              </w:rPr>
            </w:pPr>
            <w:r>
              <w:rPr>
                <w:rFonts w:hint="eastAsia" w:eastAsia="SimSun"/>
                <w:b/>
                <w:bCs/>
                <w:color w:val="000000"/>
              </w:rPr>
              <w:t>D</w:t>
            </w:r>
          </w:p>
        </w:tc>
        <w:tc>
          <w:tcPr>
            <w:tcW w:w="925" w:type="dxa"/>
            <w:tcBorders>
              <w:top w:val="single" w:color="000000" w:sz="4" w:space="0"/>
              <w:left w:val="nil"/>
              <w:bottom w:val="single" w:color="000000" w:sz="4" w:space="0"/>
              <w:right w:val="nil"/>
            </w:tcBorders>
            <w:shd w:val="clear" w:color="auto" w:fill="D6E3BC"/>
          </w:tcPr>
          <w:p w14:paraId="419A664C">
            <w:pPr>
              <w:keepNext w:val="0"/>
              <w:keepLines w:val="0"/>
              <w:widowControl/>
              <w:suppressLineNumbers w:val="0"/>
              <w:spacing w:before="0" w:beforeAutospacing="0" w:after="0" w:afterAutospacing="0" w:line="240" w:lineRule="auto"/>
              <w:ind w:left="0" w:right="0"/>
              <w:jc w:val="center"/>
              <w:rPr>
                <w:rFonts w:hint="eastAsia" w:eastAsia="SimSun"/>
                <w:b/>
                <w:color w:val="000000"/>
              </w:rPr>
            </w:pPr>
            <w:r>
              <w:rPr>
                <w:rFonts w:hint="eastAsia" w:eastAsia="SimSun"/>
                <w:b/>
                <w:bCs/>
                <w:color w:val="000000"/>
              </w:rPr>
              <w:t>SD</w:t>
            </w:r>
          </w:p>
        </w:tc>
        <w:tc>
          <w:tcPr>
            <w:tcW w:w="912" w:type="dxa"/>
            <w:tcBorders>
              <w:top w:val="single" w:color="000000" w:sz="4" w:space="0"/>
              <w:left w:val="nil"/>
              <w:bottom w:val="single" w:color="000000" w:sz="4" w:space="0"/>
              <w:right w:val="nil"/>
            </w:tcBorders>
            <w:shd w:val="clear" w:color="auto" w:fill="D6E3BC"/>
          </w:tcPr>
          <w:p w14:paraId="5E9D21A2">
            <w:pPr>
              <w:keepNext w:val="0"/>
              <w:keepLines w:val="0"/>
              <w:widowControl/>
              <w:suppressLineNumbers w:val="0"/>
              <w:spacing w:before="0" w:beforeAutospacing="0" w:after="0" w:afterAutospacing="0" w:line="240" w:lineRule="auto"/>
              <w:ind w:left="0" w:right="0"/>
              <w:jc w:val="center"/>
              <w:rPr>
                <w:rFonts w:hint="eastAsia" w:eastAsia="SimSun"/>
                <w:b/>
                <w:color w:val="000000"/>
              </w:rPr>
            </w:pPr>
            <w:r>
              <w:rPr>
                <w:rFonts w:hint="eastAsia" w:eastAsia="SimSun"/>
                <w:b/>
                <w:bCs/>
                <w:color w:val="000000"/>
              </w:rPr>
              <w:t>N</w:t>
            </w:r>
          </w:p>
        </w:tc>
        <w:tc>
          <w:tcPr>
            <w:tcW w:w="938" w:type="dxa"/>
            <w:tcBorders>
              <w:top w:val="single" w:color="000000" w:sz="4" w:space="0"/>
              <w:left w:val="nil"/>
              <w:bottom w:val="single" w:color="000000" w:sz="4" w:space="0"/>
              <w:right w:val="nil"/>
            </w:tcBorders>
            <w:shd w:val="clear" w:color="auto" w:fill="D6E3BC"/>
          </w:tcPr>
          <w:p w14:paraId="5AD9C496">
            <w:pPr>
              <w:keepNext w:val="0"/>
              <w:keepLines w:val="0"/>
              <w:widowControl/>
              <w:suppressLineNumbers w:val="0"/>
              <w:spacing w:before="0" w:beforeAutospacing="0" w:after="0" w:afterAutospacing="0" w:line="240" w:lineRule="auto"/>
              <w:ind w:left="0" w:right="0"/>
              <w:jc w:val="center"/>
              <w:rPr>
                <w:rFonts w:hint="eastAsia" w:eastAsia="SimSun"/>
                <w:b/>
                <w:color w:val="000000"/>
              </w:rPr>
            </w:pPr>
            <w:r>
              <w:rPr>
                <w:rFonts w:hint="eastAsia" w:eastAsia="SimSun"/>
                <w:b/>
                <w:bCs/>
                <w:color w:val="000000"/>
              </w:rPr>
              <w:t>A</w:t>
            </w:r>
          </w:p>
        </w:tc>
        <w:tc>
          <w:tcPr>
            <w:tcW w:w="926" w:type="dxa"/>
            <w:tcBorders>
              <w:top w:val="single" w:color="000000" w:sz="4" w:space="0"/>
              <w:left w:val="nil"/>
              <w:bottom w:val="single" w:color="000000" w:sz="4" w:space="0"/>
              <w:right w:val="nil"/>
            </w:tcBorders>
            <w:shd w:val="clear" w:color="auto" w:fill="D6E3BC"/>
          </w:tcPr>
          <w:p w14:paraId="245BD630">
            <w:pPr>
              <w:keepNext w:val="0"/>
              <w:keepLines w:val="0"/>
              <w:widowControl/>
              <w:suppressLineNumbers w:val="0"/>
              <w:spacing w:before="0" w:beforeAutospacing="0" w:after="0" w:afterAutospacing="0" w:line="240" w:lineRule="auto"/>
              <w:ind w:left="0" w:right="0"/>
              <w:jc w:val="center"/>
              <w:rPr>
                <w:rFonts w:hint="eastAsia" w:eastAsia="SimSun"/>
                <w:b/>
                <w:bCs/>
                <w:color w:val="000000"/>
              </w:rPr>
            </w:pPr>
            <w:r>
              <w:rPr>
                <w:rFonts w:hint="eastAsia" w:eastAsia="SimSun"/>
                <w:b/>
                <w:bCs/>
                <w:color w:val="000000"/>
              </w:rPr>
              <w:t>SA</w:t>
            </w:r>
          </w:p>
        </w:tc>
        <w:tc>
          <w:tcPr>
            <w:tcW w:w="936" w:type="dxa"/>
            <w:tcBorders>
              <w:top w:val="single" w:color="000000" w:sz="4" w:space="0"/>
              <w:left w:val="nil"/>
              <w:bottom w:val="single" w:color="000000" w:sz="4" w:space="0"/>
              <w:right w:val="nil"/>
            </w:tcBorders>
            <w:shd w:val="clear" w:color="auto" w:fill="D6E3BC"/>
          </w:tcPr>
          <w:p w14:paraId="4AF65164">
            <w:pPr>
              <w:keepNext w:val="0"/>
              <w:keepLines w:val="0"/>
              <w:widowControl/>
              <w:suppressLineNumbers w:val="0"/>
              <w:spacing w:before="0" w:beforeAutospacing="0" w:after="0" w:afterAutospacing="0" w:line="240" w:lineRule="auto"/>
              <w:ind w:left="0" w:right="0"/>
              <w:jc w:val="center"/>
              <w:rPr>
                <w:rFonts w:hint="eastAsia" w:eastAsia="SimSun"/>
                <w:b/>
                <w:bCs/>
                <w:color w:val="000000"/>
              </w:rPr>
            </w:pPr>
            <w:r>
              <w:rPr>
                <w:rFonts w:hint="eastAsia" w:eastAsia="SimSun"/>
                <w:b/>
                <w:bCs/>
                <w:color w:val="000000"/>
              </w:rPr>
              <w:t>Total</w:t>
            </w:r>
          </w:p>
        </w:tc>
      </w:tr>
      <w:tr w14:paraId="432F2AED">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590" w:type="dxa"/>
            <w:tcBorders>
              <w:top w:val="nil"/>
              <w:left w:val="nil"/>
              <w:bottom w:val="nil"/>
              <w:right w:val="nil"/>
            </w:tcBorders>
            <w:shd w:val="clear" w:color="auto" w:fill="EEECE1"/>
          </w:tcPr>
          <w:p w14:paraId="396DC911">
            <w:pPr>
              <w:keepNext w:val="0"/>
              <w:keepLines w:val="0"/>
              <w:widowControl/>
              <w:suppressLineNumbers w:val="0"/>
              <w:spacing w:before="0" w:beforeAutospacing="0" w:after="0" w:afterAutospacing="0" w:line="240" w:lineRule="auto"/>
              <w:ind w:left="0" w:right="0"/>
              <w:rPr>
                <w:rFonts w:hint="eastAsia" w:eastAsia="SimSun"/>
              </w:rPr>
            </w:pPr>
            <w:r>
              <w:rPr>
                <w:rFonts w:hint="eastAsia" w:eastAsia="SimSun"/>
              </w:rPr>
              <w:t>Decline of Polygamous marriages</w:t>
            </w:r>
          </w:p>
        </w:tc>
        <w:tc>
          <w:tcPr>
            <w:tcW w:w="950" w:type="dxa"/>
            <w:tcBorders>
              <w:top w:val="nil"/>
              <w:left w:val="nil"/>
              <w:bottom w:val="nil"/>
              <w:right w:val="nil"/>
            </w:tcBorders>
            <w:shd w:val="clear" w:color="auto" w:fill="EEECE1"/>
            <w:noWrap/>
          </w:tcPr>
          <w:p w14:paraId="6E087561">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R-23</w:t>
            </w:r>
          </w:p>
          <w:p w14:paraId="5B750673">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%-17.6</w:t>
            </w:r>
          </w:p>
        </w:tc>
        <w:tc>
          <w:tcPr>
            <w:tcW w:w="925" w:type="dxa"/>
            <w:tcBorders>
              <w:top w:val="nil"/>
              <w:left w:val="nil"/>
              <w:bottom w:val="nil"/>
              <w:right w:val="nil"/>
            </w:tcBorders>
            <w:shd w:val="clear" w:color="auto" w:fill="EEECE1"/>
            <w:noWrap/>
          </w:tcPr>
          <w:p w14:paraId="21F9BA0C">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R-18</w:t>
            </w:r>
          </w:p>
          <w:p w14:paraId="5BBCF9F2">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%-13.7</w:t>
            </w:r>
          </w:p>
        </w:tc>
        <w:tc>
          <w:tcPr>
            <w:tcW w:w="912" w:type="dxa"/>
            <w:tcBorders>
              <w:top w:val="nil"/>
              <w:left w:val="nil"/>
              <w:bottom w:val="nil"/>
              <w:right w:val="nil"/>
            </w:tcBorders>
            <w:shd w:val="clear" w:color="auto" w:fill="EEECE1"/>
            <w:noWrap/>
          </w:tcPr>
          <w:p w14:paraId="37F0144F">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R-9</w:t>
            </w:r>
          </w:p>
          <w:p w14:paraId="3066DB4C">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%-6.9</w:t>
            </w:r>
          </w:p>
        </w:tc>
        <w:tc>
          <w:tcPr>
            <w:tcW w:w="938" w:type="dxa"/>
            <w:tcBorders>
              <w:top w:val="nil"/>
              <w:left w:val="nil"/>
              <w:bottom w:val="nil"/>
              <w:right w:val="nil"/>
            </w:tcBorders>
            <w:shd w:val="clear" w:color="auto" w:fill="EEECE1"/>
            <w:noWrap/>
          </w:tcPr>
          <w:p w14:paraId="1735E67C">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R-67</w:t>
            </w:r>
          </w:p>
          <w:p w14:paraId="21428FFF">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%-51.1</w:t>
            </w:r>
          </w:p>
        </w:tc>
        <w:tc>
          <w:tcPr>
            <w:tcW w:w="926" w:type="dxa"/>
            <w:tcBorders>
              <w:top w:val="nil"/>
              <w:left w:val="nil"/>
              <w:bottom w:val="nil"/>
              <w:right w:val="nil"/>
            </w:tcBorders>
            <w:shd w:val="clear" w:color="auto" w:fill="EEECE1"/>
            <w:noWrap/>
          </w:tcPr>
          <w:p w14:paraId="684D1DB3">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R-14</w:t>
            </w:r>
          </w:p>
          <w:p w14:paraId="59F14E7E">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%-10.7</w:t>
            </w:r>
          </w:p>
        </w:tc>
        <w:tc>
          <w:tcPr>
            <w:tcW w:w="936" w:type="dxa"/>
            <w:tcBorders>
              <w:top w:val="nil"/>
              <w:left w:val="nil"/>
              <w:bottom w:val="nil"/>
              <w:right w:val="nil"/>
            </w:tcBorders>
            <w:shd w:val="clear" w:color="auto" w:fill="EEECE1"/>
            <w:noWrap/>
          </w:tcPr>
          <w:p w14:paraId="4E217945">
            <w:pPr>
              <w:keepNext w:val="0"/>
              <w:keepLines w:val="0"/>
              <w:widowControl/>
              <w:suppressLineNumbers w:val="0"/>
              <w:spacing w:before="0" w:beforeAutospacing="0" w:after="0" w:afterAutospacing="0" w:line="240" w:lineRule="auto"/>
              <w:ind w:left="0" w:right="0"/>
              <w:rPr>
                <w:rFonts w:hint="eastAsia" w:eastAsia="SimSun"/>
                <w:b/>
                <w:bCs/>
              </w:rPr>
            </w:pPr>
            <w:r>
              <w:rPr>
                <w:rFonts w:hint="eastAsia" w:eastAsia="SimSun"/>
                <w:b/>
                <w:bCs/>
              </w:rPr>
              <w:t>131</w:t>
            </w:r>
          </w:p>
          <w:p w14:paraId="43340D2C">
            <w:pPr>
              <w:keepNext w:val="0"/>
              <w:keepLines w:val="0"/>
              <w:widowControl/>
              <w:suppressLineNumbers w:val="0"/>
              <w:spacing w:before="0" w:beforeAutospacing="0" w:after="0" w:afterAutospacing="0" w:line="240" w:lineRule="auto"/>
              <w:ind w:left="0" w:right="0"/>
              <w:rPr>
                <w:rFonts w:hint="eastAsia" w:eastAsia="SimSun"/>
                <w:b/>
                <w:bCs/>
              </w:rPr>
            </w:pPr>
            <w:r>
              <w:rPr>
                <w:rFonts w:hint="eastAsia" w:eastAsia="SimSun"/>
                <w:b/>
                <w:bCs/>
              </w:rPr>
              <w:t>100%</w:t>
            </w:r>
          </w:p>
        </w:tc>
      </w:tr>
      <w:tr w14:paraId="32866960">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590" w:type="dxa"/>
            <w:tcBorders>
              <w:top w:val="nil"/>
              <w:left w:val="nil"/>
              <w:bottom w:val="nil"/>
              <w:right w:val="nil"/>
            </w:tcBorders>
            <w:shd w:val="clear" w:color="auto" w:fill="EEECE1"/>
          </w:tcPr>
          <w:p w14:paraId="48058DF3">
            <w:pPr>
              <w:keepNext w:val="0"/>
              <w:keepLines w:val="0"/>
              <w:widowControl/>
              <w:suppressLineNumbers w:val="0"/>
              <w:spacing w:before="0" w:beforeAutospacing="0" w:after="0" w:afterAutospacing="0" w:line="240" w:lineRule="auto"/>
              <w:ind w:left="0" w:right="0"/>
              <w:rPr>
                <w:rFonts w:hint="eastAsia" w:eastAsia="SimSun"/>
              </w:rPr>
            </w:pPr>
            <w:r>
              <w:rPr>
                <w:rFonts w:hint="eastAsia" w:eastAsia="SimSun"/>
              </w:rPr>
              <w:t>Transformation of Bride Wealth Practices</w:t>
            </w:r>
          </w:p>
        </w:tc>
        <w:tc>
          <w:tcPr>
            <w:tcW w:w="950" w:type="dxa"/>
            <w:tcBorders>
              <w:top w:val="nil"/>
              <w:left w:val="nil"/>
              <w:bottom w:val="nil"/>
              <w:right w:val="nil"/>
            </w:tcBorders>
            <w:shd w:val="clear" w:color="auto" w:fill="EEECE1"/>
            <w:noWrap/>
          </w:tcPr>
          <w:p w14:paraId="71E0C9B4">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R-13</w:t>
            </w:r>
          </w:p>
          <w:p w14:paraId="642E6361">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%-9.9</w:t>
            </w:r>
          </w:p>
        </w:tc>
        <w:tc>
          <w:tcPr>
            <w:tcW w:w="925" w:type="dxa"/>
            <w:tcBorders>
              <w:top w:val="nil"/>
              <w:left w:val="nil"/>
              <w:bottom w:val="nil"/>
              <w:right w:val="nil"/>
            </w:tcBorders>
            <w:shd w:val="clear" w:color="auto" w:fill="EEECE1"/>
            <w:noWrap/>
          </w:tcPr>
          <w:p w14:paraId="41BFF115">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R-8</w:t>
            </w:r>
          </w:p>
          <w:p w14:paraId="62DF5848">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%-6.1</w:t>
            </w:r>
          </w:p>
        </w:tc>
        <w:tc>
          <w:tcPr>
            <w:tcW w:w="912" w:type="dxa"/>
            <w:tcBorders>
              <w:top w:val="nil"/>
              <w:left w:val="nil"/>
              <w:bottom w:val="nil"/>
              <w:right w:val="nil"/>
            </w:tcBorders>
            <w:shd w:val="clear" w:color="auto" w:fill="EEECE1"/>
            <w:noWrap/>
          </w:tcPr>
          <w:p w14:paraId="1151BC01">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R-7</w:t>
            </w:r>
          </w:p>
          <w:p w14:paraId="38D5A492">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%-5.3</w:t>
            </w:r>
          </w:p>
        </w:tc>
        <w:tc>
          <w:tcPr>
            <w:tcW w:w="938" w:type="dxa"/>
            <w:tcBorders>
              <w:top w:val="nil"/>
              <w:left w:val="nil"/>
              <w:bottom w:val="nil"/>
              <w:right w:val="nil"/>
            </w:tcBorders>
            <w:shd w:val="clear" w:color="auto" w:fill="EEECE1"/>
            <w:noWrap/>
          </w:tcPr>
          <w:p w14:paraId="302FDBF6">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R-90</w:t>
            </w:r>
          </w:p>
          <w:p w14:paraId="62A2002B">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%-68.7</w:t>
            </w:r>
          </w:p>
        </w:tc>
        <w:tc>
          <w:tcPr>
            <w:tcW w:w="926" w:type="dxa"/>
            <w:tcBorders>
              <w:top w:val="nil"/>
              <w:left w:val="nil"/>
              <w:bottom w:val="nil"/>
              <w:right w:val="nil"/>
            </w:tcBorders>
            <w:shd w:val="clear" w:color="auto" w:fill="EEECE1"/>
            <w:noWrap/>
          </w:tcPr>
          <w:p w14:paraId="7AF7A93B">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R-13</w:t>
            </w:r>
          </w:p>
          <w:p w14:paraId="611F353A">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%-9.9</w:t>
            </w:r>
          </w:p>
        </w:tc>
        <w:tc>
          <w:tcPr>
            <w:tcW w:w="936" w:type="dxa"/>
            <w:tcBorders>
              <w:top w:val="nil"/>
              <w:left w:val="nil"/>
              <w:bottom w:val="nil"/>
              <w:right w:val="nil"/>
            </w:tcBorders>
            <w:shd w:val="clear" w:color="auto" w:fill="EEECE1"/>
            <w:noWrap/>
          </w:tcPr>
          <w:p w14:paraId="08FCD20F">
            <w:pPr>
              <w:keepNext w:val="0"/>
              <w:keepLines w:val="0"/>
              <w:widowControl/>
              <w:suppressLineNumbers w:val="0"/>
              <w:spacing w:before="0" w:beforeAutospacing="0" w:after="0" w:afterAutospacing="0" w:line="240" w:lineRule="auto"/>
              <w:ind w:left="0" w:right="0"/>
              <w:rPr>
                <w:rFonts w:hint="eastAsia" w:eastAsia="SimSun"/>
                <w:b/>
                <w:bCs/>
              </w:rPr>
            </w:pPr>
            <w:r>
              <w:rPr>
                <w:rFonts w:hint="eastAsia" w:eastAsia="SimSun"/>
                <w:b/>
                <w:bCs/>
              </w:rPr>
              <w:t>131</w:t>
            </w:r>
          </w:p>
          <w:p w14:paraId="5C09805E">
            <w:pPr>
              <w:keepNext w:val="0"/>
              <w:keepLines w:val="0"/>
              <w:widowControl/>
              <w:suppressLineNumbers w:val="0"/>
              <w:spacing w:before="0" w:beforeAutospacing="0" w:after="0" w:afterAutospacing="0" w:line="240" w:lineRule="auto"/>
              <w:ind w:left="0" w:right="0"/>
              <w:rPr>
                <w:rFonts w:hint="eastAsia" w:eastAsia="SimSun"/>
                <w:b/>
                <w:bCs/>
              </w:rPr>
            </w:pPr>
            <w:r>
              <w:rPr>
                <w:rFonts w:hint="eastAsia" w:eastAsia="SimSun"/>
                <w:b/>
                <w:bCs/>
              </w:rPr>
              <w:t>100%</w:t>
            </w:r>
          </w:p>
        </w:tc>
      </w:tr>
      <w:tr w14:paraId="381B3C6A">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590" w:type="dxa"/>
            <w:tcBorders>
              <w:top w:val="nil"/>
              <w:left w:val="nil"/>
              <w:bottom w:val="nil"/>
              <w:right w:val="nil"/>
            </w:tcBorders>
            <w:shd w:val="clear" w:color="auto" w:fill="EEECE1"/>
          </w:tcPr>
          <w:p w14:paraId="2F9CAEE1">
            <w:pPr>
              <w:keepNext w:val="0"/>
              <w:keepLines w:val="0"/>
              <w:widowControl/>
              <w:suppressLineNumbers w:val="0"/>
              <w:spacing w:before="0" w:beforeAutospacing="0" w:after="0" w:afterAutospacing="0" w:line="240" w:lineRule="auto"/>
              <w:ind w:left="0" w:right="0"/>
              <w:rPr>
                <w:rFonts w:hint="eastAsia" w:eastAsia="SimSun"/>
              </w:rPr>
            </w:pPr>
            <w:r>
              <w:rPr>
                <w:rFonts w:hint="eastAsia" w:eastAsia="SimSun"/>
              </w:rPr>
              <w:t>Erosion of Traditional marriage Rituals</w:t>
            </w:r>
          </w:p>
        </w:tc>
        <w:tc>
          <w:tcPr>
            <w:tcW w:w="950" w:type="dxa"/>
            <w:tcBorders>
              <w:top w:val="nil"/>
              <w:left w:val="nil"/>
              <w:bottom w:val="nil"/>
              <w:right w:val="nil"/>
            </w:tcBorders>
            <w:shd w:val="clear" w:color="auto" w:fill="EEECE1"/>
            <w:noWrap/>
          </w:tcPr>
          <w:p w14:paraId="2B6ADA2B">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R-16</w:t>
            </w:r>
          </w:p>
          <w:p w14:paraId="4A116C9D">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%-12.2</w:t>
            </w:r>
          </w:p>
        </w:tc>
        <w:tc>
          <w:tcPr>
            <w:tcW w:w="925" w:type="dxa"/>
            <w:tcBorders>
              <w:top w:val="nil"/>
              <w:left w:val="nil"/>
              <w:bottom w:val="nil"/>
              <w:right w:val="nil"/>
            </w:tcBorders>
            <w:shd w:val="clear" w:color="auto" w:fill="EEECE1"/>
            <w:noWrap/>
          </w:tcPr>
          <w:p w14:paraId="3E793CBB">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R-5</w:t>
            </w:r>
          </w:p>
          <w:p w14:paraId="76AB7C44">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%-3.8</w:t>
            </w:r>
          </w:p>
        </w:tc>
        <w:tc>
          <w:tcPr>
            <w:tcW w:w="912" w:type="dxa"/>
            <w:tcBorders>
              <w:top w:val="nil"/>
              <w:left w:val="nil"/>
              <w:bottom w:val="nil"/>
              <w:right w:val="nil"/>
            </w:tcBorders>
            <w:shd w:val="clear" w:color="auto" w:fill="EEECE1"/>
            <w:noWrap/>
          </w:tcPr>
          <w:p w14:paraId="0B144D13">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R-6</w:t>
            </w:r>
          </w:p>
          <w:p w14:paraId="24E4B30F">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%-4.6</w:t>
            </w:r>
          </w:p>
        </w:tc>
        <w:tc>
          <w:tcPr>
            <w:tcW w:w="938" w:type="dxa"/>
            <w:tcBorders>
              <w:top w:val="nil"/>
              <w:left w:val="nil"/>
              <w:bottom w:val="nil"/>
              <w:right w:val="nil"/>
            </w:tcBorders>
            <w:shd w:val="clear" w:color="auto" w:fill="EEECE1"/>
            <w:noWrap/>
          </w:tcPr>
          <w:p w14:paraId="62409E27">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R-93</w:t>
            </w:r>
          </w:p>
          <w:p w14:paraId="623039CE">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%-71.0</w:t>
            </w:r>
          </w:p>
        </w:tc>
        <w:tc>
          <w:tcPr>
            <w:tcW w:w="926" w:type="dxa"/>
            <w:tcBorders>
              <w:top w:val="nil"/>
              <w:left w:val="nil"/>
              <w:bottom w:val="nil"/>
              <w:right w:val="nil"/>
            </w:tcBorders>
            <w:shd w:val="clear" w:color="auto" w:fill="EEECE1"/>
            <w:noWrap/>
          </w:tcPr>
          <w:p w14:paraId="0811FCE4">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R-11</w:t>
            </w:r>
          </w:p>
          <w:p w14:paraId="6FFE9B31">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%-8.4</w:t>
            </w:r>
          </w:p>
        </w:tc>
        <w:tc>
          <w:tcPr>
            <w:tcW w:w="936" w:type="dxa"/>
            <w:tcBorders>
              <w:top w:val="nil"/>
              <w:left w:val="nil"/>
              <w:bottom w:val="nil"/>
              <w:right w:val="nil"/>
            </w:tcBorders>
            <w:shd w:val="clear" w:color="auto" w:fill="EEECE1"/>
            <w:noWrap/>
          </w:tcPr>
          <w:p w14:paraId="5F3D1028">
            <w:pPr>
              <w:keepNext w:val="0"/>
              <w:keepLines w:val="0"/>
              <w:widowControl/>
              <w:suppressLineNumbers w:val="0"/>
              <w:spacing w:before="0" w:beforeAutospacing="0" w:after="0" w:afterAutospacing="0" w:line="240" w:lineRule="auto"/>
              <w:ind w:left="0" w:right="0"/>
              <w:rPr>
                <w:rFonts w:hint="eastAsia" w:eastAsia="SimSun"/>
                <w:b/>
                <w:bCs/>
              </w:rPr>
            </w:pPr>
            <w:r>
              <w:rPr>
                <w:rFonts w:hint="eastAsia" w:eastAsia="SimSun"/>
                <w:b/>
                <w:bCs/>
              </w:rPr>
              <w:t>131</w:t>
            </w:r>
          </w:p>
          <w:p w14:paraId="4EC213D7">
            <w:pPr>
              <w:keepNext w:val="0"/>
              <w:keepLines w:val="0"/>
              <w:widowControl/>
              <w:suppressLineNumbers w:val="0"/>
              <w:spacing w:before="0" w:beforeAutospacing="0" w:after="0" w:afterAutospacing="0" w:line="240" w:lineRule="auto"/>
              <w:ind w:left="0" w:right="0"/>
              <w:rPr>
                <w:rFonts w:hint="eastAsia" w:eastAsia="SimSun"/>
                <w:b/>
                <w:bCs/>
              </w:rPr>
            </w:pPr>
            <w:r>
              <w:rPr>
                <w:rFonts w:hint="eastAsia" w:eastAsia="SimSun"/>
                <w:b/>
                <w:bCs/>
              </w:rPr>
              <w:t>100%</w:t>
            </w:r>
          </w:p>
        </w:tc>
      </w:tr>
      <w:tr w14:paraId="020CBA3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3590" w:type="dxa"/>
            <w:tcBorders>
              <w:top w:val="nil"/>
              <w:left w:val="nil"/>
              <w:bottom w:val="single" w:color="000000" w:sz="4" w:space="0"/>
              <w:right w:val="nil"/>
            </w:tcBorders>
            <w:shd w:val="clear" w:color="auto" w:fill="EEECE1"/>
          </w:tcPr>
          <w:p w14:paraId="698C5517">
            <w:pPr>
              <w:keepNext w:val="0"/>
              <w:keepLines w:val="0"/>
              <w:widowControl/>
              <w:suppressLineNumbers w:val="0"/>
              <w:spacing w:before="0" w:beforeAutospacing="0" w:after="0" w:afterAutospacing="0" w:line="240" w:lineRule="auto"/>
              <w:ind w:left="0" w:right="0"/>
              <w:rPr>
                <w:rFonts w:hint="eastAsia" w:eastAsia="SimSun"/>
              </w:rPr>
            </w:pPr>
            <w:r>
              <w:rPr>
                <w:rFonts w:hint="eastAsia" w:eastAsia="SimSun"/>
              </w:rPr>
              <w:t>Change in Marriage Decision-Making</w:t>
            </w:r>
          </w:p>
        </w:tc>
        <w:tc>
          <w:tcPr>
            <w:tcW w:w="950" w:type="dxa"/>
            <w:tcBorders>
              <w:top w:val="nil"/>
              <w:left w:val="nil"/>
              <w:bottom w:val="single" w:color="000000" w:sz="4" w:space="0"/>
              <w:right w:val="nil"/>
            </w:tcBorders>
            <w:shd w:val="clear" w:color="auto" w:fill="EEECE1"/>
            <w:noWrap/>
          </w:tcPr>
          <w:p w14:paraId="11A3B5BA">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R-15</w:t>
            </w:r>
          </w:p>
          <w:p w14:paraId="719F45ED">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%-11.5</w:t>
            </w:r>
          </w:p>
        </w:tc>
        <w:tc>
          <w:tcPr>
            <w:tcW w:w="925" w:type="dxa"/>
            <w:tcBorders>
              <w:top w:val="nil"/>
              <w:left w:val="nil"/>
              <w:bottom w:val="single" w:color="000000" w:sz="4" w:space="0"/>
              <w:right w:val="nil"/>
            </w:tcBorders>
            <w:shd w:val="clear" w:color="auto" w:fill="EEECE1"/>
            <w:noWrap/>
          </w:tcPr>
          <w:p w14:paraId="22D1A7D3">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R-13</w:t>
            </w:r>
          </w:p>
          <w:p w14:paraId="6226FEA0">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%-9.9</w:t>
            </w:r>
          </w:p>
        </w:tc>
        <w:tc>
          <w:tcPr>
            <w:tcW w:w="912" w:type="dxa"/>
            <w:tcBorders>
              <w:top w:val="nil"/>
              <w:left w:val="nil"/>
              <w:bottom w:val="single" w:color="000000" w:sz="4" w:space="0"/>
              <w:right w:val="nil"/>
            </w:tcBorders>
            <w:shd w:val="clear" w:color="auto" w:fill="EEECE1"/>
            <w:noWrap/>
          </w:tcPr>
          <w:p w14:paraId="3625E4C7">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R-9</w:t>
            </w:r>
          </w:p>
          <w:p w14:paraId="1E1EC3D3">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%-6.9</w:t>
            </w:r>
          </w:p>
        </w:tc>
        <w:tc>
          <w:tcPr>
            <w:tcW w:w="938" w:type="dxa"/>
            <w:tcBorders>
              <w:top w:val="nil"/>
              <w:left w:val="nil"/>
              <w:bottom w:val="single" w:color="000000" w:sz="4" w:space="0"/>
              <w:right w:val="nil"/>
            </w:tcBorders>
            <w:shd w:val="clear" w:color="auto" w:fill="EEECE1"/>
            <w:noWrap/>
          </w:tcPr>
          <w:p w14:paraId="48A396E1">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R-87</w:t>
            </w:r>
          </w:p>
          <w:p w14:paraId="36CCBA47">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%-66.4</w:t>
            </w:r>
          </w:p>
        </w:tc>
        <w:tc>
          <w:tcPr>
            <w:tcW w:w="926" w:type="dxa"/>
            <w:tcBorders>
              <w:top w:val="nil"/>
              <w:left w:val="nil"/>
              <w:bottom w:val="single" w:color="000000" w:sz="4" w:space="0"/>
              <w:right w:val="nil"/>
            </w:tcBorders>
            <w:shd w:val="clear" w:color="auto" w:fill="EEECE1"/>
            <w:noWrap/>
          </w:tcPr>
          <w:p w14:paraId="7C5240C6">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R-7</w:t>
            </w:r>
          </w:p>
          <w:p w14:paraId="43BBA01F">
            <w:pPr>
              <w:keepNext w:val="0"/>
              <w:keepLines w:val="0"/>
              <w:widowControl/>
              <w:suppressLineNumbers w:val="0"/>
              <w:spacing w:before="0" w:beforeAutospacing="0" w:after="0" w:afterAutospacing="0" w:line="240" w:lineRule="auto"/>
              <w:ind w:left="0" w:right="0"/>
              <w:rPr>
                <w:rFonts w:hint="eastAsia" w:eastAsia="SimSun"/>
                <w:bCs/>
                <w:i/>
              </w:rPr>
            </w:pPr>
            <w:r>
              <w:rPr>
                <w:rFonts w:hint="eastAsia" w:eastAsia="SimSun"/>
                <w:bCs/>
                <w:i/>
              </w:rPr>
              <w:t>%-5.3</w:t>
            </w:r>
          </w:p>
        </w:tc>
        <w:tc>
          <w:tcPr>
            <w:tcW w:w="936" w:type="dxa"/>
            <w:tcBorders>
              <w:top w:val="nil"/>
              <w:left w:val="nil"/>
              <w:bottom w:val="single" w:color="000000" w:sz="4" w:space="0"/>
              <w:right w:val="nil"/>
            </w:tcBorders>
            <w:shd w:val="clear" w:color="auto" w:fill="EEECE1"/>
            <w:noWrap/>
          </w:tcPr>
          <w:p w14:paraId="3DF64F8F">
            <w:pPr>
              <w:keepNext w:val="0"/>
              <w:keepLines w:val="0"/>
              <w:widowControl/>
              <w:suppressLineNumbers w:val="0"/>
              <w:spacing w:before="0" w:beforeAutospacing="0" w:after="0" w:afterAutospacing="0" w:line="240" w:lineRule="auto"/>
              <w:ind w:left="0" w:right="0"/>
              <w:rPr>
                <w:rFonts w:hint="eastAsia" w:eastAsia="SimSun"/>
                <w:b/>
                <w:bCs/>
              </w:rPr>
            </w:pPr>
            <w:r>
              <w:rPr>
                <w:rFonts w:hint="eastAsia" w:eastAsia="SimSun"/>
                <w:b/>
                <w:bCs/>
              </w:rPr>
              <w:t>131</w:t>
            </w:r>
          </w:p>
          <w:p w14:paraId="16C9D973">
            <w:pPr>
              <w:keepNext w:val="0"/>
              <w:keepLines w:val="0"/>
              <w:widowControl/>
              <w:suppressLineNumbers w:val="0"/>
              <w:spacing w:before="0" w:beforeAutospacing="0" w:after="0" w:afterAutospacing="0" w:line="240" w:lineRule="auto"/>
              <w:ind w:left="0" w:right="0"/>
              <w:rPr>
                <w:rFonts w:hint="eastAsia" w:eastAsia="SimSun"/>
                <w:b/>
                <w:bCs/>
              </w:rPr>
            </w:pPr>
            <w:r>
              <w:rPr>
                <w:rFonts w:hint="eastAsia" w:eastAsia="SimSun"/>
                <w:b/>
                <w:bCs/>
              </w:rPr>
              <w:t>100%</w:t>
            </w:r>
          </w:p>
        </w:tc>
      </w:tr>
    </w:tbl>
    <w:p w14:paraId="177C8EDA">
      <w:pPr>
        <w:spacing w:before="0" w:beforeAutospacing="0" w:after="0" w:line="240" w:lineRule="auto"/>
        <w:jc w:val="right"/>
        <w:rPr>
          <w:i/>
        </w:rPr>
      </w:pPr>
      <w:r>
        <w:rPr>
          <w:b/>
          <w:i/>
        </w:rPr>
        <w:t>Key:</w:t>
      </w:r>
      <w:r>
        <w:rPr>
          <w:i/>
        </w:rPr>
        <w:t xml:space="preserve"> R – Respondents, %-Percentage</w:t>
      </w:r>
    </w:p>
    <w:p w14:paraId="70A4671F">
      <w:pPr>
        <w:spacing w:before="0" w:beforeAutospacing="0" w:after="0" w:line="240" w:lineRule="auto"/>
      </w:pPr>
      <w:r>
        <w:rPr>
          <w:b/>
        </w:rPr>
        <w:t>Source:</w:t>
      </w:r>
      <w:r>
        <w:t xml:space="preserve"> Field Data, (2026)</w:t>
      </w:r>
    </w:p>
    <w:p w14:paraId="4AC3CF06">
      <w:pPr>
        <w:spacing w:before="0" w:beforeAutospacing="0" w:after="0" w:line="240" w:lineRule="auto"/>
        <w:rPr>
          <w:bCs/>
        </w:rPr>
      </w:pPr>
    </w:p>
    <w:p w14:paraId="0DC4E29C">
      <w:pPr>
        <w:pStyle w:val="9"/>
        <w:spacing w:before="0" w:beforeAutospacing="0" w:after="0" w:afterAutospacing="0" w:line="240" w:lineRule="auto"/>
        <w:jc w:val="both"/>
        <w:rPr>
          <w:bCs/>
        </w:rPr>
      </w:pPr>
      <w:r>
        <w:rPr>
          <w:bCs/>
        </w:rPr>
        <w:t>The quantitative findings on the decline of polygamous marriages indicated that 41 (31.3%) participants disagreed, 9 (6.9%) were neutral, and a majority 81 (61.8%) participants were of the view that christian teachings on marriage have led to the decline of traditional Nandi polygamous marriage model. A participant in the interviews asserted:</w:t>
      </w:r>
    </w:p>
    <w:p w14:paraId="7D6CE613">
      <w:pPr>
        <w:spacing w:before="0" w:beforeAutospacing="0" w:after="0" w:line="240" w:lineRule="auto"/>
        <w:ind w:left="720" w:right="855"/>
        <w:rPr>
          <w:bCs/>
          <w:i/>
          <w:iCs/>
          <w:sz w:val="22"/>
          <w:szCs w:val="22"/>
        </w:rPr>
      </w:pPr>
      <w:r>
        <w:rPr>
          <w:bCs/>
          <w:i/>
          <w:iCs/>
          <w:sz w:val="22"/>
          <w:szCs w:val="22"/>
        </w:rPr>
        <w:t xml:space="preserve">In my village almost every month we have church marriages and rarely do we have polygamous marriage unions. Young people do not very much see the value of polygamy. Many sustain the view that the church condemns polygamy leading to its gradual reduction among the Nandi community (Interviewee, 27). </w:t>
      </w:r>
    </w:p>
    <w:p w14:paraId="2DECA4B8">
      <w:pPr>
        <w:spacing w:before="0" w:beforeAutospacing="0" w:after="0" w:line="240" w:lineRule="auto"/>
        <w:ind w:right="855"/>
        <w:rPr>
          <w:bCs/>
        </w:rPr>
      </w:pPr>
      <w:r>
        <w:rPr>
          <w:bCs/>
        </w:rPr>
        <w:t>Another participant in the FGDs added:</w:t>
      </w:r>
    </w:p>
    <w:p w14:paraId="55797702">
      <w:pPr>
        <w:spacing w:before="0" w:beforeAutospacing="0" w:after="0" w:line="240" w:lineRule="auto"/>
        <w:ind w:left="720" w:right="855"/>
        <w:rPr>
          <w:bCs/>
          <w:i/>
          <w:iCs/>
          <w:sz w:val="22"/>
          <w:szCs w:val="22"/>
        </w:rPr>
      </w:pPr>
      <w:r>
        <w:rPr>
          <w:bCs/>
          <w:sz w:val="22"/>
          <w:szCs w:val="22"/>
        </w:rPr>
        <w:t xml:space="preserve"> </w:t>
      </w:r>
      <w:r>
        <w:rPr>
          <w:bCs/>
          <w:i/>
          <w:iCs/>
          <w:sz w:val="22"/>
          <w:szCs w:val="22"/>
        </w:rPr>
        <w:t>Today there is a shift to monogamous marriage and a total disregard of traditional Nandi community forms of marriage. This is majorly happening with the young generations (FGDs, 5).</w:t>
      </w:r>
    </w:p>
    <w:p w14:paraId="656B6522">
      <w:pPr>
        <w:keepNext w:val="0"/>
        <w:keepLines w:val="0"/>
        <w:widowControl/>
        <w:suppressLineNumbers w:val="0"/>
        <w:spacing w:before="0" w:beforeAutospacing="0" w:after="0" w:afterAutospacing="0" w:line="240" w:lineRule="auto"/>
        <w:ind w:left="0" w:right="0"/>
        <w:jc w:val="both"/>
        <w:rPr>
          <w:lang w:val="en-US"/>
        </w:rPr>
      </w:pPr>
      <w:r>
        <w:t>Even though a sizeable minority contests or is uncertain about the decline of polygamous marriages, the dominant view within the study population shows that Christianity plays a great role in reshaping marital practices among the Nandi community. The interview excerpt</w:t>
      </w:r>
      <w:r>
        <w:rPr>
          <w:rFonts w:hint="default"/>
          <w:lang w:val="en-US"/>
        </w:rPr>
        <w:t>s</w:t>
      </w:r>
      <w:r>
        <w:t xml:space="preserve"> deepen this interpretation by emphasizing the increasing prevalence of church weddings over the declining polygamous unions, especially among younger generations. This reflects a significant generational shift in values, where young people are increasingly socialized within Christian settings that prioritize monogamy. The perception that “the church condemns polygamy” reinforces the normative force exerted by religious institutions, which often define acceptable marital behavior through teachings, premarital counseling, and church regulations. </w:t>
      </w:r>
      <w:r>
        <w:rPr>
          <w:rFonts w:hint="default" w:ascii="Times New Roman" w:hAnsi="Times New Roman" w:eastAsia="Times New Roman" w:cs="Times New Roman"/>
          <w:kern w:val="0"/>
          <w:sz w:val="24"/>
          <w:szCs w:val="24"/>
          <w:lang w:val="en-US" w:eastAsia="zh-CN" w:bidi="ar"/>
        </w:rPr>
        <w:t xml:space="preserve">The verbatim findings align with the observations of </w:t>
      </w:r>
      <w:r>
        <w:rPr>
          <w:rStyle w:val="13"/>
          <w:rFonts w:ascii="Times New Roman" w:hAnsi="Times New Roman" w:eastAsia="Times New Roman" w:cs="Times New Roman"/>
          <w:sz w:val="24"/>
          <w:szCs w:val="24"/>
          <w:lang w:val="en-US" w:eastAsia="zh-CN" w:bidi="ar"/>
        </w:rPr>
        <w:t>Hayford</w:t>
      </w:r>
      <w:r>
        <w:rPr>
          <w:rFonts w:hint="default" w:ascii="Times New Roman" w:hAnsi="Times New Roman" w:eastAsia="Times New Roman" w:cs="Times New Roman"/>
          <w:kern w:val="0"/>
          <w:sz w:val="24"/>
          <w:szCs w:val="24"/>
          <w:lang w:val="en-US" w:eastAsia="zh-CN" w:bidi="ar"/>
        </w:rPr>
        <w:t xml:space="preserve"> and </w:t>
      </w:r>
      <w:r>
        <w:rPr>
          <w:rStyle w:val="13"/>
          <w:rFonts w:ascii="Times New Roman" w:hAnsi="Times New Roman" w:eastAsia="Times New Roman" w:cs="Times New Roman"/>
          <w:sz w:val="24"/>
          <w:szCs w:val="24"/>
          <w:lang w:val="en-US" w:eastAsia="zh-CN" w:bidi="ar"/>
        </w:rPr>
        <w:t>Trinitapoli</w:t>
      </w:r>
      <w:r>
        <w:rPr>
          <w:rFonts w:hint="default" w:ascii="Times New Roman" w:hAnsi="Times New Roman" w:eastAsia="Times New Roman" w:cs="Times New Roman"/>
          <w:kern w:val="0"/>
          <w:sz w:val="24"/>
          <w:szCs w:val="24"/>
          <w:lang w:val="en-US" w:eastAsia="zh-CN" w:bidi="ar"/>
        </w:rPr>
        <w:t xml:space="preserve"> (2019), who argue that religious institutions play a central role in shaping family behavior by embedding doctrinal expectations within everyday social practices. Similarly, </w:t>
      </w:r>
      <w:r>
        <w:rPr>
          <w:rStyle w:val="13"/>
          <w:rFonts w:ascii="Times New Roman" w:hAnsi="Times New Roman" w:eastAsia="Times New Roman" w:cs="Times New Roman"/>
          <w:sz w:val="24"/>
          <w:szCs w:val="24"/>
          <w:lang w:val="en-US" w:eastAsia="zh-CN" w:bidi="ar"/>
        </w:rPr>
        <w:t>Kalu</w:t>
      </w:r>
      <w:r>
        <w:rPr>
          <w:rFonts w:hint="default" w:ascii="Times New Roman" w:hAnsi="Times New Roman" w:eastAsia="Times New Roman" w:cs="Times New Roman"/>
          <w:kern w:val="0"/>
          <w:sz w:val="24"/>
          <w:szCs w:val="24"/>
          <w:lang w:val="en-US" w:eastAsia="zh-CN" w:bidi="ar"/>
        </w:rPr>
        <w:t xml:space="preserve"> (2020) observes that Christian doctrine, particularly as disseminated through missionary activity and local churches, historically promoted monogamy as the ideal form of marriage while discouraging converts from entering into or maintaining polygamous unions. In the same </w:t>
      </w:r>
      <w:r>
        <w:rPr>
          <w:rFonts w:hint="default" w:cs="Times New Roman"/>
          <w:kern w:val="0"/>
          <w:sz w:val="24"/>
          <w:szCs w:val="24"/>
          <w:lang w:val="en-US" w:eastAsia="zh-CN" w:bidi="ar"/>
        </w:rPr>
        <w:t>manner</w:t>
      </w:r>
      <w:r>
        <w:rPr>
          <w:rFonts w:hint="default" w:ascii="Times New Roman" w:hAnsi="Times New Roman" w:eastAsia="Times New Roman" w:cs="Times New Roman"/>
          <w:kern w:val="0"/>
          <w:sz w:val="24"/>
          <w:szCs w:val="24"/>
          <w:lang w:val="en-US" w:eastAsia="zh-CN" w:bidi="ar"/>
        </w:rPr>
        <w:t xml:space="preserve">, </w:t>
      </w:r>
      <w:r>
        <w:rPr>
          <w:rStyle w:val="13"/>
          <w:rFonts w:ascii="Times New Roman" w:hAnsi="Times New Roman" w:eastAsia="Times New Roman" w:cs="Times New Roman"/>
          <w:sz w:val="24"/>
          <w:szCs w:val="24"/>
          <w:lang w:val="en-US" w:eastAsia="zh-CN" w:bidi="ar"/>
        </w:rPr>
        <w:t>Meyer</w:t>
      </w:r>
      <w:r>
        <w:rPr>
          <w:rFonts w:hint="default" w:ascii="Times New Roman" w:hAnsi="Times New Roman" w:eastAsia="Times New Roman" w:cs="Times New Roman"/>
          <w:kern w:val="0"/>
          <w:sz w:val="24"/>
          <w:szCs w:val="24"/>
          <w:lang w:val="en-US" w:eastAsia="zh-CN" w:bidi="ar"/>
        </w:rPr>
        <w:t xml:space="preserve"> (2021) posits that Christian communities actively sustain moral frameworks that redefine acceptable marital practices, thereby influencing adherents to conform to monogamous standards of marriage.</w:t>
      </w:r>
    </w:p>
    <w:p w14:paraId="5D4C803A">
      <w:pPr>
        <w:pStyle w:val="9"/>
        <w:spacing w:before="0" w:beforeAutospacing="0" w:after="0" w:afterAutospacing="0" w:line="240" w:lineRule="auto"/>
        <w:jc w:val="both"/>
      </w:pPr>
    </w:p>
    <w:p w14:paraId="1E73B33A">
      <w:pPr>
        <w:pStyle w:val="9"/>
        <w:spacing w:before="0" w:beforeAutospacing="0" w:after="0" w:afterAutospacing="0" w:line="240" w:lineRule="auto"/>
        <w:jc w:val="both"/>
      </w:pPr>
      <w:r>
        <w:t xml:space="preserve">However, the presence of 31.3% of respondents who disagreed indicate that the decline of polygamy is neither uniform nor uncontested. Cultural resilience is still evident, as some community members continue to value polygamy for its traditional functions, such as lineage expansion, social status, and social security. This view of the findings is consistent with </w:t>
      </w:r>
      <w:r>
        <w:rPr>
          <w:rFonts w:hint="default" w:ascii="Times New Roman" w:hAnsi="Times New Roman" w:eastAsia="Times New Roman" w:cs="Times New Roman"/>
          <w:kern w:val="0"/>
          <w:sz w:val="24"/>
          <w:szCs w:val="24"/>
          <w:lang w:val="en-US" w:eastAsia="zh-CN" w:bidi="ar"/>
        </w:rPr>
        <w:t>Ashuma (2019) and Yuya, et al. (2021)</w:t>
      </w:r>
      <w:r>
        <w:rPr>
          <w:rFonts w:hint="default" w:cs="Times New Roman"/>
          <w:kern w:val="0"/>
          <w:sz w:val="24"/>
          <w:szCs w:val="24"/>
          <w:lang w:val="en-US" w:eastAsia="zh-CN" w:bidi="ar"/>
        </w:rPr>
        <w:t xml:space="preserve"> </w:t>
      </w:r>
      <w:r>
        <w:t>who hold that polygamy in Kenyan societies persists in certain contexts due to its deep cultural roots and perceived social and economic benefits.</w:t>
      </w:r>
    </w:p>
    <w:p w14:paraId="27F87032">
      <w:pPr>
        <w:pStyle w:val="9"/>
        <w:spacing w:before="0" w:beforeAutospacing="0" w:after="0" w:afterAutospacing="0" w:line="240" w:lineRule="auto"/>
        <w:jc w:val="both"/>
        <w:rPr>
          <w:bCs/>
        </w:rPr>
      </w:pPr>
    </w:p>
    <w:p w14:paraId="190005FD">
      <w:pPr>
        <w:spacing w:before="0" w:beforeAutospacing="0" w:after="0" w:line="240" w:lineRule="auto"/>
        <w:rPr>
          <w:bCs/>
        </w:rPr>
      </w:pPr>
      <w:r>
        <w:rPr>
          <w:rFonts w:eastAsia="Calibri"/>
        </w:rPr>
        <w:t xml:space="preserve">The findings on the transformation of bride wealth practices indicate that 103 participants (78.6%) supported the view that bride wealth practices have been transformed, while 21 (16.0%) disagreed and 7 (5.5%) were neutral. These findings reveal a strong agreement among respondents that Christian teachings have significantly altered this traditional institution within the Nandi community. This overwhelming majority suggests that the influence of Christianity on bride wealth is not only widely recognized but also deeply experienced at the community level. </w:t>
      </w:r>
      <w:r>
        <w:rPr>
          <w:bCs/>
        </w:rPr>
        <w:t>In support of the view of the majority, participants in the FGDs informed:</w:t>
      </w:r>
    </w:p>
    <w:p w14:paraId="561272C0">
      <w:pPr>
        <w:spacing w:before="0" w:beforeAutospacing="0" w:after="0" w:line="240" w:lineRule="auto"/>
        <w:ind w:left="720" w:right="855"/>
        <w:rPr>
          <w:bCs/>
          <w:i/>
          <w:iCs/>
          <w:sz w:val="22"/>
          <w:szCs w:val="22"/>
        </w:rPr>
      </w:pPr>
      <w:r>
        <w:rPr>
          <w:i/>
          <w:iCs/>
          <w:sz w:val="22"/>
          <w:szCs w:val="22"/>
        </w:rPr>
        <w:t>Christian church influence has adversely diminished the traditional Nandi practice of bride wealth. Bride wealth is no longer viewed as a requirement for marriage but instead the consent of the couples. Among the Nandi community, bride wealth symbolized thanksgiving to the family of the girl and demonstrates the bridegroom’s ability to responsibly take care of his new wife. The Christian doctrine on marriage does not underscore this role (FGDs, 33).</w:t>
      </w:r>
    </w:p>
    <w:p w14:paraId="76ABAD4D">
      <w:pPr>
        <w:pStyle w:val="9"/>
        <w:spacing w:before="0" w:beforeAutospacing="0" w:after="0" w:afterAutospacing="0" w:line="240" w:lineRule="auto"/>
        <w:jc w:val="both"/>
      </w:pPr>
      <w:r>
        <w:t>The qualitative data from FGDs reinforces this transformation by illustrating how the Christian doctrine is reshaping the meaning and necessity of bride wealth. Traditionally, bride wealth in the Nandi community was a central component of marriage, symbolizing gratitude to the bride’s family and serving as proof of the groom’s readiness and capacity to assume marital responsibilities. However, participants observed that the Christian influence has shifted emphasis away from these customary obligations toward the mutual and indvidualized couple consent as the primary basis for marriage.</w:t>
      </w:r>
    </w:p>
    <w:p w14:paraId="60143F2C">
      <w:pPr>
        <w:pStyle w:val="9"/>
        <w:spacing w:before="0" w:beforeAutospacing="0" w:after="0" w:afterAutospacing="0" w:line="240" w:lineRule="auto"/>
        <w:jc w:val="both"/>
      </w:pPr>
    </w:p>
    <w:p w14:paraId="014CEF7E">
      <w:pPr>
        <w:pStyle w:val="9"/>
        <w:spacing w:before="0" w:beforeAutospacing="0" w:after="0" w:afterAutospacing="0" w:line="240" w:lineRule="auto"/>
        <w:jc w:val="both"/>
        <w:rPr>
          <w:lang w:val="en-US"/>
        </w:rPr>
      </w:pPr>
      <w:r>
        <w:rPr>
          <w:lang w:val="en-US"/>
        </w:rPr>
        <w:t>The findings and their interpretation are consistent with the observations of Hayford and Trinitapoli (2019), who argue that personal choice and spiritual commitment increasingly take precedence over communal considerations in contemporary Christian understandings of marriage. Similarly, Meyer (2021) maintains that Christian teachings tend to spiritualize marriage by emphasizing love, covenant, and personal faith, thereby downplaying material exchanges such as bride wealth. This interpretation aligns with the FGD findings, where participants observed that bride wealth is “no longer viewed as a requirement for marriage,” indicating a shift from an obligatory cultural institution to a symbolic or optional practice.</w:t>
      </w:r>
    </w:p>
    <w:p w14:paraId="19C536CB">
      <w:pPr>
        <w:pStyle w:val="9"/>
        <w:spacing w:before="0" w:beforeAutospacing="0" w:after="0" w:afterAutospacing="0" w:line="240" w:lineRule="auto"/>
        <w:jc w:val="both"/>
        <w:rPr>
          <w:lang w:val="en-US"/>
        </w:rPr>
      </w:pPr>
    </w:p>
    <w:p w14:paraId="792B39DE">
      <w:pPr>
        <w:pStyle w:val="9"/>
        <w:spacing w:before="0" w:beforeAutospacing="0" w:after="0" w:afterAutospacing="0" w:line="240" w:lineRule="auto"/>
        <w:jc w:val="both"/>
        <w:rPr>
          <w:lang w:val="en-US"/>
        </w:rPr>
      </w:pPr>
      <w:r>
        <w:rPr>
          <w:lang w:val="en-US"/>
        </w:rPr>
        <w:t>At the same time, the findings also indicate that this transformation represents a gradual loss of cultural meaning and communal significance. Participants in the FGD emphasized that bride wealth traditionally functioned not only as an expression of appreciation, but also as a social mechanism for validating marriage and strengthening ties between families. Its diminishing role signals a weakening of communal bonds and traditional structures of accountability. This perspective is consistent with the observations of Clark and Brauner-Otto (2021), who underscore that the decline or modification of bride wealth practices in contemporary African societies often reflects tensions between preserving cultural identity and adapting to changing religious realities.</w:t>
      </w:r>
    </w:p>
    <w:p w14:paraId="65588031">
      <w:pPr>
        <w:pStyle w:val="9"/>
        <w:spacing w:before="0" w:beforeAutospacing="0" w:after="0" w:afterAutospacing="0" w:line="240" w:lineRule="auto"/>
        <w:jc w:val="both"/>
      </w:pPr>
    </w:p>
    <w:p w14:paraId="3F7B4A48">
      <w:pPr>
        <w:pStyle w:val="9"/>
        <w:spacing w:before="0" w:beforeAutospacing="0" w:after="0" w:afterAutospacing="0" w:line="240" w:lineRule="auto"/>
        <w:jc w:val="both"/>
      </w:pPr>
      <w:r>
        <w:t xml:space="preserve">Nevertheless, the minority of respondents who disagreed (16.0%) indicates that the transformation of bride wealth is not accepted everywhere. Some members of the community continue to uphold the traditional significance of polygamy, either by maintaining the practice in full or by integrating it with Christian marriage rites. This confirms position of </w:t>
      </w:r>
      <w:r>
        <w:rPr>
          <w:rFonts w:hint="default" w:ascii="Times New Roman" w:hAnsi="Times New Roman" w:eastAsia="Times New Roman" w:cs="Times New Roman"/>
          <w:kern w:val="0"/>
          <w:sz w:val="24"/>
          <w:szCs w:val="24"/>
          <w:lang w:val="en-US" w:eastAsia="zh-CN" w:bidi="ar"/>
        </w:rPr>
        <w:t>Ashuma (2019) and Yuya, et al. (2021)</w:t>
      </w:r>
      <w:r>
        <w:t xml:space="preserve"> which notes that in Kenya, bride wealth is a resilient cultural institution, often adapted rather than completely discarded. This is manifested through communities negotiating between tradition and religious changes thereby recognizing the dynamic and contested nature of cultural transformation, where continuity and change coexist.</w:t>
      </w:r>
    </w:p>
    <w:p w14:paraId="4B9A8908">
      <w:pPr>
        <w:pStyle w:val="9"/>
        <w:spacing w:before="0" w:beforeAutospacing="0" w:after="0" w:afterAutospacing="0" w:line="240" w:lineRule="auto"/>
        <w:jc w:val="both"/>
        <w:rPr>
          <w:bCs/>
        </w:rPr>
      </w:pPr>
    </w:p>
    <w:p w14:paraId="54122554">
      <w:pPr>
        <w:spacing w:before="0" w:beforeAutospacing="0" w:after="0" w:line="240" w:lineRule="auto"/>
        <w:rPr>
          <w:bCs/>
        </w:rPr>
      </w:pPr>
      <w:r>
        <w:rPr>
          <w:bCs/>
        </w:rPr>
        <w:t xml:space="preserve">Quantitative responses on the item of the erosion of traditional marriage rituals revealed that 21 (16.0%) participants were in disagreement, 6 (4.6%) were undecided, and an overwhelming majority of 104 (79.4%) agreed with it. </w:t>
      </w:r>
      <w:r>
        <w:rPr>
          <w:rFonts w:eastAsia="Calibri"/>
        </w:rPr>
        <w:t xml:space="preserve">This overwhelming majority suggests that the perceived decline of ritual practices is both widespread and significant, pointing to a broader process of cultural transformation influenced by external forces such as Christianity and modernization. </w:t>
      </w:r>
      <w:r>
        <w:rPr>
          <w:bCs/>
        </w:rPr>
        <w:t>In support of the majority view, a participant in the interviews asserted:</w:t>
      </w:r>
    </w:p>
    <w:p w14:paraId="3CF0B716">
      <w:pPr>
        <w:spacing w:before="0" w:beforeAutospacing="0" w:after="0" w:line="240" w:lineRule="auto"/>
        <w:ind w:left="720" w:right="855"/>
        <w:rPr>
          <w:bCs/>
          <w:i/>
          <w:iCs/>
          <w:sz w:val="22"/>
          <w:szCs w:val="22"/>
        </w:rPr>
      </w:pPr>
      <w:r>
        <w:rPr>
          <w:bCs/>
          <w:i/>
          <w:iCs/>
          <w:sz w:val="22"/>
          <w:szCs w:val="22"/>
        </w:rPr>
        <w:t>Today, both for monogamous and polygamous marriages rituals like anointing of the bride with oil, circumcision of ladies before marriage, test of virginity by the elderly aunts, etc. Rituals that played an important role of guiding and counseling, mentorship are no longer practiced. These rituals are being replaced by the church instructions, which in most cases is done by people who are not informed and experienced in matters of marriage. This erodes the consideration of marriage as an important rite of passage among the Nandi community (Interviewee, 14).</w:t>
      </w:r>
    </w:p>
    <w:p w14:paraId="4DEA0332">
      <w:pPr>
        <w:pStyle w:val="9"/>
        <w:spacing w:before="0" w:beforeAutospacing="0" w:after="0" w:afterAutospacing="0" w:line="240" w:lineRule="auto"/>
        <w:jc w:val="both"/>
      </w:pPr>
      <w:r>
        <w:t xml:space="preserve">The qualitative data provided a deeper insight into the nature and implications of this transformation. The interview data explains the disappearance of several key rituals that traditionally marked the transition into marriage, including practices such as anointing of the bride, initiation rites, and mentorship by elderly family members. These rituals traditionally served not only symbolic functions but also practical roles in preparing individuals for marital responsibilities through guidance, counseling, and moral instruction. Their decline, therefore, represents more than a loss of cultural expression; it signifies the weakening of indigenous systems of marriage knowledge transmission. </w:t>
      </w:r>
    </w:p>
    <w:p w14:paraId="3FB157EB">
      <w:pPr>
        <w:pStyle w:val="9"/>
        <w:spacing w:before="0" w:beforeAutospacing="0" w:after="0" w:afterAutospacing="0" w:line="240" w:lineRule="auto"/>
        <w:jc w:val="both"/>
      </w:pPr>
    </w:p>
    <w:p w14:paraId="2AA88A8C">
      <w:pPr>
        <w:pStyle w:val="9"/>
        <w:spacing w:before="0" w:beforeAutospacing="0" w:after="0" w:afterAutospacing="0" w:line="240" w:lineRule="auto"/>
        <w:jc w:val="both"/>
      </w:pPr>
      <w:r>
        <w:t>The replacement of these rituals with church-based instructions further highlights the marriage transformative force of Christianity. Participants observed that church teachings are taking over the role once played by elders and extended family networks. While Christian instructions tends to emphasize moral and spiritual dimensions of marriage, it lacks the culturally embedded experiential knowledge that characterized traditional mentorship systems that sustained marriage. This view is consistent with Hayford and Trinitapoli (2019) who hold that Christian institutions reframe rites of passage by substituting communal rituals with doctrinal teachings. This shift reflects a movement from community-centered to institution-centered forms of marital preparation.</w:t>
      </w:r>
    </w:p>
    <w:p w14:paraId="458A818E">
      <w:pPr>
        <w:pStyle w:val="9"/>
        <w:spacing w:before="0" w:beforeAutospacing="0" w:after="0" w:afterAutospacing="0" w:line="240" w:lineRule="auto"/>
        <w:jc w:val="both"/>
      </w:pPr>
    </w:p>
    <w:p w14:paraId="3CDA7292">
      <w:pPr>
        <w:pStyle w:val="9"/>
        <w:spacing w:before="0" w:beforeAutospacing="0" w:after="0" w:afterAutospacing="0" w:line="240" w:lineRule="auto"/>
        <w:jc w:val="both"/>
      </w:pPr>
      <w:r>
        <w:t>In addition, the findings suggest that the erosion of traditional rituals has implications for how marriage itself is perceived among the Nandi community members. The interviewee’s assertion that marriage is no longer regarded as a significant rite of passage points to a broader cultural shift in which the symbolic weight and communal recognition of marriage are increasingly diminishing. This view is reiterated by Meyer (2021) who sustains that when traditional rituals are abandoned or reduced, the social and spiritual meanings attached to life transitions also become less pronounced. In the Nandi context, this may result in a redefinition of marriage from a deeply embedded cultural institution to a more individualized and less ritualized union.</w:t>
      </w:r>
    </w:p>
    <w:p w14:paraId="611297DC">
      <w:pPr>
        <w:pStyle w:val="9"/>
        <w:spacing w:before="0" w:beforeAutospacing="0" w:after="0" w:afterAutospacing="0" w:line="240" w:lineRule="auto"/>
        <w:jc w:val="both"/>
      </w:pPr>
    </w:p>
    <w:p w14:paraId="7557FBDC">
      <w:pPr>
        <w:pStyle w:val="9"/>
        <w:spacing w:before="0" w:beforeAutospacing="0" w:after="0" w:afterAutospacing="0" w:line="240" w:lineRule="auto"/>
        <w:jc w:val="both"/>
      </w:pPr>
      <w:r>
        <w:t>The view of a minority of respondents (16.0%) that disagreed with the assertion that traditional rituals are eroding cannot be ignored. It indicates that some elements of these practices can persist or can be adapted. For instance, it is not possible to entirely abandon cultural practices but are often reinterpreted to align with new religious settings. This is indicative that the process is not one of complete erosion but rather selective transformation of marriage practices.</w:t>
      </w:r>
    </w:p>
    <w:p w14:paraId="3A7A4EAE">
      <w:pPr>
        <w:pStyle w:val="9"/>
        <w:spacing w:before="0" w:beforeAutospacing="0" w:after="0" w:afterAutospacing="0" w:line="240" w:lineRule="auto"/>
        <w:jc w:val="both"/>
        <w:rPr>
          <w:bCs/>
        </w:rPr>
      </w:pPr>
    </w:p>
    <w:p w14:paraId="235CC950">
      <w:pPr>
        <w:spacing w:before="0" w:beforeAutospacing="0" w:after="0" w:line="240" w:lineRule="auto"/>
        <w:rPr>
          <w:bCs/>
        </w:rPr>
      </w:pPr>
      <w:r>
        <w:rPr>
          <w:rFonts w:eastAsia="Calibri"/>
        </w:rPr>
        <w:t xml:space="preserve">The quantitative findings on the change of marriage decision-making reveal a substantial shift in authority structures within the Nandi community. A clear majority of 94 respondents (71.8%) agreed that decision-making in marriage has changed, while 28 (21.4%) disagreed and 9 (6.9%) were undecided. This distribution suggests that most participants perceive a significant transition from traditionally collective, elder-guided processes toward more individualized forms of marital decision-making. </w:t>
      </w:r>
      <w:r>
        <w:rPr>
          <w:bCs/>
        </w:rPr>
        <w:t>Participants in FGDs added:</w:t>
      </w:r>
    </w:p>
    <w:p w14:paraId="255A0E82">
      <w:pPr>
        <w:spacing w:before="0" w:beforeAutospacing="0" w:after="0" w:line="240" w:lineRule="auto"/>
        <w:ind w:left="720" w:right="855"/>
        <w:rPr>
          <w:bCs/>
          <w:i/>
          <w:iCs/>
          <w:sz w:val="22"/>
          <w:szCs w:val="22"/>
        </w:rPr>
      </w:pPr>
      <w:r>
        <w:rPr>
          <w:bCs/>
          <w:i/>
          <w:iCs/>
          <w:sz w:val="22"/>
          <w:szCs w:val="22"/>
        </w:rPr>
        <w:t>The Christian doctrine of marriage has shifted authority from elders to individual marrying persons. Elders do not have any say when it comes to matters of marriage like age, where to marry from, whom to marry, etc. All this was important as it helped to avoid marriage among relatives, place of elders in advising new couples, moral education of elder, which helped to sustain marriages. This is one of the reason why today even in religious monogamous marriages there are several cases of violence, divorce and separations (FGDs 10).</w:t>
      </w:r>
    </w:p>
    <w:p w14:paraId="0528B28F">
      <w:pPr>
        <w:pStyle w:val="9"/>
        <w:spacing w:before="0" w:beforeAutospacing="0" w:after="0" w:afterAutospacing="0" w:line="240" w:lineRule="auto"/>
        <w:jc w:val="both"/>
      </w:pPr>
      <w:r>
        <w:t xml:space="preserve">The narrative data from the FGDs provides </w:t>
      </w:r>
      <w:r>
        <w:rPr>
          <w:rFonts w:hint="default"/>
          <w:lang w:val="en-US"/>
        </w:rPr>
        <w:t xml:space="preserve">a significant </w:t>
      </w:r>
      <w:r>
        <w:t>context for understanding this transition. Participants observed that the Christian marriage doctrine has contributed to relocating authority from elders to the individuals entering in marriage. Traditionally, elders played a central role in guiding marital choices, including determining appropriate partners, ensuring compliance with kinship norms, and offering counsel grounded in experience and communal values. This system functioned as a social safeguard, which helped to prevent intra-clan marriages, reinforce moral expectations, and provide ongoing mentorship to couples.</w:t>
      </w:r>
    </w:p>
    <w:p w14:paraId="48E6D320">
      <w:pPr>
        <w:pStyle w:val="9"/>
        <w:spacing w:before="0" w:beforeAutospacing="0" w:after="0" w:afterAutospacing="0" w:line="240" w:lineRule="auto"/>
        <w:jc w:val="both"/>
      </w:pPr>
    </w:p>
    <w:p w14:paraId="2AE047C9">
      <w:pPr>
        <w:pStyle w:val="9"/>
        <w:spacing w:before="0" w:beforeAutospacing="0" w:after="0" w:afterAutospacing="0" w:line="240" w:lineRule="auto"/>
        <w:jc w:val="both"/>
      </w:pPr>
      <w:r>
        <w:t>However, as participants noted, the Christian doctrine and practice emphasize personal choice, consent, and individual responsibility, thereby diminishing the authority of elders in marital matters. This finding is consistent with Hayford and Trinitapoli (2019) who assert that Christian teachings across sub-Saharan Africa have contributed to a reorientation of family life by prioritizing the autonomy of individuals over extended family control. And also by Meyer (2021) who argues that Christian moral frameworks tend to privilege personal faith and decision-making, thereby weakening traditional communal structures such as elder authority.</w:t>
      </w:r>
    </w:p>
    <w:p w14:paraId="5A15E0E7">
      <w:pPr>
        <w:pStyle w:val="9"/>
        <w:spacing w:before="0" w:beforeAutospacing="0" w:after="0" w:afterAutospacing="0" w:line="240" w:lineRule="auto"/>
        <w:jc w:val="both"/>
      </w:pPr>
    </w:p>
    <w:p w14:paraId="0447DF1D">
      <w:pPr>
        <w:pStyle w:val="9"/>
        <w:spacing w:before="0" w:beforeAutospacing="0" w:after="0" w:afterAutospacing="0" w:line="240" w:lineRule="auto"/>
        <w:jc w:val="both"/>
      </w:pPr>
      <w:r>
        <w:t>At the same time, the qualitative responses highlighted negative consequences associated with this shift. For instance, participants expressed concern that the decline in elder involvement has led to the erosion of critical guidance mechanisms that previously sustained marital stability. The absence of elder oversight in marriage matters is considered a contributing challenge leading to marital conflict, domestic violence, divorce, and separation even within Christian monogamous marriages. Such claims resonate with scholarly theses that the weakening of traditional support systems can leave couples without adequate social and moral guidance (Clark &amp; Brauner-Otto, 2021).</w:t>
      </w:r>
    </w:p>
    <w:p w14:paraId="73FCEAA9">
      <w:pPr>
        <w:pStyle w:val="9"/>
        <w:spacing w:before="0" w:beforeAutospacing="0" w:after="0" w:afterAutospacing="0" w:line="240" w:lineRule="auto"/>
        <w:jc w:val="both"/>
      </w:pPr>
    </w:p>
    <w:p w14:paraId="77C4CEAC">
      <w:pPr>
        <w:pStyle w:val="9"/>
        <w:spacing w:before="0" w:beforeAutospacing="0" w:after="0" w:afterAutospacing="0" w:line="240" w:lineRule="auto"/>
        <w:jc w:val="both"/>
      </w:pPr>
      <w:r>
        <w:t>The minority of respondents (21.4%) who disagreed are indicative of the fact that elder influence has not been entirely eliminated and may persist in certain families or contexts. In many African societies, elders continue to play advisory roles, albeit in less formal or authoritative capacities (Kimani (2020). Thus, it indicates an ongoing negotiation between traditional norms and religious values on marriage.</w:t>
      </w:r>
    </w:p>
    <w:p w14:paraId="15205665">
      <w:pPr>
        <w:pStyle w:val="9"/>
        <w:spacing w:before="0" w:beforeAutospacing="0" w:after="0" w:afterAutospacing="0" w:line="240" w:lineRule="auto"/>
        <w:jc w:val="both"/>
      </w:pPr>
    </w:p>
    <w:p w14:paraId="1F093C1A">
      <w:pPr>
        <w:pStyle w:val="9"/>
        <w:spacing w:before="0" w:beforeAutospacing="0" w:after="0" w:afterAutospacing="0" w:line="240" w:lineRule="auto"/>
        <w:jc w:val="both"/>
        <w:rPr>
          <w:rFonts w:hint="default"/>
          <w:lang w:val="en-US"/>
        </w:rPr>
      </w:pPr>
      <w:r>
        <w:rPr>
          <w:rFonts w:hint="default"/>
          <w:lang w:val="en-US"/>
        </w:rPr>
        <w:t>The study continued to discuss the findings of other aspects of influence illustrated in figure 1.1 below.</w:t>
      </w:r>
    </w:p>
    <w:p w14:paraId="006DAA3D">
      <w:pPr>
        <w:pStyle w:val="9"/>
        <w:spacing w:before="0" w:beforeAutospacing="0" w:after="0" w:afterAutospacing="0" w:line="240" w:lineRule="auto"/>
        <w:jc w:val="both"/>
        <w:rPr>
          <w:rFonts w:hint="default"/>
          <w:lang w:val="en-US"/>
        </w:rPr>
      </w:pPr>
    </w:p>
    <w:p w14:paraId="30A39DD5">
      <w:pPr>
        <w:pStyle w:val="9"/>
        <w:spacing w:before="0" w:beforeAutospacing="0" w:after="0" w:afterAutospacing="0" w:line="240" w:lineRule="auto"/>
        <w:jc w:val="both"/>
        <w:rPr>
          <w:rFonts w:hint="default"/>
          <w:lang w:val="en-US"/>
        </w:rPr>
      </w:pPr>
      <w:r>
        <w:drawing>
          <wp:inline distT="0" distB="0" distL="114300" distR="114300">
            <wp:extent cx="5498465" cy="3212465"/>
            <wp:effectExtent l="0" t="0" r="698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5498465" cy="3212465"/>
                    </a:xfrm>
                    <a:prstGeom prst="rect">
                      <a:avLst/>
                    </a:prstGeom>
                    <a:noFill/>
                    <a:ln>
                      <a:noFill/>
                    </a:ln>
                  </pic:spPr>
                </pic:pic>
              </a:graphicData>
            </a:graphic>
          </wp:inline>
        </w:drawing>
      </w:r>
    </w:p>
    <w:p w14:paraId="4E96555E">
      <w:pPr>
        <w:pStyle w:val="9"/>
        <w:spacing w:before="0" w:beforeAutospacing="0" w:after="0" w:afterAutospacing="0" w:line="240" w:lineRule="auto"/>
        <w:jc w:val="both"/>
        <w:rPr>
          <w:rFonts w:hint="default"/>
          <w:b/>
          <w:bCs/>
          <w:lang w:val="en-US"/>
        </w:rPr>
      </w:pPr>
      <w:r>
        <w:rPr>
          <w:b/>
          <w:bCs/>
        </w:rPr>
        <w:t>Source: Field Data</w:t>
      </w:r>
      <w:r>
        <w:rPr>
          <w:rFonts w:hint="default"/>
          <w:b/>
          <w:bCs/>
          <w:lang w:val="en-US"/>
        </w:rPr>
        <w:t xml:space="preserve"> (</w:t>
      </w:r>
      <w:r>
        <w:rPr>
          <w:b/>
          <w:bCs/>
        </w:rPr>
        <w:t>2026</w:t>
      </w:r>
      <w:r>
        <w:rPr>
          <w:rFonts w:hint="default"/>
          <w:b/>
          <w:bCs/>
          <w:lang w:val="en-US"/>
        </w:rPr>
        <w:t>)</w:t>
      </w:r>
    </w:p>
    <w:p w14:paraId="44CAF342">
      <w:pPr>
        <w:pStyle w:val="9"/>
        <w:spacing w:before="0" w:beforeAutospacing="0" w:after="0" w:afterAutospacing="0" w:line="240" w:lineRule="auto"/>
        <w:jc w:val="both"/>
        <w:rPr>
          <w:b/>
          <w:bCs/>
        </w:rPr>
      </w:pPr>
    </w:p>
    <w:p w14:paraId="4EA6291E">
      <w:pPr>
        <w:spacing w:before="0" w:beforeAutospacing="0" w:after="0" w:line="240" w:lineRule="auto"/>
        <w:rPr>
          <w:bCs/>
        </w:rPr>
      </w:pPr>
      <w:r>
        <w:rPr>
          <w:rFonts w:eastAsia="Calibri"/>
        </w:rPr>
        <w:t xml:space="preserve">The quantitative findings in figure </w:t>
      </w:r>
      <w:r>
        <w:rPr>
          <w:rFonts w:hint="default" w:eastAsia="Calibri"/>
          <w:lang w:val="en-US"/>
        </w:rPr>
        <w:t>1</w:t>
      </w:r>
      <w:r>
        <w:rPr>
          <w:rFonts w:eastAsia="Calibri"/>
        </w:rPr>
        <w:t>.</w:t>
      </w:r>
      <w:r>
        <w:rPr>
          <w:rFonts w:hint="default" w:eastAsia="Calibri"/>
          <w:lang w:val="en-US"/>
        </w:rPr>
        <w:t>1</w:t>
      </w:r>
      <w:r>
        <w:rPr>
          <w:rFonts w:eastAsia="Calibri"/>
        </w:rPr>
        <w:t xml:space="preserve"> illustrate that on the weakening of kinship alliances point to an overwhelming consensus among respondents that this transformation is taking place within the Nandi community. Specifically, 123 participants (93.9%) agreed that kinship alliances are weakening, while only 13 (9.9%) disagreed and 5 (3.8%) were neutral. This near-unanimous agreement underscores the depth and visibility of this shift, suggesting that the restructuring of kinship relations is one of the most pronounced effects of changing marriage practices. </w:t>
      </w:r>
      <w:r>
        <w:rPr>
          <w:bCs/>
        </w:rPr>
        <w:t xml:space="preserve">Participants in the FGDs added: </w:t>
      </w:r>
    </w:p>
    <w:p w14:paraId="576A0C76">
      <w:pPr>
        <w:spacing w:before="0" w:beforeAutospacing="0" w:after="0" w:line="240" w:lineRule="auto"/>
        <w:ind w:left="720" w:right="855"/>
        <w:rPr>
          <w:bCs/>
          <w:i/>
          <w:iCs/>
          <w:sz w:val="22"/>
          <w:szCs w:val="22"/>
        </w:rPr>
      </w:pPr>
      <w:r>
        <w:rPr>
          <w:bCs/>
          <w:i/>
          <w:iCs/>
          <w:sz w:val="22"/>
          <w:szCs w:val="22"/>
        </w:rPr>
        <w:t xml:space="preserve">Christian doctrine of marriage emphasizes the nuclear family over extended kin involvement. This means that marriage is less focused on strengthening clan and lineage ties. But among the Nandi community, kinship ties is the foundation of marriage. Marriage is to enlarge family relationships basis and the entire clan ties (FGDs 9). </w:t>
      </w:r>
    </w:p>
    <w:p w14:paraId="17C7EB7C">
      <w:pPr>
        <w:pStyle w:val="9"/>
        <w:spacing w:before="0" w:beforeAutospacing="0" w:after="0" w:afterAutospacing="0" w:line="240" w:lineRule="auto"/>
        <w:jc w:val="both"/>
      </w:pPr>
      <w:r>
        <w:t>This narrative finding reinforces the point that the Christian doctrine tends to prioritize the nuclear family that is centered on the husband, wife, and and children over the extended family and clan networks that traditionally defined Nandi marriage. In the indigenous Nandi context, marriage was not merely a union between two married individuals but a strategic alliance that strengthened bonds between families, lineages, and clans. It served to expand kinship networks, reinforce social cohesion, and ensure mutual support among relatives. However, the Christian emphasis on the nuclear family has reduced the centrality of these broader kinship obligations.</w:t>
      </w:r>
    </w:p>
    <w:p w14:paraId="1AD44665">
      <w:pPr>
        <w:pStyle w:val="9"/>
        <w:spacing w:before="0" w:beforeAutospacing="0" w:after="0" w:afterAutospacing="0" w:line="240" w:lineRule="auto"/>
        <w:jc w:val="both"/>
      </w:pPr>
    </w:p>
    <w:p w14:paraId="4108DD2B">
      <w:pPr>
        <w:pStyle w:val="9"/>
        <w:spacing w:before="0" w:beforeAutospacing="0" w:after="0" w:afterAutospacing="0" w:line="240" w:lineRule="auto"/>
        <w:jc w:val="both"/>
      </w:pPr>
      <w:r>
        <w:t>Additionally, the weakening of kinship alliances has critical social implications. In traditional Nandi society, kinship ties formed the foundation of marriage, ensuring that unions were embedded within a broader arrangement of collective responsibility and accountability. As noted by Kalu (2020), such systems fostered social cohesion by linking families together in enduring relationships that extended beyond husband and wife. Thus, the decline of these ties leads to reduced communal involvement in marital affairs and a weakening of social support systems that previously sustained marriages among the Nandi community.</w:t>
      </w:r>
    </w:p>
    <w:p w14:paraId="19CB24B1">
      <w:pPr>
        <w:pStyle w:val="9"/>
        <w:spacing w:before="0" w:beforeAutospacing="0" w:after="0" w:afterAutospacing="0" w:line="240" w:lineRule="auto"/>
        <w:jc w:val="both"/>
      </w:pPr>
    </w:p>
    <w:p w14:paraId="0E2F968C">
      <w:pPr>
        <w:pStyle w:val="9"/>
        <w:spacing w:before="0" w:beforeAutospacing="0" w:after="0" w:afterAutospacing="0" w:line="240" w:lineRule="auto"/>
        <w:jc w:val="both"/>
      </w:pPr>
      <w:r>
        <w:t>The small proportion of respondents who disagreed (9.9%) signifying that kinship alliances still hold significance in certain contexts or among particular segments of the Nandi community. While Christianity may reshape the structure and emphasis of family life, it does not entirely eliminate the importance of kinship ties for the Nandi people.</w:t>
      </w:r>
    </w:p>
    <w:p w14:paraId="66D65E7B">
      <w:pPr>
        <w:pStyle w:val="9"/>
        <w:spacing w:before="0" w:beforeAutospacing="0" w:after="0" w:afterAutospacing="0" w:line="240" w:lineRule="auto"/>
        <w:jc w:val="both"/>
        <w:rPr>
          <w:bCs/>
        </w:rPr>
      </w:pPr>
    </w:p>
    <w:p w14:paraId="17BCDBE7">
      <w:pPr>
        <w:spacing w:before="0" w:beforeAutospacing="0" w:after="0" w:line="240" w:lineRule="auto"/>
        <w:rPr>
          <w:bCs/>
        </w:rPr>
      </w:pPr>
      <w:r>
        <w:rPr>
          <w:rFonts w:eastAsia="Calibri"/>
        </w:rPr>
        <w:t xml:space="preserve">The quantitative findings on modified views on procreation illustrated in figure 4.2 indicate a strong consensus among respondents that Christian teachings have significantly reshaped traditional understandings of childbearing within marriage. Specifically, 107 participants (81.7%) agreed with this position, while 20 (15.3%) disagreed and 4 (3.1%) were undecided. This overwhelming majority suggests that the redefinition of procreation as a central goal of marriage is widely recognized within the Nandi community. </w:t>
      </w:r>
      <w:r>
        <w:rPr>
          <w:bCs/>
        </w:rPr>
        <w:t>In support of the majority view, interview response added:</w:t>
      </w:r>
    </w:p>
    <w:p w14:paraId="7F255F45">
      <w:pPr>
        <w:spacing w:before="0" w:beforeAutospacing="0" w:after="0" w:line="240" w:lineRule="auto"/>
        <w:ind w:left="720" w:right="855"/>
        <w:rPr>
          <w:bCs/>
          <w:i/>
          <w:iCs/>
          <w:sz w:val="22"/>
          <w:szCs w:val="22"/>
        </w:rPr>
      </w:pPr>
      <w:r>
        <w:rPr>
          <w:bCs/>
          <w:i/>
          <w:iCs/>
          <w:sz w:val="22"/>
          <w:szCs w:val="22"/>
        </w:rPr>
        <w:t>Christian message on marriage has reshaped attitudes toward family size and lineage continuity. Among the Nandi traditional community, the ultimate goal of marriage is procreation, family and clan lineage. This is not as per the Christian teachings, where marriage is sustained even in the absence of child-bearing (Interviewee, 8).</w:t>
      </w:r>
    </w:p>
    <w:p w14:paraId="66C4B22C">
      <w:pPr>
        <w:pStyle w:val="9"/>
        <w:spacing w:before="0" w:beforeAutospacing="0" w:after="0" w:afterAutospacing="0" w:line="240" w:lineRule="auto"/>
        <w:jc w:val="both"/>
      </w:pPr>
      <w:r>
        <w:t>The interviewee asserts that in the traditional Nandi context, procreation is the ultimate purpose of marriage, ensuring the continuation of family and clan lineage. Children are not only valued for their social and economic contributions but also for their role in sustaining ancestral heritage and identity. However, Christian doctrine introduces a different theological perspective, stressing marriage as a covenant grounded in companionship, love, and spiritual unity, rather than solely in childbearing. This, consequently, makes marriage valid and meaningful even in the absence of children, which is inconceivable among the Nandi community.</w:t>
      </w:r>
    </w:p>
    <w:p w14:paraId="385B9289">
      <w:pPr>
        <w:pStyle w:val="9"/>
        <w:spacing w:before="0" w:beforeAutospacing="0" w:after="0" w:afterAutospacing="0" w:line="240" w:lineRule="auto"/>
        <w:jc w:val="both"/>
      </w:pPr>
    </w:p>
    <w:p w14:paraId="11535DAF">
      <w:pPr>
        <w:pStyle w:val="9"/>
        <w:spacing w:before="0" w:beforeAutospacing="0" w:after="0" w:afterAutospacing="0" w:line="240" w:lineRule="auto"/>
        <w:jc w:val="both"/>
      </w:pPr>
      <w:r>
        <w:t>These field findings are consistent with Hayford and Trinitapoli (2019) who assert that Christianity in sub-Saharan Africa has contributed to changing fertility norms by redefining the purposes of marriage and promoting ideals that extend beyond procreation. And also with Meyer (2021) who argues that Christian teachings tend to spiritualize marriage, placing greater emphasis on relational and moral dimensions rather than biological reproduction. Christian acceptance of childless marriages resonates with contemporary liberal thinking, where couples can choose to have or not to have children or large families.</w:t>
      </w:r>
    </w:p>
    <w:p w14:paraId="1ED915E0">
      <w:pPr>
        <w:pStyle w:val="9"/>
        <w:spacing w:before="0" w:beforeAutospacing="0" w:after="0" w:afterAutospacing="0" w:line="240" w:lineRule="auto"/>
        <w:jc w:val="both"/>
      </w:pPr>
    </w:p>
    <w:p w14:paraId="26CA9F46">
      <w:pPr>
        <w:pStyle w:val="9"/>
        <w:spacing w:before="0" w:beforeAutospacing="0" w:after="0" w:afterAutospacing="0" w:line="240" w:lineRule="auto"/>
        <w:jc w:val="both"/>
      </w:pPr>
      <w:r>
        <w:t>On the other hand, the presence of 15.3% of respondents who disagreed indicates that traditional views on procreation are still influential for some Nandi community members; the cultural importance of children persists despite Christian influence because fertility continues to be associated with continuity of lineage, security, and social status. This means that Christian teachings are interpreted alongside enduring Nandi cultural marriage values.</w:t>
      </w:r>
    </w:p>
    <w:p w14:paraId="6BE08E99">
      <w:pPr>
        <w:pStyle w:val="9"/>
        <w:spacing w:before="0" w:beforeAutospacing="0" w:after="0" w:afterAutospacing="0" w:line="240" w:lineRule="auto"/>
        <w:jc w:val="both"/>
        <w:rPr>
          <w:bCs/>
        </w:rPr>
      </w:pPr>
    </w:p>
    <w:p w14:paraId="1FAECA49">
      <w:pPr>
        <w:spacing w:before="0" w:beforeAutospacing="0" w:after="0" w:line="240" w:lineRule="auto"/>
        <w:rPr>
          <w:bCs/>
        </w:rPr>
      </w:pPr>
      <w:r>
        <w:rPr>
          <w:rFonts w:eastAsia="Calibri"/>
        </w:rPr>
        <w:t xml:space="preserve">The findings on the postulate that Christianity reframes the obligation aspect of marriage in figure 4.3 show that 67 respondents (51.1%) supported the view, while a substantial proportion of 52 (39.7%) disagreed, and 12 (9.2%) were neutral. These findings present a more nuanced pattern compared to other themes in the study. Although a relative majority affirms the reframing of marriage as less of a cultural obligation, the high level of disagreement indicates that this issue is contested within the Nandi community. </w:t>
      </w:r>
      <w:r>
        <w:rPr>
          <w:bCs/>
        </w:rPr>
        <w:t>In support of the majority, a participant in the interviews asserted:</w:t>
      </w:r>
    </w:p>
    <w:p w14:paraId="4479B54A">
      <w:pPr>
        <w:spacing w:before="0" w:beforeAutospacing="0" w:after="0" w:line="240" w:lineRule="auto"/>
        <w:ind w:left="720" w:right="855"/>
        <w:rPr>
          <w:bCs/>
          <w:i/>
          <w:iCs/>
          <w:sz w:val="22"/>
          <w:szCs w:val="22"/>
        </w:rPr>
      </w:pPr>
      <w:r>
        <w:rPr>
          <w:bCs/>
          <w:i/>
          <w:iCs/>
          <w:sz w:val="22"/>
          <w:szCs w:val="22"/>
        </w:rPr>
        <w:t>Marriage is a moral and spiritual institution rather than a cultural obligation. In marriage couples grow spiritually together adhering to its spiritual vocation. It is God who calls persons to marriage vocation and not culture of a particular community (Interviewee, 22).</w:t>
      </w:r>
    </w:p>
    <w:p w14:paraId="3BDE48F4">
      <w:pPr>
        <w:pStyle w:val="9"/>
        <w:spacing w:before="0" w:beforeAutospacing="0" w:after="0" w:afterAutospacing="0" w:line="240" w:lineRule="auto"/>
        <w:jc w:val="both"/>
      </w:pPr>
      <w:r>
        <w:t xml:space="preserve">The interview response stresses a shift from viewing marriage as a culturally mandated duty to understanding it as a moral and spiritual vocation. Within traditional Nandi society, marriage was often regarded as an obligation tied to communal expectations, lineage continuity, and social identity. Individuals are expected to marry not only for personal fulfillment but also to meet the expectations of the family and clan. In contrast, Christian the doctrine redefines marriage as a calling instituted by God, grounded in spiritual growth, mutual support, and adherence to divine purpose. This Christian theological perspective </w:t>
      </w:r>
      <w:r>
        <w:rPr>
          <w:rFonts w:hint="default"/>
          <w:lang w:val="en-US"/>
        </w:rPr>
        <w:t>stresses</w:t>
      </w:r>
      <w:r>
        <w:t xml:space="preserve"> on personal conviction and spiritual readiness rather than compliance with cultural norms.</w:t>
      </w:r>
      <w:r>
        <w:rPr>
          <w:rFonts w:hint="default"/>
          <w:lang w:val="en-US"/>
        </w:rPr>
        <w:t xml:space="preserve"> A </w:t>
      </w:r>
      <w:r>
        <w:t xml:space="preserve">shift </w:t>
      </w:r>
      <w:r>
        <w:rPr>
          <w:rFonts w:hint="default"/>
          <w:lang w:val="en-US"/>
        </w:rPr>
        <w:t xml:space="preserve">that </w:t>
      </w:r>
      <w:r>
        <w:t>is consistent with Meyer (2021) who informs that Christian teachings reinterpret social institutions by assigning them spiritual significance, thereby transforming practices that were once culturally obligatory into matters of personal faith and vocation. And also with Kalu (2020) who claims that Christianity introduces a new moral setting in which marriage is understood as a covenant before God, rather than merely a social contract enforced by tradition.</w:t>
      </w:r>
    </w:p>
    <w:p w14:paraId="45F8DFCD">
      <w:pPr>
        <w:pStyle w:val="9"/>
        <w:spacing w:before="0" w:beforeAutospacing="0" w:after="0" w:afterAutospacing="0" w:line="240" w:lineRule="auto"/>
        <w:jc w:val="both"/>
      </w:pPr>
    </w:p>
    <w:p w14:paraId="55B6AC05">
      <w:pPr>
        <w:pStyle w:val="9"/>
        <w:spacing w:before="0" w:beforeAutospacing="0" w:after="0" w:afterAutospacing="0" w:line="240" w:lineRule="auto"/>
        <w:jc w:val="both"/>
      </w:pPr>
      <w:r>
        <w:t>This reorientation of marriage leads to a strong emphasis on individual choice and spiritual compatibility between partners.</w:t>
      </w:r>
      <w:r>
        <w:rPr>
          <w:rFonts w:hint="default"/>
          <w:lang w:val="en-US"/>
        </w:rPr>
        <w:t xml:space="preserve"> </w:t>
      </w:r>
      <w:r>
        <w:t>However, the relatively high proportion of respondents who disagreed (39.7%) indicates that the traditional view of marriage as an obligation is still influential among the Nandi community members. Marriage continues to be closely linked to communal expectations such as procreation, social status, and the continuation of family lineage. For these participants, marriage retains its family duty, regardless of Christian reinterpretations. The Nandi community continue to navigate multiple value systems simultaneously, blending cultural expectations with Christian teachings. The possible outcome of this is that marriage is understood both as a spiritual vocation and as a social obligation, depending on context and individual belief.</w:t>
      </w:r>
    </w:p>
    <w:p w14:paraId="55C3532F">
      <w:pPr>
        <w:pStyle w:val="9"/>
        <w:spacing w:before="0" w:beforeAutospacing="0" w:after="0" w:afterAutospacing="0" w:line="240" w:lineRule="auto"/>
        <w:jc w:val="both"/>
        <w:rPr>
          <w:bCs/>
        </w:rPr>
      </w:pPr>
    </w:p>
    <w:p w14:paraId="0E7DD68D">
      <w:pPr>
        <w:spacing w:before="0" w:beforeAutospacing="0" w:after="0" w:line="240" w:lineRule="auto"/>
        <w:rPr>
          <w:bCs/>
        </w:rPr>
      </w:pPr>
      <w:r>
        <w:rPr>
          <w:bCs/>
        </w:rPr>
        <w:t xml:space="preserve">Finally, the study discussed the field findings on generational change in marital values as illustrated in figure 4.3. Quantitative results demonstrated a relative majority 65 (49.6%) in disagreement, 9 (6.9%) neutral, and 57 (43.5%) in support of the postulate. </w:t>
      </w:r>
      <w:r>
        <w:rPr>
          <w:rFonts w:eastAsia="Calibri"/>
        </w:rPr>
        <w:t>Unlike other themes in the study, these results do not show an explicit consensus but rather reflect a close balance between opposing views. This reveals that perceptions of generational change in marital values are contested, with some respondents recognizing significant shifts among the youth, while others perceive continuity in traditional or established marriage norms. On this, q</w:t>
      </w:r>
      <w:r>
        <w:rPr>
          <w:bCs/>
        </w:rPr>
        <w:t>ualitative results reiterated:</w:t>
      </w:r>
    </w:p>
    <w:p w14:paraId="4D6552F9">
      <w:pPr>
        <w:spacing w:before="0" w:beforeAutospacing="0" w:after="0" w:line="240" w:lineRule="auto"/>
        <w:ind w:left="720" w:right="855"/>
        <w:rPr>
          <w:bCs/>
          <w:i/>
          <w:iCs/>
          <w:sz w:val="22"/>
          <w:szCs w:val="22"/>
        </w:rPr>
      </w:pPr>
      <w:r>
        <w:rPr>
          <w:bCs/>
          <w:i/>
          <w:iCs/>
          <w:sz w:val="22"/>
          <w:szCs w:val="22"/>
        </w:rPr>
        <w:t>Younger members of the Nandi community tend to favor christian marital norms like monogamy, church wedding, individual consent, etc., over polygamous traditional practices (Interviewee, 25).</w:t>
      </w:r>
    </w:p>
    <w:p w14:paraId="36CF3E8E">
      <w:pPr>
        <w:pStyle w:val="9"/>
        <w:spacing w:before="0" w:beforeAutospacing="0" w:after="0" w:afterAutospacing="0" w:line="240" w:lineRule="auto"/>
        <w:jc w:val="both"/>
        <w:rPr>
          <w:bCs/>
        </w:rPr>
      </w:pPr>
      <w:r>
        <w:rPr>
          <w:bCs/>
        </w:rPr>
        <w:t xml:space="preserve"> Another participant added:</w:t>
      </w:r>
    </w:p>
    <w:p w14:paraId="0E306CEC">
      <w:pPr>
        <w:spacing w:before="0" w:beforeAutospacing="0" w:after="0" w:line="240" w:lineRule="auto"/>
        <w:ind w:left="720" w:right="855"/>
        <w:rPr>
          <w:bCs/>
          <w:i/>
          <w:iCs/>
          <w:sz w:val="22"/>
          <w:szCs w:val="22"/>
        </w:rPr>
      </w:pPr>
      <w:r>
        <w:rPr>
          <w:bCs/>
          <w:sz w:val="22"/>
          <w:szCs w:val="22"/>
        </w:rPr>
        <w:t xml:space="preserve"> </w:t>
      </w:r>
      <w:r>
        <w:rPr>
          <w:bCs/>
          <w:i/>
          <w:iCs/>
          <w:sz w:val="22"/>
          <w:szCs w:val="22"/>
        </w:rPr>
        <w:t xml:space="preserve">Young generation is indifferent to marriage values, some marry for fun, others do it as a trial to see if it works. This means it is not seen as a vocation with specific roles to play in society (FGDs, 12). </w:t>
      </w:r>
    </w:p>
    <w:p w14:paraId="39C4F878">
      <w:pPr>
        <w:pStyle w:val="9"/>
        <w:spacing w:before="0" w:beforeAutospacing="0" w:after="0" w:afterAutospacing="0" w:line="240" w:lineRule="auto"/>
        <w:jc w:val="both"/>
      </w:pPr>
      <w:r>
        <w:t xml:space="preserve">These qualitative findings provide a </w:t>
      </w:r>
      <w:r>
        <w:rPr>
          <w:rFonts w:hint="default"/>
          <w:lang w:val="en-US"/>
        </w:rPr>
        <w:t>better</w:t>
      </w:r>
      <w:r>
        <w:t xml:space="preserve"> understanding by highlighting explicit and observable tendencies among younger members of the Nandi community. One participant noted that young people tend to favor Christian marital norms such as monogamy, church weddings, and individual consent over traditional practices like polygamy. This is because young people among the Nandi community are more likely to internalize christian marriage norms that emphasize personal choice, romantic attachment, and monogamous unions, thereby contributing to gradual cultural transformation of the practice.</w:t>
      </w:r>
    </w:p>
    <w:p w14:paraId="1749C453">
      <w:pPr>
        <w:pStyle w:val="9"/>
        <w:spacing w:before="0" w:beforeAutospacing="0" w:after="0" w:afterAutospacing="0" w:line="240" w:lineRule="auto"/>
        <w:jc w:val="both"/>
      </w:pPr>
    </w:p>
    <w:p w14:paraId="1F28F5D0">
      <w:pPr>
        <w:pStyle w:val="9"/>
        <w:spacing w:before="0" w:beforeAutospacing="0" w:after="0" w:afterAutospacing="0" w:line="240" w:lineRule="auto"/>
        <w:jc w:val="both"/>
      </w:pPr>
      <w:r>
        <w:t>At the same time, the qualitative data introduces a critical perspective regarding the perceived weakening of commitment to marital values among some Nandi community members. In the narrative, the assertion that some young people “marry for fun” or treat marriage as a trial suggests a shift not only in the form of marriage but also in its perceived seriousness and social function. Traditionally, among the Nandi, marriage is regarded as a lifelong institution with clearly defined roles and responsibilities tied to family, community, and its lineage.</w:t>
      </w:r>
    </w:p>
    <w:p w14:paraId="5808EE99">
      <w:pPr>
        <w:pStyle w:val="9"/>
        <w:spacing w:before="0" w:beforeAutospacing="0" w:after="0" w:afterAutospacing="0" w:line="240" w:lineRule="auto"/>
        <w:jc w:val="both"/>
      </w:pPr>
    </w:p>
    <w:p w14:paraId="2CA0157C">
      <w:pPr>
        <w:pStyle w:val="9"/>
        <w:spacing w:before="0" w:beforeAutospacing="0" w:after="0" w:afterAutospacing="0" w:line="240" w:lineRule="auto"/>
        <w:jc w:val="both"/>
      </w:pPr>
      <w:r>
        <w:rPr>
          <w:rFonts w:hint="default"/>
          <w:lang w:val="en-US"/>
        </w:rPr>
        <w:t xml:space="preserve">It is also important to consider that </w:t>
      </w:r>
      <w:r>
        <w:t xml:space="preserve">the </w:t>
      </w:r>
      <w:r>
        <w:rPr>
          <w:rFonts w:hint="default"/>
          <w:lang w:val="en-US"/>
        </w:rPr>
        <w:t xml:space="preserve">developing </w:t>
      </w:r>
      <w:r>
        <w:t>perception of marriage as experimental or optional reflect</w:t>
      </w:r>
      <w:r>
        <w:rPr>
          <w:rFonts w:hint="default"/>
          <w:lang w:val="en-US"/>
        </w:rPr>
        <w:t>s</w:t>
      </w:r>
      <w:r>
        <w:t xml:space="preserve"> the influence of broader global cultural trends, including individualism and changing attitudes toward commitment. These contrasting qualitative comprehensions help to explain the divided quantitative responses. On one hand, some respondents recognize that younger generations are adopting Christian marital ideals, signaling continuity in values albeit within a different framework. On the other hand, concerns about declining commitment and shifting attitudes toward marriage suggest a perceived erosion of its traditional significance among the Nandi community. </w:t>
      </w:r>
    </w:p>
    <w:p w14:paraId="649604C1">
      <w:pPr>
        <w:pStyle w:val="9"/>
        <w:spacing w:before="0" w:beforeAutospacing="0" w:after="0" w:afterAutospacing="0" w:line="240" w:lineRule="auto"/>
        <w:jc w:val="both"/>
      </w:pPr>
    </w:p>
    <w:p w14:paraId="4A8FCAB2">
      <w:pPr>
        <w:pStyle w:val="9"/>
        <w:spacing w:before="0" w:beforeAutospacing="0" w:after="0" w:afterAutospacing="0" w:line="240" w:lineRule="auto"/>
        <w:jc w:val="both"/>
      </w:pPr>
      <w:r>
        <w:t xml:space="preserve">In addition, the relatively high proportion of respondents who disagreed (49.6%) demonstrates that many people among the Nandi community still perceive stability or resilience in marital values across generations. This may be due to the continued influence of family structures, community expectations, and religious institutions that reinforce certain norms despite changing attitudes. This view is in tandem with </w:t>
      </w:r>
      <w:r>
        <w:rPr>
          <w:rFonts w:hint="default" w:ascii="Times New Roman" w:hAnsi="Times New Roman" w:eastAsia="Times New Roman" w:cs="Times New Roman"/>
          <w:kern w:val="0"/>
          <w:sz w:val="24"/>
          <w:szCs w:val="24"/>
          <w:lang w:val="en-US" w:eastAsia="zh-CN" w:bidi="ar"/>
        </w:rPr>
        <w:t>Ashuma (2019) and Yuya, et al. (2021)</w:t>
      </w:r>
      <w:r>
        <w:t xml:space="preserve"> who observe that in many Kenyan communities, generational change is often moderated by enduring cultural and religious underpinnings that maintain continuity even amid the existing and experienced transformation.</w:t>
      </w:r>
    </w:p>
    <w:p w14:paraId="0D516E2B">
      <w:pPr>
        <w:pStyle w:val="9"/>
        <w:spacing w:before="0" w:beforeAutospacing="0" w:after="0" w:afterAutospacing="0" w:line="240" w:lineRule="auto"/>
        <w:jc w:val="both"/>
      </w:pPr>
    </w:p>
    <w:p w14:paraId="75DFD858">
      <w:pPr>
        <w:spacing w:before="0" w:beforeAutospacing="0" w:after="0" w:line="240" w:lineRule="auto"/>
        <w:rPr>
          <w:b/>
        </w:rPr>
      </w:pPr>
      <w:r>
        <w:rPr>
          <w:b/>
        </w:rPr>
        <w:t>Conclusion</w:t>
      </w:r>
    </w:p>
    <w:p w14:paraId="6B60A8DF">
      <w:pPr>
        <w:spacing w:before="0" w:beforeAutospacing="0" w:after="0" w:line="240" w:lineRule="auto"/>
        <w:rPr>
          <w:b/>
        </w:rPr>
      </w:pPr>
    </w:p>
    <w:p w14:paraId="142DCFFD">
      <w:pPr>
        <w:spacing w:before="0" w:beforeAutospacing="0" w:after="0" w:line="240" w:lineRule="auto"/>
      </w:pPr>
      <w:r>
        <w:t>The study concludes that Christian teachings have significantly transformed traditional Nandi polygamous marriage practices. The findings reveal a decline in polygamous unions, changes in bride wealth practices and traditional marriage rituals, increased individual autonomy in marital decision-making, weakening of kinship alliances, and shifts in procreation norms and marital obligations. These transformations reflect the growing influence of Christian ideals that promote monogamy, personal choice, and spiritualized understandings of marriage. However, the study also establishes that traditional norms and communal expectations continue to persist and interact with Christian values, indicating an ongoing negotiation between indigenous marital traditions and emerging religious ideals.</w:t>
      </w:r>
    </w:p>
    <w:p w14:paraId="37101373">
      <w:pPr>
        <w:spacing w:before="0" w:beforeAutospacing="0" w:after="0" w:line="240" w:lineRule="auto"/>
      </w:pPr>
    </w:p>
    <w:p w14:paraId="3E863843">
      <w:pPr>
        <w:spacing w:before="0" w:beforeAutospacing="0" w:after="0" w:line="240" w:lineRule="auto"/>
        <w:rPr>
          <w:b/>
        </w:rPr>
      </w:pPr>
      <w:r>
        <w:rPr>
          <w:b/>
        </w:rPr>
        <w:t>Recommendation</w:t>
      </w:r>
    </w:p>
    <w:p w14:paraId="52EDAA5E">
      <w:pPr>
        <w:spacing w:before="0" w:beforeAutospacing="0" w:after="0" w:line="240" w:lineRule="auto"/>
        <w:rPr>
          <w:b/>
        </w:rPr>
      </w:pPr>
    </w:p>
    <w:p w14:paraId="354ADD46">
      <w:pPr>
        <w:spacing w:before="0" w:beforeAutospacing="0" w:after="0" w:line="240" w:lineRule="auto"/>
      </w:pPr>
      <w:r>
        <w:t>The study recommends that churches and community institutions establish programs and educational initiatives to address the ongoing cultural transformations affecting marriage practices within the Nandi community. These interventions should seek to balance respect for enduring cultural values with Christian teachings on marriage. In particular, pastoral counseling, premarital education, and community dialogue forums should assist couples and families in navigating changing marital expectations, understanding the theological basis of monogamy, and managing transitions related to bride wealth, kinship obligations, and family decision-making practices. Such initiatives would help reduce intergenerational tensions, preserve constructive cultural values, and promote marital stability within the evolving social context of the Nandi community.</w:t>
      </w:r>
    </w:p>
    <w:p w14:paraId="7913004D">
      <w:pPr>
        <w:spacing w:before="0" w:beforeAutospacing="0" w:after="0" w:line="240" w:lineRule="auto"/>
      </w:pPr>
    </w:p>
    <w:p w14:paraId="7172C525">
      <w:pPr>
        <w:spacing w:before="0" w:beforeAutospacing="0" w:after="0" w:line="240" w:lineRule="auto"/>
        <w:rPr>
          <w:rFonts w:hint="default"/>
          <w:b/>
          <w:bCs/>
          <w:lang w:val="en-US"/>
        </w:rPr>
      </w:pPr>
      <w:r>
        <w:rPr>
          <w:rFonts w:hint="default"/>
          <w:b/>
          <w:bCs/>
          <w:lang w:val="en-US"/>
        </w:rPr>
        <w:t>References</w:t>
      </w:r>
    </w:p>
    <w:p w14:paraId="71DE3857">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Amadiume, I. (1997). </w:t>
      </w:r>
      <w:r>
        <w:rPr>
          <w:rFonts w:hint="default" w:ascii="Times New Roman" w:hAnsi="Times New Roman" w:eastAsia="Times New Roman" w:cs="Times New Roman"/>
          <w:i/>
          <w:iCs/>
          <w:kern w:val="0"/>
          <w:sz w:val="24"/>
          <w:szCs w:val="24"/>
          <w:lang w:val="en-US" w:eastAsia="zh-CN" w:bidi="ar"/>
        </w:rPr>
        <w:t>Re-inventing Africa: Matriarchy, religion, and culture</w:t>
      </w:r>
      <w:r>
        <w:rPr>
          <w:rFonts w:hint="default" w:ascii="Times New Roman" w:hAnsi="Times New Roman" w:eastAsia="Times New Roman" w:cs="Times New Roman"/>
          <w:kern w:val="0"/>
          <w:sz w:val="24"/>
          <w:szCs w:val="24"/>
          <w:lang w:val="en-US" w:eastAsia="zh-CN" w:bidi="ar"/>
        </w:rPr>
        <w:t>. London: Zed Books.</w:t>
      </w:r>
    </w:p>
    <w:p w14:paraId="325ED8CE">
      <w:pPr>
        <w:keepNext w:val="0"/>
        <w:keepLines w:val="0"/>
        <w:widowControl/>
        <w:suppressLineNumbers w:val="0"/>
        <w:spacing w:before="0" w:beforeAutospacing="0" w:after="0" w:afterAutospacing="0" w:line="240" w:lineRule="auto"/>
        <w:ind w:left="720" w:right="0" w:hanging="720"/>
        <w:jc w:val="both"/>
        <w:rPr>
          <w:rFonts w:hint="default" w:ascii="Times New Roman" w:hAnsi="Times New Roman" w:eastAsia="Calibri" w:cs="Times New Roman"/>
          <w:kern w:val="0"/>
          <w:sz w:val="24"/>
          <w:szCs w:val="24"/>
          <w:shd w:val="clear" w:fill="FFFFFF"/>
          <w:lang w:val="en-US" w:eastAsia="zh-CN" w:bidi="ar"/>
        </w:rPr>
      </w:pPr>
      <w:r>
        <w:rPr>
          <w:rFonts w:hint="default" w:ascii="Times New Roman" w:hAnsi="Times New Roman" w:eastAsia="Calibri" w:cs="Times New Roman"/>
          <w:kern w:val="0"/>
          <w:sz w:val="24"/>
          <w:szCs w:val="24"/>
          <w:shd w:val="clear" w:fill="FFFFFF"/>
          <w:lang w:val="en-US" w:eastAsia="zh-CN" w:bidi="ar"/>
        </w:rPr>
        <w:t xml:space="preserve">Anderson, A. (2014) </w:t>
      </w:r>
      <w:r>
        <w:rPr>
          <w:rFonts w:hint="default" w:ascii="Times New Roman" w:hAnsi="Times New Roman" w:eastAsia="Calibri" w:cs="Times New Roman"/>
          <w:i/>
          <w:iCs/>
          <w:kern w:val="0"/>
          <w:sz w:val="24"/>
          <w:szCs w:val="24"/>
          <w:shd w:val="clear" w:fill="FFFFFF"/>
          <w:lang w:val="en-US" w:eastAsia="zh-CN" w:bidi="ar"/>
        </w:rPr>
        <w:t>An Introduction to Pentecostalism: Global Charismatic Christianity</w:t>
      </w:r>
      <w:r>
        <w:rPr>
          <w:rFonts w:hint="default" w:ascii="Times New Roman" w:hAnsi="Times New Roman" w:eastAsia="Calibri" w:cs="Times New Roman"/>
          <w:kern w:val="0"/>
          <w:sz w:val="24"/>
          <w:szCs w:val="24"/>
          <w:shd w:val="clear" w:fill="FFFFFF"/>
          <w:lang w:val="en-US" w:eastAsia="zh-CN" w:bidi="ar"/>
        </w:rPr>
        <w:t xml:space="preserve"> 2</w:t>
      </w:r>
      <w:r>
        <w:rPr>
          <w:rFonts w:hint="default" w:ascii="Times New Roman" w:hAnsi="Times New Roman" w:eastAsia="Calibri" w:cs="Times New Roman"/>
          <w:kern w:val="0"/>
          <w:sz w:val="24"/>
          <w:szCs w:val="24"/>
          <w:shd w:val="clear" w:fill="FFFFFF"/>
          <w:vertAlign w:val="superscript"/>
          <w:lang w:val="en-US" w:eastAsia="zh-CN" w:bidi="ar"/>
        </w:rPr>
        <w:t>nd</w:t>
      </w:r>
      <w:r>
        <w:rPr>
          <w:rFonts w:hint="default" w:ascii="Times New Roman" w:hAnsi="Times New Roman" w:eastAsia="Calibri" w:cs="Times New Roman"/>
          <w:kern w:val="0"/>
          <w:sz w:val="24"/>
          <w:szCs w:val="24"/>
          <w:shd w:val="clear" w:fill="FFFFFF"/>
          <w:lang w:val="en-US" w:eastAsia="zh-CN" w:bidi="ar"/>
        </w:rPr>
        <w:t xml:space="preserve"> edition. Cambridge.</w:t>
      </w:r>
    </w:p>
    <w:p w14:paraId="3365C351">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Ashuma, B. S. (2019). </w:t>
      </w:r>
      <w:r>
        <w:rPr>
          <w:rStyle w:val="6"/>
          <w:rFonts w:hint="default" w:ascii="Times New Roman" w:hAnsi="Times New Roman" w:eastAsia="Times New Roman" w:cs="Times New Roman"/>
          <w:kern w:val="0"/>
          <w:sz w:val="24"/>
          <w:szCs w:val="24"/>
          <w:lang w:val="en-US" w:eastAsia="zh-CN" w:bidi="ar"/>
        </w:rPr>
        <w:t>Factors that sustain the institution of polygyny and their effects on family well-being among the Wanga people of Western Kenya</w:t>
      </w:r>
      <w:r>
        <w:rPr>
          <w:rFonts w:hint="default" w:ascii="Times New Roman" w:hAnsi="Times New Roman" w:eastAsia="Times New Roman" w:cs="Times New Roman"/>
          <w:kern w:val="0"/>
          <w:sz w:val="24"/>
          <w:szCs w:val="24"/>
          <w:lang w:val="en-US" w:eastAsia="zh-CN" w:bidi="ar"/>
        </w:rPr>
        <w:t xml:space="preserve"> (Master’s thesis, University of Nairobi). </w:t>
      </w:r>
    </w:p>
    <w:p w14:paraId="5BDF7498">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Banda, C. (2021). Christianity, gender justice, and African cultures. </w:t>
      </w:r>
      <w:r>
        <w:rPr>
          <w:rFonts w:hint="default" w:ascii="Times New Roman" w:hAnsi="Times New Roman" w:eastAsia="Times New Roman" w:cs="Times New Roman"/>
          <w:i/>
          <w:iCs/>
          <w:kern w:val="0"/>
          <w:sz w:val="24"/>
          <w:szCs w:val="24"/>
          <w:lang w:val="en-US" w:eastAsia="zh-CN" w:bidi="ar"/>
        </w:rPr>
        <w:t>Missionalia, 49</w:t>
      </w:r>
      <w:r>
        <w:rPr>
          <w:rFonts w:hint="default" w:ascii="Times New Roman" w:hAnsi="Times New Roman" w:eastAsia="Times New Roman" w:cs="Times New Roman"/>
          <w:kern w:val="0"/>
          <w:sz w:val="24"/>
          <w:szCs w:val="24"/>
          <w:lang w:val="en-US" w:eastAsia="zh-CN" w:bidi="ar"/>
        </w:rPr>
        <w:t>(1), 85–101.</w:t>
      </w:r>
    </w:p>
    <w:p w14:paraId="2BDA13AC">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Bompani, B., &amp; Frahm-Arp, M. (Eds.). (2017). </w:t>
      </w:r>
      <w:r>
        <w:rPr>
          <w:rFonts w:hint="default" w:ascii="Times New Roman" w:hAnsi="Times New Roman" w:eastAsia="Times New Roman" w:cs="Times New Roman"/>
          <w:i/>
          <w:iCs/>
          <w:kern w:val="0"/>
          <w:sz w:val="24"/>
          <w:szCs w:val="24"/>
          <w:lang w:val="en-US" w:eastAsia="zh-CN" w:bidi="ar"/>
        </w:rPr>
        <w:t>Development and Politics from Below: Exploring Religious Spaces in the African State</w:t>
      </w:r>
      <w:r>
        <w:rPr>
          <w:rFonts w:hint="default" w:ascii="Times New Roman" w:hAnsi="Times New Roman" w:eastAsia="Times New Roman" w:cs="Times New Roman"/>
          <w:kern w:val="0"/>
          <w:sz w:val="24"/>
          <w:szCs w:val="24"/>
          <w:lang w:val="en-US" w:eastAsia="zh-CN" w:bidi="ar"/>
        </w:rPr>
        <w:t>. Palgrave Macmillan.</w:t>
      </w:r>
    </w:p>
    <w:p w14:paraId="6C2E0173">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Cherlin, A. J. (2009). </w:t>
      </w:r>
      <w:r>
        <w:rPr>
          <w:rFonts w:hint="default" w:ascii="Times New Roman" w:hAnsi="Times New Roman" w:eastAsia="Times New Roman" w:cs="Times New Roman"/>
          <w:i/>
          <w:iCs/>
          <w:kern w:val="0"/>
          <w:sz w:val="24"/>
          <w:szCs w:val="24"/>
          <w:lang w:val="en-US" w:eastAsia="zh-CN" w:bidi="ar"/>
        </w:rPr>
        <w:t>The marriage-go-round: The state of marriage and the family in America today</w:t>
      </w:r>
      <w:r>
        <w:rPr>
          <w:rFonts w:hint="default" w:ascii="Times New Roman" w:hAnsi="Times New Roman" w:eastAsia="Times New Roman" w:cs="Times New Roman"/>
          <w:kern w:val="0"/>
          <w:sz w:val="24"/>
          <w:szCs w:val="24"/>
          <w:lang w:val="en-US" w:eastAsia="zh-CN" w:bidi="ar"/>
        </w:rPr>
        <w:t>. New York, NY: Alfred A. Knopf.</w:t>
      </w:r>
    </w:p>
    <w:p w14:paraId="447A6489">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Calibri" w:cs="Times New Roman"/>
          <w:kern w:val="0"/>
          <w:sz w:val="24"/>
          <w:szCs w:val="24"/>
          <w:lang w:val="en-US" w:eastAsia="zh-CN" w:bidi="ar"/>
        </w:rPr>
        <w:t xml:space="preserve">Clark, S., &amp; Brauner-Otto, S. (2021). </w:t>
      </w:r>
      <w:r>
        <w:rPr>
          <w:rFonts w:hint="default" w:ascii="Times New Roman" w:hAnsi="Times New Roman" w:eastAsia="Calibri" w:cs="Times New Roman"/>
          <w:i/>
          <w:iCs/>
          <w:kern w:val="0"/>
          <w:sz w:val="24"/>
          <w:szCs w:val="24"/>
          <w:lang w:val="en-US" w:eastAsia="zh-CN" w:bidi="ar"/>
        </w:rPr>
        <w:t>Marriage and family in sub-Saharan Africa: Trends and transformations</w:t>
      </w:r>
      <w:r>
        <w:rPr>
          <w:rFonts w:hint="default" w:ascii="Times New Roman" w:hAnsi="Times New Roman" w:eastAsia="Calibri" w:cs="Times New Roman"/>
          <w:kern w:val="0"/>
          <w:sz w:val="24"/>
          <w:szCs w:val="24"/>
          <w:lang w:val="en-US" w:eastAsia="zh-CN" w:bidi="ar"/>
        </w:rPr>
        <w:t>. Springer.</w:t>
      </w:r>
    </w:p>
    <w:p w14:paraId="03967757">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Coontz, S. (2016). </w:t>
      </w:r>
      <w:r>
        <w:rPr>
          <w:rFonts w:hint="default" w:ascii="Times New Roman" w:hAnsi="Times New Roman" w:eastAsia="Times New Roman" w:cs="Times New Roman"/>
          <w:i/>
          <w:iCs/>
          <w:kern w:val="0"/>
          <w:sz w:val="24"/>
          <w:szCs w:val="24"/>
          <w:lang w:val="en-US" w:eastAsia="zh-CN" w:bidi="ar"/>
        </w:rPr>
        <w:t>Marriage, a history: How love conquered marriage</w:t>
      </w:r>
      <w:r>
        <w:rPr>
          <w:rFonts w:hint="default" w:ascii="Times New Roman" w:hAnsi="Times New Roman" w:eastAsia="Times New Roman" w:cs="Times New Roman"/>
          <w:kern w:val="0"/>
          <w:sz w:val="24"/>
          <w:szCs w:val="24"/>
          <w:lang w:val="en-US" w:eastAsia="zh-CN" w:bidi="ar"/>
        </w:rPr>
        <w:t xml:space="preserve"> (Revised ed.). New York, NY: Penguin Books.</w:t>
      </w:r>
    </w:p>
    <w:p w14:paraId="4E800542">
      <w:pPr>
        <w:keepNext w:val="0"/>
        <w:keepLines w:val="0"/>
        <w:widowControl/>
        <w:suppressLineNumbers w:val="0"/>
        <w:spacing w:before="0" w:beforeAutospacing="0" w:after="0" w:afterAutospacing="0" w:line="240" w:lineRule="auto"/>
        <w:ind w:left="720" w:right="0" w:hanging="720"/>
        <w:jc w:val="both"/>
        <w:rPr>
          <w:rFonts w:eastAsia="Calibri"/>
          <w:lang w:val="en-US"/>
        </w:rPr>
      </w:pPr>
      <w:r>
        <w:rPr>
          <w:rFonts w:hint="default" w:ascii="Times New Roman" w:hAnsi="Times New Roman" w:eastAsia="Calibri" w:cs="Times New Roman"/>
          <w:kern w:val="0"/>
          <w:sz w:val="24"/>
          <w:szCs w:val="24"/>
          <w:lang w:val="en-US" w:eastAsia="zh-CN" w:bidi="ar"/>
        </w:rPr>
        <w:t xml:space="preserve">Gathogo, J. (2017). African theology, inculturation, and the challenge of syncretism. </w:t>
      </w:r>
      <w:r>
        <w:rPr>
          <w:rFonts w:hint="default" w:ascii="Times New Roman" w:hAnsi="Times New Roman" w:eastAsia="Calibri" w:cs="Times New Roman"/>
          <w:i/>
          <w:iCs/>
          <w:kern w:val="0"/>
          <w:sz w:val="24"/>
          <w:szCs w:val="24"/>
          <w:lang w:val="en-US" w:eastAsia="zh-CN" w:bidi="ar"/>
        </w:rPr>
        <w:t>HTS Teologiese Studies/Theological Studies</w:t>
      </w:r>
      <w:r>
        <w:rPr>
          <w:rFonts w:hint="default" w:ascii="Times New Roman" w:hAnsi="Times New Roman" w:eastAsia="Calibri" w:cs="Times New Roman"/>
          <w:kern w:val="0"/>
          <w:sz w:val="24"/>
          <w:szCs w:val="24"/>
          <w:lang w:val="en-US" w:eastAsia="zh-CN" w:bidi="ar"/>
        </w:rPr>
        <w:t>, 73(3), 1–8.</w:t>
      </w:r>
    </w:p>
    <w:p w14:paraId="484DB6AB">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Gifford, P. (1998). </w:t>
      </w:r>
      <w:r>
        <w:rPr>
          <w:rFonts w:hint="default" w:ascii="Times New Roman" w:hAnsi="Times New Roman" w:eastAsia="Times New Roman" w:cs="Times New Roman"/>
          <w:i/>
          <w:iCs/>
          <w:kern w:val="0"/>
          <w:sz w:val="24"/>
          <w:szCs w:val="24"/>
          <w:lang w:val="en-US" w:eastAsia="zh-CN" w:bidi="ar"/>
        </w:rPr>
        <w:t>African Christianity: Its public role</w:t>
      </w:r>
      <w:r>
        <w:rPr>
          <w:rFonts w:hint="default" w:ascii="Times New Roman" w:hAnsi="Times New Roman" w:eastAsia="Times New Roman" w:cs="Times New Roman"/>
          <w:kern w:val="0"/>
          <w:sz w:val="24"/>
          <w:szCs w:val="24"/>
          <w:lang w:val="en-US" w:eastAsia="zh-CN" w:bidi="ar"/>
        </w:rPr>
        <w:t>. Indiana University Press.</w:t>
      </w:r>
    </w:p>
    <w:p w14:paraId="6F5A2126">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Glenn, I. (1992). Sampling theory and practice in social research. </w:t>
      </w:r>
      <w:r>
        <w:rPr>
          <w:rFonts w:hint="default" w:ascii="Times New Roman" w:hAnsi="Times New Roman" w:eastAsia="Times New Roman" w:cs="Times New Roman"/>
          <w:i/>
          <w:iCs/>
          <w:kern w:val="0"/>
          <w:sz w:val="24"/>
          <w:szCs w:val="24"/>
          <w:lang w:val="en-US" w:eastAsia="zh-CN" w:bidi="ar"/>
        </w:rPr>
        <w:t>Social Research Review, 8</w:t>
      </w:r>
      <w:r>
        <w:rPr>
          <w:rFonts w:hint="default" w:ascii="Times New Roman" w:hAnsi="Times New Roman" w:eastAsia="Times New Roman" w:cs="Times New Roman"/>
          <w:kern w:val="0"/>
          <w:sz w:val="24"/>
          <w:szCs w:val="24"/>
          <w:lang w:val="en-US" w:eastAsia="zh-CN" w:bidi="ar"/>
        </w:rPr>
        <w:t>(2), 45–59.</w:t>
      </w:r>
    </w:p>
    <w:p w14:paraId="67859BE7">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Goody, J. (2012). </w:t>
      </w:r>
      <w:r>
        <w:rPr>
          <w:rFonts w:hint="default" w:ascii="Times New Roman" w:hAnsi="Times New Roman" w:eastAsia="Times New Roman" w:cs="Times New Roman"/>
          <w:i/>
          <w:iCs/>
          <w:kern w:val="0"/>
          <w:sz w:val="24"/>
          <w:szCs w:val="24"/>
          <w:lang w:val="en-US" w:eastAsia="zh-CN" w:bidi="ar"/>
        </w:rPr>
        <w:t>The development of the family and marriage in Europe</w:t>
      </w:r>
      <w:r>
        <w:rPr>
          <w:rFonts w:hint="default" w:ascii="Times New Roman" w:hAnsi="Times New Roman" w:eastAsia="Times New Roman" w:cs="Times New Roman"/>
          <w:kern w:val="0"/>
          <w:sz w:val="24"/>
          <w:szCs w:val="24"/>
          <w:lang w:val="en-US" w:eastAsia="zh-CN" w:bidi="ar"/>
        </w:rPr>
        <w:t xml:space="preserve">. Cambridge: Cambridge University Press.   </w:t>
      </w:r>
    </w:p>
    <w:p w14:paraId="5E8DDEB7">
      <w:pPr>
        <w:keepNext w:val="0"/>
        <w:keepLines w:val="0"/>
        <w:widowControl/>
        <w:suppressLineNumbers w:val="0"/>
        <w:spacing w:before="0" w:beforeAutospacing="0" w:after="0" w:afterAutospacing="0" w:line="240" w:lineRule="auto"/>
        <w:ind w:left="720" w:right="0" w:hanging="720"/>
        <w:jc w:val="both"/>
        <w:rPr>
          <w:rFonts w:eastAsia="Calibri"/>
          <w:lang w:val="en-US"/>
        </w:rPr>
      </w:pPr>
      <w:r>
        <w:rPr>
          <w:rFonts w:hint="default" w:ascii="Times New Roman" w:hAnsi="Times New Roman" w:eastAsia="Calibri" w:cs="Times New Roman"/>
          <w:kern w:val="0"/>
          <w:sz w:val="24"/>
          <w:szCs w:val="24"/>
          <w:lang w:val="en-US" w:eastAsia="zh-CN" w:bidi="ar"/>
        </w:rPr>
        <w:t xml:space="preserve">Hayford, S., &amp; Trinitapoli , J. (2019). </w:t>
      </w:r>
      <w:r>
        <w:rPr>
          <w:rFonts w:hint="default" w:ascii="Times New Roman" w:hAnsi="Times New Roman" w:eastAsia="Calibri" w:cs="Times New Roman"/>
          <w:i/>
          <w:iCs/>
          <w:kern w:val="0"/>
          <w:sz w:val="24"/>
          <w:szCs w:val="24"/>
          <w:lang w:val="en-US" w:eastAsia="zh-CN" w:bidi="ar"/>
        </w:rPr>
        <w:t>Religion and fertility in the United States: The role of religious beliefs and practices</w:t>
      </w:r>
      <w:r>
        <w:rPr>
          <w:rFonts w:hint="default" w:ascii="Times New Roman" w:hAnsi="Times New Roman" w:eastAsia="Calibri" w:cs="Times New Roman"/>
          <w:kern w:val="0"/>
          <w:sz w:val="24"/>
          <w:szCs w:val="24"/>
          <w:lang w:val="en-US" w:eastAsia="zh-CN" w:bidi="ar"/>
        </w:rPr>
        <w:t>. Population Studies Center.</w:t>
      </w:r>
    </w:p>
    <w:p w14:paraId="3EDBB7A1">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Kalu, O. (2020). </w:t>
      </w:r>
      <w:r>
        <w:rPr>
          <w:rFonts w:hint="default" w:ascii="Times New Roman" w:hAnsi="Times New Roman" w:eastAsia="Times New Roman" w:cs="Times New Roman"/>
          <w:i/>
          <w:iCs/>
          <w:kern w:val="0"/>
          <w:sz w:val="24"/>
          <w:szCs w:val="24"/>
          <w:lang w:val="en-US" w:eastAsia="zh-CN" w:bidi="ar"/>
        </w:rPr>
        <w:t>African Pentecostalism: An introduction</w:t>
      </w:r>
      <w:r>
        <w:rPr>
          <w:rFonts w:hint="default" w:ascii="Times New Roman" w:hAnsi="Times New Roman" w:eastAsia="Times New Roman" w:cs="Times New Roman"/>
          <w:kern w:val="0"/>
          <w:sz w:val="24"/>
          <w:szCs w:val="24"/>
          <w:lang w:val="en-US" w:eastAsia="zh-CN" w:bidi="ar"/>
        </w:rPr>
        <w:t xml:space="preserve">. Oxford University Press. </w:t>
      </w:r>
    </w:p>
    <w:p w14:paraId="148E291C">
      <w:pPr>
        <w:keepNext w:val="0"/>
        <w:keepLines w:val="0"/>
        <w:widowControl/>
        <w:suppressLineNumbers w:val="0"/>
        <w:spacing w:before="0" w:beforeAutospacing="0" w:after="0" w:afterAutospacing="0" w:line="240" w:lineRule="auto"/>
        <w:ind w:left="720" w:right="0" w:hanging="720"/>
        <w:jc w:val="both"/>
        <w:rPr>
          <w:rFonts w:eastAsia="SimSun"/>
          <w:lang w:val="en-US"/>
        </w:rPr>
      </w:pPr>
      <w:r>
        <w:rPr>
          <w:rFonts w:hint="default" w:ascii="Times New Roman" w:hAnsi="Times New Roman" w:eastAsia="SimSun" w:cs="Times New Roman"/>
          <w:kern w:val="0"/>
          <w:sz w:val="24"/>
          <w:szCs w:val="24"/>
          <w:lang w:val="en-US" w:eastAsia="zh-CN" w:bidi="ar"/>
        </w:rPr>
        <w:t xml:space="preserve">Kiplagat, B. (2017). Christianity and African marriage practices: A study of continuity and change. </w:t>
      </w:r>
      <w:r>
        <w:rPr>
          <w:rFonts w:hint="default" w:ascii="Times New Roman" w:hAnsi="Times New Roman" w:eastAsia="SimSun" w:cs="Times New Roman"/>
          <w:i/>
          <w:iCs/>
          <w:kern w:val="0"/>
          <w:sz w:val="24"/>
          <w:szCs w:val="24"/>
          <w:lang w:val="en-US" w:eastAsia="zh-CN" w:bidi="ar"/>
        </w:rPr>
        <w:t>African Ecclesial Review</w:t>
      </w:r>
      <w:r>
        <w:rPr>
          <w:rFonts w:hint="default" w:ascii="Times New Roman" w:hAnsi="Times New Roman" w:eastAsia="SimSun" w:cs="Times New Roman"/>
          <w:kern w:val="0"/>
          <w:sz w:val="24"/>
          <w:szCs w:val="24"/>
          <w:lang w:val="en-US" w:eastAsia="zh-CN" w:bidi="ar"/>
        </w:rPr>
        <w:t>, 59(3), 210–225.</w:t>
      </w:r>
    </w:p>
    <w:p w14:paraId="4B5D0DC4">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Baker Academic.</w:t>
      </w:r>
    </w:p>
    <w:p w14:paraId="6D9CBE49">
      <w:pPr>
        <w:keepNext w:val="0"/>
        <w:keepLines w:val="0"/>
        <w:widowControl/>
        <w:suppressLineNumbers w:val="0"/>
        <w:spacing w:before="0" w:beforeAutospacing="0" w:after="0" w:afterAutospacing="0" w:line="240" w:lineRule="auto"/>
        <w:ind w:left="720" w:right="0" w:hanging="720"/>
        <w:jc w:val="both"/>
        <w:rPr>
          <w:rFonts w:hint="default" w:ascii="Times New Roman" w:hAnsi="Times New Roman" w:eastAsia="Times New Roman" w:cs="Times New Roman"/>
          <w:kern w:val="0"/>
          <w:sz w:val="24"/>
          <w:szCs w:val="24"/>
          <w:lang w:val="en-US" w:eastAsia="zh-CN" w:bidi="ar"/>
        </w:rPr>
      </w:pPr>
      <w:r>
        <w:rPr>
          <w:rFonts w:hint="default" w:ascii="Times New Roman" w:hAnsi="Times New Roman" w:eastAsia="Times New Roman" w:cs="Times New Roman"/>
          <w:kern w:val="0"/>
          <w:sz w:val="24"/>
          <w:szCs w:val="24"/>
          <w:lang w:val="en-US" w:eastAsia="zh-CN" w:bidi="ar"/>
        </w:rPr>
        <w:t xml:space="preserve">Kiprotich, J. (2019). Religious change and marriage practices among the Nandi of Kenya. </w:t>
      </w:r>
      <w:r>
        <w:rPr>
          <w:rFonts w:hint="default" w:ascii="Times New Roman" w:hAnsi="Times New Roman" w:eastAsia="Times New Roman" w:cs="Times New Roman"/>
          <w:i/>
          <w:iCs/>
          <w:kern w:val="0"/>
          <w:sz w:val="24"/>
          <w:szCs w:val="24"/>
          <w:lang w:val="en-US" w:eastAsia="zh-CN" w:bidi="ar"/>
        </w:rPr>
        <w:t>African Studies Review, 62</w:t>
      </w:r>
      <w:r>
        <w:rPr>
          <w:rFonts w:hint="default" w:ascii="Times New Roman" w:hAnsi="Times New Roman" w:eastAsia="Times New Roman" w:cs="Times New Roman"/>
          <w:kern w:val="0"/>
          <w:sz w:val="24"/>
          <w:szCs w:val="24"/>
          <w:lang w:val="en-US" w:eastAsia="zh-CN" w:bidi="ar"/>
        </w:rPr>
        <w:t>(3), 89–108.</w:t>
      </w:r>
    </w:p>
    <w:p w14:paraId="50A20F6C">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Kobimbo, M. M. (2019). </w:t>
      </w:r>
      <w:r>
        <w:rPr>
          <w:rStyle w:val="6"/>
          <w:rFonts w:hint="default" w:ascii="Times New Roman" w:hAnsi="Times New Roman" w:eastAsia="Times New Roman" w:cs="Times New Roman"/>
          <w:kern w:val="0"/>
          <w:sz w:val="24"/>
          <w:szCs w:val="24"/>
          <w:lang w:val="en-US" w:eastAsia="zh-CN" w:bidi="ar"/>
        </w:rPr>
        <w:t>Missionary interactions with cultural issues on marriage among the Nandi of Kenya</w:t>
      </w:r>
      <w:r>
        <w:rPr>
          <w:rFonts w:hint="default" w:ascii="Times New Roman" w:hAnsi="Times New Roman" w:eastAsia="Times New Roman" w:cs="Times New Roman"/>
          <w:kern w:val="0"/>
          <w:sz w:val="24"/>
          <w:szCs w:val="24"/>
          <w:lang w:val="en-US" w:eastAsia="zh-CN" w:bidi="ar"/>
        </w:rPr>
        <w:t xml:space="preserve">. </w:t>
      </w:r>
      <w:r>
        <w:rPr>
          <w:rStyle w:val="6"/>
          <w:rFonts w:hint="default" w:ascii="Times New Roman" w:hAnsi="Times New Roman" w:eastAsia="Times New Roman" w:cs="Times New Roman"/>
          <w:kern w:val="0"/>
          <w:sz w:val="24"/>
          <w:szCs w:val="24"/>
          <w:lang w:val="en-US" w:eastAsia="zh-CN" w:bidi="ar"/>
        </w:rPr>
        <w:t>African Multidisciplinary Journal of Research, 4</w:t>
      </w:r>
      <w:r>
        <w:rPr>
          <w:rFonts w:hint="default" w:ascii="Times New Roman" w:hAnsi="Times New Roman" w:eastAsia="Times New Roman" w:cs="Times New Roman"/>
          <w:kern w:val="0"/>
          <w:sz w:val="24"/>
          <w:szCs w:val="24"/>
          <w:lang w:val="en-US" w:eastAsia="zh-CN" w:bidi="ar"/>
        </w:rPr>
        <w:t xml:space="preserve">(1). </w:t>
      </w:r>
      <w:r>
        <w:rPr>
          <w:rFonts w:hint="default" w:ascii="Times New Roman" w:hAnsi="Times New Roman" w:eastAsia="Times New Roman" w:cs="Times New Roman"/>
          <w:kern w:val="0"/>
          <w:sz w:val="24"/>
          <w:szCs w:val="24"/>
          <w:lang w:val="en-US" w:eastAsia="zh-CN" w:bidi="ar"/>
        </w:rPr>
        <w:fldChar w:fldCharType="begin"/>
      </w:r>
      <w:r>
        <w:rPr>
          <w:rFonts w:hint="default" w:ascii="Times New Roman" w:hAnsi="Times New Roman" w:eastAsia="Times New Roman" w:cs="Times New Roman"/>
          <w:kern w:val="0"/>
          <w:sz w:val="24"/>
          <w:szCs w:val="24"/>
          <w:lang w:val="en-US" w:eastAsia="zh-CN" w:bidi="ar"/>
        </w:rPr>
        <w:instrText xml:space="preserve"> HYPERLINK "https://doi.org/10.71064/spu.amjr.4.1.53" </w:instrText>
      </w:r>
      <w:r>
        <w:rPr>
          <w:rFonts w:hint="default" w:ascii="Times New Roman" w:hAnsi="Times New Roman" w:eastAsia="Times New Roman" w:cs="Times New Roman"/>
          <w:kern w:val="0"/>
          <w:sz w:val="24"/>
          <w:szCs w:val="24"/>
          <w:lang w:val="en-US" w:eastAsia="zh-CN" w:bidi="ar"/>
        </w:rPr>
        <w:fldChar w:fldCharType="separate"/>
      </w:r>
      <w:r>
        <w:rPr>
          <w:rStyle w:val="8"/>
          <w:u w:val="single"/>
          <w:lang w:val="en-US"/>
        </w:rPr>
        <w:t>https://doi.org/10.71064/spu.amjr.4.1.53</w:t>
      </w:r>
      <w:r>
        <w:rPr>
          <w:rFonts w:hint="default" w:ascii="Times New Roman" w:hAnsi="Times New Roman" w:eastAsia="Times New Roman" w:cs="Times New Roman"/>
          <w:kern w:val="0"/>
          <w:sz w:val="24"/>
          <w:szCs w:val="24"/>
          <w:lang w:val="en-US" w:eastAsia="zh-CN" w:bidi="ar"/>
        </w:rPr>
        <w:fldChar w:fldCharType="end"/>
      </w:r>
    </w:p>
    <w:p w14:paraId="7F596CB6">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Kroeger, J. H. (2007). Towards a theology of marriage and polygamy. </w:t>
      </w:r>
      <w:r>
        <w:rPr>
          <w:rFonts w:hint="default" w:ascii="Times New Roman" w:hAnsi="Times New Roman" w:eastAsia="Times New Roman" w:cs="Times New Roman"/>
          <w:i/>
          <w:iCs/>
          <w:kern w:val="0"/>
          <w:sz w:val="24"/>
          <w:szCs w:val="24"/>
          <w:lang w:val="en-US" w:eastAsia="zh-CN" w:bidi="ar"/>
        </w:rPr>
        <w:t>Direction</w:t>
      </w:r>
      <w:r>
        <w:rPr>
          <w:rFonts w:hint="default" w:ascii="Times New Roman" w:hAnsi="Times New Roman" w:eastAsia="Times New Roman" w:cs="Times New Roman"/>
          <w:kern w:val="0"/>
          <w:sz w:val="24"/>
          <w:szCs w:val="24"/>
          <w:lang w:val="en-US" w:eastAsia="zh-CN" w:bidi="ar"/>
        </w:rPr>
        <w:t>, 36(2), 176–186.</w:t>
      </w:r>
    </w:p>
    <w:p w14:paraId="232AFCE2">
      <w:pPr>
        <w:keepNext w:val="0"/>
        <w:keepLines w:val="0"/>
        <w:widowControl/>
        <w:suppressLineNumbers w:val="0"/>
        <w:spacing w:before="0" w:beforeAutospacing="0" w:after="0" w:afterAutospacing="0" w:line="240" w:lineRule="auto"/>
        <w:ind w:left="720" w:right="0" w:hanging="720"/>
        <w:jc w:val="both"/>
        <w:rPr>
          <w:rFonts w:eastAsia="Calibri"/>
          <w:shd w:val="clear" w:fill="FFFFFF"/>
          <w:lang w:val="en-US"/>
        </w:rPr>
      </w:pPr>
      <w:r>
        <w:rPr>
          <w:rFonts w:hint="default" w:ascii="Times New Roman" w:hAnsi="Times New Roman" w:eastAsia="Calibri" w:cs="Times New Roman"/>
          <w:kern w:val="0"/>
          <w:sz w:val="24"/>
          <w:szCs w:val="24"/>
          <w:shd w:val="clear" w:fill="FFFFFF"/>
          <w:lang w:val="en-US" w:eastAsia="zh-CN" w:bidi="ar"/>
        </w:rPr>
        <w:t xml:space="preserve">Lamin, S. (2009). </w:t>
      </w:r>
      <w:r>
        <w:rPr>
          <w:rFonts w:hint="default" w:ascii="Times New Roman" w:hAnsi="Times New Roman" w:eastAsia="Calibri" w:cs="Times New Roman"/>
          <w:i/>
          <w:iCs/>
          <w:kern w:val="0"/>
          <w:sz w:val="24"/>
          <w:szCs w:val="24"/>
          <w:shd w:val="clear" w:fill="FFFFFF"/>
          <w:lang w:val="en-US" w:eastAsia="zh-CN" w:bidi="ar"/>
        </w:rPr>
        <w:t>Translating the Message, 2</w:t>
      </w:r>
      <w:r>
        <w:rPr>
          <w:rFonts w:hint="default" w:ascii="Times New Roman" w:hAnsi="Times New Roman" w:eastAsia="Calibri" w:cs="Times New Roman"/>
          <w:i/>
          <w:iCs/>
          <w:kern w:val="0"/>
          <w:sz w:val="24"/>
          <w:szCs w:val="24"/>
          <w:shd w:val="clear" w:fill="FFFFFF"/>
          <w:vertAlign w:val="superscript"/>
          <w:lang w:val="en-US" w:eastAsia="zh-CN" w:bidi="ar"/>
        </w:rPr>
        <w:t>nd</w:t>
      </w:r>
      <w:r>
        <w:rPr>
          <w:rFonts w:hint="default" w:ascii="Times New Roman" w:hAnsi="Times New Roman" w:eastAsia="Calibri" w:cs="Times New Roman"/>
          <w:i/>
          <w:iCs/>
          <w:kern w:val="0"/>
          <w:sz w:val="24"/>
          <w:szCs w:val="24"/>
          <w:shd w:val="clear" w:fill="FFFFFF"/>
          <w:lang w:val="en-US" w:eastAsia="zh-CN" w:bidi="ar"/>
        </w:rPr>
        <w:t xml:space="preserve"> ed.</w:t>
      </w:r>
      <w:r>
        <w:rPr>
          <w:rFonts w:hint="default" w:ascii="Times New Roman" w:hAnsi="Times New Roman" w:eastAsia="Calibri" w:cs="Times New Roman"/>
          <w:kern w:val="0"/>
          <w:sz w:val="24"/>
          <w:szCs w:val="24"/>
          <w:shd w:val="clear" w:fill="FFFFFF"/>
          <w:lang w:val="en-US" w:eastAsia="zh-CN" w:bidi="ar"/>
        </w:rPr>
        <w:t xml:space="preserve"> Maryknoll, New York: Orbis.</w:t>
      </w:r>
    </w:p>
    <w:p w14:paraId="7E659952">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MacCulloch, D. (2003). </w:t>
      </w:r>
      <w:r>
        <w:rPr>
          <w:rFonts w:hint="default" w:ascii="Times New Roman" w:hAnsi="Times New Roman" w:eastAsia="Times New Roman" w:cs="Times New Roman"/>
          <w:i/>
          <w:iCs/>
          <w:kern w:val="0"/>
          <w:sz w:val="24"/>
          <w:szCs w:val="24"/>
          <w:lang w:val="en-US" w:eastAsia="zh-CN" w:bidi="ar"/>
        </w:rPr>
        <w:t>Christianity: The first three thousand years</w:t>
      </w:r>
      <w:r>
        <w:rPr>
          <w:rFonts w:hint="default" w:ascii="Times New Roman" w:hAnsi="Times New Roman" w:eastAsia="Times New Roman" w:cs="Times New Roman"/>
          <w:kern w:val="0"/>
          <w:sz w:val="24"/>
          <w:szCs w:val="24"/>
          <w:lang w:val="en-US" w:eastAsia="zh-CN" w:bidi="ar"/>
        </w:rPr>
        <w:t>. London: Allen Lane.</w:t>
      </w:r>
    </w:p>
    <w:p w14:paraId="3124DD81">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Magesa, L. (2010). </w:t>
      </w:r>
      <w:r>
        <w:rPr>
          <w:rFonts w:hint="default" w:ascii="Times New Roman" w:hAnsi="Times New Roman" w:eastAsia="Times New Roman" w:cs="Times New Roman"/>
          <w:i/>
          <w:iCs/>
          <w:kern w:val="0"/>
          <w:sz w:val="24"/>
          <w:szCs w:val="24"/>
          <w:lang w:val="en-US" w:eastAsia="zh-CN" w:bidi="ar"/>
        </w:rPr>
        <w:t>African religion: The moral traditions of abundant life</w:t>
      </w:r>
      <w:r>
        <w:rPr>
          <w:rFonts w:hint="default" w:ascii="Times New Roman" w:hAnsi="Times New Roman" w:eastAsia="Times New Roman" w:cs="Times New Roman"/>
          <w:kern w:val="0"/>
          <w:sz w:val="24"/>
          <w:szCs w:val="24"/>
          <w:lang w:val="en-US" w:eastAsia="zh-CN" w:bidi="ar"/>
        </w:rPr>
        <w:t>. Maryknoll, NY: Orbis Books. (Revised edition).</w:t>
      </w:r>
    </w:p>
    <w:p w14:paraId="43E22B06">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Mbiti, J. S. (1969). </w:t>
      </w:r>
      <w:r>
        <w:rPr>
          <w:rFonts w:hint="default" w:ascii="Times New Roman" w:hAnsi="Times New Roman" w:eastAsia="Times New Roman" w:cs="Times New Roman"/>
          <w:i/>
          <w:iCs/>
          <w:kern w:val="0"/>
          <w:sz w:val="24"/>
          <w:szCs w:val="24"/>
          <w:lang w:val="en-US" w:eastAsia="zh-CN" w:bidi="ar"/>
        </w:rPr>
        <w:t>African religions and philosophy</w:t>
      </w:r>
      <w:r>
        <w:rPr>
          <w:rFonts w:hint="default" w:ascii="Times New Roman" w:hAnsi="Times New Roman" w:eastAsia="Times New Roman" w:cs="Times New Roman"/>
          <w:kern w:val="0"/>
          <w:sz w:val="24"/>
          <w:szCs w:val="24"/>
          <w:lang w:val="en-US" w:eastAsia="zh-CN" w:bidi="ar"/>
        </w:rPr>
        <w:t>. London: Heinemann.</w:t>
      </w:r>
    </w:p>
    <w:p w14:paraId="27D2A73A">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Merry, S. E. (2000). </w:t>
      </w:r>
      <w:r>
        <w:rPr>
          <w:rFonts w:hint="default" w:ascii="Times New Roman" w:hAnsi="Times New Roman" w:eastAsia="Times New Roman" w:cs="Times New Roman"/>
          <w:i/>
          <w:iCs/>
          <w:kern w:val="0"/>
          <w:sz w:val="24"/>
          <w:szCs w:val="24"/>
          <w:lang w:val="en-US" w:eastAsia="zh-CN" w:bidi="ar"/>
        </w:rPr>
        <w:t>Colonizing Hawai‘i: The cultural power of law</w:t>
      </w:r>
      <w:r>
        <w:rPr>
          <w:rFonts w:hint="default" w:ascii="Times New Roman" w:hAnsi="Times New Roman" w:eastAsia="Times New Roman" w:cs="Times New Roman"/>
          <w:kern w:val="0"/>
          <w:sz w:val="24"/>
          <w:szCs w:val="24"/>
          <w:lang w:val="en-US" w:eastAsia="zh-CN" w:bidi="ar"/>
        </w:rPr>
        <w:t>. Princeton, NJ: Princeton University Press.</w:t>
      </w:r>
    </w:p>
    <w:p w14:paraId="2ABD969F">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Meyer, B. (2021). </w:t>
      </w:r>
      <w:r>
        <w:rPr>
          <w:rFonts w:hint="default" w:ascii="Times New Roman" w:hAnsi="Times New Roman" w:eastAsia="Times New Roman" w:cs="Times New Roman"/>
          <w:i/>
          <w:iCs/>
          <w:kern w:val="0"/>
          <w:sz w:val="24"/>
          <w:szCs w:val="24"/>
          <w:lang w:val="en-US" w:eastAsia="zh-CN" w:bidi="ar"/>
        </w:rPr>
        <w:t>Reflections on the study of religion and media</w:t>
      </w:r>
      <w:r>
        <w:rPr>
          <w:rFonts w:hint="default" w:ascii="Times New Roman" w:hAnsi="Times New Roman" w:eastAsia="Times New Roman" w:cs="Times New Roman"/>
          <w:kern w:val="0"/>
          <w:sz w:val="24"/>
          <w:szCs w:val="24"/>
          <w:lang w:val="en-US" w:eastAsia="zh-CN" w:bidi="ar"/>
        </w:rPr>
        <w:t>. Cambridge University Press.</w:t>
      </w:r>
    </w:p>
    <w:p w14:paraId="667611E3">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Mugenda, O. M., &amp; Mugenda, A. G. (2013). </w:t>
      </w:r>
      <w:r>
        <w:rPr>
          <w:rFonts w:hint="default" w:ascii="Times New Roman" w:hAnsi="Times New Roman" w:eastAsia="Times New Roman" w:cs="Times New Roman"/>
          <w:i/>
          <w:iCs/>
          <w:kern w:val="0"/>
          <w:sz w:val="24"/>
          <w:szCs w:val="24"/>
          <w:lang w:val="en-US" w:eastAsia="zh-CN" w:bidi="ar"/>
        </w:rPr>
        <w:t>Research methods: Quantitative and qualitative approaches</w:t>
      </w:r>
      <w:r>
        <w:rPr>
          <w:rFonts w:hint="default" w:ascii="Times New Roman" w:hAnsi="Times New Roman" w:eastAsia="Times New Roman" w:cs="Times New Roman"/>
          <w:kern w:val="0"/>
          <w:sz w:val="24"/>
          <w:szCs w:val="24"/>
          <w:lang w:val="en-US" w:eastAsia="zh-CN" w:bidi="ar"/>
        </w:rPr>
        <w:t>. Nairobi: Acts Press.</w:t>
      </w:r>
    </w:p>
    <w:p w14:paraId="7518D3C9">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Calibri" w:cs="Times New Roman"/>
          <w:kern w:val="0"/>
          <w:sz w:val="24"/>
          <w:szCs w:val="24"/>
          <w:lang w:val="en-US" w:eastAsia="zh-CN" w:bidi="ar"/>
        </w:rPr>
        <w:t xml:space="preserve">Mulvaney, R. (2019). </w:t>
      </w:r>
      <w:r>
        <w:rPr>
          <w:rFonts w:hint="default" w:ascii="Times New Roman" w:hAnsi="Times New Roman" w:eastAsia="Calibri" w:cs="Times New Roman"/>
          <w:i/>
          <w:iCs/>
          <w:kern w:val="0"/>
          <w:sz w:val="24"/>
          <w:szCs w:val="24"/>
          <w:lang w:val="en-US" w:eastAsia="zh-CN" w:bidi="ar"/>
        </w:rPr>
        <w:t>Polygamy in the Old Testament</w:t>
      </w:r>
      <w:r>
        <w:rPr>
          <w:rFonts w:hint="default" w:ascii="Times New Roman" w:hAnsi="Times New Roman" w:eastAsia="Calibri" w:cs="Times New Roman"/>
          <w:kern w:val="0"/>
          <w:sz w:val="24"/>
          <w:szCs w:val="24"/>
          <w:lang w:val="en-US" w:eastAsia="zh-CN" w:bidi="ar"/>
        </w:rPr>
        <w:t xml:space="preserve">. Columbia International University. </w:t>
      </w:r>
    </w:p>
    <w:p w14:paraId="58E0E915">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Nyamiti, C. (2015). </w:t>
      </w:r>
      <w:r>
        <w:rPr>
          <w:rFonts w:hint="default" w:ascii="Times New Roman" w:hAnsi="Times New Roman" w:eastAsia="Times New Roman" w:cs="Times New Roman"/>
          <w:i/>
          <w:iCs/>
          <w:kern w:val="0"/>
          <w:sz w:val="24"/>
          <w:szCs w:val="24"/>
          <w:lang w:val="en-US" w:eastAsia="zh-CN" w:bidi="ar"/>
        </w:rPr>
        <w:t>African theology today</w:t>
      </w:r>
      <w:r>
        <w:rPr>
          <w:rFonts w:hint="default" w:ascii="Times New Roman" w:hAnsi="Times New Roman" w:eastAsia="Times New Roman" w:cs="Times New Roman"/>
          <w:kern w:val="0"/>
          <w:sz w:val="24"/>
          <w:szCs w:val="24"/>
          <w:lang w:val="en-US" w:eastAsia="zh-CN" w:bidi="ar"/>
        </w:rPr>
        <w:t>. Nairobi: Pauline Publications Africa.</w:t>
      </w:r>
    </w:p>
    <w:p w14:paraId="7D231D75">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Oboler, R. S. (2005). </w:t>
      </w:r>
      <w:r>
        <w:rPr>
          <w:rFonts w:hint="default" w:ascii="Times New Roman" w:hAnsi="Times New Roman" w:eastAsia="Times New Roman" w:cs="Times New Roman"/>
          <w:i/>
          <w:iCs/>
          <w:kern w:val="0"/>
          <w:sz w:val="24"/>
          <w:szCs w:val="24"/>
          <w:lang w:val="en-US" w:eastAsia="zh-CN" w:bidi="ar"/>
        </w:rPr>
        <w:t>Women, power, and economic change: The Nandi of Kenya</w:t>
      </w:r>
      <w:r>
        <w:rPr>
          <w:rFonts w:hint="default" w:ascii="Times New Roman" w:hAnsi="Times New Roman" w:eastAsia="Times New Roman" w:cs="Times New Roman"/>
          <w:kern w:val="0"/>
          <w:sz w:val="24"/>
          <w:szCs w:val="24"/>
          <w:lang w:val="en-US" w:eastAsia="zh-CN" w:bidi="ar"/>
        </w:rPr>
        <w:t>. Stanford, CA: Stanford University Press.</w:t>
      </w:r>
    </w:p>
    <w:p w14:paraId="040E173F">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Oduyoye, M. A. (2001). </w:t>
      </w:r>
      <w:r>
        <w:rPr>
          <w:rFonts w:hint="default" w:ascii="Times New Roman" w:hAnsi="Times New Roman" w:eastAsia="Times New Roman" w:cs="Times New Roman"/>
          <w:i/>
          <w:iCs/>
          <w:kern w:val="0"/>
          <w:sz w:val="24"/>
          <w:szCs w:val="24"/>
          <w:lang w:val="en-US" w:eastAsia="zh-CN" w:bidi="ar"/>
        </w:rPr>
        <w:t>Introducing African women’s theology</w:t>
      </w:r>
      <w:r>
        <w:rPr>
          <w:rFonts w:hint="default" w:ascii="Times New Roman" w:hAnsi="Times New Roman" w:eastAsia="Times New Roman" w:cs="Times New Roman"/>
          <w:kern w:val="0"/>
          <w:sz w:val="24"/>
          <w:szCs w:val="24"/>
          <w:lang w:val="en-US" w:eastAsia="zh-CN" w:bidi="ar"/>
        </w:rPr>
        <w:t>. Sheffield: Sheffield Academic Press.</w:t>
      </w:r>
    </w:p>
    <w:p w14:paraId="63623E6E">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Parsitau, D. S. (2018). Religion, gender, and public life in Africa. </w:t>
      </w:r>
      <w:r>
        <w:rPr>
          <w:rFonts w:hint="default" w:ascii="Times New Roman" w:hAnsi="Times New Roman" w:eastAsia="Times New Roman" w:cs="Times New Roman"/>
          <w:i/>
          <w:iCs/>
          <w:kern w:val="0"/>
          <w:sz w:val="24"/>
          <w:szCs w:val="24"/>
          <w:lang w:val="en-US" w:eastAsia="zh-CN" w:bidi="ar"/>
        </w:rPr>
        <w:t>Journal of Religion in Africa, 48</w:t>
      </w:r>
      <w:r>
        <w:rPr>
          <w:rFonts w:hint="default" w:ascii="Times New Roman" w:hAnsi="Times New Roman" w:eastAsia="Times New Roman" w:cs="Times New Roman"/>
          <w:kern w:val="0"/>
          <w:sz w:val="24"/>
          <w:szCs w:val="24"/>
          <w:lang w:val="en-US" w:eastAsia="zh-CN" w:bidi="ar"/>
        </w:rPr>
        <w:t>(3), 251–272.</w:t>
      </w:r>
    </w:p>
    <w:p w14:paraId="48B196E8">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Pew Research Center. (2020). </w:t>
      </w:r>
      <w:r>
        <w:rPr>
          <w:rFonts w:hint="default" w:ascii="Times New Roman" w:hAnsi="Times New Roman" w:eastAsia="Times New Roman" w:cs="Times New Roman"/>
          <w:i/>
          <w:iCs/>
          <w:kern w:val="0"/>
          <w:sz w:val="24"/>
          <w:szCs w:val="24"/>
          <w:lang w:val="en-US" w:eastAsia="zh-CN" w:bidi="ar"/>
        </w:rPr>
        <w:t>Religion and living arrangements around the world</w:t>
      </w:r>
      <w:r>
        <w:rPr>
          <w:rFonts w:hint="default" w:ascii="Times New Roman" w:hAnsi="Times New Roman" w:eastAsia="Times New Roman" w:cs="Times New Roman"/>
          <w:kern w:val="0"/>
          <w:sz w:val="24"/>
          <w:szCs w:val="24"/>
          <w:lang w:val="en-US" w:eastAsia="zh-CN" w:bidi="ar"/>
        </w:rPr>
        <w:t>. Washington, DC: Pew Research Center.</w:t>
      </w:r>
    </w:p>
    <w:p w14:paraId="2436739D">
      <w:pPr>
        <w:keepNext w:val="0"/>
        <w:keepLines w:val="0"/>
        <w:widowControl/>
        <w:suppressLineNumbers w:val="0"/>
        <w:spacing w:before="0" w:beforeAutospacing="0" w:after="0" w:afterAutospacing="0" w:line="240" w:lineRule="auto"/>
        <w:ind w:left="720" w:right="0" w:hanging="720"/>
        <w:jc w:val="both"/>
        <w:rPr>
          <w:rFonts w:hint="default" w:ascii="Times New Roman" w:hAnsi="Times New Roman" w:eastAsia="Times New Roman" w:cs="Times New Roman"/>
          <w:kern w:val="0"/>
          <w:sz w:val="24"/>
          <w:szCs w:val="24"/>
          <w:lang w:val="en-US" w:eastAsia="zh-CN" w:bidi="ar"/>
        </w:rPr>
      </w:pPr>
      <w:r>
        <w:rPr>
          <w:rFonts w:hint="default" w:ascii="Times New Roman" w:hAnsi="Times New Roman" w:eastAsia="Times New Roman" w:cs="Times New Roman"/>
          <w:kern w:val="0"/>
          <w:sz w:val="24"/>
          <w:szCs w:val="24"/>
          <w:lang w:val="en-US" w:eastAsia="zh-CN" w:bidi="ar"/>
        </w:rPr>
        <w:t xml:space="preserve">Phiri, I. A. (2011). African women of faith speak out. </w:t>
      </w:r>
      <w:r>
        <w:rPr>
          <w:rFonts w:hint="default" w:ascii="Times New Roman" w:hAnsi="Times New Roman" w:eastAsia="Times New Roman" w:cs="Times New Roman"/>
          <w:i/>
          <w:iCs/>
          <w:kern w:val="0"/>
          <w:sz w:val="24"/>
          <w:szCs w:val="24"/>
          <w:lang w:val="en-US" w:eastAsia="zh-CN" w:bidi="ar"/>
        </w:rPr>
        <w:t>Journal of Feminist Studies in Religion, 27</w:t>
      </w:r>
      <w:r>
        <w:rPr>
          <w:rFonts w:hint="default" w:ascii="Times New Roman" w:hAnsi="Times New Roman" w:eastAsia="Times New Roman" w:cs="Times New Roman"/>
          <w:kern w:val="0"/>
          <w:sz w:val="24"/>
          <w:szCs w:val="24"/>
          <w:lang w:val="en-US" w:eastAsia="zh-CN" w:bidi="ar"/>
        </w:rPr>
        <w:t>(2), 99–114.</w:t>
      </w:r>
    </w:p>
    <w:p w14:paraId="3FF99BCB">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Republic of Kenya. (2014). </w:t>
      </w:r>
      <w:r>
        <w:rPr>
          <w:rStyle w:val="6"/>
          <w:rFonts w:hint="default" w:ascii="Times New Roman" w:hAnsi="Times New Roman" w:eastAsia="Times New Roman" w:cs="Times New Roman"/>
          <w:kern w:val="0"/>
          <w:sz w:val="24"/>
          <w:szCs w:val="24"/>
          <w:lang w:val="en-US" w:eastAsia="zh-CN" w:bidi="ar"/>
        </w:rPr>
        <w:t>The Marriage Act, 2014</w:t>
      </w:r>
      <w:r>
        <w:rPr>
          <w:rFonts w:hint="default" w:ascii="Times New Roman" w:hAnsi="Times New Roman" w:eastAsia="Times New Roman" w:cs="Times New Roman"/>
          <w:kern w:val="0"/>
          <w:sz w:val="24"/>
          <w:szCs w:val="24"/>
          <w:lang w:val="en-US" w:eastAsia="zh-CN" w:bidi="ar"/>
        </w:rPr>
        <w:t xml:space="preserve"> (Act No. 4 of 2014). Government Printer. </w:t>
      </w:r>
    </w:p>
    <w:p w14:paraId="2F0AB5A4">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Sarpong, P. (2013). </w:t>
      </w:r>
      <w:r>
        <w:rPr>
          <w:rFonts w:hint="default" w:ascii="Times New Roman" w:hAnsi="Times New Roman" w:eastAsia="Times New Roman" w:cs="Times New Roman"/>
          <w:i/>
          <w:iCs/>
          <w:kern w:val="0"/>
          <w:sz w:val="24"/>
          <w:szCs w:val="24"/>
          <w:lang w:val="en-US" w:eastAsia="zh-CN" w:bidi="ar"/>
        </w:rPr>
        <w:t>Ghana in Retrospect: Some Aspects of Ghanaian Culture</w:t>
      </w:r>
      <w:r>
        <w:rPr>
          <w:rFonts w:hint="default" w:ascii="Times New Roman" w:hAnsi="Times New Roman" w:eastAsia="Times New Roman" w:cs="Times New Roman"/>
          <w:kern w:val="0"/>
          <w:sz w:val="24"/>
          <w:szCs w:val="24"/>
          <w:lang w:val="en-US" w:eastAsia="zh-CN" w:bidi="ar"/>
        </w:rPr>
        <w:t xml:space="preserve">. Sub-Saharan Publishers. </w:t>
      </w:r>
    </w:p>
    <w:p w14:paraId="2262B5A4">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Shorter, A. (2006). </w:t>
      </w:r>
      <w:r>
        <w:rPr>
          <w:rFonts w:hint="default" w:ascii="Times New Roman" w:hAnsi="Times New Roman" w:eastAsia="Times New Roman" w:cs="Times New Roman"/>
          <w:i/>
          <w:iCs/>
          <w:kern w:val="0"/>
          <w:sz w:val="24"/>
          <w:szCs w:val="24"/>
          <w:lang w:val="en-US" w:eastAsia="zh-CN" w:bidi="ar"/>
        </w:rPr>
        <w:t>African culture and the Christian church</w:t>
      </w:r>
      <w:r>
        <w:rPr>
          <w:rFonts w:hint="default" w:ascii="Times New Roman" w:hAnsi="Times New Roman" w:eastAsia="Times New Roman" w:cs="Times New Roman"/>
          <w:kern w:val="0"/>
          <w:sz w:val="24"/>
          <w:szCs w:val="24"/>
          <w:lang w:val="en-US" w:eastAsia="zh-CN" w:bidi="ar"/>
        </w:rPr>
        <w:t xml:space="preserve"> (2</w:t>
      </w:r>
      <w:r>
        <w:rPr>
          <w:rFonts w:hint="default" w:ascii="Times New Roman" w:hAnsi="Times New Roman" w:eastAsia="Times New Roman" w:cs="Times New Roman"/>
          <w:kern w:val="0"/>
          <w:sz w:val="24"/>
          <w:szCs w:val="24"/>
          <w:vertAlign w:val="superscript"/>
          <w:lang w:val="en-US" w:eastAsia="zh-CN" w:bidi="ar"/>
        </w:rPr>
        <w:t>nd</w:t>
      </w:r>
      <w:r>
        <w:rPr>
          <w:rFonts w:hint="default" w:ascii="Times New Roman" w:hAnsi="Times New Roman" w:eastAsia="Times New Roman" w:cs="Times New Roman"/>
          <w:kern w:val="0"/>
          <w:sz w:val="24"/>
          <w:szCs w:val="24"/>
          <w:lang w:val="en-US" w:eastAsia="zh-CN" w:bidi="ar"/>
        </w:rPr>
        <w:t xml:space="preserve"> ed.). Nairobi: Paulines Publications Africa.</w:t>
      </w:r>
    </w:p>
    <w:p w14:paraId="2C939ADE">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Tamale, S. (2020). </w:t>
      </w:r>
      <w:r>
        <w:rPr>
          <w:rFonts w:hint="default" w:ascii="Times New Roman" w:hAnsi="Times New Roman" w:eastAsia="Times New Roman" w:cs="Times New Roman"/>
          <w:i/>
          <w:iCs/>
          <w:kern w:val="0"/>
          <w:sz w:val="24"/>
          <w:szCs w:val="24"/>
          <w:lang w:val="en-US" w:eastAsia="zh-CN" w:bidi="ar"/>
        </w:rPr>
        <w:t>Decolonization and Afro-feminism</w:t>
      </w:r>
      <w:r>
        <w:rPr>
          <w:rFonts w:hint="default" w:ascii="Times New Roman" w:hAnsi="Times New Roman" w:eastAsia="Times New Roman" w:cs="Times New Roman"/>
          <w:kern w:val="0"/>
          <w:sz w:val="24"/>
          <w:szCs w:val="24"/>
          <w:lang w:val="en-US" w:eastAsia="zh-CN" w:bidi="ar"/>
        </w:rPr>
        <w:t>. Ottawa: Daraja Press.</w:t>
      </w:r>
    </w:p>
    <w:p w14:paraId="1B2F454C">
      <w:pPr>
        <w:keepNext w:val="0"/>
        <w:keepLines w:val="0"/>
        <w:widowControl/>
        <w:suppressLineNumbers w:val="0"/>
        <w:spacing w:before="0" w:beforeAutospacing="0" w:after="0" w:afterAutospacing="0" w:line="240" w:lineRule="auto"/>
        <w:ind w:left="720" w:right="0" w:hanging="720"/>
        <w:jc w:val="both"/>
        <w:rPr>
          <w:rFonts w:eastAsia="Calibri"/>
          <w:lang w:val="en-US"/>
        </w:rPr>
      </w:pPr>
      <w:r>
        <w:rPr>
          <w:rFonts w:hint="default" w:ascii="Times New Roman" w:hAnsi="Times New Roman" w:eastAsia="Calibri" w:cs="Times New Roman"/>
          <w:kern w:val="0"/>
          <w:sz w:val="24"/>
          <w:szCs w:val="24"/>
          <w:lang w:val="en-US" w:eastAsia="zh-CN" w:bidi="ar"/>
        </w:rPr>
        <w:t xml:space="preserve">Turaki, Y. (1999). </w:t>
      </w:r>
      <w:r>
        <w:rPr>
          <w:rFonts w:hint="default" w:ascii="Times New Roman" w:hAnsi="Times New Roman" w:eastAsia="Calibri" w:cs="Times New Roman"/>
          <w:i/>
          <w:iCs/>
          <w:kern w:val="0"/>
          <w:sz w:val="24"/>
          <w:szCs w:val="24"/>
          <w:lang w:val="en-US" w:eastAsia="zh-CN" w:bidi="ar"/>
        </w:rPr>
        <w:t>Christianity and African gods: A method in theology</w:t>
      </w:r>
      <w:r>
        <w:rPr>
          <w:rFonts w:hint="default" w:ascii="Times New Roman" w:hAnsi="Times New Roman" w:eastAsia="Calibri" w:cs="Times New Roman"/>
          <w:kern w:val="0"/>
          <w:sz w:val="24"/>
          <w:szCs w:val="24"/>
          <w:lang w:val="en-US" w:eastAsia="zh-CN" w:bidi="ar"/>
        </w:rPr>
        <w:t>. Potchefstroom University Press.</w:t>
      </w:r>
    </w:p>
    <w:p w14:paraId="420827A3">
      <w:pPr>
        <w:keepNext w:val="0"/>
        <w:keepLines w:val="0"/>
        <w:widowControl/>
        <w:suppressLineNumbers w:val="0"/>
        <w:spacing w:before="0" w:beforeAutospacing="0" w:after="0" w:afterAutospacing="0" w:line="240" w:lineRule="auto"/>
        <w:ind w:left="720" w:right="0" w:hanging="720"/>
        <w:jc w:val="both"/>
        <w:rPr>
          <w:rFonts w:hint="default" w:ascii="Times New Roman" w:hAnsi="Times New Roman" w:eastAsia="Times New Roman" w:cs="Times New Roman"/>
          <w:kern w:val="0"/>
          <w:sz w:val="24"/>
          <w:szCs w:val="24"/>
          <w:lang w:val="en-US" w:eastAsia="zh-CN" w:bidi="ar"/>
        </w:rPr>
      </w:pPr>
      <w:r>
        <w:rPr>
          <w:rFonts w:hint="default" w:ascii="Times New Roman" w:hAnsi="Times New Roman" w:eastAsia="Times New Roman" w:cs="Times New Roman"/>
          <w:kern w:val="0"/>
          <w:sz w:val="24"/>
          <w:szCs w:val="24"/>
          <w:lang w:val="en-US" w:eastAsia="zh-CN" w:bidi="ar"/>
        </w:rPr>
        <w:t xml:space="preserve">Witte, J. (2012). </w:t>
      </w:r>
      <w:r>
        <w:rPr>
          <w:rFonts w:hint="default" w:ascii="Times New Roman" w:hAnsi="Times New Roman" w:eastAsia="Times New Roman" w:cs="Times New Roman"/>
          <w:i/>
          <w:iCs/>
          <w:kern w:val="0"/>
          <w:sz w:val="24"/>
          <w:szCs w:val="24"/>
          <w:lang w:val="en-US" w:eastAsia="zh-CN" w:bidi="ar"/>
        </w:rPr>
        <w:t>From Sacrament to Contract: Marriage, Religion, and Law in the Western Tradition</w:t>
      </w:r>
      <w:r>
        <w:rPr>
          <w:rFonts w:hint="default" w:ascii="Times New Roman" w:hAnsi="Times New Roman" w:eastAsia="Times New Roman" w:cs="Times New Roman"/>
          <w:kern w:val="0"/>
          <w:sz w:val="24"/>
          <w:szCs w:val="24"/>
          <w:lang w:val="en-US" w:eastAsia="zh-CN" w:bidi="ar"/>
        </w:rPr>
        <w:t>. Westminster John Knox Press.</w:t>
      </w:r>
    </w:p>
    <w:p w14:paraId="708625DC">
      <w:pPr>
        <w:keepNext w:val="0"/>
        <w:keepLines w:val="0"/>
        <w:widowControl/>
        <w:suppressLineNumbers w:val="0"/>
        <w:spacing w:before="0" w:beforeAutospacing="0" w:after="0" w:afterAutospacing="0" w:line="240" w:lineRule="auto"/>
        <w:ind w:left="720" w:right="0" w:hanging="720"/>
        <w:jc w:val="both"/>
        <w:rPr>
          <w:rFonts w:hint="default" w:ascii="Times New Roman" w:hAnsi="Times New Roman" w:eastAsia="Times New Roman" w:cs="Times New Roman"/>
          <w:kern w:val="0"/>
          <w:sz w:val="24"/>
          <w:szCs w:val="24"/>
          <w:lang w:val="en-US" w:eastAsia="zh-CN" w:bidi="ar"/>
        </w:rPr>
      </w:pPr>
      <w:r>
        <w:rPr>
          <w:rFonts w:hint="default" w:ascii="Times New Roman" w:hAnsi="Times New Roman" w:eastAsia="Times New Roman" w:cs="Times New Roman"/>
          <w:kern w:val="0"/>
          <w:sz w:val="24"/>
          <w:szCs w:val="24"/>
          <w:lang w:val="en-US" w:eastAsia="zh-CN" w:bidi="ar"/>
        </w:rPr>
        <w:t xml:space="preserve">Yuya, L. A., Ng’etich, K., &amp; Onsarigo, B. (2021). Reasons that drive women into polygynous unions in Ugenya Sub-County, Kenya. </w:t>
      </w:r>
      <w:r>
        <w:rPr>
          <w:rStyle w:val="6"/>
          <w:rFonts w:hint="default" w:ascii="Times New Roman" w:hAnsi="Times New Roman" w:eastAsia="Times New Roman" w:cs="Times New Roman"/>
          <w:kern w:val="0"/>
          <w:sz w:val="24"/>
          <w:szCs w:val="24"/>
          <w:lang w:val="en-US" w:eastAsia="zh-CN" w:bidi="ar"/>
        </w:rPr>
        <w:t>Research on Humanities and Social Sciences, 11</w:t>
      </w:r>
      <w:r>
        <w:rPr>
          <w:rFonts w:hint="default" w:ascii="Times New Roman" w:hAnsi="Times New Roman" w:eastAsia="Times New Roman" w:cs="Times New Roman"/>
          <w:kern w:val="0"/>
          <w:sz w:val="24"/>
          <w:szCs w:val="24"/>
          <w:lang w:val="en-US" w:eastAsia="zh-CN" w:bidi="ar"/>
        </w:rPr>
        <w:t xml:space="preserve">(2), 82–89. </w:t>
      </w:r>
      <w:r>
        <w:rPr>
          <w:rFonts w:hint="default" w:ascii="Times New Roman" w:hAnsi="Times New Roman" w:eastAsia="Times New Roman" w:cs="Times New Roman"/>
          <w:kern w:val="0"/>
          <w:sz w:val="24"/>
          <w:szCs w:val="24"/>
          <w:lang w:val="en-US" w:eastAsia="zh-CN" w:bidi="ar"/>
        </w:rPr>
        <w:fldChar w:fldCharType="begin"/>
      </w:r>
      <w:r>
        <w:rPr>
          <w:rFonts w:hint="default" w:ascii="Times New Roman" w:hAnsi="Times New Roman" w:eastAsia="Times New Roman" w:cs="Times New Roman"/>
          <w:kern w:val="0"/>
          <w:sz w:val="24"/>
          <w:szCs w:val="24"/>
          <w:lang w:val="en-US" w:eastAsia="zh-CN" w:bidi="ar"/>
        </w:rPr>
        <w:instrText xml:space="preserve"> HYPERLINK "https://doi.org/10.7176/RHSS/11-2-10" </w:instrText>
      </w:r>
      <w:r>
        <w:rPr>
          <w:rFonts w:hint="default" w:ascii="Times New Roman" w:hAnsi="Times New Roman" w:eastAsia="Times New Roman" w:cs="Times New Roman"/>
          <w:kern w:val="0"/>
          <w:sz w:val="24"/>
          <w:szCs w:val="24"/>
          <w:lang w:val="en-US" w:eastAsia="zh-CN" w:bidi="ar"/>
        </w:rPr>
        <w:fldChar w:fldCharType="separate"/>
      </w:r>
      <w:r>
        <w:rPr>
          <w:rStyle w:val="8"/>
          <w:rFonts w:hint="default" w:ascii="Times New Roman" w:hAnsi="Times New Roman" w:eastAsia="Times New Roman" w:cs="Times New Roman"/>
          <w:kern w:val="0"/>
          <w:sz w:val="24"/>
          <w:szCs w:val="24"/>
          <w:lang w:val="en-US" w:eastAsia="zh-CN" w:bidi="ar"/>
        </w:rPr>
        <w:t>https://doi.org/10.7176/RHSS/11-2-10</w:t>
      </w:r>
      <w:r>
        <w:rPr>
          <w:rFonts w:hint="default" w:ascii="Times New Roman" w:hAnsi="Times New Roman" w:eastAsia="Times New Roman" w:cs="Times New Roman"/>
          <w:kern w:val="0"/>
          <w:sz w:val="24"/>
          <w:szCs w:val="24"/>
          <w:lang w:val="en-US" w:eastAsia="zh-CN" w:bidi="ar"/>
        </w:rPr>
        <w:fldChar w:fldCharType="end"/>
      </w:r>
    </w:p>
    <w:p w14:paraId="4C229A03">
      <w:pPr>
        <w:keepNext w:val="0"/>
        <w:keepLines w:val="0"/>
        <w:widowControl/>
        <w:suppressLineNumbers w:val="0"/>
        <w:spacing w:before="0" w:beforeAutospacing="0" w:after="0" w:afterAutospacing="0" w:line="240" w:lineRule="auto"/>
        <w:ind w:left="720" w:right="0" w:hanging="720"/>
        <w:jc w:val="both"/>
        <w:rPr>
          <w:lang w:val="en-US"/>
        </w:rPr>
      </w:pPr>
      <w:r>
        <w:rPr>
          <w:rFonts w:hint="default" w:ascii="Times New Roman" w:hAnsi="Times New Roman" w:eastAsia="Times New Roman" w:cs="Times New Roman"/>
          <w:kern w:val="0"/>
          <w:sz w:val="24"/>
          <w:szCs w:val="24"/>
          <w:lang w:val="en-US" w:eastAsia="zh-CN" w:bidi="ar"/>
        </w:rPr>
        <w:t xml:space="preserve"> </w:t>
      </w:r>
    </w:p>
    <w:p w14:paraId="511797D5">
      <w:pPr>
        <w:keepNext w:val="0"/>
        <w:keepLines w:val="0"/>
        <w:widowControl/>
        <w:suppressLineNumbers w:val="0"/>
        <w:spacing w:before="0" w:beforeAutospacing="0" w:after="0" w:afterAutospacing="0" w:line="240" w:lineRule="auto"/>
        <w:ind w:left="720" w:right="0" w:hanging="720"/>
        <w:jc w:val="both"/>
        <w:rPr>
          <w:rFonts w:hint="default" w:ascii="Times New Roman" w:hAnsi="Times New Roman" w:eastAsia="Times New Roman" w:cs="Times New Roman"/>
          <w:kern w:val="0"/>
          <w:sz w:val="24"/>
          <w:szCs w:val="24"/>
          <w:lang w:val="en-US" w:eastAsia="zh-CN" w:bidi="ar"/>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8B"/>
    <w:rsid w:val="00047C3E"/>
    <w:rsid w:val="000B53B4"/>
    <w:rsid w:val="000C1C1B"/>
    <w:rsid w:val="000C2626"/>
    <w:rsid w:val="00235E8A"/>
    <w:rsid w:val="00266850"/>
    <w:rsid w:val="002D67B4"/>
    <w:rsid w:val="003A11AB"/>
    <w:rsid w:val="0045285D"/>
    <w:rsid w:val="004669F8"/>
    <w:rsid w:val="004E7AEA"/>
    <w:rsid w:val="00637C74"/>
    <w:rsid w:val="00727CB0"/>
    <w:rsid w:val="0073220F"/>
    <w:rsid w:val="007E49C4"/>
    <w:rsid w:val="00851E27"/>
    <w:rsid w:val="00857EF2"/>
    <w:rsid w:val="008C7C8B"/>
    <w:rsid w:val="00A8199F"/>
    <w:rsid w:val="00BD2387"/>
    <w:rsid w:val="00CA73E6"/>
    <w:rsid w:val="00CE715C"/>
    <w:rsid w:val="00D60DEE"/>
    <w:rsid w:val="00D97392"/>
    <w:rsid w:val="00E11FCD"/>
    <w:rsid w:val="00EA1B46"/>
    <w:rsid w:val="00F02627"/>
    <w:rsid w:val="00F37A34"/>
    <w:rsid w:val="00F4384C"/>
    <w:rsid w:val="00F665AF"/>
    <w:rsid w:val="00F90632"/>
    <w:rsid w:val="09A14A08"/>
    <w:rsid w:val="0BA61DEC"/>
    <w:rsid w:val="133E0119"/>
    <w:rsid w:val="14337FB3"/>
    <w:rsid w:val="16E2194A"/>
    <w:rsid w:val="203046DB"/>
    <w:rsid w:val="27DD6C14"/>
    <w:rsid w:val="28DB62DD"/>
    <w:rsid w:val="31CA35E3"/>
    <w:rsid w:val="3800568F"/>
    <w:rsid w:val="38460D10"/>
    <w:rsid w:val="3E265D67"/>
    <w:rsid w:val="44BB4E50"/>
    <w:rsid w:val="46407E38"/>
    <w:rsid w:val="513B53D4"/>
    <w:rsid w:val="54B31AA2"/>
    <w:rsid w:val="57232D8B"/>
    <w:rsid w:val="5B4E22C1"/>
    <w:rsid w:val="5FBD79E1"/>
    <w:rsid w:val="628415A9"/>
    <w:rsid w:val="6A8F7453"/>
    <w:rsid w:val="705F3769"/>
    <w:rsid w:val="70B23573"/>
    <w:rsid w:val="76743609"/>
    <w:rsid w:val="796F5582"/>
    <w:rsid w:val="7A8149B9"/>
    <w:rsid w:val="7F0F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360" w:lineRule="auto"/>
      <w:jc w:val="both"/>
    </w:pPr>
    <w:rPr>
      <w:rFonts w:ascii="Times New Roman" w:hAnsi="Times New Roman" w:eastAsia="Times New Roman" w:cs="Times New Roman"/>
      <w:sz w:val="24"/>
      <w:szCs w:val="24"/>
      <w:lang w:val="en-US"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0"/>
    <w:qFormat/>
    <w:uiPriority w:val="99"/>
    <w:pPr>
      <w:keepNext/>
      <w:keepLines/>
      <w:widowControl w:val="0"/>
      <w:spacing w:before="200" w:beforeAutospacing="0" w:after="0"/>
      <w:outlineLvl w:val="1"/>
    </w:pPr>
    <w:rPr>
      <w:b/>
      <w:bCs/>
    </w:rPr>
  </w:style>
  <w:style w:type="character" w:default="1" w:styleId="4">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6">
    <w:name w:val="Emphasis"/>
    <w:basedOn w:val="4"/>
    <w:qFormat/>
    <w:uiPriority w:val="20"/>
    <w:rPr>
      <w:i/>
      <w:iCs/>
    </w:rPr>
  </w:style>
  <w:style w:type="character" w:styleId="7">
    <w:name w:val="FollowedHyperlink"/>
    <w:semiHidden/>
    <w:unhideWhenUsed/>
    <w:qFormat/>
    <w:uiPriority w:val="99"/>
    <w:rPr>
      <w:color w:val="954F72"/>
      <w:u w:val="single"/>
    </w:rPr>
  </w:style>
  <w:style w:type="character" w:styleId="8">
    <w:name w:val="Hyperlink"/>
    <w:semiHidden/>
    <w:unhideWhenUsed/>
    <w:qFormat/>
    <w:uiPriority w:val="99"/>
    <w:rPr>
      <w:color w:val="0563C1"/>
      <w:u w:val="single"/>
    </w:rPr>
  </w:style>
  <w:style w:type="paragraph" w:styleId="9">
    <w:name w:val="Normal (Web)"/>
    <w:basedOn w:val="1"/>
    <w:unhideWhenUsed/>
    <w:qFormat/>
    <w:uiPriority w:val="99"/>
    <w:pPr>
      <w:spacing w:after="100" w:afterAutospacing="1"/>
      <w:jc w:val="left"/>
    </w:pPr>
  </w:style>
  <w:style w:type="character" w:customStyle="1" w:styleId="10">
    <w:name w:val="Heading 2 Char"/>
    <w:basedOn w:val="4"/>
    <w:link w:val="3"/>
    <w:qFormat/>
    <w:uiPriority w:val="99"/>
    <w:rPr>
      <w:rFonts w:ascii="Times New Roman" w:hAnsi="Times New Roman" w:eastAsia="Times New Roman" w:cs="Times New Roman"/>
      <w:b/>
      <w:bCs/>
      <w:sz w:val="24"/>
      <w:szCs w:val="24"/>
    </w:rPr>
  </w:style>
  <w:style w:type="character" w:customStyle="1" w:styleId="11">
    <w:name w:val="15"/>
    <w:basedOn w:val="4"/>
    <w:qFormat/>
    <w:uiPriority w:val="0"/>
    <w:rPr>
      <w:rFonts w:hint="eastAsia" w:ascii="SimSun" w:hAnsi="SimSun" w:eastAsia="SimSun"/>
      <w:b/>
      <w:bCs/>
    </w:rPr>
  </w:style>
  <w:style w:type="character" w:customStyle="1" w:styleId="12">
    <w:name w:val="Heading 1 Char"/>
    <w:basedOn w:val="4"/>
    <w:link w:val="2"/>
    <w:qFormat/>
    <w:uiPriority w:val="9"/>
    <w:rPr>
      <w:rFonts w:asciiTheme="majorHAnsi" w:hAnsiTheme="majorHAnsi" w:eastAsiaTheme="majorEastAsia" w:cstheme="majorBidi"/>
      <w:color w:val="2E75B6" w:themeColor="accent1" w:themeShade="BF"/>
      <w:sz w:val="32"/>
      <w:szCs w:val="32"/>
    </w:rPr>
  </w:style>
  <w:style w:type="character" w:customStyle="1" w:styleId="13">
    <w:name w:val="whitespace-norm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6440</Words>
  <Characters>40213</Characters>
  <Lines>296</Lines>
  <Paragraphs>83</Paragraphs>
  <TotalTime>46</TotalTime>
  <ScaleCrop>false</ScaleCrop>
  <LinksUpToDate>false</LinksUpToDate>
  <CharactersWithSpaces>46603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2026-05-20T13:18:00Z</dcterms:created>
  <dc:creator>Dr. Echuloi</dc:creator>
  <cp:lastModifiedBy>WPS_1696056401</cp:lastModifiedBy>
  <dcterms:modified xsi:type="dcterms:W3CDTF">2026-07-08T11:23:16Z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7769d2c7-05bb-4306-908d-cdea5164b556</vt:lpwstr>
  </property>
  <property fmtid="{D5CDD505-2E9C-101B-9397-08002B2CF9AE}" pid="3" name="KSOTemplateDocerSaveRecord">
    <vt:lpwstr>eyJoZGlkIjoiMjJlMzU2Zjc0NzlkOTE0OTIwODQ1OGJiNWRhNzFkMWYiLCJ1c2VySWQiOiIzNzI4NTcxODc5MDM1In0=</vt:lpwstr>
  </property>
  <property fmtid="{D5CDD505-2E9C-101B-9397-08002B2CF9AE}" pid="4" name="KSOProductBuildVer">
    <vt:lpwstr>1033-12.1.0.26880</vt:lpwstr>
  </property>
  <property fmtid="{D5CDD505-2E9C-101B-9397-08002B2CF9AE}" pid="5" name="ICV">
    <vt:lpwstr>69844FBA034F4B2AB6A97DB8EECB4C7A_13</vt:lpwstr>
  </property>
</Properties>
</file>