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5CC9" w14:textId="77777777" w:rsidR="00275A8F" w:rsidRDefault="00000000">
      <w:pPr>
        <w:widowControl/>
        <w:spacing w:line="312" w:lineRule="auto"/>
        <w:jc w:val="center"/>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Pharma Logistics: A Blockchain-Enabled IoT Cold Chain Monitoring System with Isolation Forest Anomaly Detection and Byzantine Fault-Tolerant Oracle Consensus</w:t>
      </w:r>
    </w:p>
    <w:p w14:paraId="27E35E1E" w14:textId="77777777" w:rsidR="00275A8F" w:rsidRDefault="00275A8F">
      <w:pPr>
        <w:widowControl/>
        <w:spacing w:line="312" w:lineRule="auto"/>
        <w:jc w:val="center"/>
      </w:pPr>
    </w:p>
    <w:p w14:paraId="5001E130" w14:textId="25B6189D" w:rsidR="00FA1EA3" w:rsidRPr="00FA1EA3" w:rsidRDefault="00FA1EA3" w:rsidP="00FA1EA3">
      <w:pPr>
        <w:widowControl/>
        <w:spacing w:line="312" w:lineRule="auto"/>
        <w:jc w:val="both"/>
        <w:rPr>
          <w:b/>
          <w:bCs/>
        </w:rPr>
      </w:pPr>
      <w:r w:rsidRPr="00FA1EA3">
        <w:rPr>
          <w:b/>
          <w:bCs/>
        </w:rPr>
        <w:t xml:space="preserve"/>
      </w:r>
      <w:r w:rsidRPr="00FA1EA3">
        <w:rPr>
          <w:b/>
          <w:bCs/>
        </w:rPr>
        <w:t xml:space="preserve"/>
      </w:r>
      <w:proofErr w:type="gramStart"/>
      <w:r w:rsidRPr="00FA1EA3">
        <w:rPr>
          <w:b/>
          <w:bCs/>
        </w:rPr>
        <w:t/>
      </w:r>
      <w:proofErr w:type="gramEnd"/>
    </w:p>
    <w:p w14:paraId="7FA09190" w14:textId="15736C3A" w:rsidR="00FA1EA3" w:rsidRDefault="00FA1EA3" w:rsidP="00FA1EA3">
      <w:pPr>
        <w:widowControl/>
        <w:spacing w:line="312" w:lineRule="auto"/>
        <w:jc w:val="center"/>
      </w:pPr>
      <w:r>
        <w:t xml:space="preserve"/>
      </w:r>
      <w:proofErr w:type="spellStart"/>
      <w:r>
        <w:t/>
      </w:r>
      <w:proofErr w:type="spellEnd"/>
      <w:r>
        <w:t xml:space="preserve"/>
      </w:r>
      <w:r>
        <w:t xml:space="preserve"/>
      </w:r>
      <w:proofErr w:type="spellStart"/>
      <w:r>
        <w:t/>
      </w:r>
      <w:proofErr w:type="spellEnd"/>
      <w:r>
        <w:t xml:space="preserve"/>
      </w:r>
    </w:p>
    <w:p w14:paraId="4DFD45B6" w14:textId="77777777" w:rsidR="00FA1EA3" w:rsidRDefault="00FA1EA3" w:rsidP="00FA1EA3">
      <w:pPr>
        <w:widowControl/>
        <w:spacing w:line="312" w:lineRule="auto"/>
        <w:jc w:val="center"/>
      </w:pPr>
      <w:r>
        <w:t/>
      </w:r>
    </w:p>
    <w:p w14:paraId="08682F76" w14:textId="3268C31D" w:rsidR="00FA1EA3" w:rsidRPr="00FA1EA3" w:rsidRDefault="00FA1EA3" w:rsidP="00FA1EA3">
      <w:pPr>
        <w:widowControl/>
        <w:spacing w:line="312" w:lineRule="auto"/>
        <w:jc w:val="both"/>
        <w:rPr>
          <w:b/>
          <w:bCs/>
        </w:rPr>
      </w:pPr>
      <w:r w:rsidRPr="00FA1EA3">
        <w:rPr>
          <w:b/>
          <w:bCs/>
        </w:rPr>
        <w:t xml:space="preserve"/>
      </w:r>
      <w:r>
        <w:rPr>
          <w:b/>
          <w:bCs/>
        </w:rPr>
        <w:t/>
      </w:r>
      <w:r w:rsidRPr="00FA1EA3">
        <w:rPr>
          <w:b/>
          <w:bCs/>
        </w:rPr>
        <w:t/>
      </w:r>
      <w:r>
        <w:rPr>
          <w:b/>
          <w:bCs/>
        </w:rPr>
        <w:t/>
      </w:r>
    </w:p>
    <w:p w14:paraId="1FF17B44" w14:textId="77777777" w:rsidR="00FA1EA3" w:rsidRDefault="00FA1EA3" w:rsidP="00FA1EA3">
      <w:pPr>
        <w:widowControl/>
        <w:spacing w:line="312" w:lineRule="auto"/>
        <w:jc w:val="center"/>
      </w:pPr>
      <w:r>
        <w:t xml:space="preserve"/>
      </w:r>
      <w:proofErr w:type="spellStart"/>
      <w:r>
        <w:t/>
      </w:r>
      <w:proofErr w:type="spellEnd"/>
      <w:r>
        <w:t xml:space="preserve"/>
      </w:r>
      <w:proofErr w:type="gramStart"/>
      <w:r>
        <w:t/>
      </w:r>
      <w:proofErr w:type="gramEnd"/>
      <w:r>
        <w:t xml:space="preserve"/>
      </w:r>
      <w:proofErr w:type="spellStart"/>
      <w:r>
        <w:t/>
      </w:r>
      <w:proofErr w:type="gramStart"/>
      <w:r>
        <w:t/>
      </w:r>
      <w:proofErr w:type="spellEnd"/>
      <w:proofErr w:type="gramEnd"/>
      <w:r>
        <w:t xml:space="preserve"/>
      </w:r>
      <w:proofErr w:type="gramStart"/>
      <w:r>
        <w:t/>
      </w:r>
      <w:proofErr w:type="gramEnd"/>
      <w:r>
        <w:t/>
      </w:r>
    </w:p>
    <w:p w14:paraId="0382731A" w14:textId="0E12986D" w:rsidR="00275A8F" w:rsidRDefault="00FA1EA3" w:rsidP="00FA1EA3">
      <w:pPr>
        <w:widowControl/>
        <w:spacing w:line="312" w:lineRule="auto"/>
        <w:jc w:val="center"/>
      </w:pPr>
      <w:r>
        <w:t/>
      </w:r>
    </w:p>
    <w:p w14:paraId="3E865F19"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Abstract</w:t>
      </w:r>
    </w:p>
    <w:p w14:paraId="43FB13D4"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The pharmaceutical cold chain presents one of the most safety-critical logistical challenges in contemporary healthcare supply chain management. Temperature-sensitive biologics such as insulin, monoclonal antibodies, and vaccines require uninterrupted cold storage between 2 and 8 °C throughout the supply chain, yet most operators continue to rely on retrospective temperature logging with no automated enforcement. This paper presents Pharma Logistics AI, an integrated, event-driven system that combines four complementary technologies: (</w:t>
      </w:r>
      <w:proofErr w:type="spellStart"/>
      <w:r>
        <w:rPr>
          <w:rFonts w:ascii="TimesNewRomanPS-BoldMT" w:eastAsia="TimesNewRomanPS-BoldMT" w:hAnsi="TimesNewRomanPS-BoldMT" w:cs="TimesNewRomanPS-BoldMT"/>
          <w:color w:val="000000"/>
        </w:rPr>
        <w:t>i</w:t>
      </w:r>
      <w:proofErr w:type="spellEnd"/>
      <w:r>
        <w:rPr>
          <w:rFonts w:ascii="TimesNewRomanPS-BoldMT" w:eastAsia="TimesNewRomanPS-BoldMT" w:hAnsi="TimesNewRomanPS-BoldMT" w:cs="TimesNewRomanPS-BoldMT"/>
          <w:color w:val="000000"/>
        </w:rPr>
        <w:t>) an IoT sensor simulation layer modelling pharmaceutical-grade hardware (</w:t>
      </w:r>
      <w:proofErr w:type="spellStart"/>
      <w:r>
        <w:rPr>
          <w:rFonts w:ascii="TimesNewRomanPS-BoldMT" w:eastAsia="TimesNewRomanPS-BoldMT" w:hAnsi="TimesNewRomanPS-BoldMT" w:cs="TimesNewRomanPS-BoldMT"/>
          <w:color w:val="000000"/>
        </w:rPr>
        <w:t>Sensirion</w:t>
      </w:r>
      <w:proofErr w:type="spellEnd"/>
      <w:r>
        <w:rPr>
          <w:rFonts w:ascii="TimesNewRomanPS-BoldMT" w:eastAsia="TimesNewRomanPS-BoldMT" w:hAnsi="TimesNewRomanPS-BoldMT" w:cs="TimesNewRomanPS-BoldMT"/>
          <w:color w:val="000000"/>
        </w:rPr>
        <w:t xml:space="preserve"> STS40, SHT45, u-</w:t>
      </w:r>
      <w:proofErr w:type="spellStart"/>
      <w:r>
        <w:rPr>
          <w:rFonts w:ascii="TimesNewRomanPS-BoldMT" w:eastAsia="TimesNewRomanPS-BoldMT" w:hAnsi="TimesNewRomanPS-BoldMT" w:cs="TimesNewRomanPS-BoldMT"/>
          <w:color w:val="000000"/>
        </w:rPr>
        <w:t>blox</w:t>
      </w:r>
      <w:proofErr w:type="spellEnd"/>
      <w:r>
        <w:rPr>
          <w:rFonts w:ascii="TimesNewRomanPS-BoldMT" w:eastAsia="TimesNewRomanPS-BoldMT" w:hAnsi="TimesNewRomanPS-BoldMT" w:cs="TimesNewRomanPS-BoldMT"/>
          <w:color w:val="000000"/>
        </w:rPr>
        <w:t xml:space="preserve"> NEO-M9N) that captures twelve-dimensional telemetry readings including temperature, humidity, GPS location, battery status, and vehicle velocity at hourly intervals; (ii) an Isolation Forest machine learning model that performs unsupervised anomaly detection on the sensor readings, achieving a recall of 0.717 and an F1 score of 0.711 on the held-out test set, with false positives mitigated by the downstream BFT business-rules filter; (iii) a five-node Byzantine Fault-Tolerant (BFT) oracle network requiring agreement from at least four of five independent oracle nodes before an anomaly is accepted, eliminating single points of failure; and (iv) a </w:t>
      </w:r>
      <w:proofErr w:type="spellStart"/>
      <w:r>
        <w:rPr>
          <w:rFonts w:ascii="TimesNewRomanPS-BoldMT" w:eastAsia="TimesNewRomanPS-BoldMT" w:hAnsi="TimesNewRomanPS-BoldMT" w:cs="TimesNewRomanPS-BoldMT"/>
          <w:color w:val="000000"/>
        </w:rPr>
        <w:t>SupplyChainOracle</w:t>
      </w:r>
      <w:proofErr w:type="spellEnd"/>
      <w:r>
        <w:rPr>
          <w:rFonts w:ascii="TimesNewRomanPS-BoldMT" w:eastAsia="TimesNewRomanPS-BoldMT" w:hAnsi="TimesNewRomanPS-BoldMT" w:cs="TimesNewRomanPS-BoldMT"/>
          <w:color w:val="000000"/>
        </w:rPr>
        <w:t xml:space="preserve"> smart contract deployed on the Polygon Amoy blockchain </w:t>
      </w:r>
      <w:proofErr w:type="spellStart"/>
      <w:r>
        <w:rPr>
          <w:rFonts w:ascii="TimesNewRomanPS-BoldMT" w:eastAsia="TimesNewRomanPS-BoldMT" w:hAnsi="TimesNewRomanPS-BoldMT" w:cs="TimesNewRomanPS-BoldMT"/>
          <w:color w:val="000000"/>
        </w:rPr>
        <w:t>testnet</w:t>
      </w:r>
      <w:proofErr w:type="spellEnd"/>
      <w:r>
        <w:rPr>
          <w:rFonts w:ascii="TimesNewRomanPS-BoldMT" w:eastAsia="TimesNewRomanPS-BoldMT" w:hAnsi="TimesNewRomanPS-BoldMT" w:cs="TimesNewRomanPS-BoldMT"/>
          <w:color w:val="000000"/>
        </w:rPr>
        <w:t xml:space="preserve"> that verifies ECDSA multi-signatures on-chain and automatically computes financial penalties proportional to breach severity. Evaluation on simulated 48-hour pharmaceutical shipments demonstrates successful temperature anomaly detection and automated penalty enforcement. While the initial simulation-based evaluation achieved deterministic smart contract execution with an average gas cost of 124,539 units, the use of a 4,847-reading simulated dataset highlights the need for real-world validation. This research demonstrates a scalable framework for real-time intervention in pharmaceutical logistics, while defining clear pathways for future field testing and algorithmic benchmarking.</w:t>
      </w:r>
    </w:p>
    <w:p w14:paraId="12348C60" w14:textId="77777777" w:rsidR="00275A8F" w:rsidRDefault="00275A8F">
      <w:pPr>
        <w:widowControl/>
        <w:spacing w:line="312" w:lineRule="auto"/>
        <w:jc w:val="both"/>
      </w:pPr>
    </w:p>
    <w:p w14:paraId="04FA08FC" w14:textId="77777777" w:rsidR="00275A8F" w:rsidRDefault="00275A8F">
      <w:pPr>
        <w:widowControl/>
        <w:spacing w:line="312" w:lineRule="auto"/>
        <w:jc w:val="both"/>
      </w:pPr>
    </w:p>
    <w:p w14:paraId="07375151"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1. Introduction</w:t>
      </w:r>
    </w:p>
    <w:p w14:paraId="70373284"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The global pharmaceutical supply chain is increasingly reliant on cold chain logistics to maintain the efficacy and safety of temperature-sensitive biopharmaceuticals. Products such as vaccines, </w:t>
      </w:r>
      <w:r>
        <w:rPr>
          <w:rFonts w:ascii="TimesNewRomanPS-BoldMT" w:eastAsia="TimesNewRomanPS-BoldMT" w:hAnsi="TimesNewRomanPS-BoldMT" w:cs="TimesNewRomanPS-BoldMT"/>
          <w:color w:val="000000"/>
        </w:rPr>
        <w:lastRenderedPageBreak/>
        <w:t xml:space="preserve">biologics, and insulin typically require strict temperature control within the 2 °C to 8 °C range. Deviations from this optimal window can result in irreversible degradation of the product, posing severe risks to patient safety and causing significant financial losses. Despite stringent regulatory frameworks like the World Health </w:t>
      </w:r>
      <w:proofErr w:type="spellStart"/>
      <w:r>
        <w:rPr>
          <w:rFonts w:ascii="TimesNewRomanPS-BoldMT" w:eastAsia="TimesNewRomanPS-BoldMT" w:hAnsi="TimesNewRomanPS-BoldMT" w:cs="TimesNewRomanPS-BoldMT"/>
          <w:color w:val="000000"/>
        </w:rPr>
        <w:t>Organisation's</w:t>
      </w:r>
      <w:proofErr w:type="spellEnd"/>
      <w:r>
        <w:rPr>
          <w:rFonts w:ascii="TimesNewRomanPS-BoldMT" w:eastAsia="TimesNewRomanPS-BoldMT" w:hAnsi="TimesNewRomanPS-BoldMT" w:cs="TimesNewRomanPS-BoldMT"/>
          <w:color w:val="000000"/>
        </w:rPr>
        <w:t xml:space="preserve"> Good Distribution Practices (WHO GDP), compliance verification remains largely retrospective [1]-[3]. Traditional temperature loggers record thermal excursions but fail to trigger real-time alerts or automate the enforcement of contractual penalties [4]-[6]. </w:t>
      </w:r>
    </w:p>
    <w:p w14:paraId="1099E499" w14:textId="77777777" w:rsidR="00275A8F" w:rsidRDefault="00275A8F">
      <w:pPr>
        <w:widowControl/>
        <w:spacing w:line="312" w:lineRule="auto"/>
        <w:jc w:val="both"/>
      </w:pPr>
    </w:p>
    <w:p w14:paraId="7AE371C2" w14:textId="77777777" w:rsidR="00275A8F" w:rsidRDefault="00000000">
      <w:pPr>
        <w:widowControl/>
        <w:spacing w:line="312" w:lineRule="auto"/>
        <w:jc w:val="both"/>
      </w:pPr>
      <w:r>
        <w:rPr>
          <w:rFonts w:ascii="TimesNewRomanPS-BoldMT" w:eastAsia="TimesNewRomanPS-BoldMT" w:hAnsi="TimesNewRomanPS-BoldMT" w:cs="TimesNewRomanPS-BoldMT"/>
          <w:color w:val="000000"/>
        </w:rPr>
        <w:t xml:space="preserve">To address these critical shortcomings, we propose </w:t>
      </w:r>
      <w:r>
        <w:rPr>
          <w:rFonts w:ascii="TimesNewRomanPS-BoldMT" w:eastAsia="TimesNewRomanPS-BoldMT" w:hAnsi="TimesNewRomanPS-BoldMT" w:cs="TimesNewRomanPS-BoldMT"/>
          <w:i/>
          <w:iCs/>
          <w:color w:val="000000"/>
        </w:rPr>
        <w:t>*Pharma Logistics AI*</w:t>
      </w:r>
      <w:r>
        <w:rPr>
          <w:rFonts w:ascii="TimesNewRomanPS-BoldMT" w:eastAsia="TimesNewRomanPS-BoldMT" w:hAnsi="TimesNewRomanPS-BoldMT" w:cs="TimesNewRomanPS-BoldMT"/>
          <w:color w:val="000000"/>
        </w:rPr>
        <w:t xml:space="preserve">, a novel architecture that integrates Internet of Things (IoT) sensors, Machine Learning (ML) anomaly detection, Byzantine Fault-Tolerant (BFT) oracle consensus, and decentralized blockchain smart contracts. The system continuously monitors telemetry data generated by simulated logistics hardware, utilizing an Isolation Forest algorithm to detect multi-dimensional anomalies in temperature and environmental conditions [5], [9]. To bridge the "oracle problem"—the challenge of securely feeding off-chain data onto a deterministic blockchain—we implement a decentralized BFT oracle network [18], [21]. This network requires a consensus of four out of five independent nodes before an anomaly is submitted to the Polygon Amoy blockchain, where a smart contract autonomously calculates proportional financial penalties against the responsible logistics provider [29], [31]. </w:t>
      </w:r>
    </w:p>
    <w:p w14:paraId="029017D1" w14:textId="77777777" w:rsidR="00275A8F" w:rsidRDefault="00275A8F">
      <w:pPr>
        <w:widowControl/>
        <w:spacing w:line="312" w:lineRule="auto"/>
        <w:jc w:val="both"/>
      </w:pPr>
    </w:p>
    <w:p w14:paraId="6CEE559C"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2. Related Work</w:t>
      </w:r>
    </w:p>
    <w:p w14:paraId="0E5733B8"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Recent advancements in blockchain technology and IoT have sparked significant interest in supply chain transparency. Early implementations focused heavily on traceability, utilizing distributed ledgers to track the provenance of pharmaceutical goods and combat counterfeiting [1]-[4]. However, these systems often lacked real-time environmental monitoring capabilities.</w:t>
      </w:r>
    </w:p>
    <w:p w14:paraId="4267CF91" w14:textId="77777777" w:rsidR="00275A8F" w:rsidRDefault="00275A8F">
      <w:pPr>
        <w:widowControl/>
        <w:spacing w:line="312" w:lineRule="auto"/>
        <w:jc w:val="both"/>
      </w:pPr>
    </w:p>
    <w:p w14:paraId="2392D095"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The integration of ML with IoT has enabled proactive anomaly detection at the edge [10], [13]. The Isolation Forest algorithm has proven particularly effective in identifying outliers in high-dimensional sensor data due to its efficiency and ability to handle </w:t>
      </w:r>
      <w:proofErr w:type="spellStart"/>
      <w:r>
        <w:rPr>
          <w:rFonts w:ascii="TimesNewRomanPS-BoldMT" w:eastAsia="TimesNewRomanPS-BoldMT" w:hAnsi="TimesNewRomanPS-BoldMT" w:cs="TimesNewRomanPS-BoldMT"/>
          <w:color w:val="000000"/>
        </w:rPr>
        <w:t>unlabelled</w:t>
      </w:r>
      <w:proofErr w:type="spellEnd"/>
      <w:r>
        <w:rPr>
          <w:rFonts w:ascii="TimesNewRomanPS-BoldMT" w:eastAsia="TimesNewRomanPS-BoldMT" w:hAnsi="TimesNewRomanPS-BoldMT" w:cs="TimesNewRomanPS-BoldMT"/>
          <w:color w:val="000000"/>
        </w:rPr>
        <w:t xml:space="preserve"> datasets [8], [9]. Federated learning approaches have also been explored to enhance privacy and security in distributed IoT networks [7], [14].</w:t>
      </w:r>
    </w:p>
    <w:p w14:paraId="5258B4FA" w14:textId="77777777" w:rsidR="00275A8F" w:rsidRDefault="00275A8F">
      <w:pPr>
        <w:widowControl/>
        <w:spacing w:line="312" w:lineRule="auto"/>
        <w:jc w:val="both"/>
      </w:pPr>
    </w:p>
    <w:p w14:paraId="3023B449" w14:textId="77777777" w:rsidR="00275A8F" w:rsidRDefault="00000000">
      <w:pPr>
        <w:widowControl/>
        <w:spacing w:line="312" w:lineRule="auto"/>
        <w:jc w:val="both"/>
      </w:pPr>
      <w:r>
        <w:rPr>
          <w:rFonts w:ascii="TimesNewRomanPS-BoldMT" w:eastAsia="TimesNewRomanPS-BoldMT" w:hAnsi="TimesNewRomanPS-BoldMT" w:cs="TimesNewRomanPS-BoldMT"/>
          <w:color w:val="000000"/>
        </w:rPr>
        <w:t xml:space="preserve">Blockchain oracles play a pivotal role in securely linking external data sources to smart contracts. Decentralized oracle networks mitigate the risks associated with single points of failure, ensuring data integrity before on-chain execution [16], [18]. Previous studies have proposed various consensus mechanisms for IoT-blockchain convergence, </w:t>
      </w:r>
      <w:proofErr w:type="spellStart"/>
      <w:r>
        <w:rPr>
          <w:rFonts w:ascii="TimesNewRomanPS-BoldMT" w:eastAsia="TimesNewRomanPS-BoldMT" w:hAnsi="TimesNewRomanPS-BoldMT" w:cs="TimesNewRomanPS-BoldMT"/>
          <w:color w:val="000000"/>
        </w:rPr>
        <w:t>emphasising</w:t>
      </w:r>
      <w:proofErr w:type="spellEnd"/>
      <w:r>
        <w:rPr>
          <w:rFonts w:ascii="TimesNewRomanPS-BoldMT" w:eastAsia="TimesNewRomanPS-BoldMT" w:hAnsi="TimesNewRomanPS-BoldMT" w:cs="TimesNewRomanPS-BoldMT"/>
          <w:color w:val="000000"/>
        </w:rPr>
        <w:t xml:space="preserve"> lightweight authentication and zero-knowledge proofs for resource-constrained environments [19], [20], [33].</w:t>
      </w:r>
    </w:p>
    <w:p w14:paraId="64C829B6" w14:textId="77777777" w:rsidR="00275A8F" w:rsidRDefault="00275A8F">
      <w:pPr>
        <w:widowControl/>
        <w:spacing w:line="312" w:lineRule="auto"/>
        <w:jc w:val="both"/>
      </w:pPr>
    </w:p>
    <w:p w14:paraId="6DF5191C" w14:textId="77777777" w:rsidR="00275A8F" w:rsidRDefault="00275A8F">
      <w:pPr>
        <w:widowControl/>
        <w:spacing w:line="312" w:lineRule="auto"/>
        <w:jc w:val="both"/>
      </w:pPr>
    </w:p>
    <w:p w14:paraId="6ED139E2" w14:textId="77777777" w:rsidR="00275A8F" w:rsidRDefault="00275A8F">
      <w:pPr>
        <w:widowControl/>
        <w:spacing w:line="312" w:lineRule="auto"/>
        <w:jc w:val="both"/>
      </w:pPr>
    </w:p>
    <w:p w14:paraId="6BA696E6"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3. System Architecture</w:t>
      </w:r>
    </w:p>
    <w:p w14:paraId="70F7E2DF"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lastRenderedPageBreak/>
        <w:t>The proposed architecture comprises four primary layers, designed to seamlessly process raw sensor data into immutable, on-chain financial penalties.</w:t>
      </w:r>
      <w:r>
        <w:rPr>
          <w:rFonts w:ascii="TimesNewRomanPS-BoldMT" w:eastAsia="TimesNewRomanPS-BoldMT" w:hAnsi="TimesNewRomanPS-BoldMT" w:cs="TimesNewRomanPS-BoldMT"/>
          <w:noProof/>
          <w:color w:val="000000"/>
        </w:rPr>
        <w:drawing>
          <wp:inline distT="0" distB="0" distL="0" distR="0" wp14:anchorId="1FAFDB7B" wp14:editId="3883ADCA">
            <wp:extent cx="3106420" cy="310642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4"/>
                    <a:stretch>
                      <a:fillRect/>
                    </a:stretch>
                  </pic:blipFill>
                  <pic:spPr bwMode="auto">
                    <a:xfrm>
                      <a:off x="0" y="0"/>
                      <a:ext cx="3106420" cy="3106420"/>
                    </a:xfrm>
                    <a:prstGeom prst="rect">
                      <a:avLst/>
                    </a:prstGeom>
                    <a:noFill/>
                  </pic:spPr>
                </pic:pic>
              </a:graphicData>
            </a:graphic>
          </wp:inline>
        </w:drawing>
      </w:r>
    </w:p>
    <w:p w14:paraId="70C785D0" w14:textId="77777777" w:rsidR="00275A8F" w:rsidRDefault="00000000">
      <w:pPr>
        <w:widowControl/>
        <w:spacing w:line="312" w:lineRule="auto"/>
        <w:jc w:val="center"/>
        <w:rPr>
          <w:rFonts w:ascii="TimesNewRomanPS-BoldMT" w:eastAsia="TimesNewRomanPS-BoldMT" w:hAnsi="TimesNewRomanPS-BoldMT" w:cs="TimesNewRomanPS-BoldMT"/>
          <w:b/>
          <w:bCs/>
          <w:color w:val="000000"/>
        </w:rPr>
      </w:pPr>
      <w:r>
        <w:rPr>
          <w:rFonts w:ascii="TimesNewRomanPS-BoldMT" w:eastAsia="TimesNewRomanPS-BoldMT" w:hAnsi="TimesNewRomanPS-BoldMT" w:cs="TimesNewRomanPS-BoldMT"/>
          <w:b/>
          <w:bCs/>
          <w:color w:val="000000"/>
        </w:rPr>
        <w:t xml:space="preserve">Fig 3.1: System Architecture </w:t>
      </w:r>
    </w:p>
    <w:p w14:paraId="31655FB2" w14:textId="77777777" w:rsidR="00275A8F" w:rsidRDefault="00000000">
      <w:pPr>
        <w:widowControl/>
        <w:spacing w:line="312" w:lineRule="auto"/>
        <w:jc w:val="both"/>
        <w:rPr>
          <w:rFonts w:ascii="TimesNewRomanPS-BoldMT" w:eastAsia="TimesNewRomanPS-BoldMT" w:hAnsi="TimesNewRomanPS-BoldMT" w:cs="TimesNewRomanPS-BoldMT"/>
          <w:b/>
          <w:bCs/>
          <w:color w:val="000000"/>
        </w:rPr>
      </w:pPr>
      <w:r>
        <w:rPr>
          <w:rFonts w:ascii="TimesNewRomanPS-BoldMT" w:eastAsia="TimesNewRomanPS-BoldMT" w:hAnsi="TimesNewRomanPS-BoldMT" w:cs="TimesNewRomanPS-BoldMT"/>
          <w:b/>
          <w:bCs/>
          <w:color w:val="000000"/>
        </w:rPr>
        <w:t>A. IoT Sensor Simulation Layer</w:t>
      </w:r>
    </w:p>
    <w:p w14:paraId="1914EF22" w14:textId="77777777" w:rsidR="00275A8F" w:rsidRDefault="00000000">
      <w:pPr>
        <w:widowControl/>
        <w:spacing w:line="312" w:lineRule="auto"/>
        <w:jc w:val="both"/>
      </w:pPr>
      <w:r>
        <w:rPr>
          <w:rFonts w:ascii="TimesNewRomanPS-BoldMT" w:eastAsia="TimesNewRomanPS-BoldMT" w:hAnsi="TimesNewRomanPS-BoldMT" w:cs="TimesNewRomanPS-BoldMT"/>
          <w:color w:val="000000"/>
        </w:rPr>
        <w:t xml:space="preserve">This layer simulates a fleet of transport vehicles equipped with high-precision sensors (e.g., </w:t>
      </w:r>
      <w:proofErr w:type="spellStart"/>
      <w:r>
        <w:rPr>
          <w:rFonts w:ascii="TimesNewRomanPS-BoldMT" w:eastAsia="TimesNewRomanPS-BoldMT" w:hAnsi="TimesNewRomanPS-BoldMT" w:cs="TimesNewRomanPS-BoldMT"/>
          <w:color w:val="000000"/>
        </w:rPr>
        <w:t>Sensirion</w:t>
      </w:r>
      <w:proofErr w:type="spellEnd"/>
      <w:r>
        <w:rPr>
          <w:rFonts w:ascii="TimesNewRomanPS-BoldMT" w:eastAsia="TimesNewRomanPS-BoldMT" w:hAnsi="TimesNewRomanPS-BoldMT" w:cs="TimesNewRomanPS-BoldMT"/>
          <w:color w:val="000000"/>
        </w:rPr>
        <w:t xml:space="preserve"> STS40 for temperature, SHT45 for humidity, u-</w:t>
      </w:r>
      <w:proofErr w:type="spellStart"/>
      <w:r>
        <w:rPr>
          <w:rFonts w:ascii="TimesNewRomanPS-BoldMT" w:eastAsia="TimesNewRomanPS-BoldMT" w:hAnsi="TimesNewRomanPS-BoldMT" w:cs="TimesNewRomanPS-BoldMT"/>
          <w:color w:val="000000"/>
        </w:rPr>
        <w:t>blox</w:t>
      </w:r>
      <w:proofErr w:type="spellEnd"/>
      <w:r>
        <w:rPr>
          <w:rFonts w:ascii="TimesNewRomanPS-BoldMT" w:eastAsia="TimesNewRomanPS-BoldMT" w:hAnsi="TimesNewRomanPS-BoldMT" w:cs="TimesNewRomanPS-BoldMT"/>
          <w:color w:val="000000"/>
        </w:rPr>
        <w:t xml:space="preserve"> NEO-M9N for GPS). The telemetry data includes twelve distinct features, captured at hourly intervals, representing a realistic model of a pharmaceutical transit operation.</w:t>
      </w:r>
      <w:r>
        <w:rPr>
          <w:rFonts w:ascii="TimesNewRomanPS-BoldMT" w:eastAsia="TimesNewRomanPS-BoldMT" w:hAnsi="TimesNewRomanPS-BoldMT" w:cs="TimesNewRomanPS-BoldMT"/>
          <w:noProof/>
          <w:color w:val="000000"/>
        </w:rPr>
        <w:drawing>
          <wp:inline distT="0" distB="0" distL="0" distR="0" wp14:anchorId="2EAEE963" wp14:editId="073C4DFD">
            <wp:extent cx="3296285" cy="3296285"/>
            <wp:effectExtent l="0" t="0" r="0" b="0"/>
            <wp:docPr id="2"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pic:cNvPicPr>
                      <a:picLocks noChangeAspect="1" noChangeArrowheads="1"/>
                    </pic:cNvPicPr>
                  </pic:nvPicPr>
                  <pic:blipFill>
                    <a:blip r:embed="rId5"/>
                    <a:stretch>
                      <a:fillRect/>
                    </a:stretch>
                  </pic:blipFill>
                  <pic:spPr bwMode="auto">
                    <a:xfrm>
                      <a:off x="0" y="0"/>
                      <a:ext cx="3296285" cy="3296285"/>
                    </a:xfrm>
                    <a:prstGeom prst="rect">
                      <a:avLst/>
                    </a:prstGeom>
                    <a:noFill/>
                  </pic:spPr>
                </pic:pic>
              </a:graphicData>
            </a:graphic>
          </wp:inline>
        </w:drawing>
      </w:r>
    </w:p>
    <w:p w14:paraId="5326990F" w14:textId="77777777" w:rsidR="00275A8F" w:rsidRDefault="00000000">
      <w:pPr>
        <w:widowControl/>
        <w:spacing w:line="312" w:lineRule="auto"/>
        <w:jc w:val="both"/>
        <w:rPr>
          <w:rFonts w:ascii="TimesNewRomanPS-BoldMT" w:eastAsia="TimesNewRomanPS-BoldMT" w:hAnsi="TimesNewRomanPS-BoldMT" w:cs="TimesNewRomanPS-BoldMT"/>
          <w:b/>
          <w:bCs/>
          <w:color w:val="000000"/>
        </w:rPr>
      </w:pPr>
      <w:r>
        <w:rPr>
          <w:rFonts w:ascii="TimesNewRomanPS-BoldMT" w:eastAsia="TimesNewRomanPS-BoldMT" w:hAnsi="TimesNewRomanPS-BoldMT" w:cs="TimesNewRomanPS-BoldMT"/>
          <w:b/>
          <w:bCs/>
          <w:color w:val="000000"/>
        </w:rPr>
        <w:t>B. Machine Learning Anomaly Detection Layer</w:t>
      </w:r>
    </w:p>
    <w:p w14:paraId="0ACAA6A6"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An Isolation Forest model, selected for its proficiency with </w:t>
      </w:r>
      <w:proofErr w:type="spellStart"/>
      <w:r>
        <w:rPr>
          <w:rFonts w:ascii="TimesNewRomanPS-BoldMT" w:eastAsia="TimesNewRomanPS-BoldMT" w:hAnsi="TimesNewRomanPS-BoldMT" w:cs="TimesNewRomanPS-BoldMT"/>
          <w:color w:val="000000"/>
        </w:rPr>
        <w:t>unlabelled</w:t>
      </w:r>
      <w:proofErr w:type="spellEnd"/>
      <w:r>
        <w:rPr>
          <w:rFonts w:ascii="TimesNewRomanPS-BoldMT" w:eastAsia="TimesNewRomanPS-BoldMT" w:hAnsi="TimesNewRomanPS-BoldMT" w:cs="TimesNewRomanPS-BoldMT"/>
          <w:color w:val="000000"/>
        </w:rPr>
        <w:t>, multi-dimensional time-series data, ingests the sensor streams. It evaluates the data against expected norms (2–8 °C) and operational baselines (e.g., normal battery depletion rates, typical transit routes). When an anomaly is detected, it is flagged for consensus verification [5], [8].</w:t>
      </w:r>
    </w:p>
    <w:p w14:paraId="1B67EBC0" w14:textId="77777777" w:rsidR="00275A8F" w:rsidRDefault="00275A8F">
      <w:pPr>
        <w:widowControl/>
        <w:spacing w:line="312" w:lineRule="auto"/>
        <w:jc w:val="both"/>
      </w:pPr>
    </w:p>
    <w:p w14:paraId="7CCBD620" w14:textId="77777777" w:rsidR="00275A8F" w:rsidRDefault="00000000">
      <w:pPr>
        <w:widowControl/>
        <w:spacing w:line="312" w:lineRule="auto"/>
        <w:jc w:val="both"/>
        <w:rPr>
          <w:rFonts w:ascii="TimesNewRomanPS-BoldMT" w:eastAsia="TimesNewRomanPS-BoldMT" w:hAnsi="TimesNewRomanPS-BoldMT" w:cs="TimesNewRomanPS-BoldMT"/>
          <w:b/>
          <w:bCs/>
          <w:color w:val="000000"/>
        </w:rPr>
      </w:pPr>
      <w:r>
        <w:rPr>
          <w:rFonts w:ascii="TimesNewRomanPS-BoldMT" w:eastAsia="TimesNewRomanPS-BoldMT" w:hAnsi="TimesNewRomanPS-BoldMT" w:cs="TimesNewRomanPS-BoldMT"/>
          <w:b/>
          <w:bCs/>
          <w:color w:val="000000"/>
        </w:rPr>
        <w:t>C. Byzantine Fault-Tolerant (BFT) Oracle Layer</w:t>
      </w:r>
    </w:p>
    <w:p w14:paraId="32E27E5D"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To prevent a single compromised sensor or malicious actor from triggering unjustified penalties, the BFT oracle layer acts as an intermediary. Five independent validator nodes independently verify the anomaly alert using cryptographic signatures. A strict 4-of-5 consensus ($n \</w:t>
      </w:r>
      <w:proofErr w:type="spellStart"/>
      <w:r>
        <w:rPr>
          <w:rFonts w:ascii="TimesNewRomanPS-BoldMT" w:eastAsia="TimesNewRomanPS-BoldMT" w:hAnsi="TimesNewRomanPS-BoldMT" w:cs="TimesNewRomanPS-BoldMT"/>
          <w:color w:val="000000"/>
        </w:rPr>
        <w:t>ge</w:t>
      </w:r>
      <w:proofErr w:type="spellEnd"/>
      <w:r>
        <w:rPr>
          <w:rFonts w:ascii="TimesNewRomanPS-BoldMT" w:eastAsia="TimesNewRomanPS-BoldMT" w:hAnsi="TimesNewRomanPS-BoldMT" w:cs="TimesNewRomanPS-BoldMT"/>
          <w:color w:val="000000"/>
        </w:rPr>
        <w:t xml:space="preserve"> 3f + 1$) is required to validate the breach, ensuring high fault tolerance and system integrity [21], [35].</w:t>
      </w:r>
      <w:r>
        <w:rPr>
          <w:rFonts w:ascii="TimesNewRomanPS-BoldMT" w:eastAsia="TimesNewRomanPS-BoldMT" w:hAnsi="TimesNewRomanPS-BoldMT" w:cs="TimesNewRomanPS-BoldMT"/>
          <w:noProof/>
          <w:color w:val="000000"/>
        </w:rPr>
        <w:drawing>
          <wp:inline distT="0" distB="0" distL="0" distR="0" wp14:anchorId="2F88A047" wp14:editId="27799491">
            <wp:extent cx="4057015" cy="4057015"/>
            <wp:effectExtent l="0" t="0" r="0" b="0"/>
            <wp:docPr id="3" name="Obje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2"/>
                    <pic:cNvPicPr>
                      <a:picLocks noChangeAspect="1" noChangeArrowheads="1"/>
                    </pic:cNvPicPr>
                  </pic:nvPicPr>
                  <pic:blipFill>
                    <a:blip r:embed="rId6"/>
                    <a:stretch>
                      <a:fillRect/>
                    </a:stretch>
                  </pic:blipFill>
                  <pic:spPr bwMode="auto">
                    <a:xfrm>
                      <a:off x="0" y="0"/>
                      <a:ext cx="4057015" cy="4057015"/>
                    </a:xfrm>
                    <a:prstGeom prst="rect">
                      <a:avLst/>
                    </a:prstGeom>
                    <a:noFill/>
                  </pic:spPr>
                </pic:pic>
              </a:graphicData>
            </a:graphic>
          </wp:inline>
        </w:drawing>
      </w:r>
      <w:r>
        <w:rPr>
          <w:rFonts w:ascii="TimesNewRomanPS-BoldMT" w:eastAsia="TimesNewRomanPS-BoldMT" w:hAnsi="TimesNewRomanPS-BoldMT" w:cs="TimesNewRomanPS-BoldMT"/>
          <w:color w:val="000000"/>
        </w:rPr>
        <w:t xml:space="preserve"> </w:t>
      </w:r>
    </w:p>
    <w:p w14:paraId="36168FA0" w14:textId="77777777" w:rsidR="00275A8F" w:rsidRDefault="00000000">
      <w:pPr>
        <w:widowControl/>
        <w:spacing w:line="312" w:lineRule="auto"/>
        <w:jc w:val="center"/>
      </w:pPr>
      <w:r>
        <w:rPr>
          <w:rFonts w:ascii="TimesNewRomanPS-BoldMT" w:eastAsia="TimesNewRomanPS-BoldMT" w:hAnsi="TimesNewRomanPS-BoldMT" w:cs="TimesNewRomanPS-BoldMT"/>
          <w:b/>
          <w:bCs/>
          <w:color w:val="000000"/>
        </w:rPr>
        <w:t>Figure 3.3: BFT Oracle Consensus Flow Diagram</w:t>
      </w:r>
    </w:p>
    <w:p w14:paraId="1A90BECD" w14:textId="77777777" w:rsidR="00275A8F" w:rsidRDefault="00275A8F">
      <w:pPr>
        <w:widowControl/>
        <w:spacing w:line="288" w:lineRule="auto"/>
      </w:pPr>
    </w:p>
    <w:p w14:paraId="3DF47180" w14:textId="77777777" w:rsidR="00275A8F" w:rsidRDefault="00275A8F">
      <w:pPr>
        <w:widowControl/>
        <w:spacing w:line="312" w:lineRule="auto"/>
        <w:jc w:val="both"/>
      </w:pPr>
    </w:p>
    <w:p w14:paraId="65B309B9" w14:textId="77777777" w:rsidR="00275A8F" w:rsidRDefault="00000000">
      <w:pPr>
        <w:widowControl/>
        <w:spacing w:line="312" w:lineRule="auto"/>
        <w:jc w:val="both"/>
        <w:rPr>
          <w:rFonts w:ascii="TimesNewRomanPS-BoldMT" w:eastAsia="TimesNewRomanPS-BoldMT" w:hAnsi="TimesNewRomanPS-BoldMT" w:cs="TimesNewRomanPS-BoldMT"/>
          <w:b/>
          <w:bCs/>
          <w:color w:val="000000"/>
        </w:rPr>
      </w:pPr>
      <w:r>
        <w:rPr>
          <w:rFonts w:ascii="TimesNewRomanPS-BoldMT" w:eastAsia="TimesNewRomanPS-BoldMT" w:hAnsi="TimesNewRomanPS-BoldMT" w:cs="TimesNewRomanPS-BoldMT"/>
          <w:b/>
          <w:bCs/>
          <w:color w:val="000000"/>
        </w:rPr>
        <w:t>D. Blockchain Smart Contract Layer</w:t>
      </w:r>
    </w:p>
    <w:p w14:paraId="2088F053"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Deployed on the Polygon Amoy </w:t>
      </w:r>
      <w:proofErr w:type="spellStart"/>
      <w:r>
        <w:rPr>
          <w:rFonts w:ascii="TimesNewRomanPS-BoldMT" w:eastAsia="TimesNewRomanPS-BoldMT" w:hAnsi="TimesNewRomanPS-BoldMT" w:cs="TimesNewRomanPS-BoldMT"/>
          <w:color w:val="000000"/>
        </w:rPr>
        <w:t>testnet</w:t>
      </w:r>
      <w:proofErr w:type="spellEnd"/>
      <w:r>
        <w:rPr>
          <w:rFonts w:ascii="TimesNewRomanPS-BoldMT" w:eastAsia="TimesNewRomanPS-BoldMT" w:hAnsi="TimesNewRomanPS-BoldMT" w:cs="TimesNewRomanPS-BoldMT"/>
          <w:color w:val="000000"/>
        </w:rPr>
        <w:t>, the `</w:t>
      </w:r>
      <w:proofErr w:type="spellStart"/>
      <w:r>
        <w:rPr>
          <w:rFonts w:ascii="TimesNewRomanPS-BoldMT" w:eastAsia="TimesNewRomanPS-BoldMT" w:hAnsi="TimesNewRomanPS-BoldMT" w:cs="TimesNewRomanPS-BoldMT"/>
          <w:color w:val="000000"/>
        </w:rPr>
        <w:t>SupplyChainOracle</w:t>
      </w:r>
      <w:proofErr w:type="spellEnd"/>
      <w:r>
        <w:rPr>
          <w:rFonts w:ascii="TimesNewRomanPS-BoldMT" w:eastAsia="TimesNewRomanPS-BoldMT" w:hAnsi="TimesNewRomanPS-BoldMT" w:cs="TimesNewRomanPS-BoldMT"/>
          <w:color w:val="000000"/>
        </w:rPr>
        <w:t>` smart contract receives the consensus-verified anomaly. It utilizes the `</w:t>
      </w:r>
      <w:proofErr w:type="spellStart"/>
      <w:r>
        <w:rPr>
          <w:rFonts w:ascii="TimesNewRomanPS-BoldMT" w:eastAsia="TimesNewRomanPS-BoldMT" w:hAnsi="TimesNewRomanPS-BoldMT" w:cs="TimesNewRomanPS-BoldMT"/>
          <w:color w:val="000000"/>
        </w:rPr>
        <w:t>ECDSA.recover</w:t>
      </w:r>
      <w:proofErr w:type="spellEnd"/>
      <w:r>
        <w:rPr>
          <w:rFonts w:ascii="TimesNewRomanPS-BoldMT" w:eastAsia="TimesNewRomanPS-BoldMT" w:hAnsi="TimesNewRomanPS-BoldMT" w:cs="TimesNewRomanPS-BoldMT"/>
          <w:color w:val="000000"/>
        </w:rPr>
        <w:t>` function to validate the multi-signatures [17]. Upon successful verification, the contract autonomously calculates a proportional penalty based on the severity of the temperature deviation and the value of the cargo, permanently recording the event on the distributed ledger [29].</w:t>
      </w:r>
    </w:p>
    <w:p w14:paraId="40786C21" w14:textId="77777777" w:rsidR="00275A8F" w:rsidRDefault="00000000">
      <w:pPr>
        <w:widowControl/>
        <w:spacing w:line="312" w:lineRule="auto"/>
        <w:jc w:val="center"/>
      </w:pPr>
      <w:r>
        <w:rPr>
          <w:rFonts w:ascii="TimesNewRomanPS-BoldMT" w:eastAsia="TimesNewRomanPS-BoldMT" w:hAnsi="TimesNewRomanPS-BoldMT" w:cs="TimesNewRomanPS-BoldMT"/>
          <w:b/>
          <w:bCs/>
          <w:color w:val="000000"/>
        </w:rPr>
        <w:lastRenderedPageBreak/>
        <w:t xml:space="preserve">Fig 3.4 Smart Contract State Machine </w:t>
      </w:r>
      <w:r>
        <w:rPr>
          <w:rFonts w:ascii="TimesNewRomanPS-BoldMT" w:eastAsia="TimesNewRomanPS-BoldMT" w:hAnsi="TimesNewRomanPS-BoldMT" w:cs="TimesNewRomanPS-BoldMT"/>
          <w:b/>
          <w:bCs/>
          <w:noProof/>
          <w:color w:val="000000"/>
        </w:rPr>
        <w:drawing>
          <wp:inline distT="0" distB="0" distL="0" distR="0" wp14:anchorId="7E45512B" wp14:editId="4447DE4D">
            <wp:extent cx="3913505" cy="3913505"/>
            <wp:effectExtent l="0" t="0" r="0" b="0"/>
            <wp:docPr id="4" name="Objec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ct3"/>
                    <pic:cNvPicPr>
                      <a:picLocks noChangeAspect="1" noChangeArrowheads="1"/>
                    </pic:cNvPicPr>
                  </pic:nvPicPr>
                  <pic:blipFill>
                    <a:blip r:embed="rId5"/>
                    <a:stretch>
                      <a:fillRect/>
                    </a:stretch>
                  </pic:blipFill>
                  <pic:spPr bwMode="auto">
                    <a:xfrm>
                      <a:off x="0" y="0"/>
                      <a:ext cx="3913505" cy="3913505"/>
                    </a:xfrm>
                    <a:prstGeom prst="rect">
                      <a:avLst/>
                    </a:prstGeom>
                    <a:noFill/>
                  </pic:spPr>
                </pic:pic>
              </a:graphicData>
            </a:graphic>
          </wp:inline>
        </w:drawing>
      </w:r>
    </w:p>
    <w:p w14:paraId="66D90EDE" w14:textId="77777777" w:rsidR="00275A8F" w:rsidRDefault="00275A8F">
      <w:pPr>
        <w:widowControl/>
        <w:spacing w:line="312" w:lineRule="auto"/>
        <w:jc w:val="both"/>
      </w:pPr>
    </w:p>
    <w:p w14:paraId="301C5588"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4. Implementation Details</w:t>
      </w:r>
    </w:p>
    <w:p w14:paraId="4A0A180D" w14:textId="77777777" w:rsidR="00275A8F" w:rsidRDefault="00000000">
      <w:pPr>
        <w:widowControl/>
        <w:spacing w:line="312" w:lineRule="auto"/>
        <w:jc w:val="both"/>
      </w:pPr>
      <w:r>
        <w:rPr>
          <w:rFonts w:ascii="TimesNewRomanPS-BoldMT" w:eastAsia="TimesNewRomanPS-BoldMT" w:hAnsi="TimesNewRomanPS-BoldMT" w:cs="TimesNewRomanPS-BoldMT"/>
          <w:color w:val="000000"/>
        </w:rPr>
        <w:t>The system was implemented using Python (</w:t>
      </w:r>
      <w:proofErr w:type="spellStart"/>
      <w:r>
        <w:rPr>
          <w:rFonts w:ascii="TimesNewRomanPS-BoldMT" w:eastAsia="TimesNewRomanPS-BoldMT" w:hAnsi="TimesNewRomanPS-BoldMT" w:cs="TimesNewRomanPS-BoldMT"/>
          <w:color w:val="000000"/>
        </w:rPr>
        <w:t>FastAPI</w:t>
      </w:r>
      <w:proofErr w:type="spellEnd"/>
      <w:r>
        <w:rPr>
          <w:rFonts w:ascii="TimesNewRomanPS-BoldMT" w:eastAsia="TimesNewRomanPS-BoldMT" w:hAnsi="TimesNewRomanPS-BoldMT" w:cs="TimesNewRomanPS-BoldMT"/>
          <w:color w:val="000000"/>
        </w:rPr>
        <w:t xml:space="preserve">) for the backend micro services and ML pipeline, while Solidity was utilized for the smart contract layer. The Isolation Forest model was trained on historical baseline data to identify deviations effectively [9]. </w:t>
      </w:r>
    </w:p>
    <w:p w14:paraId="004975CE" w14:textId="77777777" w:rsidR="00275A8F" w:rsidRDefault="00275A8F">
      <w:pPr>
        <w:widowControl/>
        <w:spacing w:line="312" w:lineRule="auto"/>
        <w:jc w:val="both"/>
      </w:pPr>
    </w:p>
    <w:p w14:paraId="1D391377"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The smart contract penalty calculation follows a proportional logic matrix, evaluating the magnitude of the temperature deviation beyond the 2–8 °C threshold. The Polygon Amoy </w:t>
      </w:r>
      <w:proofErr w:type="spellStart"/>
      <w:r>
        <w:rPr>
          <w:rFonts w:ascii="TimesNewRomanPS-BoldMT" w:eastAsia="TimesNewRomanPS-BoldMT" w:hAnsi="TimesNewRomanPS-BoldMT" w:cs="TimesNewRomanPS-BoldMT"/>
          <w:color w:val="000000"/>
        </w:rPr>
        <w:t>testnet</w:t>
      </w:r>
      <w:proofErr w:type="spellEnd"/>
      <w:r>
        <w:rPr>
          <w:rFonts w:ascii="TimesNewRomanPS-BoldMT" w:eastAsia="TimesNewRomanPS-BoldMT" w:hAnsi="TimesNewRomanPS-BoldMT" w:cs="TimesNewRomanPS-BoldMT"/>
          <w:color w:val="000000"/>
        </w:rPr>
        <w:t xml:space="preserve"> was selected for its high throughput and low transaction costs, making it suitable for enterprise-scale supply chain applications [29].</w:t>
      </w:r>
    </w:p>
    <w:p w14:paraId="31AC757A" w14:textId="77777777" w:rsidR="00275A8F" w:rsidRDefault="00275A8F">
      <w:pPr>
        <w:widowControl/>
        <w:spacing w:line="312" w:lineRule="auto"/>
        <w:jc w:val="both"/>
      </w:pPr>
    </w:p>
    <w:p w14:paraId="4023A8DB"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5. Experimental Evaluation</w:t>
      </w:r>
    </w:p>
    <w:p w14:paraId="3311A3BD"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 xml:space="preserve">The system was evaluated using a simulated 48-hour shipment dataset comprising 4,847 sensor readings. The simulation injected targeted thermal excursions at hour 15 to test the detection and consensus mechanisms. </w:t>
      </w:r>
    </w:p>
    <w:p w14:paraId="46C35CC1" w14:textId="77777777" w:rsidR="00275A8F" w:rsidRDefault="00275A8F">
      <w:pPr>
        <w:widowControl/>
        <w:spacing w:line="312" w:lineRule="auto"/>
        <w:jc w:val="both"/>
      </w:pPr>
    </w:p>
    <w:p w14:paraId="4FCA42CF"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The Isolation Forest model successfully detected the injected anomalies, achieving a recall of 0.717 and an F1 score of 0.711 on the test set. Following detection, the BFT oracle layer consistently achieved consensus within an average of 450 milliseconds, demonstrating low latency. On-chain execution of the `</w:t>
      </w:r>
      <w:proofErr w:type="spellStart"/>
      <w:r>
        <w:rPr>
          <w:rFonts w:ascii="TimesNewRomanPS-BoldMT" w:eastAsia="TimesNewRomanPS-BoldMT" w:hAnsi="TimesNewRomanPS-BoldMT" w:cs="TimesNewRomanPS-BoldMT"/>
          <w:color w:val="000000"/>
        </w:rPr>
        <w:t>SupplyChainOracle</w:t>
      </w:r>
      <w:proofErr w:type="spellEnd"/>
      <w:r>
        <w:rPr>
          <w:rFonts w:ascii="TimesNewRomanPS-BoldMT" w:eastAsia="TimesNewRomanPS-BoldMT" w:hAnsi="TimesNewRomanPS-BoldMT" w:cs="TimesNewRomanPS-BoldMT"/>
          <w:color w:val="000000"/>
        </w:rPr>
        <w:t>` smart contract consumed an average of 124,539 gas units per verified anomaly, confirming the cost-effectiveness of the Polygon network for this application.</w:t>
      </w:r>
    </w:p>
    <w:p w14:paraId="1D71F237" w14:textId="77777777" w:rsidR="00275A8F" w:rsidRDefault="00275A8F">
      <w:pPr>
        <w:widowControl/>
        <w:spacing w:line="312" w:lineRule="auto"/>
        <w:jc w:val="both"/>
      </w:pPr>
    </w:p>
    <w:p w14:paraId="3765FADA"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lastRenderedPageBreak/>
        <w:t>6. Discussion and System Limitations</w:t>
      </w:r>
    </w:p>
    <w:p w14:paraId="5E5552FD"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While the experimental results demonstrate the technical viability of integrating ML, BFT oracles, and blockchain smart contracts, several critical limitations must be addressed to ensure external validity and practical applicability.</w:t>
      </w:r>
    </w:p>
    <w:p w14:paraId="0A5D8CEE" w14:textId="77777777" w:rsidR="00275A8F" w:rsidRDefault="00275A8F">
      <w:pPr>
        <w:widowControl/>
        <w:spacing w:line="312" w:lineRule="auto"/>
        <w:jc w:val="both"/>
      </w:pPr>
    </w:p>
    <w:p w14:paraId="41F431D8"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Simulated Data vs. Real-World Operations:</w:t>
      </w:r>
      <w:r>
        <w:rPr>
          <w:rFonts w:ascii="TimesNewRomanPS-BoldMT" w:eastAsia="TimesNewRomanPS-BoldMT" w:hAnsi="TimesNewRomanPS-BoldMT" w:cs="TimesNewRomanPS-BoldMT"/>
          <w:color w:val="000000"/>
        </w:rPr>
        <w:t xml:space="preserve"> The evaluation is fundamentally constrained by its reliance on a simulated 48-hour shipment dataset. While this approach is useful for validating the software architecture and smart contract logic, it does not fully replicate the complex, unpredictable nature of real-world pharmaceutical logistics. Variables such as sensor degradation, physical damage to packaging, and unpredictable weather events are not fully captured in the simulation.</w:t>
      </w:r>
    </w:p>
    <w:p w14:paraId="50290BD3" w14:textId="77777777" w:rsidR="00275A8F" w:rsidRDefault="00275A8F">
      <w:pPr>
        <w:widowControl/>
        <w:spacing w:line="312" w:lineRule="auto"/>
        <w:jc w:val="both"/>
      </w:pPr>
    </w:p>
    <w:p w14:paraId="51B78E1E"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Dataset Size and Variability:</w:t>
      </w:r>
      <w:r>
        <w:rPr>
          <w:rFonts w:ascii="TimesNewRomanPS-BoldMT" w:eastAsia="TimesNewRomanPS-BoldMT" w:hAnsi="TimesNewRomanPS-BoldMT" w:cs="TimesNewRomanPS-BoldMT"/>
          <w:color w:val="000000"/>
        </w:rPr>
        <w:t xml:space="preserve"> The dataset size of 4,847 readings represents a relatively narrow operational window. This volume of data, while sufficient for proof-of-concept simulation, may not adequately represent the vast seasonal, geographic, and logistical variability inherent in global cold chain environments. </w:t>
      </w:r>
    </w:p>
    <w:p w14:paraId="09D40764" w14:textId="77777777" w:rsidR="00275A8F" w:rsidRDefault="00275A8F">
      <w:pPr>
        <w:widowControl/>
        <w:spacing w:line="312" w:lineRule="auto"/>
        <w:jc w:val="both"/>
      </w:pPr>
    </w:p>
    <w:p w14:paraId="262C4FC9"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Model Overfitting and Performance:</w:t>
      </w:r>
      <w:r>
        <w:rPr>
          <w:rFonts w:ascii="TimesNewRomanPS-BoldMT" w:eastAsia="TimesNewRomanPS-BoldMT" w:hAnsi="TimesNewRomanPS-BoldMT" w:cs="TimesNewRomanPS-BoldMT"/>
          <w:color w:val="000000"/>
        </w:rPr>
        <w:t xml:space="preserve"> While early testing suggested near-perfect recall, rigorous evaluation on the held-out test set yielded a more balanced recall of 0.717 and an F1 score of 0.711. Despite this adjustment, relying on a simulated and relatively uniform dataset still raises valid concerns regarding potential overfitting. The lack of sufficiently diverse test conditions means the model's ability to generalize to unseen, real-world anomalies remains unproven.</w:t>
      </w:r>
    </w:p>
    <w:p w14:paraId="0CFD9E4D" w14:textId="77777777" w:rsidR="00275A8F" w:rsidRDefault="00275A8F">
      <w:pPr>
        <w:widowControl/>
        <w:spacing w:line="312" w:lineRule="auto"/>
        <w:jc w:val="both"/>
      </w:pPr>
    </w:p>
    <w:p w14:paraId="78AEA000"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7. Conclusion and Future Work</w:t>
      </w:r>
    </w:p>
    <w:p w14:paraId="5E3D0A66"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This paper presents Pharma Logistics AI, a decentralized, automated system designed to enforce WHO GDP compliance in pharmaceutical cold chains. By combining IoT telemetry, Isolation Forest anomaly detection, BFT oracle consensus, and Polygon-based smart contracts, the system eliminates reliance on retrospective auditing and manual penalty enforcement.</w:t>
      </w:r>
    </w:p>
    <w:p w14:paraId="66C4C232" w14:textId="77777777" w:rsidR="00275A8F" w:rsidRDefault="00275A8F">
      <w:pPr>
        <w:widowControl/>
        <w:spacing w:line="312" w:lineRule="auto"/>
        <w:jc w:val="both"/>
      </w:pPr>
    </w:p>
    <w:p w14:paraId="255ADB85" w14:textId="77777777" w:rsidR="00275A8F" w:rsidRDefault="00000000">
      <w:pPr>
        <w:widowControl/>
        <w:spacing w:line="312" w:lineRule="auto"/>
        <w:jc w:val="both"/>
        <w:rPr>
          <w:rFonts w:ascii="TimesNewRomanPS-BoldMT" w:eastAsia="TimesNewRomanPS-BoldMT" w:hAnsi="TimesNewRomanPS-BoldMT" w:cs="TimesNewRomanPS-BoldMT"/>
          <w:color w:val="000000"/>
        </w:rPr>
      </w:pPr>
      <w:r>
        <w:rPr>
          <w:rFonts w:ascii="TimesNewRomanPS-BoldMT" w:eastAsia="TimesNewRomanPS-BoldMT" w:hAnsi="TimesNewRomanPS-BoldMT" w:cs="TimesNewRomanPS-BoldMT"/>
          <w:color w:val="000000"/>
        </w:rPr>
        <w:t>To address the limitations identified during the initial evaluation and to advance the system toward enterprise readiness, future work will focus on the following key areas:</w:t>
      </w:r>
    </w:p>
    <w:p w14:paraId="29A4519D" w14:textId="77777777" w:rsidR="00275A8F" w:rsidRDefault="00275A8F">
      <w:pPr>
        <w:widowControl/>
        <w:spacing w:line="312" w:lineRule="auto"/>
        <w:jc w:val="both"/>
      </w:pPr>
    </w:p>
    <w:p w14:paraId="1FDBB4C7"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 xml:space="preserve">1. Real-World Field Testing: </w:t>
      </w:r>
      <w:r>
        <w:rPr>
          <w:rFonts w:ascii="TimesNewRomanPS-BoldMT" w:eastAsia="TimesNewRomanPS-BoldMT" w:hAnsi="TimesNewRomanPS-BoldMT" w:cs="TimesNewRomanPS-BoldMT"/>
          <w:color w:val="000000"/>
        </w:rPr>
        <w:t>We will conduct field testing in operational pharmaceutical cold chain environments. Deploying physical IoT nodes (</w:t>
      </w:r>
      <w:proofErr w:type="spellStart"/>
      <w:r>
        <w:rPr>
          <w:rFonts w:ascii="TimesNewRomanPS-BoldMT" w:eastAsia="TimesNewRomanPS-BoldMT" w:hAnsi="TimesNewRomanPS-BoldMT" w:cs="TimesNewRomanPS-BoldMT"/>
          <w:color w:val="000000"/>
        </w:rPr>
        <w:t>Sensirion</w:t>
      </w:r>
      <w:proofErr w:type="spellEnd"/>
      <w:r>
        <w:rPr>
          <w:rFonts w:ascii="TimesNewRomanPS-BoldMT" w:eastAsia="TimesNewRomanPS-BoldMT" w:hAnsi="TimesNewRomanPS-BoldMT" w:cs="TimesNewRomanPS-BoldMT"/>
          <w:color w:val="000000"/>
        </w:rPr>
        <w:t xml:space="preserve"> and u-</w:t>
      </w:r>
      <w:proofErr w:type="spellStart"/>
      <w:r>
        <w:rPr>
          <w:rFonts w:ascii="TimesNewRomanPS-BoldMT" w:eastAsia="TimesNewRomanPS-BoldMT" w:hAnsi="TimesNewRomanPS-BoldMT" w:cs="TimesNewRomanPS-BoldMT"/>
          <w:color w:val="000000"/>
        </w:rPr>
        <w:t>blox</w:t>
      </w:r>
      <w:proofErr w:type="spellEnd"/>
      <w:r>
        <w:rPr>
          <w:rFonts w:ascii="TimesNewRomanPS-BoldMT" w:eastAsia="TimesNewRomanPS-BoldMT" w:hAnsi="TimesNewRomanPS-BoldMT" w:cs="TimesNewRomanPS-BoldMT"/>
          <w:color w:val="000000"/>
        </w:rPr>
        <w:t xml:space="preserve"> hardware) on actual transport vehicles will validate system performance, sensor reliability, and oracle latency under practical conditions.</w:t>
      </w:r>
    </w:p>
    <w:p w14:paraId="4AB2E75F"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 xml:space="preserve">2. Expanded Dataset Diversity: </w:t>
      </w:r>
      <w:r>
        <w:rPr>
          <w:rFonts w:ascii="TimesNewRomanPS-BoldMT" w:eastAsia="TimesNewRomanPS-BoldMT" w:hAnsi="TimesNewRomanPS-BoldMT" w:cs="TimesNewRomanPS-BoldMT"/>
          <w:color w:val="000000"/>
        </w:rPr>
        <w:t>Future research will incorporate larger, empirical datasets that capture seasonal, geographic, and cross-border logistical variations. This will ensure the ML models are trained and evaluated on data reflecting true global supply chain complexities.</w:t>
      </w:r>
    </w:p>
    <w:p w14:paraId="4C630060"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 xml:space="preserve">3. Algorithmic Benchmarking: </w:t>
      </w:r>
      <w:r>
        <w:rPr>
          <w:rFonts w:ascii="TimesNewRomanPS-BoldMT" w:eastAsia="TimesNewRomanPS-BoldMT" w:hAnsi="TimesNewRomanPS-BoldMT" w:cs="TimesNewRomanPS-BoldMT"/>
          <w:color w:val="000000"/>
        </w:rPr>
        <w:t>To address concerns regarding Isolation Forest overfitting, we will benchmark the proposed system against alternative machine learning models, including Long Short-</w:t>
      </w:r>
      <w:r>
        <w:rPr>
          <w:rFonts w:ascii="TimesNewRomanPS-BoldMT" w:eastAsia="TimesNewRomanPS-BoldMT" w:hAnsi="TimesNewRomanPS-BoldMT" w:cs="TimesNewRomanPS-BoldMT"/>
          <w:color w:val="000000"/>
        </w:rPr>
        <w:lastRenderedPageBreak/>
        <w:t>Term Memory (LSTM) networks, Random Forests, and deep Auto encoders. This comparative analysis will determine the optimal algorithm for balancing recall and precision in real-world scenarios.</w:t>
      </w:r>
    </w:p>
    <w:p w14:paraId="0D124D0D" w14:textId="77777777" w:rsidR="00275A8F" w:rsidRDefault="00000000">
      <w:pPr>
        <w:widowControl/>
        <w:spacing w:line="312" w:lineRule="auto"/>
        <w:jc w:val="both"/>
      </w:pPr>
      <w:r>
        <w:rPr>
          <w:rFonts w:ascii="TimesNewRomanPS-BoldMT" w:eastAsia="TimesNewRomanPS-BoldMT" w:hAnsi="TimesNewRomanPS-BoldMT" w:cs="TimesNewRomanPS-BoldMT"/>
          <w:b/>
          <w:bCs/>
          <w:color w:val="000000"/>
        </w:rPr>
        <w:t>4. Alternative Blockchain Architectures:</w:t>
      </w:r>
      <w:r>
        <w:rPr>
          <w:rFonts w:ascii="TimesNewRomanPS-BoldMT" w:eastAsia="TimesNewRomanPS-BoldMT" w:hAnsi="TimesNewRomanPS-BoldMT" w:cs="TimesNewRomanPS-BoldMT"/>
          <w:color w:val="000000"/>
        </w:rPr>
        <w:t xml:space="preserve"> We will evaluate the performance, throughput, and privacy guarantees of alternative blockchain architectures (e.g., Hyperledger Fabric, enterprise rollups) against the current Polygon implementation to </w:t>
      </w:r>
      <w:proofErr w:type="spellStart"/>
      <w:r>
        <w:rPr>
          <w:rFonts w:ascii="TimesNewRomanPS-BoldMT" w:eastAsia="TimesNewRomanPS-BoldMT" w:hAnsi="TimesNewRomanPS-BoldMT" w:cs="TimesNewRomanPS-BoldMT"/>
          <w:color w:val="000000"/>
        </w:rPr>
        <w:t>optimise</w:t>
      </w:r>
      <w:proofErr w:type="spellEnd"/>
      <w:r>
        <w:rPr>
          <w:rFonts w:ascii="TimesNewRomanPS-BoldMT" w:eastAsia="TimesNewRomanPS-BoldMT" w:hAnsi="TimesNewRomanPS-BoldMT" w:cs="TimesNewRomanPS-BoldMT"/>
          <w:color w:val="000000"/>
        </w:rPr>
        <w:t xml:space="preserve"> for large-scale enterprise adoption.</w:t>
      </w:r>
    </w:p>
    <w:p w14:paraId="1222ADF6" w14:textId="77777777" w:rsidR="00275A8F" w:rsidRDefault="00275A8F">
      <w:pPr>
        <w:widowControl/>
        <w:spacing w:line="312" w:lineRule="auto"/>
        <w:jc w:val="both"/>
      </w:pPr>
    </w:p>
    <w:p w14:paraId="57787FB9" w14:textId="77777777" w:rsidR="00275A8F" w:rsidRDefault="00275A8F">
      <w:pPr>
        <w:widowControl/>
        <w:spacing w:line="312" w:lineRule="auto"/>
        <w:jc w:val="both"/>
      </w:pPr>
    </w:p>
    <w:p w14:paraId="44C8AF61" w14:textId="77777777" w:rsidR="00275A8F" w:rsidRDefault="00000000">
      <w:pPr>
        <w:widowControl/>
        <w:spacing w:line="312" w:lineRule="auto"/>
        <w:jc w:val="both"/>
        <w:rPr>
          <w:rFonts w:ascii="TimesNewRomanPS-BoldMT" w:eastAsia="TimesNewRomanPS-BoldMT" w:hAnsi="TimesNewRomanPS-BoldMT" w:cs="TimesNewRomanPS-BoldMT"/>
          <w:b/>
          <w:bCs/>
          <w:color w:val="000000"/>
          <w:sz w:val="28"/>
          <w:szCs w:val="28"/>
        </w:rPr>
      </w:pPr>
      <w:r>
        <w:rPr>
          <w:rFonts w:ascii="TimesNewRomanPS-BoldMT" w:eastAsia="TimesNewRomanPS-BoldMT" w:hAnsi="TimesNewRomanPS-BoldMT" w:cs="TimesNewRomanPS-BoldMT"/>
          <w:b/>
          <w:bCs/>
          <w:color w:val="000000"/>
          <w:sz w:val="28"/>
          <w:szCs w:val="28"/>
        </w:rPr>
        <w:t>References</w:t>
      </w:r>
    </w:p>
    <w:p w14:paraId="61FCE78A" w14:textId="77777777" w:rsidR="00275A8F" w:rsidRDefault="00275A8F">
      <w:pPr>
        <w:widowControl/>
        <w:spacing w:line="312" w:lineRule="auto"/>
        <w:jc w:val="both"/>
      </w:pPr>
    </w:p>
    <w:p w14:paraId="3E4B8807"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 S. Dhingra, R. Raut, K. Naik, and K. Muduli, "Blockchain technology applications in healthcare supply chains—A review,"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12, pp. 5765–5793,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10.1109/ACCESS.2023.3348813.</w:t>
      </w:r>
    </w:p>
    <w:p w14:paraId="72AE47C9" w14:textId="77777777" w:rsidR="00275A8F" w:rsidRDefault="00275A8F">
      <w:pPr>
        <w:widowControl/>
        <w:spacing w:line="312" w:lineRule="auto"/>
      </w:pPr>
    </w:p>
    <w:p w14:paraId="2304E2A8"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 U. Agarwal, V. </w:t>
      </w:r>
      <w:proofErr w:type="spellStart"/>
      <w:r>
        <w:rPr>
          <w:rFonts w:ascii="TimesNewRomanPS-BoldMT" w:eastAsia="TimesNewRomanPS-BoldMT" w:hAnsi="TimesNewRomanPS-BoldMT" w:cs="TimesNewRomanPS-BoldMT"/>
          <w:color w:val="000000"/>
          <w:sz w:val="20"/>
          <w:szCs w:val="20"/>
        </w:rPr>
        <w:t>Rishiwal</w:t>
      </w:r>
      <w:proofErr w:type="spellEnd"/>
      <w:r>
        <w:rPr>
          <w:rFonts w:ascii="TimesNewRomanPS-BoldMT" w:eastAsia="TimesNewRomanPS-BoldMT" w:hAnsi="TimesNewRomanPS-BoldMT" w:cs="TimesNewRomanPS-BoldMT"/>
          <w:color w:val="000000"/>
          <w:sz w:val="20"/>
          <w:szCs w:val="20"/>
        </w:rPr>
        <w:t xml:space="preserve">, M. Yadav, M. Alshammari, P. Yadav, O. Singh, and V. Maurya, "Exploring blockchain and supply chain integration: State-of-the-art, security issues, and emerging directions,"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12, pp. 143945–143974,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10.1109/ACCESS.2024.3471340.</w:t>
      </w:r>
    </w:p>
    <w:p w14:paraId="0D780B98" w14:textId="77777777" w:rsidR="00275A8F" w:rsidRDefault="00275A8F">
      <w:pPr>
        <w:widowControl/>
        <w:spacing w:line="312" w:lineRule="auto"/>
      </w:pPr>
    </w:p>
    <w:p w14:paraId="51618169"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 O. Srinivas and N. R. Pradhan, "A novel NFT framework for pharmaceutical asset ownership and trading: </w:t>
      </w:r>
      <w:proofErr w:type="spellStart"/>
      <w:r>
        <w:rPr>
          <w:rFonts w:ascii="TimesNewRomanPS-BoldMT" w:eastAsia="TimesNewRomanPS-BoldMT" w:hAnsi="TimesNewRomanPS-BoldMT" w:cs="TimesNewRomanPS-BoldMT"/>
          <w:color w:val="000000"/>
          <w:sz w:val="20"/>
          <w:szCs w:val="20"/>
        </w:rPr>
        <w:t>TokenPharma</w:t>
      </w:r>
      <w:proofErr w:type="spellEnd"/>
      <w:r>
        <w:rPr>
          <w:rFonts w:ascii="TimesNewRomanPS-BoldMT" w:eastAsia="TimesNewRomanPS-BoldMT" w:hAnsi="TimesNewRomanPS-BoldMT" w:cs="TimesNewRomanPS-BoldMT"/>
          <w:color w:val="000000"/>
          <w:sz w:val="20"/>
          <w:szCs w:val="20"/>
        </w:rPr>
        <w:t xml:space="preserve">,"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12, pp. 15421–15438,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10.1109/ACCESS.2024.3500092.</w:t>
      </w:r>
    </w:p>
    <w:p w14:paraId="24AE8604" w14:textId="77777777" w:rsidR="00275A8F" w:rsidRDefault="00275A8F">
      <w:pPr>
        <w:widowControl/>
        <w:spacing w:line="312" w:lineRule="auto"/>
      </w:pPr>
    </w:p>
    <w:p w14:paraId="56581E5E"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[4] A. </w:t>
      </w:r>
      <w:proofErr w:type="spellStart"/>
      <w:r>
        <w:rPr>
          <w:rFonts w:ascii="TimesNewRomanPS-BoldMT" w:eastAsia="TimesNewRomanPS-BoldMT" w:hAnsi="TimesNewRomanPS-BoldMT" w:cs="TimesNewRomanPS-BoldMT"/>
          <w:color w:val="000000"/>
          <w:sz w:val="20"/>
          <w:szCs w:val="20"/>
        </w:rPr>
        <w:t>Musamih</w:t>
      </w:r>
      <w:proofErr w:type="spellEnd"/>
      <w:r>
        <w:rPr>
          <w:rFonts w:ascii="TimesNewRomanPS-BoldMT" w:eastAsia="TimesNewRomanPS-BoldMT" w:hAnsi="TimesNewRomanPS-BoldMT" w:cs="TimesNewRomanPS-BoldMT"/>
          <w:color w:val="000000"/>
          <w:sz w:val="20"/>
          <w:szCs w:val="20"/>
        </w:rPr>
        <w:t xml:space="preserve">, K. Salah, R. Jayaraman, J. Arshad, M. Debe, Y. Al-Hammadi, and S. </w:t>
      </w:r>
      <w:proofErr w:type="spellStart"/>
      <w:r>
        <w:rPr>
          <w:rFonts w:ascii="TimesNewRomanPS-BoldMT" w:eastAsia="TimesNewRomanPS-BoldMT" w:hAnsi="TimesNewRomanPS-BoldMT" w:cs="TimesNewRomanPS-BoldMT"/>
          <w:color w:val="000000"/>
          <w:sz w:val="20"/>
          <w:szCs w:val="20"/>
        </w:rPr>
        <w:t>Ellahham</w:t>
      </w:r>
      <w:proofErr w:type="spellEnd"/>
      <w:r>
        <w:rPr>
          <w:rFonts w:ascii="TimesNewRomanPS-BoldMT" w:eastAsia="TimesNewRomanPS-BoldMT" w:hAnsi="TimesNewRomanPS-BoldMT" w:cs="TimesNewRomanPS-BoldMT"/>
          <w:color w:val="000000"/>
          <w:sz w:val="20"/>
          <w:szCs w:val="20"/>
        </w:rPr>
        <w:t xml:space="preserve">, "A blockchain-based approach for drug traceability in healthcare supply chain,"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9, pp. 9728–9743, 2021,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10.1109/ACCESS.2021.3049920.</w:t>
      </w:r>
    </w:p>
    <w:p w14:paraId="0D91F0F7" w14:textId="77777777" w:rsidR="00275A8F" w:rsidRDefault="00275A8F">
      <w:pPr>
        <w:widowControl/>
        <w:spacing w:line="312" w:lineRule="auto"/>
      </w:pPr>
    </w:p>
    <w:p w14:paraId="32D5EE07"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[5] E. Ortega, F. Su, R. Chattopadhyay, and K. Chakrabarty, "Discretized-Isolation Forest: Memory- &amp; compute-efficient unsupervised anomaly detection for resource-constrained Internet-of-Things edge devices," </w:t>
      </w:r>
      <w:r>
        <w:rPr>
          <w:rFonts w:ascii="TimesNewRomanPS-BoldMT" w:eastAsia="TimesNewRomanPS-BoldMT" w:hAnsi="TimesNewRomanPS-BoldMT" w:cs="TimesNewRomanPS-BoldMT"/>
          <w:i/>
          <w:iCs/>
          <w:color w:val="000000"/>
          <w:sz w:val="20"/>
          <w:szCs w:val="20"/>
        </w:rPr>
        <w:t>*IEEE Internet Things J.*</w:t>
      </w:r>
      <w:r>
        <w:rPr>
          <w:rFonts w:ascii="TimesNewRomanPS-BoldMT" w:eastAsia="TimesNewRomanPS-BoldMT" w:hAnsi="TimesNewRomanPS-BoldMT" w:cs="TimesNewRomanPS-BoldMT"/>
          <w:color w:val="000000"/>
          <w:sz w:val="20"/>
          <w:szCs w:val="20"/>
        </w:rPr>
        <w:t xml:space="preserve">, vol. 12, no. 2, pp. 1699–1717, Jan.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10.1109/JIOT.2024.3468950.</w:t>
      </w:r>
    </w:p>
    <w:p w14:paraId="54194228" w14:textId="77777777" w:rsidR="00275A8F" w:rsidRDefault="00275A8F">
      <w:pPr>
        <w:widowControl/>
        <w:spacing w:line="312" w:lineRule="auto"/>
      </w:pPr>
    </w:p>
    <w:p w14:paraId="680BDA89"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[6] P. Vasiljevic, M. Matic, and M. Popovic, "Federated Isolation Forest for efficient anomaly detection on edge IoT systems," in </w:t>
      </w:r>
      <w:r>
        <w:rPr>
          <w:rFonts w:ascii="TimesNewRomanPS-BoldMT" w:eastAsia="TimesNewRomanPS-BoldMT" w:hAnsi="TimesNewRomanPS-BoldMT" w:cs="TimesNewRomanPS-BoldMT"/>
          <w:i/>
          <w:iCs/>
          <w:color w:val="000000"/>
          <w:sz w:val="20"/>
          <w:szCs w:val="20"/>
        </w:rPr>
        <w:t>*Proc. 2025 IEEE Zooming Innovation in Consumer Technologies Conf. (ZINC)*</w:t>
      </w:r>
      <w:r>
        <w:rPr>
          <w:rFonts w:ascii="TimesNewRomanPS-BoldMT" w:eastAsia="TimesNewRomanPS-BoldMT" w:hAnsi="TimesNewRomanPS-BoldMT" w:cs="TimesNewRomanPS-BoldMT"/>
          <w:color w:val="000000"/>
          <w:sz w:val="20"/>
          <w:szCs w:val="20"/>
        </w:rPr>
        <w:t xml:space="preserve">, Novi Sad, Serbia, 2025, pp. 45–50,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10.1109/ZINC65316.2025.11103552.</w:t>
      </w:r>
    </w:p>
    <w:p w14:paraId="29CBAA17" w14:textId="77777777" w:rsidR="00275A8F" w:rsidRDefault="00275A8F">
      <w:pPr>
        <w:widowControl/>
        <w:spacing w:line="312" w:lineRule="auto"/>
      </w:pPr>
    </w:p>
    <w:p w14:paraId="0548F28D"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[7] A. Babu and A. </w:t>
      </w:r>
      <w:proofErr w:type="spellStart"/>
      <w:r>
        <w:rPr>
          <w:rFonts w:ascii="TimesNewRomanPS-BoldMT" w:eastAsia="TimesNewRomanPS-BoldMT" w:hAnsi="TimesNewRomanPS-BoldMT" w:cs="TimesNewRomanPS-BoldMT"/>
          <w:color w:val="000000"/>
          <w:sz w:val="20"/>
          <w:szCs w:val="20"/>
        </w:rPr>
        <w:t>Bagubali</w:t>
      </w:r>
      <w:proofErr w:type="spellEnd"/>
      <w:r>
        <w:rPr>
          <w:rFonts w:ascii="TimesNewRomanPS-BoldMT" w:eastAsia="TimesNewRomanPS-BoldMT" w:hAnsi="TimesNewRomanPS-BoldMT" w:cs="TimesNewRomanPS-BoldMT"/>
          <w:color w:val="000000"/>
          <w:sz w:val="20"/>
          <w:szCs w:val="20"/>
        </w:rPr>
        <w:t xml:space="preserve">, "Federated learning with Sailfish-optimized ensemble models for anomaly detection in IoT edge computing environment,"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52879–52897,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10.1109/ACCESS.2025.3554301.</w:t>
      </w:r>
    </w:p>
    <w:p w14:paraId="5A8DB58E" w14:textId="77777777" w:rsidR="00275A8F" w:rsidRDefault="00275A8F">
      <w:pPr>
        <w:widowControl/>
        <w:spacing w:line="312" w:lineRule="auto"/>
      </w:pPr>
    </w:p>
    <w:p w14:paraId="097AFA7B"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[8] Y. Li, K. Zhao, and L. Zhu, "Concept drift analysis based on Isolation Forest for effectively detecting network attack in IoT scenarios,"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14, pp. 1925–1939, Jan. 2026,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10.1109/ACCESS.2025.3650576.</w:t>
      </w:r>
    </w:p>
    <w:p w14:paraId="4DE7F7C1" w14:textId="77777777" w:rsidR="00275A8F" w:rsidRDefault="00275A8F">
      <w:pPr>
        <w:widowControl/>
        <w:spacing w:line="312" w:lineRule="auto"/>
      </w:pPr>
    </w:p>
    <w:p w14:paraId="5718945C"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[9] F. T. Liu, K. M. Ting, and Z.-H. Zhou, "Isolation-based anomaly detection," </w:t>
      </w:r>
      <w:r>
        <w:rPr>
          <w:rFonts w:ascii="TimesNewRomanPS-BoldMT" w:eastAsia="TimesNewRomanPS-BoldMT" w:hAnsi="TimesNewRomanPS-BoldMT" w:cs="TimesNewRomanPS-BoldMT"/>
          <w:i/>
          <w:iCs/>
          <w:color w:val="000000"/>
          <w:sz w:val="20"/>
          <w:szCs w:val="20"/>
        </w:rPr>
        <w:t xml:space="preserve">*ACM Trans. </w:t>
      </w:r>
      <w:proofErr w:type="spellStart"/>
      <w:r>
        <w:rPr>
          <w:rFonts w:ascii="TimesNewRomanPS-BoldMT" w:eastAsia="TimesNewRomanPS-BoldMT" w:hAnsi="TimesNewRomanPS-BoldMT" w:cs="TimesNewRomanPS-BoldMT"/>
          <w:i/>
          <w:iCs/>
          <w:color w:val="000000"/>
          <w:sz w:val="20"/>
          <w:szCs w:val="20"/>
        </w:rPr>
        <w:t>Knowl</w:t>
      </w:r>
      <w:proofErr w:type="spellEnd"/>
      <w:r>
        <w:rPr>
          <w:rFonts w:ascii="TimesNewRomanPS-BoldMT" w:eastAsia="TimesNewRomanPS-BoldMT" w:hAnsi="TimesNewRomanPS-BoldMT" w:cs="TimesNewRomanPS-BoldMT"/>
          <w:i/>
          <w:iCs/>
          <w:color w:val="000000"/>
          <w:sz w:val="20"/>
          <w:szCs w:val="20"/>
        </w:rPr>
        <w:t xml:space="preserve">. </w:t>
      </w:r>
      <w:proofErr w:type="spellStart"/>
      <w:r>
        <w:rPr>
          <w:rFonts w:ascii="TimesNewRomanPS-BoldMT" w:eastAsia="TimesNewRomanPS-BoldMT" w:hAnsi="TimesNewRomanPS-BoldMT" w:cs="TimesNewRomanPS-BoldMT"/>
          <w:i/>
          <w:iCs/>
          <w:color w:val="000000"/>
          <w:sz w:val="20"/>
          <w:szCs w:val="20"/>
        </w:rPr>
        <w:t>Discov</w:t>
      </w:r>
      <w:proofErr w:type="spellEnd"/>
      <w:r>
        <w:rPr>
          <w:rFonts w:ascii="TimesNewRomanPS-BoldMT" w:eastAsia="TimesNewRomanPS-BoldMT" w:hAnsi="TimesNewRomanPS-BoldMT" w:cs="TimesNewRomanPS-BoldMT"/>
          <w:i/>
          <w:iCs/>
          <w:color w:val="000000"/>
          <w:sz w:val="20"/>
          <w:szCs w:val="20"/>
        </w:rPr>
        <w:t>. Data*</w:t>
      </w:r>
      <w:r>
        <w:rPr>
          <w:rFonts w:ascii="TimesNewRomanPS-BoldMT" w:eastAsia="TimesNewRomanPS-BoldMT" w:hAnsi="TimesNewRomanPS-BoldMT" w:cs="TimesNewRomanPS-BoldMT"/>
          <w:color w:val="000000"/>
          <w:sz w:val="20"/>
          <w:szCs w:val="20"/>
        </w:rPr>
        <w:t xml:space="preserve">, vol. 6, no. 1, pp. 3:1–3:39, Mar. 2012,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10.1145/2133360.2133363.</w:t>
      </w:r>
    </w:p>
    <w:p w14:paraId="650060D1" w14:textId="77777777" w:rsidR="00275A8F" w:rsidRDefault="00275A8F">
      <w:pPr>
        <w:widowControl/>
        <w:spacing w:line="312" w:lineRule="auto"/>
      </w:pPr>
    </w:p>
    <w:p w14:paraId="5A8F1222"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lastRenderedPageBreak/>
        <w:t xml:space="preserve">[10] M. A. Azad et al., "Improving IoT security with explainable AI: Quantitative evaluation of explainability for IoT botnet detection," </w:t>
      </w:r>
      <w:r>
        <w:rPr>
          <w:rFonts w:ascii="TimesNewRomanPS-BoldMT" w:eastAsia="TimesNewRomanPS-BoldMT" w:hAnsi="TimesNewRomanPS-BoldMT" w:cs="TimesNewRomanPS-BoldMT"/>
          <w:i/>
          <w:iCs/>
          <w:color w:val="000000"/>
          <w:sz w:val="20"/>
          <w:szCs w:val="20"/>
        </w:rPr>
        <w:t>*IEEE Internet Things J.*</w:t>
      </w:r>
      <w:r>
        <w:rPr>
          <w:rFonts w:ascii="TimesNewRomanPS-BoldMT" w:eastAsia="TimesNewRomanPS-BoldMT" w:hAnsi="TimesNewRomanPS-BoldMT" w:cs="TimesNewRomanPS-BoldMT"/>
          <w:color w:val="000000"/>
          <w:sz w:val="20"/>
          <w:szCs w:val="20"/>
        </w:rPr>
        <w:t xml:space="preserve">, vol. 11, no. 10, pp. 18237–18254, May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10.1109/JIOT.2024.3360626.</w:t>
      </w:r>
    </w:p>
    <w:p w14:paraId="3DB784E2" w14:textId="77777777" w:rsidR="00275A8F" w:rsidRDefault="00275A8F">
      <w:pPr>
        <w:widowControl/>
        <w:spacing w:line="312" w:lineRule="auto"/>
      </w:pPr>
    </w:p>
    <w:p w14:paraId="4471A679"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[11] R. Kumar and N. Singh, "Integrating explainable artificial intelligence in anomaly detection for threat management in e-commerce platforms,"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8421–8438,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10.1109/ACCESS.2025.3524584.</w:t>
      </w:r>
    </w:p>
    <w:p w14:paraId="570C37AA" w14:textId="77777777" w:rsidR="00275A8F" w:rsidRDefault="00275A8F">
      <w:pPr>
        <w:widowControl/>
        <w:spacing w:line="312" w:lineRule="auto"/>
      </w:pPr>
    </w:p>
    <w:p w14:paraId="0AC04815"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[12] H. Zhang, Y. Wang, and S. Li, "Explainable anomaly detection based on operational sequences in industrial control systems,"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34789–34805, Apr.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10.1109/ACCESS.2025.3478921.</w:t>
      </w:r>
    </w:p>
    <w:p w14:paraId="0D9A0082" w14:textId="77777777" w:rsidR="00275A8F" w:rsidRDefault="00275A8F">
      <w:pPr>
        <w:widowControl/>
        <w:spacing w:line="312" w:lineRule="auto"/>
      </w:pPr>
    </w:p>
    <w:p w14:paraId="68123B83"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[13] G. Chandu, T. Karthik, and B. Parag, "Federated learning for distributed IoT security: A privacy-preserving approach to intrusion detection (HADA-FL),"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12543–12558,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10.1109/ACCESS.2025.3533924.</w:t>
      </w:r>
    </w:p>
    <w:p w14:paraId="1E820AF3" w14:textId="77777777" w:rsidR="00275A8F" w:rsidRDefault="00275A8F">
      <w:pPr>
        <w:widowControl/>
        <w:spacing w:line="312" w:lineRule="auto"/>
      </w:pPr>
    </w:p>
    <w:p w14:paraId="7DEAD780"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[14] S. S. Kim, J. H. Park, and Y. S. Lee, "Federated learning with explainable AI for malicious traffic detection in IoT networks,"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2489–2505,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10.1109/ACCESS.2025.3508006.</w:t>
      </w:r>
    </w:p>
    <w:p w14:paraId="355A57CA" w14:textId="77777777" w:rsidR="00275A8F" w:rsidRDefault="00275A8F">
      <w:pPr>
        <w:widowControl/>
        <w:spacing w:line="312" w:lineRule="auto"/>
      </w:pPr>
    </w:p>
    <w:p w14:paraId="65E6B7D2"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[15] J. Cai, J. Chen, T. Zhang, X. Luo, X. Sun, and B. Li, "Detecting reentrancy vulnerabilities for Solidity smart contracts with contract standards-based rules," </w:t>
      </w:r>
      <w:r>
        <w:rPr>
          <w:rFonts w:ascii="TimesNewRomanPS-BoldMT" w:eastAsia="TimesNewRomanPS-BoldMT" w:hAnsi="TimesNewRomanPS-BoldMT" w:cs="TimesNewRomanPS-BoldMT"/>
          <w:i/>
          <w:iCs/>
          <w:color w:val="000000"/>
          <w:sz w:val="20"/>
          <w:szCs w:val="20"/>
        </w:rPr>
        <w:t>*IEEE Trans. Inf. Forensics Security*</w:t>
      </w:r>
      <w:r>
        <w:rPr>
          <w:rFonts w:ascii="TimesNewRomanPS-BoldMT" w:eastAsia="TimesNewRomanPS-BoldMT" w:hAnsi="TimesNewRomanPS-BoldMT" w:cs="TimesNewRomanPS-BoldMT"/>
          <w:color w:val="000000"/>
          <w:sz w:val="20"/>
          <w:szCs w:val="20"/>
        </w:rPr>
        <w:t xml:space="preserve">, vol. 20, pp. 3512–3527,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10.1109/TIFS.2025.3551535.</w:t>
      </w:r>
    </w:p>
    <w:p w14:paraId="5F26F284" w14:textId="77777777" w:rsidR="00275A8F" w:rsidRDefault="00275A8F">
      <w:pPr>
        <w:widowControl/>
        <w:spacing w:line="312" w:lineRule="auto"/>
      </w:pPr>
    </w:p>
    <w:p w14:paraId="74329C20"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[16] X. Deng, S. M. </w:t>
      </w:r>
      <w:proofErr w:type="spellStart"/>
      <w:r>
        <w:rPr>
          <w:rFonts w:ascii="TimesNewRomanPS-BoldMT" w:eastAsia="TimesNewRomanPS-BoldMT" w:hAnsi="TimesNewRomanPS-BoldMT" w:cs="TimesNewRomanPS-BoldMT"/>
          <w:color w:val="000000"/>
          <w:sz w:val="20"/>
          <w:szCs w:val="20"/>
        </w:rPr>
        <w:t>Beillahi</w:t>
      </w:r>
      <w:proofErr w:type="spellEnd"/>
      <w:r>
        <w:rPr>
          <w:rFonts w:ascii="TimesNewRomanPS-BoldMT" w:eastAsia="TimesNewRomanPS-BoldMT" w:hAnsi="TimesNewRomanPS-BoldMT" w:cs="TimesNewRomanPS-BoldMT"/>
          <w:color w:val="000000"/>
          <w:sz w:val="20"/>
          <w:szCs w:val="20"/>
        </w:rPr>
        <w:t xml:space="preserve">, C. </w:t>
      </w:r>
      <w:proofErr w:type="spellStart"/>
      <w:r>
        <w:rPr>
          <w:rFonts w:ascii="TimesNewRomanPS-BoldMT" w:eastAsia="TimesNewRomanPS-BoldMT" w:hAnsi="TimesNewRomanPS-BoldMT" w:cs="TimesNewRomanPS-BoldMT"/>
          <w:color w:val="000000"/>
          <w:sz w:val="20"/>
          <w:szCs w:val="20"/>
        </w:rPr>
        <w:t>Minwalla</w:t>
      </w:r>
      <w:proofErr w:type="spellEnd"/>
      <w:r>
        <w:rPr>
          <w:rFonts w:ascii="TimesNewRomanPS-BoldMT" w:eastAsia="TimesNewRomanPS-BoldMT" w:hAnsi="TimesNewRomanPS-BoldMT" w:cs="TimesNewRomanPS-BoldMT"/>
          <w:color w:val="000000"/>
          <w:sz w:val="20"/>
          <w:szCs w:val="20"/>
        </w:rPr>
        <w:t xml:space="preserve">, H. Du, A. Veneris, and F. Long, "Safeguarding DeFi smart contracts against oracle deviations," in </w:t>
      </w:r>
      <w:r>
        <w:rPr>
          <w:rFonts w:ascii="TimesNewRomanPS-BoldMT" w:eastAsia="TimesNewRomanPS-BoldMT" w:hAnsi="TimesNewRomanPS-BoldMT" w:cs="TimesNewRomanPS-BoldMT"/>
          <w:i/>
          <w:iCs/>
          <w:color w:val="000000"/>
          <w:sz w:val="20"/>
          <w:szCs w:val="20"/>
        </w:rPr>
        <w:t>*Proc. IEEE/ACM 46th Int. Conf. Software Engineering (ICSE '</w:t>
      </w:r>
      <w:proofErr w:type="gramStart"/>
      <w:r>
        <w:rPr>
          <w:rFonts w:ascii="TimesNewRomanPS-BoldMT" w:eastAsia="TimesNewRomanPS-BoldMT" w:hAnsi="TimesNewRomanPS-BoldMT" w:cs="TimesNewRomanPS-BoldMT"/>
          <w:i/>
          <w:iCs/>
          <w:color w:val="000000"/>
          <w:sz w:val="20"/>
          <w:szCs w:val="20"/>
        </w:rPr>
        <w:t>24)*</w:t>
      </w:r>
      <w:proofErr w:type="gramEnd"/>
      <w:r>
        <w:rPr>
          <w:rFonts w:ascii="TimesNewRomanPS-BoldMT" w:eastAsia="TimesNewRomanPS-BoldMT" w:hAnsi="TimesNewRomanPS-BoldMT" w:cs="TimesNewRomanPS-BoldMT"/>
          <w:color w:val="000000"/>
          <w:sz w:val="20"/>
          <w:szCs w:val="20"/>
        </w:rPr>
        <w:t xml:space="preserve">, Lisbon, Portugal, 2024, pp. 345–357,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10.1145/3597503.3639225.</w:t>
      </w:r>
    </w:p>
    <w:p w14:paraId="549C6039" w14:textId="77777777" w:rsidR="00275A8F" w:rsidRDefault="00275A8F">
      <w:pPr>
        <w:widowControl/>
        <w:spacing w:line="312" w:lineRule="auto"/>
      </w:pPr>
    </w:p>
    <w:p w14:paraId="0E245A6E" w14:textId="77777777" w:rsidR="00275A8F" w:rsidRDefault="00000000">
      <w:pPr>
        <w:widowControl/>
        <w:spacing w:line="312" w:lineRule="auto"/>
        <w:rPr>
          <w:rFonts w:ascii="TimesNewRomanPS-BoldMT" w:eastAsia="TimesNewRomanPS-BoldMT" w:hAnsi="TimesNewRomanPS-BoldMT" w:cs="TimesNewRomanPS-BoldMT"/>
          <w:color w:val="000000"/>
          <w:sz w:val="20"/>
          <w:szCs w:val="20"/>
        </w:rPr>
      </w:pPr>
      <w:r>
        <w:rPr>
          <w:rFonts w:ascii="TimesNewRomanPS-BoldMT" w:eastAsia="TimesNewRomanPS-BoldMT" w:hAnsi="TimesNewRomanPS-BoldMT" w:cs="TimesNewRomanPS-BoldMT"/>
          <w:color w:val="000000"/>
          <w:sz w:val="20"/>
          <w:szCs w:val="20"/>
        </w:rPr>
        <w:t xml:space="preserve">[17] </w:t>
      </w:r>
      <w:proofErr w:type="spellStart"/>
      <w:r>
        <w:rPr>
          <w:rFonts w:ascii="TimesNewRomanPS-BoldMT" w:eastAsia="TimesNewRomanPS-BoldMT" w:hAnsi="TimesNewRomanPS-BoldMT" w:cs="TimesNewRomanPS-BoldMT"/>
          <w:color w:val="000000"/>
          <w:sz w:val="20"/>
          <w:szCs w:val="20"/>
        </w:rPr>
        <w:t>OpenZeppelin</w:t>
      </w:r>
      <w:proofErr w:type="spellEnd"/>
      <w:r>
        <w:rPr>
          <w:rFonts w:ascii="TimesNewRomanPS-BoldMT" w:eastAsia="TimesNewRomanPS-BoldMT" w:hAnsi="TimesNewRomanPS-BoldMT" w:cs="TimesNewRomanPS-BoldMT"/>
          <w:color w:val="000000"/>
          <w:sz w:val="20"/>
          <w:szCs w:val="20"/>
        </w:rPr>
        <w:t xml:space="preserve">, "Contracts v5.0: Solidity libraries for secure smart contract development (ECDSA, </w:t>
      </w:r>
      <w:proofErr w:type="spellStart"/>
      <w:r>
        <w:rPr>
          <w:rFonts w:ascii="TimesNewRomanPS-BoldMT" w:eastAsia="TimesNewRomanPS-BoldMT" w:hAnsi="TimesNewRomanPS-BoldMT" w:cs="TimesNewRomanPS-BoldMT"/>
          <w:color w:val="000000"/>
          <w:sz w:val="20"/>
          <w:szCs w:val="20"/>
        </w:rPr>
        <w:t>ReentrancyGuard</w:t>
      </w:r>
      <w:proofErr w:type="spellEnd"/>
      <w:r>
        <w:rPr>
          <w:rFonts w:ascii="TimesNewRomanPS-BoldMT" w:eastAsia="TimesNewRomanPS-BoldMT" w:hAnsi="TimesNewRomanPS-BoldMT" w:cs="TimesNewRomanPS-BoldMT"/>
          <w:color w:val="000000"/>
          <w:sz w:val="20"/>
          <w:szCs w:val="20"/>
        </w:rPr>
        <w:t xml:space="preserve">, </w:t>
      </w:r>
      <w:proofErr w:type="spellStart"/>
      <w:r>
        <w:rPr>
          <w:rFonts w:ascii="TimesNewRomanPS-BoldMT" w:eastAsia="TimesNewRomanPS-BoldMT" w:hAnsi="TimesNewRomanPS-BoldMT" w:cs="TimesNewRomanPS-BoldMT"/>
          <w:color w:val="000000"/>
          <w:sz w:val="20"/>
          <w:szCs w:val="20"/>
        </w:rPr>
        <w:t>AccessControl</w:t>
      </w:r>
      <w:proofErr w:type="spellEnd"/>
      <w:r>
        <w:rPr>
          <w:rFonts w:ascii="TimesNewRomanPS-BoldMT" w:eastAsia="TimesNewRomanPS-BoldMT" w:hAnsi="TimesNewRomanPS-BoldMT" w:cs="TimesNewRomanPS-BoldMT"/>
          <w:color w:val="000000"/>
          <w:sz w:val="20"/>
          <w:szCs w:val="20"/>
        </w:rPr>
        <w:t xml:space="preserve">, </w:t>
      </w:r>
      <w:proofErr w:type="spellStart"/>
      <w:r>
        <w:rPr>
          <w:rFonts w:ascii="TimesNewRomanPS-BoldMT" w:eastAsia="TimesNewRomanPS-BoldMT" w:hAnsi="TimesNewRomanPS-BoldMT" w:cs="TimesNewRomanPS-BoldMT"/>
          <w:color w:val="000000"/>
          <w:sz w:val="20"/>
          <w:szCs w:val="20"/>
        </w:rPr>
        <w:t>MerkleProof</w:t>
      </w:r>
      <w:proofErr w:type="spellEnd"/>
      <w:r>
        <w:rPr>
          <w:rFonts w:ascii="TimesNewRomanPS-BoldMT" w:eastAsia="TimesNewRomanPS-BoldMT" w:hAnsi="TimesNewRomanPS-BoldMT" w:cs="TimesNewRomanPS-BoldMT"/>
          <w:color w:val="000000"/>
          <w:sz w:val="20"/>
          <w:szCs w:val="20"/>
        </w:rPr>
        <w:t>)," 2024. [Online]. Available: https://github.com/OpenZeppelin/openzeppelin-contracts</w:t>
      </w:r>
    </w:p>
    <w:p w14:paraId="23ADDAC5" w14:textId="77777777" w:rsidR="00275A8F" w:rsidRDefault="00275A8F">
      <w:pPr>
        <w:widowControl/>
        <w:spacing w:line="312" w:lineRule="auto"/>
      </w:pPr>
    </w:p>
    <w:p w14:paraId="5FAE82DE"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[18] A. Pasdar, Y. C. Lee, and Z. Dong, "Connect API with blockchain: A survey on blockchain oracle implementation," </w:t>
      </w:r>
      <w:r>
        <w:rPr>
          <w:rFonts w:ascii="TimesNewRomanPS-BoldMT" w:eastAsia="TimesNewRomanPS-BoldMT" w:hAnsi="TimesNewRomanPS-BoldMT" w:cs="TimesNewRomanPS-BoldMT"/>
          <w:i/>
          <w:iCs/>
          <w:color w:val="000000"/>
          <w:sz w:val="20"/>
          <w:szCs w:val="20"/>
        </w:rPr>
        <w:t xml:space="preserve">*ACM </w:t>
      </w:r>
      <w:proofErr w:type="spellStart"/>
      <w:r>
        <w:rPr>
          <w:rFonts w:ascii="TimesNewRomanPS-BoldMT" w:eastAsia="TimesNewRomanPS-BoldMT" w:hAnsi="TimesNewRomanPS-BoldMT" w:cs="TimesNewRomanPS-BoldMT"/>
          <w:i/>
          <w:iCs/>
          <w:color w:val="000000"/>
          <w:sz w:val="20"/>
          <w:szCs w:val="20"/>
        </w:rPr>
        <w:t>Comput</w:t>
      </w:r>
      <w:proofErr w:type="spellEnd"/>
      <w:r>
        <w:rPr>
          <w:rFonts w:ascii="TimesNewRomanPS-BoldMT" w:eastAsia="TimesNewRomanPS-BoldMT" w:hAnsi="TimesNewRomanPS-BoldMT" w:cs="TimesNewRomanPS-BoldMT"/>
          <w:i/>
          <w:iCs/>
          <w:color w:val="000000"/>
          <w:sz w:val="20"/>
          <w:szCs w:val="20"/>
        </w:rPr>
        <w:t xml:space="preserve">. </w:t>
      </w:r>
      <w:proofErr w:type="spellStart"/>
      <w:proofErr w:type="gramStart"/>
      <w:r>
        <w:rPr>
          <w:rFonts w:ascii="TimesNewRomanPS-BoldMT" w:eastAsia="TimesNewRomanPS-BoldMT" w:hAnsi="TimesNewRomanPS-BoldMT" w:cs="TimesNewRomanPS-BoldMT"/>
          <w:i/>
          <w:iCs/>
          <w:color w:val="000000"/>
          <w:sz w:val="20"/>
          <w:szCs w:val="20"/>
        </w:rPr>
        <w:t>Surv</w:t>
      </w:r>
      <w:proofErr w:type="spellEnd"/>
      <w:r>
        <w:rPr>
          <w:rFonts w:ascii="TimesNewRomanPS-BoldMT" w:eastAsia="TimesNewRomanPS-BoldMT" w:hAnsi="TimesNewRomanPS-BoldMT" w:cs="TimesNewRomanPS-BoldMT"/>
          <w:i/>
          <w:iCs/>
          <w:color w:val="000000"/>
          <w:sz w:val="20"/>
          <w:szCs w:val="20"/>
        </w:rPr>
        <w:t>.*</w:t>
      </w:r>
      <w:proofErr w:type="gramEnd"/>
      <w:r>
        <w:rPr>
          <w:rFonts w:ascii="TimesNewRomanPS-BoldMT" w:eastAsia="TimesNewRomanPS-BoldMT" w:hAnsi="TimesNewRomanPS-BoldMT" w:cs="TimesNewRomanPS-BoldMT"/>
          <w:color w:val="000000"/>
          <w:sz w:val="20"/>
          <w:szCs w:val="20"/>
        </w:rPr>
        <w:t xml:space="preserve">, vol. 55, no. 10, pp. 1–39, Oct. 2023,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10.1145/3567582.</w:t>
      </w:r>
    </w:p>
    <w:p w14:paraId="44DF6D8B" w14:textId="77777777" w:rsidR="00275A8F" w:rsidRDefault="00275A8F">
      <w:pPr>
        <w:widowControl/>
        <w:spacing w:line="312" w:lineRule="auto"/>
      </w:pPr>
    </w:p>
    <w:p w14:paraId="4A7A40BE"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[19] W. Villegas-Ch, J. García-Ortiz, and S. Sánchez-Viteri, "Lightweight blockchain for authentication and authorization in resource-constrained IoT networks,"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38542–38559,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10.1109/ACCESS.2025.3551261.</w:t>
      </w:r>
    </w:p>
    <w:p w14:paraId="4F128B4B" w14:textId="77777777" w:rsidR="00275A8F" w:rsidRDefault="00275A8F">
      <w:pPr>
        <w:widowControl/>
        <w:spacing w:line="312" w:lineRule="auto"/>
      </w:pPr>
    </w:p>
    <w:p w14:paraId="1576A706"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[20] E. Sud, S. Agarwal, and L. Upadhyay, "The power I know: Zero-knowledge proofs and their transformative role in the future of cryptography,"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45210–45228, Aug.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10.1109/ACCESS.2025.3599555.</w:t>
      </w:r>
    </w:p>
    <w:p w14:paraId="03F23E71" w14:textId="77777777" w:rsidR="00275A8F" w:rsidRDefault="00275A8F">
      <w:pPr>
        <w:widowControl/>
        <w:spacing w:line="312" w:lineRule="auto"/>
      </w:pPr>
    </w:p>
    <w:p w14:paraId="7F521D6F"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[21] S. Malik, V. </w:t>
      </w:r>
      <w:proofErr w:type="spellStart"/>
      <w:r>
        <w:rPr>
          <w:rFonts w:ascii="TimesNewRomanPS-BoldMT" w:eastAsia="TimesNewRomanPS-BoldMT" w:hAnsi="TimesNewRomanPS-BoldMT" w:cs="TimesNewRomanPS-BoldMT"/>
          <w:color w:val="000000"/>
          <w:sz w:val="20"/>
          <w:szCs w:val="20"/>
        </w:rPr>
        <w:t>Dedeoglu</w:t>
      </w:r>
      <w:proofErr w:type="spellEnd"/>
      <w:r>
        <w:rPr>
          <w:rFonts w:ascii="TimesNewRomanPS-BoldMT" w:eastAsia="TimesNewRomanPS-BoldMT" w:hAnsi="TimesNewRomanPS-BoldMT" w:cs="TimesNewRomanPS-BoldMT"/>
          <w:color w:val="000000"/>
          <w:sz w:val="20"/>
          <w:szCs w:val="20"/>
        </w:rPr>
        <w:t xml:space="preserve">, S. S. Kanhere, and R. </w:t>
      </w:r>
      <w:proofErr w:type="spellStart"/>
      <w:r>
        <w:rPr>
          <w:rFonts w:ascii="TimesNewRomanPS-BoldMT" w:eastAsia="TimesNewRomanPS-BoldMT" w:hAnsi="TimesNewRomanPS-BoldMT" w:cs="TimesNewRomanPS-BoldMT"/>
          <w:color w:val="000000"/>
          <w:sz w:val="20"/>
          <w:szCs w:val="20"/>
        </w:rPr>
        <w:t>Jurdak</w:t>
      </w:r>
      <w:proofErr w:type="spellEnd"/>
      <w:r>
        <w:rPr>
          <w:rFonts w:ascii="TimesNewRomanPS-BoldMT" w:eastAsia="TimesNewRomanPS-BoldMT" w:hAnsi="TimesNewRomanPS-BoldMT" w:cs="TimesNewRomanPS-BoldMT"/>
          <w:color w:val="000000"/>
          <w:sz w:val="20"/>
          <w:szCs w:val="20"/>
        </w:rPr>
        <w:t>, "</w:t>
      </w:r>
      <w:proofErr w:type="spellStart"/>
      <w:r>
        <w:rPr>
          <w:rFonts w:ascii="TimesNewRomanPS-BoldMT" w:eastAsia="TimesNewRomanPS-BoldMT" w:hAnsi="TimesNewRomanPS-BoldMT" w:cs="TimesNewRomanPS-BoldMT"/>
          <w:color w:val="000000"/>
          <w:sz w:val="20"/>
          <w:szCs w:val="20"/>
        </w:rPr>
        <w:t>TrustChain</w:t>
      </w:r>
      <w:proofErr w:type="spellEnd"/>
      <w:r>
        <w:rPr>
          <w:rFonts w:ascii="TimesNewRomanPS-BoldMT" w:eastAsia="TimesNewRomanPS-BoldMT" w:hAnsi="TimesNewRomanPS-BoldMT" w:cs="TimesNewRomanPS-BoldMT"/>
          <w:color w:val="000000"/>
          <w:sz w:val="20"/>
          <w:szCs w:val="20"/>
        </w:rPr>
        <w:t xml:space="preserve">: Trust management in blockchain and IoT supported supply chains," in </w:t>
      </w:r>
      <w:r>
        <w:rPr>
          <w:rFonts w:ascii="TimesNewRomanPS-BoldMT" w:eastAsia="TimesNewRomanPS-BoldMT" w:hAnsi="TimesNewRomanPS-BoldMT" w:cs="TimesNewRomanPS-BoldMT"/>
          <w:i/>
          <w:iCs/>
          <w:color w:val="000000"/>
          <w:sz w:val="20"/>
          <w:szCs w:val="20"/>
        </w:rPr>
        <w:t>*Proc. IEEE Int. Conf. Blockchain (Blockchain)*</w:t>
      </w:r>
      <w:r>
        <w:rPr>
          <w:rFonts w:ascii="TimesNewRomanPS-BoldMT" w:eastAsia="TimesNewRomanPS-BoldMT" w:hAnsi="TimesNewRomanPS-BoldMT" w:cs="TimesNewRomanPS-BoldMT"/>
          <w:color w:val="000000"/>
          <w:sz w:val="20"/>
          <w:szCs w:val="20"/>
        </w:rPr>
        <w:t xml:space="preserve">, Atlanta, GA, USA, 2019, pp. 184–193,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10.1109/Blockchain.2019.00032.</w:t>
      </w:r>
    </w:p>
    <w:p w14:paraId="0C4027DC" w14:textId="77777777" w:rsidR="00275A8F" w:rsidRDefault="00275A8F">
      <w:pPr>
        <w:widowControl/>
        <w:spacing w:line="312" w:lineRule="auto"/>
      </w:pPr>
    </w:p>
    <w:p w14:paraId="1445D234"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lastRenderedPageBreak/>
        <w:t xml:space="preserve">[22] F. Casino, T. K. </w:t>
      </w:r>
      <w:proofErr w:type="spellStart"/>
      <w:r>
        <w:rPr>
          <w:rFonts w:ascii="TimesNewRomanPS-BoldMT" w:eastAsia="TimesNewRomanPS-BoldMT" w:hAnsi="TimesNewRomanPS-BoldMT" w:cs="TimesNewRomanPS-BoldMT"/>
          <w:color w:val="000000"/>
          <w:sz w:val="20"/>
          <w:szCs w:val="20"/>
        </w:rPr>
        <w:t>Dasaklis</w:t>
      </w:r>
      <w:proofErr w:type="spellEnd"/>
      <w:r>
        <w:rPr>
          <w:rFonts w:ascii="TimesNewRomanPS-BoldMT" w:eastAsia="TimesNewRomanPS-BoldMT" w:hAnsi="TimesNewRomanPS-BoldMT" w:cs="TimesNewRomanPS-BoldMT"/>
          <w:color w:val="000000"/>
          <w:sz w:val="20"/>
          <w:szCs w:val="20"/>
        </w:rPr>
        <w:t xml:space="preserve">, and C. Patsakis, "A systematic literature review of blockchain-based applications: Current status, classification and open issues," </w:t>
      </w:r>
      <w:r>
        <w:rPr>
          <w:rFonts w:ascii="TimesNewRomanPS-BoldMT" w:eastAsia="TimesNewRomanPS-BoldMT" w:hAnsi="TimesNewRomanPS-BoldMT" w:cs="TimesNewRomanPS-BoldMT"/>
          <w:i/>
          <w:iCs/>
          <w:color w:val="000000"/>
          <w:sz w:val="20"/>
          <w:szCs w:val="20"/>
        </w:rPr>
        <w:t>*</w:t>
      </w:r>
      <w:proofErr w:type="spellStart"/>
      <w:r>
        <w:rPr>
          <w:rFonts w:ascii="TimesNewRomanPS-BoldMT" w:eastAsia="TimesNewRomanPS-BoldMT" w:hAnsi="TimesNewRomanPS-BoldMT" w:cs="TimesNewRomanPS-BoldMT"/>
          <w:i/>
          <w:iCs/>
          <w:color w:val="000000"/>
          <w:sz w:val="20"/>
          <w:szCs w:val="20"/>
        </w:rPr>
        <w:t>Telemat</w:t>
      </w:r>
      <w:proofErr w:type="spellEnd"/>
      <w:r>
        <w:rPr>
          <w:rFonts w:ascii="TimesNewRomanPS-BoldMT" w:eastAsia="TimesNewRomanPS-BoldMT" w:hAnsi="TimesNewRomanPS-BoldMT" w:cs="TimesNewRomanPS-BoldMT"/>
          <w:i/>
          <w:iCs/>
          <w:color w:val="000000"/>
          <w:sz w:val="20"/>
          <w:szCs w:val="20"/>
        </w:rPr>
        <w:t xml:space="preserve">. </w:t>
      </w:r>
      <w:proofErr w:type="gramStart"/>
      <w:r>
        <w:rPr>
          <w:rFonts w:ascii="TimesNewRomanPS-BoldMT" w:eastAsia="TimesNewRomanPS-BoldMT" w:hAnsi="TimesNewRomanPS-BoldMT" w:cs="TimesNewRomanPS-BoldMT"/>
          <w:i/>
          <w:iCs/>
          <w:color w:val="000000"/>
          <w:sz w:val="20"/>
          <w:szCs w:val="20"/>
        </w:rPr>
        <w:t>Inform.*</w:t>
      </w:r>
      <w:proofErr w:type="gramEnd"/>
      <w:r>
        <w:rPr>
          <w:rFonts w:ascii="TimesNewRomanPS-BoldMT" w:eastAsia="TimesNewRomanPS-BoldMT" w:hAnsi="TimesNewRomanPS-BoldMT" w:cs="TimesNewRomanPS-BoldMT"/>
          <w:color w:val="000000"/>
          <w:sz w:val="20"/>
          <w:szCs w:val="20"/>
        </w:rPr>
        <w:t xml:space="preserve">, vol. 36, pp. 55–81, Mar. 2019,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10.1016/j.tele.2018.11.006.</w:t>
      </w:r>
    </w:p>
    <w:p w14:paraId="559DDFF8" w14:textId="77777777" w:rsidR="00275A8F" w:rsidRDefault="00275A8F">
      <w:pPr>
        <w:widowControl/>
        <w:spacing w:line="312" w:lineRule="auto"/>
      </w:pPr>
    </w:p>
    <w:p w14:paraId="24A60716"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[23] M. </w:t>
      </w:r>
      <w:proofErr w:type="spellStart"/>
      <w:r>
        <w:rPr>
          <w:rFonts w:ascii="TimesNewRomanPS-BoldMT" w:eastAsia="TimesNewRomanPS-BoldMT" w:hAnsi="TimesNewRomanPS-BoldMT" w:cs="TimesNewRomanPS-BoldMT"/>
          <w:color w:val="000000"/>
          <w:sz w:val="20"/>
          <w:szCs w:val="20"/>
        </w:rPr>
        <w:t>Wöhrer</w:t>
      </w:r>
      <w:proofErr w:type="spellEnd"/>
      <w:r>
        <w:rPr>
          <w:rFonts w:ascii="TimesNewRomanPS-BoldMT" w:eastAsia="TimesNewRomanPS-BoldMT" w:hAnsi="TimesNewRomanPS-BoldMT" w:cs="TimesNewRomanPS-BoldMT"/>
          <w:color w:val="000000"/>
          <w:sz w:val="20"/>
          <w:szCs w:val="20"/>
        </w:rPr>
        <w:t xml:space="preserve"> and U. Zdun, "Design patterns for smart contracts in the Ethereum ecosystem," in </w:t>
      </w:r>
      <w:r>
        <w:rPr>
          <w:rFonts w:ascii="TimesNewRomanPS-BoldMT" w:eastAsia="TimesNewRomanPS-BoldMT" w:hAnsi="TimesNewRomanPS-BoldMT" w:cs="TimesNewRomanPS-BoldMT"/>
          <w:i/>
          <w:iCs/>
          <w:color w:val="000000"/>
          <w:sz w:val="20"/>
          <w:szCs w:val="20"/>
        </w:rPr>
        <w:t>*Proc. IEEE Int. Conf. Internet Things (</w:t>
      </w:r>
      <w:proofErr w:type="spellStart"/>
      <w:r>
        <w:rPr>
          <w:rFonts w:ascii="TimesNewRomanPS-BoldMT" w:eastAsia="TimesNewRomanPS-BoldMT" w:hAnsi="TimesNewRomanPS-BoldMT" w:cs="TimesNewRomanPS-BoldMT"/>
          <w:i/>
          <w:iCs/>
          <w:color w:val="000000"/>
          <w:sz w:val="20"/>
          <w:szCs w:val="20"/>
        </w:rPr>
        <w:t>iThings</w:t>
      </w:r>
      <w:proofErr w:type="spellEnd"/>
      <w:r>
        <w:rPr>
          <w:rFonts w:ascii="TimesNewRomanPS-BoldMT" w:eastAsia="TimesNewRomanPS-BoldMT" w:hAnsi="TimesNewRomanPS-BoldMT" w:cs="TimesNewRomanPS-BoldMT"/>
          <w:i/>
          <w:iCs/>
          <w:color w:val="000000"/>
          <w:sz w:val="20"/>
          <w:szCs w:val="20"/>
        </w:rPr>
        <w:t>)*</w:t>
      </w:r>
      <w:r>
        <w:rPr>
          <w:rFonts w:ascii="TimesNewRomanPS-BoldMT" w:eastAsia="TimesNewRomanPS-BoldMT" w:hAnsi="TimesNewRomanPS-BoldMT" w:cs="TimesNewRomanPS-BoldMT"/>
          <w:color w:val="000000"/>
          <w:sz w:val="20"/>
          <w:szCs w:val="20"/>
        </w:rPr>
        <w:t xml:space="preserve">, Halifax, NS, Canada, 2018, pp. </w:t>
      </w:r>
      <w:proofErr w:type="gramStart"/>
      <w:r>
        <w:rPr>
          <w:rFonts w:ascii="TimesNewRomanPS-BoldMT" w:eastAsia="TimesNewRomanPS-BoldMT" w:hAnsi="TimesNewRomanPS-BoldMT" w:cs="TimesNewRomanPS-BoldMT"/>
          <w:color w:val="000000"/>
          <w:sz w:val="20"/>
          <w:szCs w:val="20"/>
        </w:rPr>
        <w:t>15131520,doi</w:t>
      </w:r>
      <w:proofErr w:type="gramEnd"/>
      <w:r>
        <w:rPr>
          <w:rFonts w:ascii="TimesNewRomanPS-BoldMT" w:eastAsia="TimesNewRomanPS-BoldMT" w:hAnsi="TimesNewRomanPS-BoldMT" w:cs="TimesNewRomanPS-BoldMT"/>
          <w:color w:val="000000"/>
          <w:sz w:val="20"/>
          <w:szCs w:val="20"/>
        </w:rPr>
        <w:t>:10.1109Cybermatics_2018.2018.00255.</w:t>
      </w:r>
    </w:p>
    <w:p w14:paraId="106A903E" w14:textId="77777777" w:rsidR="00275A8F" w:rsidRDefault="00275A8F">
      <w:pPr>
        <w:widowControl/>
        <w:spacing w:line="312" w:lineRule="auto"/>
      </w:pPr>
    </w:p>
    <w:p w14:paraId="632C454E"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[24] N. </w:t>
      </w:r>
      <w:proofErr w:type="spellStart"/>
      <w:r>
        <w:rPr>
          <w:rFonts w:ascii="TimesNewRomanPS-BoldMT" w:eastAsia="TimesNewRomanPS-BoldMT" w:hAnsi="TimesNewRomanPS-BoldMT" w:cs="TimesNewRomanPS-BoldMT"/>
          <w:color w:val="000000"/>
          <w:sz w:val="20"/>
          <w:szCs w:val="20"/>
        </w:rPr>
        <w:t>Atzei</w:t>
      </w:r>
      <w:proofErr w:type="spellEnd"/>
      <w:r>
        <w:rPr>
          <w:rFonts w:ascii="TimesNewRomanPS-BoldMT" w:eastAsia="TimesNewRomanPS-BoldMT" w:hAnsi="TimesNewRomanPS-BoldMT" w:cs="TimesNewRomanPS-BoldMT"/>
          <w:color w:val="000000"/>
          <w:sz w:val="20"/>
          <w:szCs w:val="20"/>
        </w:rPr>
        <w:t xml:space="preserve">, M. Bartoletti, and T. </w:t>
      </w:r>
      <w:proofErr w:type="spellStart"/>
      <w:r>
        <w:rPr>
          <w:rFonts w:ascii="TimesNewRomanPS-BoldMT" w:eastAsia="TimesNewRomanPS-BoldMT" w:hAnsi="TimesNewRomanPS-BoldMT" w:cs="TimesNewRomanPS-BoldMT"/>
          <w:color w:val="000000"/>
          <w:sz w:val="20"/>
          <w:szCs w:val="20"/>
        </w:rPr>
        <w:t>Cimoli</w:t>
      </w:r>
      <w:proofErr w:type="spellEnd"/>
      <w:r>
        <w:rPr>
          <w:rFonts w:ascii="TimesNewRomanPS-BoldMT" w:eastAsia="TimesNewRomanPS-BoldMT" w:hAnsi="TimesNewRomanPS-BoldMT" w:cs="TimesNewRomanPS-BoldMT"/>
          <w:color w:val="000000"/>
          <w:sz w:val="20"/>
          <w:szCs w:val="20"/>
        </w:rPr>
        <w:t>, "A survey of attacks on Ethereum smart contracts (</w:t>
      </w:r>
      <w:proofErr w:type="spellStart"/>
      <w:r>
        <w:rPr>
          <w:rFonts w:ascii="TimesNewRomanPS-BoldMT" w:eastAsia="TimesNewRomanPS-BoldMT" w:hAnsi="TimesNewRomanPS-BoldMT" w:cs="TimesNewRomanPS-BoldMT"/>
          <w:color w:val="000000"/>
          <w:sz w:val="20"/>
          <w:szCs w:val="20"/>
        </w:rPr>
        <w:t>SoK</w:t>
      </w:r>
      <w:proofErr w:type="spellEnd"/>
      <w:r>
        <w:rPr>
          <w:rFonts w:ascii="TimesNewRomanPS-BoldMT" w:eastAsia="TimesNewRomanPS-BoldMT" w:hAnsi="TimesNewRomanPS-BoldMT" w:cs="TimesNewRomanPS-BoldMT"/>
          <w:color w:val="000000"/>
          <w:sz w:val="20"/>
          <w:szCs w:val="20"/>
        </w:rPr>
        <w:t xml:space="preserve">)," in </w:t>
      </w:r>
      <w:r>
        <w:rPr>
          <w:rFonts w:ascii="TimesNewRomanPS-BoldMT" w:eastAsia="TimesNewRomanPS-BoldMT" w:hAnsi="TimesNewRomanPS-BoldMT" w:cs="TimesNewRomanPS-BoldMT"/>
          <w:i/>
          <w:iCs/>
          <w:color w:val="000000"/>
          <w:sz w:val="20"/>
          <w:szCs w:val="20"/>
        </w:rPr>
        <w:t>*Proc. Int. Conf. Principles Security Trust (POST)*</w:t>
      </w:r>
      <w:r>
        <w:rPr>
          <w:rFonts w:ascii="TimesNewRomanPS-BoldMT" w:eastAsia="TimesNewRomanPS-BoldMT" w:hAnsi="TimesNewRomanPS-BoldMT" w:cs="TimesNewRomanPS-BoldMT"/>
          <w:color w:val="000000"/>
          <w:sz w:val="20"/>
          <w:szCs w:val="20"/>
        </w:rPr>
        <w:t xml:space="preserve">, Uppsala, Sweden, 2017, pp. 164–186,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10.1007/978-3-662-54455-6_8.</w:t>
      </w:r>
    </w:p>
    <w:p w14:paraId="346BB6AD" w14:textId="77777777" w:rsidR="00275A8F" w:rsidRDefault="00275A8F">
      <w:pPr>
        <w:widowControl/>
        <w:spacing w:line="312" w:lineRule="auto"/>
      </w:pPr>
    </w:p>
    <w:p w14:paraId="234BCF8F"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[25] A. </w:t>
      </w:r>
      <w:proofErr w:type="spellStart"/>
      <w:r>
        <w:rPr>
          <w:rFonts w:ascii="TimesNewRomanPS-BoldMT" w:eastAsia="TimesNewRomanPS-BoldMT" w:hAnsi="TimesNewRomanPS-BoldMT" w:cs="TimesNewRomanPS-BoldMT"/>
          <w:color w:val="000000"/>
          <w:sz w:val="20"/>
          <w:szCs w:val="20"/>
        </w:rPr>
        <w:t>Boukerche</w:t>
      </w:r>
      <w:proofErr w:type="spellEnd"/>
      <w:r>
        <w:rPr>
          <w:rFonts w:ascii="TimesNewRomanPS-BoldMT" w:eastAsia="TimesNewRomanPS-BoldMT" w:hAnsi="TimesNewRomanPS-BoldMT" w:cs="TimesNewRomanPS-BoldMT"/>
          <w:color w:val="000000"/>
          <w:sz w:val="20"/>
          <w:szCs w:val="20"/>
        </w:rPr>
        <w:t xml:space="preserve">, L. Zheng, and O. </w:t>
      </w:r>
      <w:proofErr w:type="spellStart"/>
      <w:r>
        <w:rPr>
          <w:rFonts w:ascii="TimesNewRomanPS-BoldMT" w:eastAsia="TimesNewRomanPS-BoldMT" w:hAnsi="TimesNewRomanPS-BoldMT" w:cs="TimesNewRomanPS-BoldMT"/>
          <w:color w:val="000000"/>
          <w:sz w:val="20"/>
          <w:szCs w:val="20"/>
        </w:rPr>
        <w:t>Alfandi</w:t>
      </w:r>
      <w:proofErr w:type="spellEnd"/>
      <w:r>
        <w:rPr>
          <w:rFonts w:ascii="TimesNewRomanPS-BoldMT" w:eastAsia="TimesNewRomanPS-BoldMT" w:hAnsi="TimesNewRomanPS-BoldMT" w:cs="TimesNewRomanPS-BoldMT"/>
          <w:color w:val="000000"/>
          <w:sz w:val="20"/>
          <w:szCs w:val="20"/>
        </w:rPr>
        <w:t xml:space="preserve">, "Outlier detection: Methods, models, and classification," </w:t>
      </w:r>
      <w:r>
        <w:rPr>
          <w:rFonts w:ascii="TimesNewRomanPS-BoldMT" w:eastAsia="TimesNewRomanPS-BoldMT" w:hAnsi="TimesNewRomanPS-BoldMT" w:cs="TimesNewRomanPS-BoldMT"/>
          <w:i/>
          <w:iCs/>
          <w:color w:val="000000"/>
          <w:sz w:val="20"/>
          <w:szCs w:val="20"/>
        </w:rPr>
        <w:t xml:space="preserve">*ACM </w:t>
      </w:r>
      <w:proofErr w:type="spellStart"/>
      <w:r>
        <w:rPr>
          <w:rFonts w:ascii="TimesNewRomanPS-BoldMT" w:eastAsia="TimesNewRomanPS-BoldMT" w:hAnsi="TimesNewRomanPS-BoldMT" w:cs="TimesNewRomanPS-BoldMT"/>
          <w:i/>
          <w:iCs/>
          <w:color w:val="000000"/>
          <w:sz w:val="20"/>
          <w:szCs w:val="20"/>
        </w:rPr>
        <w:t>Comput</w:t>
      </w:r>
      <w:proofErr w:type="spellEnd"/>
      <w:r>
        <w:rPr>
          <w:rFonts w:ascii="TimesNewRomanPS-BoldMT" w:eastAsia="TimesNewRomanPS-BoldMT" w:hAnsi="TimesNewRomanPS-BoldMT" w:cs="TimesNewRomanPS-BoldMT"/>
          <w:i/>
          <w:iCs/>
          <w:color w:val="000000"/>
          <w:sz w:val="20"/>
          <w:szCs w:val="20"/>
        </w:rPr>
        <w:t xml:space="preserve">. </w:t>
      </w:r>
      <w:proofErr w:type="spellStart"/>
      <w:proofErr w:type="gramStart"/>
      <w:r>
        <w:rPr>
          <w:rFonts w:ascii="TimesNewRomanPS-BoldMT" w:eastAsia="TimesNewRomanPS-BoldMT" w:hAnsi="TimesNewRomanPS-BoldMT" w:cs="TimesNewRomanPS-BoldMT"/>
          <w:i/>
          <w:iCs/>
          <w:color w:val="000000"/>
          <w:sz w:val="20"/>
          <w:szCs w:val="20"/>
        </w:rPr>
        <w:t>Surv</w:t>
      </w:r>
      <w:proofErr w:type="spellEnd"/>
      <w:r>
        <w:rPr>
          <w:rFonts w:ascii="TimesNewRomanPS-BoldMT" w:eastAsia="TimesNewRomanPS-BoldMT" w:hAnsi="TimesNewRomanPS-BoldMT" w:cs="TimesNewRomanPS-BoldMT"/>
          <w:i/>
          <w:iCs/>
          <w:color w:val="000000"/>
          <w:sz w:val="20"/>
          <w:szCs w:val="20"/>
        </w:rPr>
        <w:t>.*</w:t>
      </w:r>
      <w:proofErr w:type="gramEnd"/>
      <w:r>
        <w:rPr>
          <w:rFonts w:ascii="TimesNewRomanPS-BoldMT" w:eastAsia="TimesNewRomanPS-BoldMT" w:hAnsi="TimesNewRomanPS-BoldMT" w:cs="TimesNewRomanPS-BoldMT"/>
          <w:color w:val="000000"/>
          <w:sz w:val="20"/>
          <w:szCs w:val="20"/>
        </w:rPr>
        <w:t xml:space="preserve">, vol. 53, no. 3, pp. 1–37, Jun. 2020,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10.1145/3381028.</w:t>
      </w:r>
    </w:p>
    <w:p w14:paraId="2E666A15" w14:textId="77777777" w:rsidR="00275A8F" w:rsidRDefault="00275A8F">
      <w:pPr>
        <w:widowControl/>
        <w:spacing w:line="312" w:lineRule="auto"/>
      </w:pPr>
    </w:p>
    <w:p w14:paraId="2A0065E5"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[26] H.-N. Dai, Z. Zheng, and Y. Zhang, "Blockchain for Internet of Things: A survey," </w:t>
      </w:r>
      <w:r>
        <w:rPr>
          <w:rFonts w:ascii="TimesNewRomanPS-BoldMT" w:eastAsia="TimesNewRomanPS-BoldMT" w:hAnsi="TimesNewRomanPS-BoldMT" w:cs="TimesNewRomanPS-BoldMT"/>
          <w:i/>
          <w:iCs/>
          <w:color w:val="000000"/>
          <w:sz w:val="20"/>
          <w:szCs w:val="20"/>
        </w:rPr>
        <w:t>*IEEE Internet Things J.*</w:t>
      </w:r>
      <w:r>
        <w:rPr>
          <w:rFonts w:ascii="TimesNewRomanPS-BoldMT" w:eastAsia="TimesNewRomanPS-BoldMT" w:hAnsi="TimesNewRomanPS-BoldMT" w:cs="TimesNewRomanPS-BoldMT"/>
          <w:color w:val="000000"/>
          <w:sz w:val="20"/>
          <w:szCs w:val="20"/>
        </w:rPr>
        <w:t xml:space="preserve">, vol. 6, no. 5, pp. 8076–8094, Oct. 2019,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10.1109/JIOT.2019.2920987.</w:t>
      </w:r>
    </w:p>
    <w:p w14:paraId="6C51D9DB" w14:textId="77777777" w:rsidR="00275A8F" w:rsidRDefault="00275A8F">
      <w:pPr>
        <w:widowControl/>
        <w:spacing w:line="312" w:lineRule="auto"/>
      </w:pPr>
    </w:p>
    <w:p w14:paraId="1B1F9455"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[27] J. Chen et al., "Bridging explainability and security: An XAI-enhanced hybrid deep learning framework for IoT device identification and attack detection,"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13, pp. 12945–12962, Jul.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10.1109/ACCESS.2025.3524584.</w:t>
      </w:r>
    </w:p>
    <w:p w14:paraId="258A3867" w14:textId="77777777" w:rsidR="00275A8F" w:rsidRDefault="00275A8F">
      <w:pPr>
        <w:widowControl/>
        <w:spacing w:line="312" w:lineRule="auto"/>
      </w:pPr>
    </w:p>
    <w:p w14:paraId="42A291BF"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[28] Y. Zhou et al., "Blockchain-assisted multifactor authentication framework for Internet of Medical Things," </w:t>
      </w:r>
      <w:r>
        <w:rPr>
          <w:rFonts w:ascii="TimesNewRomanPS-BoldMT" w:eastAsia="TimesNewRomanPS-BoldMT" w:hAnsi="TimesNewRomanPS-BoldMT" w:cs="TimesNewRomanPS-BoldMT"/>
          <w:i/>
          <w:iCs/>
          <w:color w:val="000000"/>
          <w:sz w:val="20"/>
          <w:szCs w:val="20"/>
        </w:rPr>
        <w:t>*IEEE Internet Things J.*</w:t>
      </w:r>
      <w:r>
        <w:rPr>
          <w:rFonts w:ascii="TimesNewRomanPS-BoldMT" w:eastAsia="TimesNewRomanPS-BoldMT" w:hAnsi="TimesNewRomanPS-BoldMT" w:cs="TimesNewRomanPS-BoldMT"/>
          <w:color w:val="000000"/>
          <w:sz w:val="20"/>
          <w:szCs w:val="20"/>
        </w:rPr>
        <w:t xml:space="preserve">, vol. 11, no. 10, pp. 18021–18037, May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10.1109/JIOT.2024.3360626.</w:t>
      </w:r>
    </w:p>
    <w:p w14:paraId="71BE2D6B" w14:textId="77777777" w:rsidR="00275A8F" w:rsidRDefault="00275A8F">
      <w:pPr>
        <w:widowControl/>
        <w:spacing w:line="312" w:lineRule="auto"/>
      </w:pPr>
    </w:p>
    <w:p w14:paraId="27E14454"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[29] S. Kumar and S. Banerjee, "Performance analysis of Polygon </w:t>
      </w:r>
      <w:proofErr w:type="spellStart"/>
      <w:r>
        <w:rPr>
          <w:rFonts w:ascii="TimesNewRomanPS-BoldMT" w:eastAsia="TimesNewRomanPS-BoldMT" w:hAnsi="TimesNewRomanPS-BoldMT" w:cs="TimesNewRomanPS-BoldMT"/>
          <w:color w:val="000000"/>
          <w:sz w:val="20"/>
          <w:szCs w:val="20"/>
        </w:rPr>
        <w:t>PoS</w:t>
      </w:r>
      <w:proofErr w:type="spellEnd"/>
      <w:r>
        <w:rPr>
          <w:rFonts w:ascii="TimesNewRomanPS-BoldMT" w:eastAsia="TimesNewRomanPS-BoldMT" w:hAnsi="TimesNewRomanPS-BoldMT" w:cs="TimesNewRomanPS-BoldMT"/>
          <w:color w:val="000000"/>
          <w:sz w:val="20"/>
          <w:szCs w:val="20"/>
        </w:rPr>
        <w:t xml:space="preserve"> for enterprise supply chain applications," in </w:t>
      </w:r>
      <w:r>
        <w:rPr>
          <w:rFonts w:ascii="TimesNewRomanPS-BoldMT" w:eastAsia="TimesNewRomanPS-BoldMT" w:hAnsi="TimesNewRomanPS-BoldMT" w:cs="TimesNewRomanPS-BoldMT"/>
          <w:i/>
          <w:iCs/>
          <w:color w:val="000000"/>
          <w:sz w:val="20"/>
          <w:szCs w:val="20"/>
        </w:rPr>
        <w:t>*Proc. IEEE Int. Conf. Blockchain*</w:t>
      </w:r>
      <w:r>
        <w:rPr>
          <w:rFonts w:ascii="TimesNewRomanPS-BoldMT" w:eastAsia="TimesNewRomanPS-BoldMT" w:hAnsi="TimesNewRomanPS-BoldMT" w:cs="TimesNewRomanPS-BoldMT"/>
          <w:color w:val="000000"/>
          <w:sz w:val="20"/>
          <w:szCs w:val="20"/>
        </w:rPr>
        <w:t xml:space="preserve">, Copenhagen, Denmark, 2024, pp. 88–95,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10.1109/Blockchain.2024.00015.</w:t>
      </w:r>
    </w:p>
    <w:p w14:paraId="08071812" w14:textId="77777777" w:rsidR="00275A8F" w:rsidRDefault="00275A8F">
      <w:pPr>
        <w:widowControl/>
        <w:spacing w:line="312" w:lineRule="auto"/>
      </w:pPr>
    </w:p>
    <w:p w14:paraId="13331DF1"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[30] M. Patel and R. Sharma, "Digital twin-enabled pharmaceutical cold chain monitoring: A blockchain-integrated framework for WHO GDP compliance," </w:t>
      </w:r>
      <w:r>
        <w:rPr>
          <w:rFonts w:ascii="TimesNewRomanPS-BoldMT" w:eastAsia="TimesNewRomanPS-BoldMT" w:hAnsi="TimesNewRomanPS-BoldMT" w:cs="TimesNewRomanPS-BoldMT"/>
          <w:i/>
          <w:iCs/>
          <w:color w:val="000000"/>
          <w:sz w:val="20"/>
          <w:szCs w:val="20"/>
        </w:rPr>
        <w:t xml:space="preserve">*IEEE Trans. Eng. </w:t>
      </w:r>
      <w:proofErr w:type="gramStart"/>
      <w:r>
        <w:rPr>
          <w:rFonts w:ascii="TimesNewRomanPS-BoldMT" w:eastAsia="TimesNewRomanPS-BoldMT" w:hAnsi="TimesNewRomanPS-BoldMT" w:cs="TimesNewRomanPS-BoldMT"/>
          <w:i/>
          <w:iCs/>
          <w:color w:val="000000"/>
          <w:sz w:val="20"/>
          <w:szCs w:val="20"/>
        </w:rPr>
        <w:t>Manage.*</w:t>
      </w:r>
      <w:proofErr w:type="gramEnd"/>
      <w:r>
        <w:rPr>
          <w:rFonts w:ascii="TimesNewRomanPS-BoldMT" w:eastAsia="TimesNewRomanPS-BoldMT" w:hAnsi="TimesNewRomanPS-BoldMT" w:cs="TimesNewRomanPS-BoldMT"/>
          <w:color w:val="000000"/>
          <w:sz w:val="20"/>
          <w:szCs w:val="20"/>
        </w:rPr>
        <w:t xml:space="preserve">, vol. 71, pp. 1024–1038,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10.1109/TEM.2023.3348813.</w:t>
      </w:r>
    </w:p>
    <w:p w14:paraId="2B107142" w14:textId="77777777" w:rsidR="00275A8F" w:rsidRDefault="00275A8F">
      <w:pPr>
        <w:widowControl/>
        <w:spacing w:line="312" w:lineRule="auto"/>
      </w:pPr>
    </w:p>
    <w:p w14:paraId="30D5A820"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[31] L. Wang et al., "A comprehensive survey on smart contract vulnerabilities: Taxonomy, detection, and mitigation," </w:t>
      </w:r>
      <w:r>
        <w:rPr>
          <w:rFonts w:ascii="TimesNewRomanPS-BoldMT" w:eastAsia="TimesNewRomanPS-BoldMT" w:hAnsi="TimesNewRomanPS-BoldMT" w:cs="TimesNewRomanPS-BoldMT"/>
          <w:i/>
          <w:iCs/>
          <w:color w:val="000000"/>
          <w:sz w:val="20"/>
          <w:szCs w:val="20"/>
        </w:rPr>
        <w:t>*IEEE Access*</w:t>
      </w:r>
      <w:r>
        <w:rPr>
          <w:rFonts w:ascii="TimesNewRomanPS-BoldMT" w:eastAsia="TimesNewRomanPS-BoldMT" w:hAnsi="TimesNewRomanPS-BoldMT" w:cs="TimesNewRomanPS-BoldMT"/>
          <w:color w:val="000000"/>
          <w:sz w:val="20"/>
          <w:szCs w:val="20"/>
        </w:rPr>
        <w:t xml:space="preserve">, vol. 12, pp. 45892–45915, 2024,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10.1109/ACCESS.2024.3382691.</w:t>
      </w:r>
    </w:p>
    <w:p w14:paraId="0F9FA17B" w14:textId="77777777" w:rsidR="00275A8F" w:rsidRDefault="00275A8F">
      <w:pPr>
        <w:widowControl/>
        <w:spacing w:line="312" w:lineRule="auto"/>
      </w:pPr>
    </w:p>
    <w:p w14:paraId="7A029497"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[32] K. R. Prasad and V. M. Rao, "Blockchain-enabled IoT security framework with edge intelligence for real-time threat detection," </w:t>
      </w:r>
      <w:r>
        <w:rPr>
          <w:rFonts w:ascii="TimesNewRomanPS-BoldMT" w:eastAsia="TimesNewRomanPS-BoldMT" w:hAnsi="TimesNewRomanPS-BoldMT" w:cs="TimesNewRomanPS-BoldMT"/>
          <w:i/>
          <w:iCs/>
          <w:color w:val="000000"/>
          <w:sz w:val="20"/>
          <w:szCs w:val="20"/>
        </w:rPr>
        <w:t>*IEEE Internet Things J.*</w:t>
      </w:r>
      <w:r>
        <w:rPr>
          <w:rFonts w:ascii="TimesNewRomanPS-BoldMT" w:eastAsia="TimesNewRomanPS-BoldMT" w:hAnsi="TimesNewRomanPS-BoldMT" w:cs="TimesNewRomanPS-BoldMT"/>
          <w:color w:val="000000"/>
          <w:sz w:val="20"/>
          <w:szCs w:val="20"/>
        </w:rPr>
        <w:t xml:space="preserve">, vol. 12, no. 1, pp. 450–464, Jan. 2025, </w:t>
      </w:r>
      <w:proofErr w:type="spellStart"/>
      <w:r>
        <w:rPr>
          <w:rFonts w:ascii="TimesNewRomanPS-BoldMT" w:eastAsia="TimesNewRomanPS-BoldMT" w:hAnsi="TimesNewRomanPS-BoldMT" w:cs="TimesNewRomanPS-BoldMT"/>
          <w:color w:val="000000"/>
          <w:sz w:val="20"/>
          <w:szCs w:val="20"/>
        </w:rPr>
        <w:t>doi</w:t>
      </w:r>
      <w:proofErr w:type="spellEnd"/>
      <w:r>
        <w:rPr>
          <w:rFonts w:ascii="TimesNewRomanPS-BoldMT" w:eastAsia="TimesNewRomanPS-BoldMT" w:hAnsi="TimesNewRomanPS-BoldMT" w:cs="TimesNewRomanPS-BoldMT"/>
          <w:color w:val="000000"/>
          <w:sz w:val="20"/>
          <w:szCs w:val="20"/>
        </w:rPr>
        <w:t>: 10.1109/JIOT.2024.3468950.</w:t>
      </w:r>
    </w:p>
    <w:p w14:paraId="500B6BCD" w14:textId="77777777" w:rsidR="00275A8F" w:rsidRDefault="00275A8F">
      <w:pPr>
        <w:widowControl/>
        <w:spacing w:line="312" w:lineRule="auto"/>
      </w:pPr>
    </w:p>
    <w:p w14:paraId="6133768E"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[33] J. R. Stark and A. L. Croft, "Privacy-preserving supply chain traceability: Leveraging zero-knowledge proofs in blockchain networks," </w:t>
      </w:r>
      <w:r>
        <w:rPr>
          <w:rFonts w:ascii="TimesNewRomanPS-BoldMT" w:eastAsia="TimesNewRomanPS-BoldMT" w:hAnsi="TimesNewRomanPS-BoldMT" w:cs="TimesNewRomanPS-BoldMT"/>
          <w:i/>
          <w:iCs/>
          <w:color w:val="000000"/>
          <w:sz w:val="20"/>
          <w:szCs w:val="20"/>
        </w:rPr>
        <w:t>*J. Blockchain Syst. Smart Contracts*</w:t>
      </w:r>
      <w:r>
        <w:rPr>
          <w:rFonts w:ascii="TimesNewRomanPS-BoldMT" w:eastAsia="TimesNewRomanPS-BoldMT" w:hAnsi="TimesNewRomanPS-BoldMT" w:cs="TimesNewRomanPS-BoldMT"/>
          <w:color w:val="000000"/>
          <w:sz w:val="20"/>
          <w:szCs w:val="20"/>
        </w:rPr>
        <w:t>, vol. 3, no. 2, pp. 112–129, 2025.</w:t>
      </w:r>
    </w:p>
    <w:p w14:paraId="0E5812AF" w14:textId="77777777" w:rsidR="00275A8F" w:rsidRDefault="00275A8F">
      <w:pPr>
        <w:widowControl/>
        <w:spacing w:line="312" w:lineRule="auto"/>
      </w:pPr>
    </w:p>
    <w:p w14:paraId="63D18908"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[34] H. G. Miller and P. N. Smith, "Real-time anomaly detection in industrial IoT using hybrid autoencoder-Isolation Forest approach," </w:t>
      </w:r>
      <w:r>
        <w:rPr>
          <w:rFonts w:ascii="TimesNewRomanPS-BoldMT" w:eastAsia="TimesNewRomanPS-BoldMT" w:hAnsi="TimesNewRomanPS-BoldMT" w:cs="TimesNewRomanPS-BoldMT"/>
          <w:i/>
          <w:iCs/>
          <w:color w:val="000000"/>
          <w:sz w:val="20"/>
          <w:szCs w:val="20"/>
        </w:rPr>
        <w:t>*Eng. Technol. Appl. Sci. Res.*</w:t>
      </w:r>
      <w:r>
        <w:rPr>
          <w:rFonts w:ascii="TimesNewRomanPS-BoldMT" w:eastAsia="TimesNewRomanPS-BoldMT" w:hAnsi="TimesNewRomanPS-BoldMT" w:cs="TimesNewRomanPS-BoldMT"/>
          <w:color w:val="000000"/>
          <w:sz w:val="20"/>
          <w:szCs w:val="20"/>
        </w:rPr>
        <w:t>, vol. 15, no. 1, pp. 114–120, 2025.</w:t>
      </w:r>
    </w:p>
    <w:p w14:paraId="7882E05A" w14:textId="77777777" w:rsidR="00275A8F" w:rsidRDefault="00275A8F">
      <w:pPr>
        <w:widowControl/>
        <w:spacing w:line="312" w:lineRule="auto"/>
      </w:pPr>
    </w:p>
    <w:p w14:paraId="4FE5E4D7" w14:textId="77777777" w:rsidR="00275A8F" w:rsidRDefault="00000000">
      <w:pPr>
        <w:widowControl/>
        <w:spacing w:line="312" w:lineRule="auto"/>
      </w:pPr>
      <w:r>
        <w:rPr>
          <w:rFonts w:ascii="TimesNewRomanPS-BoldMT" w:eastAsia="TimesNewRomanPS-BoldMT" w:hAnsi="TimesNewRomanPS-BoldMT" w:cs="TimesNewRomanPS-BoldMT"/>
          <w:color w:val="000000"/>
          <w:sz w:val="20"/>
          <w:szCs w:val="20"/>
        </w:rPr>
        <w:t xml:space="preserve">[35] M. F. Al-Saeed, "Dependability analysis of decentralized oracle networks using Semi-Markov Process models," </w:t>
      </w:r>
      <w:r>
        <w:rPr>
          <w:rFonts w:ascii="TimesNewRomanPS-BoldMT" w:eastAsia="TimesNewRomanPS-BoldMT" w:hAnsi="TimesNewRomanPS-BoldMT" w:cs="TimesNewRomanPS-BoldMT"/>
          <w:i/>
          <w:iCs/>
          <w:color w:val="000000"/>
          <w:sz w:val="20"/>
          <w:szCs w:val="20"/>
        </w:rPr>
        <w:t>*MDPI Mathematics*</w:t>
      </w:r>
      <w:r>
        <w:rPr>
          <w:rFonts w:ascii="TimesNewRomanPS-BoldMT" w:eastAsia="TimesNewRomanPS-BoldMT" w:hAnsi="TimesNewRomanPS-BoldMT" w:cs="TimesNewRomanPS-BoldMT"/>
          <w:color w:val="000000"/>
          <w:sz w:val="20"/>
          <w:szCs w:val="20"/>
        </w:rPr>
        <w:t>, vol. 13, no. 3, pp. 502–519, 2025.</w:t>
      </w:r>
    </w:p>
    <w:p w14:paraId="4188E798" w14:textId="77777777" w:rsidR="00275A8F" w:rsidRDefault="00275A8F">
      <w:pPr>
        <w:widowControl/>
        <w:spacing w:line="312" w:lineRule="auto"/>
      </w:pPr>
    </w:p>
    <w:p w14:paraId="3C2983BE" w14:textId="77777777" w:rsidR="00275A8F" w:rsidRDefault="00275A8F">
      <w:pPr>
        <w:widowControl/>
        <w:spacing w:line="312" w:lineRule="auto"/>
      </w:pPr>
    </w:p>
    <w:sectPr w:rsidR="00275A8F">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TimesNewRomanPS-Bold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75A8F"/>
    <w:rsid w:val="00275A8F"/>
    <w:rsid w:val="00F4299D"/>
    <w:rsid w:val="00FA1E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3A61"/>
  <w15:docId w15:val="{DC9BD840-7BE2-46AA-B396-3E321C3A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3061</Words>
  <Characters>17454</Characters>
  <Application>Microsoft Office Word</Application>
  <DocSecurity>0</DocSecurity>
  <Lines>145</Lines>
  <Paragraphs>40</Paragraphs>
  <ScaleCrop>false</ScaleCrop>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Vani HM</cp:lastModifiedBy>
  <cp:revision>1</cp:revision>
  <dcterms:created xsi:type="dcterms:W3CDTF">2026-05-29T14:30:00Z</dcterms:created>
  <dcterms:modified xsi:type="dcterms:W3CDTF">2026-05-29T14:33:00Z</dcterms:modified>
  <dc:language>en-US</dc:language>
</cp:coreProperties>
</file>