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1E350" w14:textId="77777777" w:rsidR="00B76F7B" w:rsidRPr="004B02E0" w:rsidRDefault="00B76F7B" w:rsidP="005B7CA4">
      <w:pPr>
        <w:spacing w:after="0" w:line="276" w:lineRule="auto"/>
        <w:jc w:val="center"/>
        <w:rPr>
          <w:rFonts w:eastAsia="Times New Roman" w:cs="Times New Roman"/>
          <w:b/>
          <w:bCs/>
          <w:sz w:val="28"/>
          <w:szCs w:val="28"/>
        </w:rPr>
      </w:pPr>
      <w:bookmarkStart w:id="0" w:name="_Toc234318331"/>
      <w:r w:rsidRPr="004B02E0">
        <w:rPr>
          <w:rFonts w:eastAsia="Times New Roman" w:cs="Times New Roman"/>
          <w:b/>
          <w:bCs/>
          <w:sz w:val="28"/>
          <w:szCs w:val="28"/>
        </w:rPr>
        <w:t>Family Income and its Association with Student Discipline in Public Boys’ Boarding Senior Schools in Kakamega County, Kenya</w:t>
      </w:r>
    </w:p>
    <w:p w14:paraId="6C80B047" w14:textId="77777777" w:rsidR="00B76F7B" w:rsidRDefault="00B76F7B" w:rsidP="005B7CA4">
      <w:pPr>
        <w:spacing w:after="0" w:line="276" w:lineRule="auto"/>
        <w:jc w:val="center"/>
        <w:rPr>
          <w:rFonts w:eastAsia="Times New Roman" w:cs="Times New Roman"/>
          <w:szCs w:val="24"/>
        </w:rPr>
      </w:pPr>
    </w:p>
    <w:p w14:paraId="2A95FAA4" w14:textId="39F6B61D" w:rsidR="00EF1EC1" w:rsidRPr="004B02E0" w:rsidRDefault="00EF1EC1" w:rsidP="005B7CA4">
      <w:pPr>
        <w:spacing w:after="0" w:line="276" w:lineRule="auto"/>
        <w:jc w:val="center"/>
        <w:rPr>
          <w:rFonts w:eastAsia="Times New Roman" w:cs="Times New Roman"/>
          <w:b/>
          <w:bCs/>
          <w:szCs w:val="24"/>
        </w:rPr>
      </w:pPr>
      <w:r w:rsidRPr="004B02E0">
        <w:rPr>
          <w:rFonts w:eastAsia="Times New Roman" w:cs="Times New Roman"/>
          <w:b/>
          <w:bCs/>
          <w:szCs w:val="24"/>
        </w:rPr>
        <w:t>Cornex N. Situma</w:t>
      </w:r>
      <w:r w:rsidR="00B76F7B" w:rsidRPr="004B02E0">
        <w:rPr>
          <w:rFonts w:eastAsia="Times New Roman" w:cs="Times New Roman"/>
          <w:b/>
          <w:bCs/>
          <w:szCs w:val="24"/>
          <w:vertAlign w:val="superscript"/>
        </w:rPr>
        <w:t>1</w:t>
      </w:r>
      <w:r w:rsidRPr="004B02E0">
        <w:rPr>
          <w:rFonts w:eastAsia="Times New Roman" w:cs="Times New Roman"/>
          <w:b/>
          <w:bCs/>
          <w:szCs w:val="24"/>
        </w:rPr>
        <w:t xml:space="preserve">, </w:t>
      </w:r>
      <w:r w:rsidRPr="004B02E0">
        <w:rPr>
          <w:rFonts w:eastAsia="Times New Roman" w:cs="Times New Roman"/>
          <w:b/>
          <w:bCs/>
          <w:szCs w:val="24"/>
        </w:rPr>
        <w:t>Dr. Jane Barasa</w:t>
      </w:r>
      <w:r w:rsidR="00B76F7B" w:rsidRPr="004B02E0">
        <w:rPr>
          <w:rFonts w:eastAsia="Times New Roman" w:cs="Times New Roman"/>
          <w:b/>
          <w:bCs/>
          <w:szCs w:val="24"/>
          <w:vertAlign w:val="superscript"/>
        </w:rPr>
        <w:t>2</w:t>
      </w:r>
      <w:r w:rsidRPr="004B02E0">
        <w:rPr>
          <w:rFonts w:eastAsia="Times New Roman" w:cs="Times New Roman"/>
          <w:b/>
          <w:bCs/>
          <w:szCs w:val="24"/>
        </w:rPr>
        <w:t xml:space="preserve">, </w:t>
      </w:r>
      <w:r w:rsidRPr="004B02E0">
        <w:rPr>
          <w:rFonts w:eastAsia="Times New Roman" w:cs="Times New Roman"/>
          <w:b/>
          <w:bCs/>
          <w:szCs w:val="24"/>
        </w:rPr>
        <w:t>Dr. Sarah Likoko</w:t>
      </w:r>
      <w:r w:rsidR="00B76F7B" w:rsidRPr="004B02E0">
        <w:rPr>
          <w:rFonts w:eastAsia="Times New Roman" w:cs="Times New Roman"/>
          <w:b/>
          <w:bCs/>
          <w:szCs w:val="24"/>
          <w:vertAlign w:val="superscript"/>
        </w:rPr>
        <w:t>3</w:t>
      </w:r>
    </w:p>
    <w:p w14:paraId="51655B15" w14:textId="7929D47F" w:rsidR="00EF1EC1" w:rsidRPr="004B02E0" w:rsidRDefault="00EF1EC1" w:rsidP="005B7CA4">
      <w:pPr>
        <w:spacing w:after="0" w:line="276" w:lineRule="auto"/>
        <w:jc w:val="center"/>
        <w:rPr>
          <w:rFonts w:eastAsia="Times New Roman" w:cs="Times New Roman"/>
          <w:b/>
          <w:bCs/>
          <w:szCs w:val="24"/>
        </w:rPr>
      </w:pPr>
      <w:r w:rsidRPr="004B02E0">
        <w:rPr>
          <w:rFonts w:eastAsia="Times New Roman" w:cs="Times New Roman"/>
          <w:b/>
          <w:bCs/>
          <w:szCs w:val="24"/>
        </w:rPr>
        <w:t xml:space="preserve">Department of Educational Planning </w:t>
      </w:r>
      <w:r w:rsidRPr="004B02E0">
        <w:rPr>
          <w:rFonts w:eastAsia="Times New Roman" w:cs="Times New Roman"/>
          <w:b/>
          <w:bCs/>
          <w:szCs w:val="24"/>
        </w:rPr>
        <w:t>and</w:t>
      </w:r>
      <w:r w:rsidRPr="004B02E0">
        <w:rPr>
          <w:rFonts w:eastAsia="Times New Roman" w:cs="Times New Roman"/>
          <w:b/>
          <w:bCs/>
          <w:szCs w:val="24"/>
        </w:rPr>
        <w:t xml:space="preserve"> Management</w:t>
      </w:r>
      <w:r w:rsidRPr="004B02E0">
        <w:rPr>
          <w:rFonts w:eastAsia="Times New Roman" w:cs="Times New Roman"/>
          <w:b/>
          <w:bCs/>
          <w:szCs w:val="24"/>
        </w:rPr>
        <w:t xml:space="preserve">, </w:t>
      </w:r>
      <w:r w:rsidRPr="004B02E0">
        <w:rPr>
          <w:rFonts w:eastAsia="Times New Roman" w:cs="Times New Roman"/>
          <w:b/>
          <w:bCs/>
          <w:szCs w:val="24"/>
        </w:rPr>
        <w:t>Kibabii University, P.O</w:t>
      </w:r>
      <w:r w:rsidRPr="004B02E0">
        <w:rPr>
          <w:rFonts w:eastAsia="Times New Roman" w:cs="Times New Roman"/>
          <w:b/>
          <w:bCs/>
          <w:szCs w:val="24"/>
        </w:rPr>
        <w:t>.</w:t>
      </w:r>
      <w:r w:rsidRPr="004B02E0">
        <w:rPr>
          <w:rFonts w:eastAsia="Times New Roman" w:cs="Times New Roman"/>
          <w:b/>
          <w:bCs/>
          <w:szCs w:val="24"/>
        </w:rPr>
        <w:t xml:space="preserve"> Box 1699-50200, Bungoma, Kenya</w:t>
      </w:r>
    </w:p>
    <w:p w14:paraId="55D8C82A" w14:textId="77777777" w:rsidR="00554670" w:rsidRDefault="00554670" w:rsidP="005B7CA4">
      <w:pPr>
        <w:spacing w:after="0" w:line="276" w:lineRule="auto"/>
        <w:rPr>
          <w:b/>
          <w:bCs/>
        </w:rPr>
      </w:pPr>
      <w:r>
        <w:rPr>
          <w:b/>
          <w:bCs/>
        </w:rPr>
        <w:t>ABSTRACT</w:t>
      </w:r>
    </w:p>
    <w:p w14:paraId="7883D928" w14:textId="743ED104" w:rsidR="00554670" w:rsidRDefault="00554670" w:rsidP="005B7CA4">
      <w:pPr>
        <w:spacing w:line="276" w:lineRule="auto"/>
        <w:rPr>
          <w:szCs w:val="24"/>
        </w:rPr>
      </w:pPr>
      <w:r w:rsidRPr="00623B18">
        <w:rPr>
          <w:rFonts w:eastAsia="Times New Roman" w:cs="Times New Roman"/>
          <w:szCs w:val="24"/>
        </w:rPr>
        <w:t xml:space="preserve">Student discipline remains a critical concern in </w:t>
      </w:r>
      <w:r>
        <w:rPr>
          <w:rFonts w:eastAsia="Times New Roman" w:cs="Times New Roman"/>
          <w:szCs w:val="24"/>
        </w:rPr>
        <w:t>senior</w:t>
      </w:r>
      <w:r w:rsidRPr="00623B18">
        <w:rPr>
          <w:rFonts w:eastAsia="Times New Roman" w:cs="Times New Roman"/>
          <w:szCs w:val="24"/>
        </w:rPr>
        <w:t xml:space="preserve"> schools because it influences academic achievement, school climate, and overall educational outcomes. This study </w:t>
      </w:r>
      <w:r w:rsidR="00563D7A">
        <w:rPr>
          <w:rFonts w:eastAsia="Times New Roman" w:cs="Times New Roman"/>
          <w:szCs w:val="24"/>
        </w:rPr>
        <w:t>investigated</w:t>
      </w:r>
      <w:r w:rsidRPr="00623B18">
        <w:rPr>
          <w:rFonts w:eastAsia="Times New Roman" w:cs="Times New Roman"/>
          <w:szCs w:val="24"/>
        </w:rPr>
        <w:t xml:space="preserve"> the relationship between family socioeconomic status and student discipline in public boys’ boarding </w:t>
      </w:r>
      <w:r>
        <w:rPr>
          <w:rFonts w:eastAsia="Times New Roman" w:cs="Times New Roman"/>
          <w:szCs w:val="24"/>
        </w:rPr>
        <w:t>senior</w:t>
      </w:r>
      <w:r w:rsidRPr="00623B18">
        <w:rPr>
          <w:rFonts w:eastAsia="Times New Roman" w:cs="Times New Roman"/>
          <w:szCs w:val="24"/>
        </w:rPr>
        <w:t xml:space="preserve"> schools in Kakamega County, Kenya. T</w:t>
      </w:r>
      <w:r w:rsidR="00563D7A">
        <w:rPr>
          <w:rFonts w:eastAsia="Times New Roman" w:cs="Times New Roman"/>
          <w:szCs w:val="24"/>
        </w:rPr>
        <w:t>he</w:t>
      </w:r>
      <w:r>
        <w:rPr>
          <w:rFonts w:eastAsia="Times New Roman" w:cs="Times New Roman"/>
          <w:szCs w:val="24"/>
        </w:rPr>
        <w:t xml:space="preserve"> </w:t>
      </w:r>
      <w:r>
        <w:rPr>
          <w:szCs w:val="24"/>
        </w:rPr>
        <w:t xml:space="preserve">paper presents and discusses findings on </w:t>
      </w:r>
      <w:r w:rsidRPr="00BD1A4C">
        <w:rPr>
          <w:rFonts w:eastAsia="Times New Roman" w:cs="Times New Roman"/>
          <w:szCs w:val="24"/>
        </w:rPr>
        <w:t xml:space="preserve">family income </w:t>
      </w:r>
      <w:r>
        <w:rPr>
          <w:szCs w:val="24"/>
        </w:rPr>
        <w:t>and</w:t>
      </w:r>
      <w:r w:rsidRPr="00BD1A4C">
        <w:rPr>
          <w:rFonts w:eastAsia="Times New Roman" w:cs="Times New Roman"/>
          <w:szCs w:val="24"/>
        </w:rPr>
        <w:t xml:space="preserve"> student discipline in public boys</w:t>
      </w:r>
      <w:r w:rsidR="00076380">
        <w:rPr>
          <w:rFonts w:eastAsia="Times New Roman" w:cs="Times New Roman"/>
          <w:szCs w:val="24"/>
        </w:rPr>
        <w:t>’</w:t>
      </w:r>
      <w:r w:rsidRPr="00BD1A4C">
        <w:rPr>
          <w:rFonts w:eastAsia="Times New Roman" w:cs="Times New Roman"/>
          <w:szCs w:val="24"/>
        </w:rPr>
        <w:t xml:space="preserve"> boarding senior schools</w:t>
      </w:r>
      <w:r>
        <w:rPr>
          <w:szCs w:val="24"/>
        </w:rPr>
        <w:t xml:space="preserve">. </w:t>
      </w:r>
      <w:r>
        <w:rPr>
          <w:rFonts w:eastAsia="Times New Roman" w:cs="Times New Roman"/>
          <w:szCs w:val="24"/>
        </w:rPr>
        <w:t xml:space="preserve"> </w:t>
      </w:r>
      <w:r w:rsidRPr="00623B18">
        <w:rPr>
          <w:rFonts w:eastAsia="Times New Roman" w:cs="Times New Roman"/>
          <w:szCs w:val="24"/>
        </w:rPr>
        <w:t xml:space="preserve">The </w:t>
      </w:r>
      <w:r>
        <w:rPr>
          <w:szCs w:val="24"/>
        </w:rPr>
        <w:t xml:space="preserve">study targeted </w:t>
      </w:r>
      <w:r>
        <w:rPr>
          <w:rFonts w:eastAsia="Times New Roman" w:cs="Times New Roman"/>
          <w:szCs w:val="24"/>
        </w:rPr>
        <w:t xml:space="preserve">32 </w:t>
      </w:r>
      <w:r w:rsidRPr="00623B18">
        <w:rPr>
          <w:rFonts w:eastAsia="Times New Roman" w:cs="Times New Roman"/>
          <w:szCs w:val="24"/>
        </w:rPr>
        <w:t xml:space="preserve">public boys’ boarding </w:t>
      </w:r>
      <w:r>
        <w:rPr>
          <w:rFonts w:eastAsia="Times New Roman" w:cs="Times New Roman"/>
          <w:szCs w:val="24"/>
        </w:rPr>
        <w:t>senior</w:t>
      </w:r>
      <w:r w:rsidRPr="00623B18">
        <w:rPr>
          <w:rFonts w:eastAsia="Times New Roman" w:cs="Times New Roman"/>
          <w:szCs w:val="24"/>
        </w:rPr>
        <w:t xml:space="preserve"> schools </w:t>
      </w:r>
      <w:r>
        <w:rPr>
          <w:szCs w:val="24"/>
        </w:rPr>
        <w:t xml:space="preserve">with a study population comprising </w:t>
      </w:r>
      <w:r>
        <w:rPr>
          <w:rFonts w:eastAsia="Times New Roman" w:cs="Times New Roman"/>
          <w:szCs w:val="24"/>
        </w:rPr>
        <w:t xml:space="preserve">9664 </w:t>
      </w:r>
      <w:r>
        <w:rPr>
          <w:szCs w:val="24"/>
        </w:rPr>
        <w:t xml:space="preserve">Form 3 and Form 4 </w:t>
      </w:r>
      <w:r w:rsidRPr="00623B18">
        <w:rPr>
          <w:rFonts w:eastAsia="Times New Roman" w:cs="Times New Roman"/>
          <w:szCs w:val="24"/>
        </w:rPr>
        <w:t>students</w:t>
      </w:r>
      <w:r>
        <w:rPr>
          <w:rFonts w:eastAsia="Times New Roman" w:cs="Times New Roman"/>
          <w:szCs w:val="24"/>
        </w:rPr>
        <w:t xml:space="preserve">, 192 </w:t>
      </w:r>
      <w:r w:rsidRPr="00623B18">
        <w:rPr>
          <w:rFonts w:eastAsia="Times New Roman" w:cs="Times New Roman"/>
          <w:szCs w:val="24"/>
        </w:rPr>
        <w:t xml:space="preserve">class teachers </w:t>
      </w:r>
      <w:r>
        <w:rPr>
          <w:rFonts w:eastAsia="Times New Roman" w:cs="Times New Roman"/>
          <w:szCs w:val="24"/>
        </w:rPr>
        <w:t>and 32 Deputy Principals</w:t>
      </w:r>
      <w:r w:rsidRPr="00623B18">
        <w:rPr>
          <w:rFonts w:eastAsia="Times New Roman" w:cs="Times New Roman"/>
          <w:szCs w:val="24"/>
        </w:rPr>
        <w:t xml:space="preserve">. </w:t>
      </w:r>
      <w:r>
        <w:rPr>
          <w:szCs w:val="24"/>
        </w:rPr>
        <w:t>It adopted an</w:t>
      </w:r>
      <w:r>
        <w:rPr>
          <w:rFonts w:eastAsia="Times New Roman" w:cs="Times New Roman"/>
          <w:szCs w:val="24"/>
        </w:rPr>
        <w:t xml:space="preserve"> ex post facto</w:t>
      </w:r>
      <w:r w:rsidRPr="00623B18">
        <w:rPr>
          <w:rFonts w:eastAsia="Times New Roman" w:cs="Times New Roman"/>
          <w:szCs w:val="24"/>
        </w:rPr>
        <w:t xml:space="preserve"> research design</w:t>
      </w:r>
      <w:r>
        <w:rPr>
          <w:szCs w:val="24"/>
        </w:rPr>
        <w:t>, with d</w:t>
      </w:r>
      <w:r w:rsidRPr="00623B18">
        <w:rPr>
          <w:rFonts w:eastAsia="Times New Roman" w:cs="Times New Roman"/>
          <w:szCs w:val="24"/>
        </w:rPr>
        <w:t xml:space="preserve">ata collected using questionnaires </w:t>
      </w:r>
      <w:r>
        <w:rPr>
          <w:szCs w:val="24"/>
        </w:rPr>
        <w:t>and interview</w:t>
      </w:r>
      <w:r w:rsidRPr="00623B18">
        <w:rPr>
          <w:rFonts w:eastAsia="Times New Roman" w:cs="Times New Roman"/>
          <w:szCs w:val="24"/>
        </w:rPr>
        <w:t xml:space="preserve"> </w:t>
      </w:r>
      <w:r>
        <w:rPr>
          <w:szCs w:val="24"/>
        </w:rPr>
        <w:t xml:space="preserve">schedules. </w:t>
      </w:r>
      <w:r w:rsidRPr="00623B18">
        <w:rPr>
          <w:rFonts w:eastAsia="Times New Roman" w:cs="Times New Roman"/>
          <w:szCs w:val="24"/>
        </w:rPr>
        <w:t xml:space="preserve">Descriptive statistics were used to summarize the </w:t>
      </w:r>
      <w:r w:rsidR="000325E7">
        <w:rPr>
          <w:rFonts w:eastAsia="Times New Roman" w:cs="Times New Roman"/>
          <w:szCs w:val="24"/>
        </w:rPr>
        <w:t>family income and discipline</w:t>
      </w:r>
      <w:r w:rsidRPr="00623B18">
        <w:rPr>
          <w:rFonts w:eastAsia="Times New Roman" w:cs="Times New Roman"/>
          <w:szCs w:val="24"/>
        </w:rPr>
        <w:t xml:space="preserve"> characteristics, while one-way ANOVA </w:t>
      </w:r>
      <w:r>
        <w:rPr>
          <w:szCs w:val="24"/>
        </w:rPr>
        <w:t xml:space="preserve">was </w:t>
      </w:r>
      <w:r w:rsidRPr="00623B18">
        <w:rPr>
          <w:rFonts w:eastAsia="Times New Roman" w:cs="Times New Roman"/>
          <w:szCs w:val="24"/>
        </w:rPr>
        <w:t xml:space="preserve">employed to examine differences in discipline scores across categories of family </w:t>
      </w:r>
      <w:r>
        <w:rPr>
          <w:szCs w:val="24"/>
        </w:rPr>
        <w:t>income</w:t>
      </w:r>
      <w:r w:rsidRPr="00623B18">
        <w:rPr>
          <w:rFonts w:eastAsia="Times New Roman" w:cs="Times New Roman"/>
          <w:szCs w:val="24"/>
        </w:rPr>
        <w:t xml:space="preserve">. </w:t>
      </w:r>
      <w:r w:rsidR="00076380">
        <w:rPr>
          <w:rFonts w:eastAsia="Times New Roman" w:cs="Times New Roman"/>
          <w:szCs w:val="24"/>
        </w:rPr>
        <w:t xml:space="preserve">Qualitative data was analysed thematically and reported in narrative form. </w:t>
      </w:r>
      <w:r w:rsidRPr="00623B18">
        <w:rPr>
          <w:rFonts w:eastAsia="Times New Roman" w:cs="Times New Roman"/>
          <w:szCs w:val="24"/>
        </w:rPr>
        <w:t xml:space="preserve">The </w:t>
      </w:r>
      <w:r>
        <w:rPr>
          <w:rFonts w:eastAsia="Times New Roman" w:cs="Times New Roman"/>
          <w:szCs w:val="24"/>
        </w:rPr>
        <w:t>study found that there was</w:t>
      </w:r>
      <w:r w:rsidRPr="00623B18">
        <w:rPr>
          <w:rFonts w:eastAsia="Times New Roman" w:cs="Times New Roman"/>
          <w:szCs w:val="24"/>
        </w:rPr>
        <w:t xml:space="preserve"> a predominantly middle-to-low socioeconomic status profile, with 93% of households falling into the low-to-middle income brackets and 74.9% of parents possessing </w:t>
      </w:r>
      <w:r w:rsidRPr="00CF12B2">
        <w:rPr>
          <w:rFonts w:eastAsia="Times New Roman" w:cs="Times New Roman"/>
          <w:szCs w:val="24"/>
        </w:rPr>
        <w:t xml:space="preserve">a secondary school education or below. </w:t>
      </w:r>
      <w:r w:rsidRPr="00623B18">
        <w:rPr>
          <w:rFonts w:eastAsia="Times New Roman" w:cs="Times New Roman"/>
          <w:szCs w:val="24"/>
        </w:rPr>
        <w:t xml:space="preserve">Inferential analysis </w:t>
      </w:r>
      <w:r w:rsidR="0088373A">
        <w:rPr>
          <w:rFonts w:eastAsia="Times New Roman" w:cs="Times New Roman"/>
          <w:szCs w:val="24"/>
        </w:rPr>
        <w:t>showed</w:t>
      </w:r>
      <w:r w:rsidRPr="00623B18">
        <w:rPr>
          <w:rFonts w:eastAsia="Times New Roman" w:cs="Times New Roman"/>
          <w:szCs w:val="24"/>
        </w:rPr>
        <w:t xml:space="preserve"> that </w:t>
      </w:r>
      <w:r w:rsidR="000325E7">
        <w:rPr>
          <w:rFonts w:eastAsia="Times New Roman" w:cs="Times New Roman"/>
          <w:szCs w:val="24"/>
        </w:rPr>
        <w:t>t</w:t>
      </w:r>
      <w:r>
        <w:rPr>
          <w:rFonts w:eastAsia="Times New Roman" w:cs="Times New Roman"/>
          <w:szCs w:val="24"/>
        </w:rPr>
        <w:t>here was a statistically significant difference in</w:t>
      </w:r>
      <w:r w:rsidRPr="00623B18">
        <w:rPr>
          <w:rFonts w:eastAsia="Times New Roman" w:cs="Times New Roman"/>
          <w:szCs w:val="24"/>
        </w:rPr>
        <w:t xml:space="preserve"> </w:t>
      </w:r>
      <w:r>
        <w:rPr>
          <w:rFonts w:eastAsia="Times New Roman" w:cs="Times New Roman"/>
          <w:szCs w:val="24"/>
        </w:rPr>
        <w:t xml:space="preserve">student </w:t>
      </w:r>
      <w:r w:rsidRPr="00623B18">
        <w:rPr>
          <w:rFonts w:eastAsia="Times New Roman" w:cs="Times New Roman"/>
          <w:szCs w:val="24"/>
        </w:rPr>
        <w:t>discipline scores</w:t>
      </w:r>
      <w:r>
        <w:rPr>
          <w:rFonts w:eastAsia="Times New Roman" w:cs="Times New Roman"/>
          <w:szCs w:val="24"/>
        </w:rPr>
        <w:t xml:space="preserve"> among the various </w:t>
      </w:r>
      <w:r w:rsidR="0088373A">
        <w:rPr>
          <w:rFonts w:eastAsia="Times New Roman" w:cs="Times New Roman"/>
          <w:szCs w:val="24"/>
        </w:rPr>
        <w:t xml:space="preserve">family </w:t>
      </w:r>
      <w:r>
        <w:rPr>
          <w:rFonts w:eastAsia="Times New Roman" w:cs="Times New Roman"/>
          <w:szCs w:val="24"/>
        </w:rPr>
        <w:t>income groups</w:t>
      </w:r>
      <w:r w:rsidR="0088373A">
        <w:rPr>
          <w:rFonts w:eastAsia="Times New Roman" w:cs="Times New Roman"/>
          <w:szCs w:val="24"/>
        </w:rPr>
        <w:t>,</w:t>
      </w:r>
      <w:r w:rsidRPr="00623B18">
        <w:rPr>
          <w:rFonts w:eastAsia="Times New Roman" w:cs="Times New Roman"/>
          <w:szCs w:val="24"/>
        </w:rPr>
        <w:t xml:space="preserve"> F (2, 360) = 3.081, p = </w:t>
      </w:r>
      <w:r w:rsidR="00783EE6">
        <w:rPr>
          <w:rFonts w:eastAsia="Times New Roman" w:cs="Times New Roman"/>
          <w:szCs w:val="24"/>
        </w:rPr>
        <w:t>0</w:t>
      </w:r>
      <w:r w:rsidRPr="00623B18">
        <w:rPr>
          <w:rFonts w:eastAsia="Times New Roman" w:cs="Times New Roman"/>
          <w:szCs w:val="24"/>
        </w:rPr>
        <w:t>.047</w:t>
      </w:r>
      <w:r w:rsidR="0088373A">
        <w:rPr>
          <w:rFonts w:eastAsia="Times New Roman" w:cs="Times New Roman"/>
          <w:szCs w:val="24"/>
        </w:rPr>
        <w:t xml:space="preserve"> at α = 0.05</w:t>
      </w:r>
      <w:r w:rsidRPr="00623B18">
        <w:rPr>
          <w:rFonts w:eastAsia="Times New Roman" w:cs="Times New Roman"/>
          <w:szCs w:val="24"/>
        </w:rPr>
        <w:t>. The study conclude</w:t>
      </w:r>
      <w:r w:rsidR="0088373A">
        <w:rPr>
          <w:rFonts w:eastAsia="Times New Roman" w:cs="Times New Roman"/>
          <w:szCs w:val="24"/>
        </w:rPr>
        <w:t>d</w:t>
      </w:r>
      <w:r w:rsidRPr="00623B18">
        <w:rPr>
          <w:rFonts w:eastAsia="Times New Roman" w:cs="Times New Roman"/>
          <w:szCs w:val="24"/>
        </w:rPr>
        <w:t xml:space="preserve"> that family </w:t>
      </w:r>
      <w:r>
        <w:rPr>
          <w:szCs w:val="24"/>
        </w:rPr>
        <w:t>income</w:t>
      </w:r>
      <w:r w:rsidRPr="00623B18">
        <w:rPr>
          <w:rFonts w:eastAsia="Times New Roman" w:cs="Times New Roman"/>
          <w:szCs w:val="24"/>
        </w:rPr>
        <w:t xml:space="preserve"> plays a significant role in shaping student discipline in boarding</w:t>
      </w:r>
      <w:r>
        <w:rPr>
          <w:rFonts w:eastAsia="Times New Roman" w:cs="Times New Roman"/>
          <w:szCs w:val="24"/>
        </w:rPr>
        <w:t xml:space="preserve"> senior</w:t>
      </w:r>
      <w:r w:rsidRPr="00623B18">
        <w:rPr>
          <w:rFonts w:eastAsia="Times New Roman" w:cs="Times New Roman"/>
          <w:szCs w:val="24"/>
        </w:rPr>
        <w:t xml:space="preserve"> schools. The findings underscore the importance of targeted financial support programs support systems to mitigate the effects of economic disadvantage on student </w:t>
      </w:r>
      <w:r w:rsidR="00783EE6">
        <w:rPr>
          <w:rFonts w:eastAsia="Times New Roman" w:cs="Times New Roman"/>
          <w:szCs w:val="24"/>
        </w:rPr>
        <w:t>discipline and behaviour</w:t>
      </w:r>
      <w:r w:rsidRPr="00623B18">
        <w:rPr>
          <w:rFonts w:eastAsia="Times New Roman" w:cs="Times New Roman"/>
          <w:szCs w:val="24"/>
        </w:rPr>
        <w:t>.</w:t>
      </w:r>
      <w:r w:rsidR="00783EE6">
        <w:rPr>
          <w:rFonts w:eastAsia="Times New Roman" w:cs="Times New Roman"/>
          <w:szCs w:val="24"/>
        </w:rPr>
        <w:t xml:space="preserve"> </w:t>
      </w:r>
      <w:r w:rsidR="00783EE6">
        <w:rPr>
          <w:rFonts w:eastAsia="Times New Roman" w:cs="Times New Roman"/>
          <w:szCs w:val="24"/>
        </w:rPr>
        <w:t xml:space="preserve">Future </w:t>
      </w:r>
      <w:r w:rsidR="00783EE6">
        <w:rPr>
          <w:rFonts w:eastAsia="Times New Roman" w:cs="Times New Roman"/>
          <w:szCs w:val="24"/>
        </w:rPr>
        <w:t>researchers should undertake a c</w:t>
      </w:r>
      <w:r w:rsidR="00783EE6" w:rsidRPr="00783EE6">
        <w:rPr>
          <w:rFonts w:eastAsia="Times New Roman" w:cs="Times New Roman"/>
          <w:szCs w:val="24"/>
        </w:rPr>
        <w:t xml:space="preserve">omparative </w:t>
      </w:r>
      <w:r w:rsidR="00783EE6">
        <w:rPr>
          <w:rFonts w:eastAsia="Times New Roman" w:cs="Times New Roman"/>
          <w:szCs w:val="24"/>
        </w:rPr>
        <w:t>study</w:t>
      </w:r>
      <w:r w:rsidR="00783EE6" w:rsidRPr="00783EE6">
        <w:rPr>
          <w:rFonts w:eastAsia="Times New Roman" w:cs="Times New Roman"/>
          <w:szCs w:val="24"/>
        </w:rPr>
        <w:t xml:space="preserve"> across multiple counties </w:t>
      </w:r>
      <w:r w:rsidR="00783EE6">
        <w:rPr>
          <w:rFonts w:eastAsia="Times New Roman" w:cs="Times New Roman"/>
          <w:szCs w:val="24"/>
        </w:rPr>
        <w:t>to</w:t>
      </w:r>
      <w:r w:rsidR="00783EE6" w:rsidRPr="00783EE6">
        <w:rPr>
          <w:rFonts w:eastAsia="Times New Roman" w:cs="Times New Roman"/>
          <w:szCs w:val="24"/>
        </w:rPr>
        <w:t xml:space="preserve"> help determine whether the patterns observed in Kakamega County are generalizable to other regions of the country.</w:t>
      </w:r>
    </w:p>
    <w:p w14:paraId="20ABA2FA" w14:textId="77777777" w:rsidR="00554670" w:rsidRDefault="00554670" w:rsidP="005B7CA4">
      <w:pPr>
        <w:spacing w:line="276" w:lineRule="auto"/>
        <w:rPr>
          <w:szCs w:val="24"/>
        </w:rPr>
      </w:pPr>
      <w:r w:rsidRPr="00581CE5">
        <w:rPr>
          <w:b/>
          <w:bCs/>
          <w:szCs w:val="24"/>
        </w:rPr>
        <w:t>Key Words</w:t>
      </w:r>
      <w:r>
        <w:rPr>
          <w:szCs w:val="24"/>
        </w:rPr>
        <w:t>: Family Income, Student Discipline, Boys’ Boarding Senior Schools</w:t>
      </w:r>
    </w:p>
    <w:p w14:paraId="7F353009" w14:textId="77777777" w:rsidR="003B1C05" w:rsidRDefault="003B1C05" w:rsidP="005B7CA4">
      <w:pPr>
        <w:spacing w:line="276" w:lineRule="auto"/>
        <w:rPr>
          <w:szCs w:val="24"/>
        </w:rPr>
      </w:pPr>
    </w:p>
    <w:p w14:paraId="2C848B47" w14:textId="62826E58" w:rsidR="00554670" w:rsidRPr="00581CE5" w:rsidRDefault="00EF1EC1" w:rsidP="003B1C05">
      <w:pPr>
        <w:spacing w:after="0" w:line="276" w:lineRule="auto"/>
        <w:rPr>
          <w:b/>
          <w:bCs/>
          <w:i/>
          <w:iCs/>
          <w:szCs w:val="24"/>
        </w:rPr>
      </w:pPr>
      <w:r w:rsidRPr="004F2D09">
        <w:rPr>
          <w:b/>
          <w:bCs/>
          <w:szCs w:val="24"/>
        </w:rPr>
        <w:t>I</w:t>
      </w:r>
      <w:r w:rsidR="00554670" w:rsidRPr="004F2D09">
        <w:rPr>
          <w:b/>
          <w:bCs/>
          <w:szCs w:val="24"/>
        </w:rPr>
        <w:t>. INTRODUCTION</w:t>
      </w:r>
    </w:p>
    <w:p w14:paraId="40FE36DF" w14:textId="77777777" w:rsidR="00563D7A" w:rsidRDefault="00563D7A" w:rsidP="00563D7A">
      <w:pPr>
        <w:spacing w:line="276" w:lineRule="auto"/>
      </w:pPr>
      <w:r>
        <w:t>World over, family socioeconomic status which includes family income, education level of parents, and structure of the family, has been acknowledged as a crucial determinant of children’s discipline and academic performance. Bradley and Corwyn (2002) as well as Sirin (2016) demonstrated that students’ behaviour, discipline, and academic rigor were closely associated to the economic conditions of their families. Inquiries carried out in North America and Europe indicated that students from low-income family backgrounds often experienced greater behavioural challenges due to challenges related to poverty, such as inadequate parental supervision, financial insecurity, and poor access to educational resources (Evans, 2004; Reiss, 2013). Economic adversity can expose young people to unstable environments, which may express itself through indiscipline, violence, school nonattendance, or disinterest in learning.</w:t>
      </w:r>
    </w:p>
    <w:p w14:paraId="738BDD87" w14:textId="77777777" w:rsidR="00563D7A" w:rsidRDefault="00563D7A" w:rsidP="00563D7A">
      <w:pPr>
        <w:spacing w:line="276" w:lineRule="auto"/>
      </w:pPr>
      <w:r>
        <w:lastRenderedPageBreak/>
        <w:t>Empirical studies have also demonstrated that family income affects psychological development and learners’ behaviour in school environments. For instance, structural equation modelling by Li et al (2022) showed that privileged family socioeconomic status tends to favour stronger academic performance and better discipline, as parents with more resources provide organized learning environments and support systems that boost compliance with school rules and regulations. In the same way, studies worldwide show that socioeconomic inequalities contribute to disproportions in student behaviour and educational engagement. Learners who come from economically underprivileged backgrounds often display lower participation in academic activities and low commitment to school compared to their peers from higher-income families (Saatcioglu &amp; Rury, 2012).</w:t>
      </w:r>
    </w:p>
    <w:p w14:paraId="57BE800C" w14:textId="77777777" w:rsidR="00563D7A" w:rsidRDefault="00563D7A" w:rsidP="00563D7A">
      <w:pPr>
        <w:spacing w:line="276" w:lineRule="auto"/>
      </w:pPr>
      <w:r>
        <w:t>Boarding school settings further complicate this relationship. Leng and Dayimu (2025) maintained that boarding school contexts may intensify social and behavioural dynamics among learners, since they spend extended periods away supervision of parents. This can impact character formation depending on students’ emotional adjustment and family background. In general, literature consistently proves that family income plays a fundamental role in molding student behaviour and discipline through means such as parental involvement, access to resources, and psychosocial stability.</w:t>
      </w:r>
    </w:p>
    <w:p w14:paraId="42433DE0" w14:textId="77777777" w:rsidR="00563D7A" w:rsidRDefault="00563D7A" w:rsidP="00563D7A">
      <w:pPr>
        <w:spacing w:line="276" w:lineRule="auto"/>
      </w:pPr>
      <w:r>
        <w:t>Across Africa, scholars have progressively looked into how socioeconomic disparities implicate student discipline in school environments with resource constraints and social inequality. In many African countries, economic disparities significantly affect students’ educational experiences as families with limited income struggle to meet school-related expenses such as uniforms, fees, and boarding costs. Financial distress can cause frustration among learners, which may express itself through behavioural setbacks like absenteeism, breaking of school rules, and disconnection from school activities (Oketch &amp; Somerset, 2010). In East Africa, the boarding school model is common, especially in secondary education. However, the cost of boarding education can place significant strain on families, particularly those from low-income backgrounds. Studies have shown that financial pressure linked to boarding school fees requirements may create psychological stress among students and parents, potentially influencing behavioural outcomes and discipline patterns within schools (JEPA, 2025). In Nigeria, Adeyemo (2010) indicated that family income indirectly influenced the discipline of adolescents through parental involvement and home-based supervision. Students from higher-income families typically benefited from stronger parental monitoring, better access to learning materials, and more supportive learning environments that promoted compliance to school rules and norms. Further, differences in socioeconomic status across African societies often translate into differences in students’ behavioural expectations and adjustment to institutional discipline systems, especially in boarding schools where students have to adapt to rigid and structured routines and authority systems.</w:t>
      </w:r>
    </w:p>
    <w:p w14:paraId="28A99B55" w14:textId="77777777" w:rsidR="00563D7A" w:rsidRDefault="00563D7A" w:rsidP="00563D7A">
      <w:pPr>
        <w:spacing w:line="276" w:lineRule="auto"/>
      </w:pPr>
      <w:r>
        <w:t xml:space="preserve">In Kenya, there have been concerns on student discipline in schools, particularly following several incidences of unrest, strikes, and property destruction in boarding schools. Some of this misconduct has been attributed to students’ family backgrounds, including socioeconomic conditions. Studies on parental socioeconomic status in Kenya show that family income affects diverse aspects of students’ learning experiences, including academic performance, </w:t>
      </w:r>
      <w:r>
        <w:lastRenderedPageBreak/>
        <w:t>psychological well-being, and behavioural conduct (Ngware et al., 2013). Economic distress may hamper maximal parental involvement in education due to demanding work schedules or limited financial capacity to provide educational support. Results of a study undertaken in Nairobi to investigate parental socioeconomic status and pupils’ outcomes showed that family economic characteristics influenced children’s learning conditions and overall educational experience (Kiome et al., 2023).</w:t>
      </w:r>
    </w:p>
    <w:p w14:paraId="0DB8E75F" w14:textId="77777777" w:rsidR="00563D7A" w:rsidRDefault="00563D7A" w:rsidP="00563D7A">
      <w:pPr>
        <w:spacing w:line="276" w:lineRule="auto"/>
      </w:pPr>
      <w:r>
        <w:t>In Kenyan senior schools, family income may affect learners’ discipline through several pathways: (a) Provision of personal needs – Students from economically challenged families may lack basic necessities required in boarding schools, leading to stress and behavioural complications; (b) Parental supervision – Economic hardship often reduces parental involvement in students’ education; (c) Psychological stress – Students who know that their families are suffering financial struggles may experience frustration or anxiety that affects how they behave. In addition, sociological studies in Kenya indicate that family socialization plays a pivotal role in shaping students’ attitudes toward authority and discipline (Keter et al., 2025). Students who grow up in environments with unswerving parental monitoring and organized family systems are more likely to be disciplined in school (Obonyo, et al., 2024).</w:t>
      </w:r>
    </w:p>
    <w:p w14:paraId="0990D2AD" w14:textId="77777777" w:rsidR="00563D7A" w:rsidRDefault="00563D7A" w:rsidP="00563D7A">
      <w:pPr>
        <w:spacing w:line="276" w:lineRule="auto"/>
      </w:pPr>
      <w:r>
        <w:t>Locally, limited but growing research has examined the influence of family background factors on student discipline in boarding secondary schools in Western Kenya. Mabunde et al (2024) found that the family environment shapes students’ values, attitudes toward authority, and behavioural expectations before they are admitted to senior school. Research on parenting behaviour and student discipline in boarding secondary schools further emphasized that the family plays a fundamental role in modelling behavioural patterns and norms. Learners who hail from supportive and economically stable families are more likely to internalize discipline values that align with school expectations (Mabunde et al., 2024). In Kakamega, boys’ boarding senior schools are more common than day schools. These institutions often emphasize strict disciplinary structures, including prefect systems, regulated routines, and institutional rules. However, differences in family income can affect how students adapt to these environments. Students from low-income households may experience: (a) difficulty raising boarding school fees; (b) segregation for not matching the lifestyles of others, (c) psychological tension related to family financial challenges. These factors can contribute to behaviour maladjustments such as absenteeism, rule violations, and defying to school authority. On the other hand, students coming from economically stable families may benefit from better preparation for boarding school life through adequate provision of necessities and stronger parental engagement. Despite these insights, there remains a significant research gap concerning how family income specifically relates to student discipline in boys’ boarding senior schools in Kakamega County, highlighting the need for localized research to inform education policy and practice.</w:t>
      </w:r>
    </w:p>
    <w:p w14:paraId="13EEDBF1" w14:textId="77777777" w:rsidR="00563D7A" w:rsidRDefault="00563D7A" w:rsidP="00563D7A">
      <w:pPr>
        <w:spacing w:line="276" w:lineRule="auto"/>
      </w:pPr>
      <w:r>
        <w:t xml:space="preserve">Several studies have examined family income and learner behaviour. Kanyi et al (2026) looked into family social stratification among secondary school students in Trans-Nzoia County and found that about 59% of the students came from middle-class families, indicating that the middle socioeconomic group formed the majority in the participating schools. This implies that middle-income households often have sufficient financial capacity to support senior school </w:t>
      </w:r>
      <w:r>
        <w:lastRenderedPageBreak/>
        <w:t>education while still relying on public schooling systems. Such families benefit from government interventions like Free Day Secondary Education (FDSE), but may still prioritize education as a pathway to upward social mobility. In Homabay County, Kobane et al (2025) demonstrated that many students come from low-income backgrounds and that financial constraints often affect their schooling. Similarly, studies investigating family socioeconomic status and student behaviour have revealed that poverty in households can contribute to deviant behaviour among students due to of economic stress and limited parental supervision (Aute et al., 2020).</w:t>
      </w:r>
    </w:p>
    <w:p w14:paraId="4D785CA7" w14:textId="77777777" w:rsidR="00563D7A" w:rsidRDefault="00563D7A" w:rsidP="00563D7A">
      <w:pPr>
        <w:spacing w:line="276" w:lineRule="auto"/>
      </w:pPr>
      <w:r>
        <w:t>Despite government efforts to subsidize senior school education in Kenya through policies such as FDSE, families still need to cover a number of indirect costs such as uniforms, books, and expenses related to boarding. These financial responsibilities may limit access for students from very low-income households while favoring those from moderately stable economic backgrounds (Oketch &amp; Rolleston, 2019). According to Reardon (2018), middle-income families most of the time dominate the enrolment in public schooling systems because extremely poor families may struggle with associated costs, while wealthier households may opt for private institutions. World Bank (2020) similarly found that students in boarding senior schools frequently originated from households with moderate economic capacity that could sustain the recurrent costs of boarding education. Those from underprivileged families often face financial stress related to fee payments and other schooling costs, which can hinder their participation in school activities and their behavioural adjustment in school (OECD, 2019).</w:t>
      </w:r>
    </w:p>
    <w:p w14:paraId="1D876409" w14:textId="77777777" w:rsidR="00563D7A" w:rsidRDefault="00563D7A" w:rsidP="00563D7A">
      <w:pPr>
        <w:spacing w:line="276" w:lineRule="auto"/>
      </w:pPr>
      <w:r>
        <w:t>Income consistency or stability is another important aspect of family income. Many households in sub-Saharan Africa experience income unpredictability, particularly those who depend on informal employment or small-scale agriculture. Filmer and Schady (2019) observed that inconsistent family income often constrains families’ capacity to sustain educational support, thereby influencing students’ school experiences and conduct. Likewise, Miller and Johnson (2017) indicated that income variations can create stress within households, which may indirectly affect children’s behaviour in school environments. When families have difficulties maintaining consistent income, children may face uncertainty regarding school fees, pocket money, and other necessities, conditions which can sometimes contribute to disciplinary challenges. According to Abuya and Oketch (2016), many Kenyan households supporting secondary school students experienced unstable income due to reliance on informal sector employment and seasonal agricultural earnings. Such instability may limit their ability to consistently provide school requirements, potentially affecting students’ psychological well-being and adjustment to the structured environment of boarding schools. Oruko and Muthaa (2020) showed that financial unpredictability in households often contributed to stress among learners. In more economically stable contexts, however, a larger proportion of families report stable income sources. For example, Reardon (2018) observed in studies of developed countries that while income disparities exist, households often have relatively predictable income streams through formal employment, which minimize the prevalence of income instability among students. This difference highlights the role of broader socio-economic structures in shaping household financial stability and, consequently, students’ educational experiences.</w:t>
      </w:r>
    </w:p>
    <w:p w14:paraId="6E15804A" w14:textId="76A03E86" w:rsidR="00563D7A" w:rsidRDefault="00563D7A" w:rsidP="00563D7A">
      <w:pPr>
        <w:spacing w:line="276" w:lineRule="auto"/>
      </w:pPr>
      <w:r>
        <w:lastRenderedPageBreak/>
        <w:t>Family expenditure on education also reflects the ability of households to invest in their children’s education. Research has shown that families with greater financial capacity are better able to provide learning resources like textbooks, supplementary materials, and adequate school fees. For instance, Reardon, (2018) argued that disparities in family spending on education contributed significantly to inequalities in students’ learning environments and behaviour. Equally, Hanushek and</w:t>
      </w:r>
      <w:r w:rsidR="00CE55F3">
        <w:t xml:space="preserve"> </w:t>
      </w:r>
      <w:r>
        <w:t>Woessmann (2020) noted that household investment in education influenced quality of learning resources available to students and shaped their academic motivation and behaviour in school. Abuya and Oketch (2016) reported that despite policies aimed at expanding access to secondary education in Kenya, households still carried a reasonable portion of education-related expenses, including uniforms, books, and boarding costs. Such financial demands can strain low- and middle-income families, leading to variations in the level of support that students receive for their schooling. Generally, family income significantly influences children’s behavioural and socio-emotional development, as higher-income households can invest more in supportive learning environments and parental monitoring (Duncan &amp; Brooks-Gunn, 2018). Similarly, Reardon (2018) argued that economic discrepancies among families were strongly associated with differences in students’ academic performance and behaviour in school. Financial instability may lead to parental stress, reduced supervision, and limited involvement in children’s schooling, which may in turn contribute to behavioural challenges among students (OECD, 2019).</w:t>
      </w:r>
    </w:p>
    <w:p w14:paraId="1BB3FAA6" w14:textId="4CE9C327" w:rsidR="005B7CA4" w:rsidRDefault="00563D7A" w:rsidP="005B7CA4">
      <w:pPr>
        <w:spacing w:line="276" w:lineRule="auto"/>
      </w:pPr>
      <w:r>
        <w:t>Some studies have, however, reported findings that differ from or disqualify the relationship between family income and student behaviour. Some researchers argue that the association between economic resources and student discipline is not always direct because other family processes (such as parenting style, parental involvement, and family cohesion) may mediate the relationship. Amato (2017) suggests that family parenting practices often play a stronger role in shaping children’s behaviour, than economic resources alone. In such cases, it implies that students from lower income families may still show good discipline if parents uphold consistent supervision and supportive relationships. Likewise, some international studies have found either weak or inconsistent links between family income and child behaviour once other socio-economic variables are controlled. According to Sirin (2016), factors such as parental education, family stability, and school climate may reduce or moderate the influence of income differences on student behaviour. This suggests that while economic resources contribute to students’ behavioural development, they interact with manifold family and school factors.</w:t>
      </w:r>
    </w:p>
    <w:p w14:paraId="53034DB5" w14:textId="77777777" w:rsidR="004B02E0" w:rsidRDefault="004B02E0" w:rsidP="005B7CA4">
      <w:pPr>
        <w:spacing w:line="276" w:lineRule="auto"/>
      </w:pPr>
    </w:p>
    <w:p w14:paraId="2F262527" w14:textId="092C5094" w:rsidR="00554670" w:rsidRDefault="00EF1EC1" w:rsidP="004B02E0">
      <w:pPr>
        <w:spacing w:after="0" w:line="276" w:lineRule="auto"/>
        <w:rPr>
          <w:b/>
          <w:bCs/>
        </w:rPr>
      </w:pPr>
      <w:r w:rsidRPr="000325E7">
        <w:rPr>
          <w:b/>
          <w:bCs/>
        </w:rPr>
        <w:t>II. METHODS</w:t>
      </w:r>
      <w:bookmarkEnd w:id="0"/>
    </w:p>
    <w:p w14:paraId="547A98F2" w14:textId="68076102" w:rsidR="00554670" w:rsidRDefault="00EF1EC1" w:rsidP="005B7CA4">
      <w:pPr>
        <w:spacing w:line="276" w:lineRule="auto"/>
        <w:rPr>
          <w:rFonts w:eastAsia="Times New Roman" w:cs="Times New Roman"/>
          <w:szCs w:val="24"/>
        </w:rPr>
      </w:pPr>
      <w:r w:rsidRPr="00EF1EC1">
        <w:t xml:space="preserve">This study employed </w:t>
      </w:r>
      <w:r w:rsidR="00CC290C">
        <w:t>a</w:t>
      </w:r>
      <w:r>
        <w:t xml:space="preserve">n ex post facto </w:t>
      </w:r>
      <w:r w:rsidRPr="00EF1EC1">
        <w:t>design</w:t>
      </w:r>
      <w:r w:rsidR="00C4753E">
        <w:t xml:space="preserve">, which had </w:t>
      </w:r>
      <w:r w:rsidR="00C4753E" w:rsidRPr="00C4753E">
        <w:t xml:space="preserve">the merit of enhancing validity because </w:t>
      </w:r>
      <w:r w:rsidR="00C4753E">
        <w:t>variables were</w:t>
      </w:r>
      <w:r w:rsidR="00C4753E" w:rsidRPr="00C4753E">
        <w:t xml:space="preserve"> investigated in natural settings </w:t>
      </w:r>
      <w:r w:rsidR="00C4753E">
        <w:t xml:space="preserve">after they had occurred, </w:t>
      </w:r>
      <w:r w:rsidR="00C4753E" w:rsidRPr="00C4753E">
        <w:t>without researcher interference (Cohen et al., 201</w:t>
      </w:r>
      <w:r w:rsidR="00C470B2">
        <w:t>7</w:t>
      </w:r>
      <w:r w:rsidR="00C4753E" w:rsidRPr="00C4753E">
        <w:t>).</w:t>
      </w:r>
      <w:r w:rsidR="00E84E0F">
        <w:t xml:space="preserve"> </w:t>
      </w:r>
      <w:r w:rsidR="00C4753E">
        <w:t>The study</w:t>
      </w:r>
      <w:r w:rsidR="00E84E0F">
        <w:t xml:space="preserve"> </w:t>
      </w:r>
      <w:r w:rsidRPr="00EF1EC1">
        <w:t xml:space="preserve">targeted </w:t>
      </w:r>
      <w:r>
        <w:t xml:space="preserve">32 public boys’ secondary schools, </w:t>
      </w:r>
      <w:r w:rsidR="00CC290C">
        <w:t xml:space="preserve">with a study </w:t>
      </w:r>
      <w:r w:rsidR="00CC290C" w:rsidRPr="00623B18">
        <w:rPr>
          <w:rFonts w:eastAsia="Times New Roman" w:cs="Times New Roman"/>
          <w:szCs w:val="24"/>
        </w:rPr>
        <w:t>population compris</w:t>
      </w:r>
      <w:r w:rsidR="00CC290C">
        <w:rPr>
          <w:rFonts w:eastAsia="Times New Roman" w:cs="Times New Roman"/>
          <w:szCs w:val="24"/>
        </w:rPr>
        <w:t>ing</w:t>
      </w:r>
      <w:r w:rsidR="00CC290C" w:rsidRPr="00623B18">
        <w:rPr>
          <w:rFonts w:eastAsia="Times New Roman" w:cs="Times New Roman"/>
          <w:szCs w:val="24"/>
        </w:rPr>
        <w:t xml:space="preserve"> </w:t>
      </w:r>
      <w:r w:rsidR="00CC290C">
        <w:rPr>
          <w:rFonts w:eastAsia="Times New Roman" w:cs="Times New Roman"/>
          <w:szCs w:val="24"/>
        </w:rPr>
        <w:t xml:space="preserve">9664 </w:t>
      </w:r>
      <w:r w:rsidR="00CC290C" w:rsidRPr="00623B18">
        <w:rPr>
          <w:rFonts w:eastAsia="Times New Roman" w:cs="Times New Roman"/>
          <w:szCs w:val="24"/>
        </w:rPr>
        <w:t>students</w:t>
      </w:r>
      <w:r w:rsidR="00CC290C">
        <w:rPr>
          <w:rFonts w:eastAsia="Times New Roman" w:cs="Times New Roman"/>
          <w:szCs w:val="24"/>
        </w:rPr>
        <w:t xml:space="preserve">, 192 </w:t>
      </w:r>
      <w:r w:rsidR="00CC290C" w:rsidRPr="00623B18">
        <w:rPr>
          <w:rFonts w:eastAsia="Times New Roman" w:cs="Times New Roman"/>
          <w:szCs w:val="24"/>
        </w:rPr>
        <w:t xml:space="preserve">class teachers </w:t>
      </w:r>
      <w:r w:rsidR="00CC290C">
        <w:rPr>
          <w:rFonts w:eastAsia="Times New Roman" w:cs="Times New Roman"/>
          <w:szCs w:val="24"/>
        </w:rPr>
        <w:t>and 32 Deputy Principals</w:t>
      </w:r>
      <w:r w:rsidR="00CC290C">
        <w:rPr>
          <w:rFonts w:eastAsia="Times New Roman" w:cs="Times New Roman"/>
          <w:szCs w:val="24"/>
        </w:rPr>
        <w:t>.</w:t>
      </w:r>
      <w:r w:rsidR="00CC290C">
        <w:rPr>
          <w:rFonts w:eastAsia="Times New Roman" w:cs="Times New Roman"/>
          <w:szCs w:val="24"/>
        </w:rPr>
        <w:t xml:space="preserve"> </w:t>
      </w:r>
      <w:r w:rsidR="00CC290C">
        <w:t xml:space="preserve">Through </w:t>
      </w:r>
      <w:r w:rsidR="00E84E0F">
        <w:t xml:space="preserve">a </w:t>
      </w:r>
      <w:r w:rsidR="00CC290C">
        <w:t>multi</w:t>
      </w:r>
      <w:r w:rsidR="00E84E0F">
        <w:t>-</w:t>
      </w:r>
      <w:r w:rsidR="00CC290C">
        <w:t xml:space="preserve">stage sampling approach, 13 deputy principals, 52 class teachers and 390 students were sampled for participation. </w:t>
      </w:r>
      <w:r w:rsidR="00C4753E">
        <w:t>It</w:t>
      </w:r>
      <w:r w:rsidR="00CC290C" w:rsidRPr="00623B18">
        <w:t xml:space="preserve"> was underpinned by </w:t>
      </w:r>
      <w:r w:rsidR="00CC290C" w:rsidRPr="00623B18">
        <w:rPr>
          <w:rFonts w:eastAsia="Times New Roman" w:cs="Times New Roman"/>
          <w:szCs w:val="24"/>
        </w:rPr>
        <w:t>Travis Hirschi's Social Control Theory (1969)</w:t>
      </w:r>
      <w:r w:rsidRPr="00EF1EC1">
        <w:t xml:space="preserve">, </w:t>
      </w:r>
      <w:r w:rsidR="00CC290C">
        <w:t>which posits that the strength of social bonds within the family</w:t>
      </w:r>
      <w:r w:rsidR="00E84E0F">
        <w:t xml:space="preserve"> </w:t>
      </w:r>
      <w:r w:rsidR="00CC290C">
        <w:t>influences conformity to social norms and behavioural regulation among adolescents.</w:t>
      </w:r>
      <w:r w:rsidR="00E84E0F">
        <w:t xml:space="preserve"> </w:t>
      </w:r>
      <w:r w:rsidRPr="00EF1EC1">
        <w:t>Questionnaires</w:t>
      </w:r>
      <w:r w:rsidR="00C4753E">
        <w:t xml:space="preserve"> and</w:t>
      </w:r>
      <w:r w:rsidRPr="00EF1EC1">
        <w:t xml:space="preserve"> </w:t>
      </w:r>
      <w:r w:rsidRPr="00EF1EC1">
        <w:lastRenderedPageBreak/>
        <w:t xml:space="preserve">interview schedules were used </w:t>
      </w:r>
      <w:r w:rsidR="00C4753E">
        <w:t>to collect quantitative and qualitative data</w:t>
      </w:r>
      <w:r w:rsidRPr="00EF1EC1">
        <w:t xml:space="preserve">. The data collected were analyzed descriptively using frequencies and percentages, while the hypothesis was tested using </w:t>
      </w:r>
      <w:r w:rsidR="00C4753E">
        <w:t xml:space="preserve">ANOVA </w:t>
      </w:r>
      <w:r w:rsidRPr="00EF1EC1">
        <w:t>at α = 0.05.</w:t>
      </w:r>
      <w:r w:rsidR="00EF3CBD">
        <w:t xml:space="preserve"> Ethical considerations for the study included research authorization by </w:t>
      </w:r>
      <w:r w:rsidR="003B1C05">
        <w:t>Kibabii</w:t>
      </w:r>
      <w:r w:rsidR="00EF3CBD">
        <w:t xml:space="preserve"> </w:t>
      </w:r>
      <w:r w:rsidR="003B1C05">
        <w:t>University</w:t>
      </w:r>
      <w:r w:rsidR="00EF3CBD">
        <w:t xml:space="preserve">, </w:t>
      </w:r>
      <w:r w:rsidR="00554670" w:rsidRPr="00623B18">
        <w:rPr>
          <w:rFonts w:cs="Times New Roman"/>
          <w:szCs w:val="24"/>
        </w:rPr>
        <w:t>licens</w:t>
      </w:r>
      <w:r w:rsidR="00EF3CBD">
        <w:rPr>
          <w:rFonts w:cs="Times New Roman"/>
          <w:szCs w:val="24"/>
        </w:rPr>
        <w:t>ing by the</w:t>
      </w:r>
      <w:r w:rsidR="00554670" w:rsidRPr="00623B18">
        <w:rPr>
          <w:rFonts w:cs="Times New Roman"/>
          <w:szCs w:val="24"/>
        </w:rPr>
        <w:t xml:space="preserve"> National Commission for Science, Technology, and Innovation (NACOSTI)</w:t>
      </w:r>
      <w:r w:rsidR="00EF3CBD">
        <w:rPr>
          <w:rFonts w:cs="Times New Roman"/>
          <w:szCs w:val="24"/>
        </w:rPr>
        <w:t>, and authority from the County Education Office. S</w:t>
      </w:r>
      <w:r w:rsidR="00554670" w:rsidRPr="00623B18">
        <w:rPr>
          <w:rFonts w:eastAsia="Times New Roman" w:cs="Times New Roman"/>
          <w:szCs w:val="24"/>
        </w:rPr>
        <w:t>ince participation in the research was voluntary, the researcher sought the participants’ consent</w:t>
      </w:r>
      <w:r w:rsidR="00EF3CBD">
        <w:rPr>
          <w:rFonts w:eastAsia="Times New Roman" w:cs="Times New Roman"/>
          <w:szCs w:val="24"/>
        </w:rPr>
        <w:t>, with assurance of anonymity and confidentiality</w:t>
      </w:r>
      <w:r w:rsidR="003B1C05">
        <w:rPr>
          <w:rFonts w:eastAsia="Times New Roman" w:cs="Times New Roman"/>
          <w:szCs w:val="24"/>
        </w:rPr>
        <w:t xml:space="preserve"> in the handling of the information gathered</w:t>
      </w:r>
      <w:r w:rsidR="00EF3CBD">
        <w:rPr>
          <w:rFonts w:eastAsia="Times New Roman" w:cs="Times New Roman"/>
          <w:szCs w:val="24"/>
        </w:rPr>
        <w:t>.</w:t>
      </w:r>
    </w:p>
    <w:p w14:paraId="2D0CC02B" w14:textId="77777777" w:rsidR="004B02E0" w:rsidRPr="00623B18" w:rsidRDefault="004B02E0" w:rsidP="005B7CA4">
      <w:pPr>
        <w:spacing w:line="276" w:lineRule="auto"/>
        <w:rPr>
          <w:rFonts w:eastAsia="Times New Roman" w:cs="Times New Roman"/>
          <w:szCs w:val="24"/>
        </w:rPr>
      </w:pPr>
    </w:p>
    <w:p w14:paraId="1EC9A7D3" w14:textId="73D1C494" w:rsidR="00554670" w:rsidRDefault="00C4753E" w:rsidP="005B7CA4">
      <w:pPr>
        <w:spacing w:line="276" w:lineRule="auto"/>
      </w:pPr>
      <w:r w:rsidRPr="004B02E0">
        <w:rPr>
          <w:b/>
          <w:bCs/>
        </w:rPr>
        <w:t>III. RESULTS</w:t>
      </w:r>
    </w:p>
    <w:p w14:paraId="43B30237" w14:textId="29BB15E9" w:rsidR="00554670" w:rsidRPr="00981129" w:rsidRDefault="00981129" w:rsidP="005B7CA4">
      <w:pPr>
        <w:spacing w:line="276" w:lineRule="auto"/>
        <w:rPr>
          <w:b/>
          <w:bCs/>
          <w:i/>
          <w:iCs/>
        </w:rPr>
      </w:pPr>
      <w:bookmarkStart w:id="1" w:name="_Toc535091347"/>
      <w:bookmarkStart w:id="2" w:name="_Toc19544538"/>
      <w:bookmarkStart w:id="3" w:name="_Toc70696382"/>
      <w:bookmarkStart w:id="4" w:name="_Toc72063176"/>
      <w:bookmarkStart w:id="5" w:name="_Toc96472962"/>
      <w:bookmarkStart w:id="6" w:name="_Toc102398219"/>
      <w:bookmarkStart w:id="7" w:name="_Toc105360861"/>
      <w:bookmarkStart w:id="8" w:name="_Toc124773751"/>
      <w:bookmarkStart w:id="9" w:name="_Toc234318351"/>
      <w:r w:rsidRPr="00981129">
        <w:rPr>
          <w:b/>
          <w:bCs/>
          <w:i/>
          <w:iCs/>
        </w:rPr>
        <w:t>A</w:t>
      </w:r>
      <w:r w:rsidR="004B02E0">
        <w:rPr>
          <w:b/>
          <w:bCs/>
          <w:i/>
          <w:iCs/>
        </w:rPr>
        <w:t>)</w:t>
      </w:r>
      <w:r w:rsidR="00554670" w:rsidRPr="00981129">
        <w:rPr>
          <w:b/>
          <w:bCs/>
          <w:i/>
          <w:iCs/>
        </w:rPr>
        <w:t xml:space="preserve"> </w:t>
      </w:r>
      <w:bookmarkEnd w:id="1"/>
      <w:bookmarkEnd w:id="2"/>
      <w:bookmarkEnd w:id="3"/>
      <w:bookmarkEnd w:id="4"/>
      <w:bookmarkEnd w:id="5"/>
      <w:bookmarkEnd w:id="6"/>
      <w:bookmarkEnd w:id="7"/>
      <w:bookmarkEnd w:id="8"/>
      <w:r w:rsidR="00554670" w:rsidRPr="00981129">
        <w:rPr>
          <w:b/>
          <w:bCs/>
          <w:i/>
          <w:iCs/>
        </w:rPr>
        <w:t>Student Discipline in Public Boys’ Boarding Senior Schools</w:t>
      </w:r>
      <w:bookmarkEnd w:id="9"/>
    </w:p>
    <w:p w14:paraId="4568C7A1" w14:textId="1175D2B5" w:rsidR="00554670" w:rsidRDefault="00554670" w:rsidP="00516FBC">
      <w:pPr>
        <w:spacing w:line="276" w:lineRule="auto"/>
        <w:rPr>
          <w:rFonts w:eastAsia="Times New Roman" w:cs="Times New Roman"/>
          <w:szCs w:val="24"/>
        </w:rPr>
      </w:pPr>
      <w:r w:rsidRPr="00D2071F">
        <w:rPr>
          <w:rFonts w:eastAsia="Times New Roman" w:cs="Times New Roman"/>
          <w:szCs w:val="24"/>
        </w:rPr>
        <w:t xml:space="preserve">The students were   asked to select the option that </w:t>
      </w:r>
      <w:r w:rsidR="00981129" w:rsidRPr="00D2071F">
        <w:rPr>
          <w:rFonts w:eastAsia="Times New Roman" w:cs="Times New Roman"/>
          <w:szCs w:val="24"/>
        </w:rPr>
        <w:t>most appropriate</w:t>
      </w:r>
      <w:r w:rsidR="00981129">
        <w:rPr>
          <w:rFonts w:eastAsia="Times New Roman" w:cs="Times New Roman"/>
          <w:szCs w:val="24"/>
        </w:rPr>
        <w:t>ly</w:t>
      </w:r>
      <w:r w:rsidR="00981129" w:rsidRPr="00D2071F">
        <w:rPr>
          <w:rFonts w:eastAsia="Times New Roman" w:cs="Times New Roman"/>
          <w:szCs w:val="24"/>
        </w:rPr>
        <w:t xml:space="preserve"> </w:t>
      </w:r>
      <w:r w:rsidRPr="00D2071F">
        <w:rPr>
          <w:rFonts w:eastAsia="Times New Roman" w:cs="Times New Roman"/>
          <w:szCs w:val="24"/>
        </w:rPr>
        <w:t xml:space="preserve">corresponded to their perception on </w:t>
      </w:r>
      <w:r w:rsidR="00516FBC">
        <w:rPr>
          <w:rFonts w:eastAsia="Times New Roman" w:cs="Times New Roman"/>
          <w:szCs w:val="24"/>
        </w:rPr>
        <w:t xml:space="preserve">diverse </w:t>
      </w:r>
      <w:r w:rsidRPr="00D2071F">
        <w:rPr>
          <w:rFonts w:eastAsia="Times New Roman" w:cs="Times New Roman"/>
          <w:szCs w:val="24"/>
        </w:rPr>
        <w:t xml:space="preserve">aspects of </w:t>
      </w:r>
      <w:r w:rsidR="00516FBC">
        <w:rPr>
          <w:rFonts w:eastAsia="Times New Roman" w:cs="Times New Roman"/>
          <w:szCs w:val="24"/>
        </w:rPr>
        <w:t>their</w:t>
      </w:r>
      <w:r w:rsidRPr="00D2071F">
        <w:rPr>
          <w:rFonts w:eastAsia="Times New Roman" w:cs="Times New Roman"/>
          <w:szCs w:val="24"/>
        </w:rPr>
        <w:t xml:space="preserve"> discipline. The results were as summarized in Table </w:t>
      </w:r>
      <w:r w:rsidR="004B02E0">
        <w:rPr>
          <w:rFonts w:eastAsia="Times New Roman" w:cs="Times New Roman"/>
          <w:szCs w:val="24"/>
        </w:rPr>
        <w:t>1</w:t>
      </w:r>
      <w:r w:rsidRPr="00D2071F">
        <w:rPr>
          <w:rFonts w:eastAsia="Times New Roman" w:cs="Times New Roman"/>
          <w:szCs w:val="24"/>
        </w:rPr>
        <w:t>.</w:t>
      </w:r>
    </w:p>
    <w:p w14:paraId="5FBF488C" w14:textId="75DF62FA" w:rsidR="00554670" w:rsidRPr="00623B18" w:rsidRDefault="00554670" w:rsidP="00516FBC">
      <w:pPr>
        <w:pStyle w:val="Caption"/>
      </w:pPr>
      <w:bookmarkStart w:id="10" w:name="_Toc234318388"/>
      <w:r w:rsidRPr="00D2071F">
        <w:t xml:space="preserve">Table </w:t>
      </w:r>
      <w:r w:rsidR="00981129">
        <w:t>1.</w:t>
      </w:r>
      <w:r w:rsidRPr="00D2071F">
        <w:t xml:space="preserve"> Students’ Perceptions on Discipline in Boys’ Boarding Senior S</w:t>
      </w:r>
      <w:r w:rsidRPr="00623B18">
        <w:t>chools</w:t>
      </w:r>
      <w:bookmarkEnd w:id="10"/>
    </w:p>
    <w:tbl>
      <w:tblPr>
        <w:tblW w:w="5000" w:type="pct"/>
        <w:tblCellMar>
          <w:top w:w="15" w:type="dxa"/>
          <w:left w:w="15" w:type="dxa"/>
          <w:bottom w:w="15" w:type="dxa"/>
          <w:right w:w="15" w:type="dxa"/>
        </w:tblCellMar>
        <w:tblLook w:val="04A0" w:firstRow="1" w:lastRow="0" w:firstColumn="1" w:lastColumn="0" w:noHBand="0" w:noVBand="1"/>
      </w:tblPr>
      <w:tblGrid>
        <w:gridCol w:w="2824"/>
        <w:gridCol w:w="1229"/>
        <w:gridCol w:w="1229"/>
        <w:gridCol w:w="924"/>
        <w:gridCol w:w="924"/>
        <w:gridCol w:w="1215"/>
        <w:gridCol w:w="681"/>
      </w:tblGrid>
      <w:tr w:rsidR="00554670" w:rsidRPr="00623B18" w14:paraId="21BD743E" w14:textId="77777777" w:rsidTr="00C25885">
        <w:trPr>
          <w:trHeight w:val="1"/>
          <w:tblHeader/>
        </w:trPr>
        <w:tc>
          <w:tcPr>
            <w:tcW w:w="1564" w:type="pct"/>
            <w:tcBorders>
              <w:top w:val="single" w:sz="8" w:space="0" w:color="auto"/>
              <w:bottom w:val="single" w:sz="8" w:space="0" w:color="auto"/>
            </w:tcBorders>
            <w:shd w:val="clear" w:color="auto" w:fill="FFFFFF"/>
            <w:tcMar>
              <w:top w:w="0" w:type="dxa"/>
              <w:left w:w="108" w:type="dxa"/>
              <w:bottom w:w="0" w:type="dxa"/>
              <w:right w:w="108" w:type="dxa"/>
            </w:tcMar>
          </w:tcPr>
          <w:p w14:paraId="484F13A0" w14:textId="77777777" w:rsidR="00554670" w:rsidRPr="00623B18" w:rsidRDefault="00554670" w:rsidP="005B7CA4">
            <w:pPr>
              <w:spacing w:after="0" w:line="276" w:lineRule="auto"/>
              <w:ind w:right="-46"/>
              <w:rPr>
                <w:rFonts w:eastAsia="Times New Roman" w:cs="Times New Roman"/>
                <w:szCs w:val="24"/>
              </w:rPr>
            </w:pPr>
          </w:p>
        </w:tc>
        <w:tc>
          <w:tcPr>
            <w:tcW w:w="681" w:type="pct"/>
            <w:tcBorders>
              <w:top w:val="single" w:sz="8" w:space="0" w:color="auto"/>
              <w:bottom w:val="single" w:sz="8" w:space="0" w:color="auto"/>
            </w:tcBorders>
            <w:shd w:val="clear" w:color="auto" w:fill="FFFFFF"/>
            <w:tcMar>
              <w:top w:w="0" w:type="dxa"/>
              <w:left w:w="108" w:type="dxa"/>
              <w:bottom w:w="0" w:type="dxa"/>
              <w:right w:w="108" w:type="dxa"/>
            </w:tcMar>
          </w:tcPr>
          <w:p w14:paraId="1CB0C921" w14:textId="77777777" w:rsidR="00554670" w:rsidRPr="00623B18" w:rsidRDefault="00554670" w:rsidP="005B7CA4">
            <w:pPr>
              <w:spacing w:after="0" w:line="276" w:lineRule="auto"/>
              <w:ind w:right="-46"/>
              <w:jc w:val="center"/>
              <w:rPr>
                <w:rFonts w:eastAsia="Times New Roman" w:cs="Times New Roman"/>
                <w:b/>
                <w:bCs/>
                <w:szCs w:val="24"/>
              </w:rPr>
            </w:pPr>
            <w:r w:rsidRPr="00623B18">
              <w:rPr>
                <w:rFonts w:eastAsia="Times New Roman" w:cs="Times New Roman"/>
                <w:b/>
                <w:bCs/>
                <w:szCs w:val="24"/>
              </w:rPr>
              <w:t>Strongly Disagree</w:t>
            </w:r>
          </w:p>
          <w:p w14:paraId="4520AEF6" w14:textId="77777777" w:rsidR="00554670" w:rsidRPr="00623B18" w:rsidRDefault="00554670" w:rsidP="005B7CA4">
            <w:pPr>
              <w:spacing w:after="0" w:line="276" w:lineRule="auto"/>
              <w:ind w:right="-46"/>
              <w:jc w:val="center"/>
              <w:rPr>
                <w:rFonts w:eastAsia="Times New Roman" w:cs="Times New Roman"/>
                <w:szCs w:val="24"/>
              </w:rPr>
            </w:pPr>
            <w:r w:rsidRPr="00623B18">
              <w:rPr>
                <w:rFonts w:eastAsia="Times New Roman" w:cs="Times New Roman"/>
                <w:szCs w:val="24"/>
              </w:rPr>
              <w:t>(1)</w:t>
            </w:r>
          </w:p>
        </w:tc>
        <w:tc>
          <w:tcPr>
            <w:tcW w:w="681" w:type="pct"/>
            <w:tcBorders>
              <w:top w:val="single" w:sz="8" w:space="0" w:color="auto"/>
              <w:bottom w:val="single" w:sz="8" w:space="0" w:color="auto"/>
            </w:tcBorders>
            <w:shd w:val="clear" w:color="auto" w:fill="FFFFFF"/>
            <w:tcMar>
              <w:top w:w="0" w:type="dxa"/>
              <w:left w:w="108" w:type="dxa"/>
              <w:bottom w:w="0" w:type="dxa"/>
              <w:right w:w="108" w:type="dxa"/>
            </w:tcMar>
          </w:tcPr>
          <w:p w14:paraId="11E4E125" w14:textId="77777777" w:rsidR="00554670" w:rsidRPr="00623B18" w:rsidRDefault="00554670" w:rsidP="005B7CA4">
            <w:pPr>
              <w:spacing w:after="0" w:line="276" w:lineRule="auto"/>
              <w:ind w:right="-46"/>
              <w:jc w:val="center"/>
              <w:rPr>
                <w:rFonts w:eastAsia="Times New Roman" w:cs="Times New Roman"/>
                <w:b/>
                <w:bCs/>
                <w:szCs w:val="24"/>
              </w:rPr>
            </w:pPr>
            <w:r w:rsidRPr="00623B18">
              <w:rPr>
                <w:rFonts w:eastAsia="Times New Roman" w:cs="Times New Roman"/>
                <w:b/>
                <w:bCs/>
                <w:szCs w:val="24"/>
              </w:rPr>
              <w:t>Disagree</w:t>
            </w:r>
          </w:p>
          <w:p w14:paraId="149E10C0" w14:textId="77777777" w:rsidR="00554670" w:rsidRPr="00623B18" w:rsidRDefault="00554670" w:rsidP="005B7CA4">
            <w:pPr>
              <w:spacing w:after="0" w:line="276" w:lineRule="auto"/>
              <w:ind w:right="-46"/>
              <w:jc w:val="center"/>
              <w:rPr>
                <w:rFonts w:eastAsia="Times New Roman" w:cs="Times New Roman"/>
                <w:b/>
                <w:bCs/>
                <w:szCs w:val="24"/>
              </w:rPr>
            </w:pPr>
          </w:p>
          <w:p w14:paraId="0EF55418" w14:textId="77777777" w:rsidR="00554670" w:rsidRPr="00623B18" w:rsidRDefault="00554670" w:rsidP="005B7CA4">
            <w:pPr>
              <w:spacing w:after="0" w:line="276" w:lineRule="auto"/>
              <w:ind w:right="-46"/>
              <w:jc w:val="center"/>
              <w:rPr>
                <w:rFonts w:eastAsia="Times New Roman" w:cs="Times New Roman"/>
                <w:szCs w:val="24"/>
              </w:rPr>
            </w:pPr>
            <w:r w:rsidRPr="00623B18">
              <w:rPr>
                <w:rFonts w:eastAsia="Times New Roman" w:cs="Times New Roman"/>
                <w:szCs w:val="24"/>
              </w:rPr>
              <w:t>(2)</w:t>
            </w:r>
          </w:p>
        </w:tc>
        <w:tc>
          <w:tcPr>
            <w:tcW w:w="512" w:type="pct"/>
            <w:tcBorders>
              <w:top w:val="single" w:sz="8" w:space="0" w:color="auto"/>
              <w:bottom w:val="single" w:sz="8" w:space="0" w:color="auto"/>
            </w:tcBorders>
            <w:shd w:val="clear" w:color="auto" w:fill="FFFFFF"/>
            <w:tcMar>
              <w:top w:w="0" w:type="dxa"/>
              <w:left w:w="108" w:type="dxa"/>
              <w:bottom w:w="0" w:type="dxa"/>
              <w:right w:w="108" w:type="dxa"/>
            </w:tcMar>
          </w:tcPr>
          <w:p w14:paraId="74A7D4FD" w14:textId="77777777" w:rsidR="00554670" w:rsidRPr="00623B18" w:rsidRDefault="00554670" w:rsidP="005B7CA4">
            <w:pPr>
              <w:spacing w:after="0" w:line="276" w:lineRule="auto"/>
              <w:ind w:right="-46"/>
              <w:jc w:val="center"/>
              <w:rPr>
                <w:rFonts w:eastAsia="Times New Roman" w:cs="Times New Roman"/>
                <w:b/>
                <w:bCs/>
                <w:szCs w:val="24"/>
              </w:rPr>
            </w:pPr>
            <w:r w:rsidRPr="00623B18">
              <w:rPr>
                <w:rFonts w:eastAsia="Times New Roman" w:cs="Times New Roman"/>
                <w:b/>
                <w:bCs/>
                <w:szCs w:val="24"/>
              </w:rPr>
              <w:t>Not Sure</w:t>
            </w:r>
          </w:p>
          <w:p w14:paraId="65A2D78F" w14:textId="77777777" w:rsidR="00554670" w:rsidRPr="00623B18" w:rsidRDefault="00554670" w:rsidP="005B7CA4">
            <w:pPr>
              <w:spacing w:after="0" w:line="276" w:lineRule="auto"/>
              <w:ind w:right="-46"/>
              <w:jc w:val="center"/>
              <w:rPr>
                <w:rFonts w:eastAsia="Times New Roman" w:cs="Times New Roman"/>
                <w:szCs w:val="24"/>
              </w:rPr>
            </w:pPr>
            <w:r w:rsidRPr="00623B18">
              <w:rPr>
                <w:rFonts w:eastAsia="Times New Roman" w:cs="Times New Roman"/>
                <w:szCs w:val="24"/>
              </w:rPr>
              <w:t>(3)</w:t>
            </w:r>
          </w:p>
        </w:tc>
        <w:tc>
          <w:tcPr>
            <w:tcW w:w="512" w:type="pct"/>
            <w:tcBorders>
              <w:top w:val="single" w:sz="8" w:space="0" w:color="auto"/>
              <w:bottom w:val="single" w:sz="8" w:space="0" w:color="auto"/>
            </w:tcBorders>
            <w:shd w:val="clear" w:color="auto" w:fill="FFFFFF"/>
            <w:tcMar>
              <w:top w:w="0" w:type="dxa"/>
              <w:left w:w="108" w:type="dxa"/>
              <w:bottom w:w="0" w:type="dxa"/>
              <w:right w:w="108" w:type="dxa"/>
            </w:tcMar>
          </w:tcPr>
          <w:p w14:paraId="33346749" w14:textId="77777777" w:rsidR="00554670" w:rsidRPr="00623B18" w:rsidRDefault="00554670" w:rsidP="005B7CA4">
            <w:pPr>
              <w:spacing w:after="0" w:line="276" w:lineRule="auto"/>
              <w:ind w:right="-46"/>
              <w:jc w:val="center"/>
              <w:rPr>
                <w:rFonts w:eastAsia="Times New Roman" w:cs="Times New Roman"/>
                <w:b/>
                <w:bCs/>
                <w:szCs w:val="24"/>
              </w:rPr>
            </w:pPr>
            <w:r w:rsidRPr="00623B18">
              <w:rPr>
                <w:rFonts w:eastAsia="Times New Roman" w:cs="Times New Roman"/>
                <w:b/>
                <w:bCs/>
                <w:szCs w:val="24"/>
              </w:rPr>
              <w:t>Agree</w:t>
            </w:r>
          </w:p>
          <w:p w14:paraId="7C6B294B" w14:textId="77777777" w:rsidR="00554670" w:rsidRPr="00623B18" w:rsidRDefault="00554670" w:rsidP="005B7CA4">
            <w:pPr>
              <w:spacing w:after="0" w:line="276" w:lineRule="auto"/>
              <w:ind w:right="-46"/>
              <w:jc w:val="center"/>
              <w:rPr>
                <w:rFonts w:eastAsia="Times New Roman" w:cs="Times New Roman"/>
                <w:b/>
                <w:bCs/>
                <w:szCs w:val="24"/>
              </w:rPr>
            </w:pPr>
          </w:p>
          <w:p w14:paraId="361C10EB" w14:textId="77777777" w:rsidR="00554670" w:rsidRPr="00623B18" w:rsidRDefault="00554670" w:rsidP="005B7CA4">
            <w:pPr>
              <w:spacing w:after="0" w:line="276" w:lineRule="auto"/>
              <w:ind w:right="-46"/>
              <w:jc w:val="center"/>
              <w:rPr>
                <w:rFonts w:eastAsia="Times New Roman" w:cs="Times New Roman"/>
                <w:szCs w:val="24"/>
              </w:rPr>
            </w:pPr>
            <w:r w:rsidRPr="00623B18">
              <w:rPr>
                <w:rFonts w:eastAsia="Times New Roman" w:cs="Times New Roman"/>
                <w:szCs w:val="24"/>
              </w:rPr>
              <w:t>(4)</w:t>
            </w:r>
          </w:p>
        </w:tc>
        <w:tc>
          <w:tcPr>
            <w:tcW w:w="673" w:type="pct"/>
            <w:tcBorders>
              <w:top w:val="single" w:sz="8" w:space="0" w:color="auto"/>
              <w:bottom w:val="single" w:sz="8" w:space="0" w:color="auto"/>
            </w:tcBorders>
            <w:shd w:val="clear" w:color="auto" w:fill="FFFFFF"/>
            <w:tcMar>
              <w:top w:w="0" w:type="dxa"/>
              <w:left w:w="108" w:type="dxa"/>
              <w:bottom w:w="0" w:type="dxa"/>
              <w:right w:w="108" w:type="dxa"/>
            </w:tcMar>
          </w:tcPr>
          <w:p w14:paraId="6DC1C5C9" w14:textId="77777777" w:rsidR="00554670" w:rsidRPr="00623B18" w:rsidRDefault="00554670" w:rsidP="005B7CA4">
            <w:pPr>
              <w:spacing w:after="0" w:line="276" w:lineRule="auto"/>
              <w:ind w:right="-46"/>
              <w:jc w:val="center"/>
              <w:rPr>
                <w:rFonts w:eastAsia="Times New Roman" w:cs="Times New Roman"/>
                <w:b/>
                <w:bCs/>
                <w:szCs w:val="24"/>
              </w:rPr>
            </w:pPr>
            <w:r w:rsidRPr="00623B18">
              <w:rPr>
                <w:rFonts w:eastAsia="Times New Roman" w:cs="Times New Roman"/>
                <w:b/>
                <w:bCs/>
                <w:szCs w:val="24"/>
              </w:rPr>
              <w:t>Strongly Agree</w:t>
            </w:r>
          </w:p>
          <w:p w14:paraId="3DCD959F" w14:textId="77777777" w:rsidR="00554670" w:rsidRPr="00623B18" w:rsidRDefault="00554670" w:rsidP="005B7CA4">
            <w:pPr>
              <w:spacing w:after="0" w:line="276" w:lineRule="auto"/>
              <w:ind w:right="-46"/>
              <w:jc w:val="center"/>
              <w:rPr>
                <w:rFonts w:eastAsia="Times New Roman" w:cs="Times New Roman"/>
                <w:szCs w:val="24"/>
              </w:rPr>
            </w:pPr>
            <w:r w:rsidRPr="00623B18">
              <w:rPr>
                <w:rFonts w:eastAsia="Times New Roman" w:cs="Times New Roman"/>
                <w:szCs w:val="24"/>
              </w:rPr>
              <w:t>(5)</w:t>
            </w:r>
          </w:p>
        </w:tc>
        <w:tc>
          <w:tcPr>
            <w:tcW w:w="377" w:type="pct"/>
            <w:tcBorders>
              <w:top w:val="single" w:sz="8" w:space="0" w:color="auto"/>
              <w:bottom w:val="single" w:sz="8" w:space="0" w:color="auto"/>
            </w:tcBorders>
          </w:tcPr>
          <w:p w14:paraId="12F1DA4B" w14:textId="77777777" w:rsidR="00554670" w:rsidRPr="00623B18" w:rsidRDefault="00554670" w:rsidP="005B7CA4">
            <w:pPr>
              <w:spacing w:after="0" w:line="276" w:lineRule="auto"/>
              <w:ind w:right="-46"/>
              <w:rPr>
                <w:rFonts w:eastAsia="Times New Roman" w:cs="Times New Roman"/>
                <w:b/>
                <w:bCs/>
                <w:szCs w:val="24"/>
              </w:rPr>
            </w:pPr>
            <w:r w:rsidRPr="00623B18">
              <w:rPr>
                <w:rFonts w:eastAsia="Times New Roman" w:cs="Times New Roman"/>
                <w:b/>
                <w:bCs/>
                <w:szCs w:val="24"/>
              </w:rPr>
              <w:t>Mean</w:t>
            </w:r>
          </w:p>
          <w:p w14:paraId="63502771" w14:textId="77777777" w:rsidR="00554670" w:rsidRPr="00623B18" w:rsidRDefault="00554670" w:rsidP="005B7CA4">
            <w:pPr>
              <w:spacing w:after="0" w:line="276" w:lineRule="auto"/>
              <w:ind w:right="-46"/>
              <w:rPr>
                <w:rFonts w:eastAsia="Times New Roman" w:cs="Times New Roman"/>
                <w:b/>
                <w:bCs/>
                <w:szCs w:val="24"/>
              </w:rPr>
            </w:pPr>
          </w:p>
          <w:p w14:paraId="1505FCBC" w14:textId="77777777" w:rsidR="00554670" w:rsidRPr="00623B18" w:rsidRDefault="00554670" w:rsidP="005B7CA4">
            <w:pPr>
              <w:spacing w:after="0" w:line="276" w:lineRule="auto"/>
              <w:ind w:right="-46"/>
              <w:jc w:val="center"/>
              <w:rPr>
                <w:rFonts w:eastAsia="Times New Roman" w:cs="Times New Roman"/>
                <w:b/>
                <w:bCs/>
                <w:szCs w:val="24"/>
              </w:rPr>
            </w:pPr>
            <w:r w:rsidRPr="00623B18">
              <w:rPr>
                <w:rFonts w:cs="Times New Roman"/>
                <w:szCs w:val="24"/>
              </w:rPr>
              <w:t>(</w:t>
            </w:r>
            <m:oMath>
              <m:acc>
                <m:accPr>
                  <m:chr m:val="̅"/>
                  <m:ctrlPr>
                    <w:rPr>
                      <w:rFonts w:ascii="Cambria Math" w:hAnsi="Cambria Math" w:cs="Times New Roman"/>
                      <w:bCs/>
                      <w:szCs w:val="24"/>
                    </w:rPr>
                  </m:ctrlPr>
                </m:accPr>
                <m:e>
                  <m:r>
                    <m:rPr>
                      <m:sty m:val="p"/>
                    </m:rPr>
                    <w:rPr>
                      <w:rFonts w:ascii="Cambria Math" w:hAnsi="Cambria Math" w:cs="Times New Roman"/>
                      <w:szCs w:val="24"/>
                    </w:rPr>
                    <m:t>X</m:t>
                  </m:r>
                </m:e>
              </m:acc>
            </m:oMath>
            <w:r w:rsidRPr="00623B18">
              <w:rPr>
                <w:rFonts w:cs="Times New Roman"/>
                <w:bCs/>
                <w:szCs w:val="24"/>
              </w:rPr>
              <w:t>)</w:t>
            </w:r>
          </w:p>
        </w:tc>
      </w:tr>
      <w:tr w:rsidR="00554670" w:rsidRPr="00623B18" w14:paraId="7B29E47A" w14:textId="77777777" w:rsidTr="00C25885">
        <w:trPr>
          <w:trHeight w:val="707"/>
        </w:trPr>
        <w:tc>
          <w:tcPr>
            <w:tcW w:w="1564" w:type="pct"/>
            <w:tcBorders>
              <w:top w:val="single" w:sz="8" w:space="0" w:color="auto"/>
            </w:tcBorders>
            <w:shd w:val="clear" w:color="auto" w:fill="FFFFFF"/>
            <w:tcMar>
              <w:top w:w="0" w:type="dxa"/>
              <w:left w:w="108" w:type="dxa"/>
              <w:bottom w:w="0" w:type="dxa"/>
              <w:right w:w="108" w:type="dxa"/>
            </w:tcMar>
          </w:tcPr>
          <w:p w14:paraId="7C212DFC" w14:textId="77777777" w:rsidR="00554670" w:rsidRPr="00623B18" w:rsidRDefault="00554670">
            <w:pPr>
              <w:pStyle w:val="ListParagraph"/>
              <w:numPr>
                <w:ilvl w:val="0"/>
                <w:numId w:val="1"/>
              </w:numPr>
              <w:spacing w:before="134" w:after="0" w:line="276" w:lineRule="auto"/>
              <w:ind w:right="-46"/>
              <w:jc w:val="left"/>
              <w:rPr>
                <w:rFonts w:eastAsia="Times New Roman" w:cs="Times New Roman"/>
                <w:szCs w:val="24"/>
              </w:rPr>
            </w:pPr>
            <w:r w:rsidRPr="00623B18">
              <w:rPr>
                <w:rFonts w:eastAsia="Times New Roman" w:cs="Times New Roman"/>
                <w:szCs w:val="24"/>
              </w:rPr>
              <w:t>I relate well with the authority.</w:t>
            </w:r>
          </w:p>
        </w:tc>
        <w:tc>
          <w:tcPr>
            <w:tcW w:w="681" w:type="pct"/>
            <w:tcBorders>
              <w:top w:val="single" w:sz="8" w:space="0" w:color="auto"/>
            </w:tcBorders>
            <w:shd w:val="clear" w:color="auto" w:fill="FFFFFF"/>
            <w:tcMar>
              <w:top w:w="0" w:type="dxa"/>
              <w:left w:w="108" w:type="dxa"/>
              <w:bottom w:w="0" w:type="dxa"/>
              <w:right w:w="108" w:type="dxa"/>
            </w:tcMar>
          </w:tcPr>
          <w:p w14:paraId="1FEE16FB"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3</w:t>
            </w:r>
          </w:p>
          <w:p w14:paraId="0BF46D89"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0.8%</w:t>
            </w:r>
          </w:p>
        </w:tc>
        <w:tc>
          <w:tcPr>
            <w:tcW w:w="681" w:type="pct"/>
            <w:tcBorders>
              <w:top w:val="single" w:sz="8" w:space="0" w:color="auto"/>
            </w:tcBorders>
            <w:shd w:val="clear" w:color="auto" w:fill="FFFFFF"/>
            <w:tcMar>
              <w:top w:w="0" w:type="dxa"/>
              <w:left w:w="108" w:type="dxa"/>
              <w:bottom w:w="0" w:type="dxa"/>
              <w:right w:w="108" w:type="dxa"/>
            </w:tcMar>
          </w:tcPr>
          <w:p w14:paraId="3B1AC5C9"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9</w:t>
            </w:r>
          </w:p>
          <w:p w14:paraId="0D227F86"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2.5%</w:t>
            </w:r>
          </w:p>
        </w:tc>
        <w:tc>
          <w:tcPr>
            <w:tcW w:w="512" w:type="pct"/>
            <w:tcBorders>
              <w:top w:val="single" w:sz="8" w:space="0" w:color="auto"/>
            </w:tcBorders>
            <w:shd w:val="clear" w:color="auto" w:fill="FFFFFF"/>
            <w:tcMar>
              <w:top w:w="0" w:type="dxa"/>
              <w:left w:w="108" w:type="dxa"/>
              <w:bottom w:w="0" w:type="dxa"/>
              <w:right w:w="108" w:type="dxa"/>
            </w:tcMar>
          </w:tcPr>
          <w:p w14:paraId="7F82E070"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20</w:t>
            </w:r>
          </w:p>
          <w:p w14:paraId="5AE921B2"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5.4%</w:t>
            </w:r>
          </w:p>
        </w:tc>
        <w:tc>
          <w:tcPr>
            <w:tcW w:w="512" w:type="pct"/>
            <w:tcBorders>
              <w:top w:val="single" w:sz="8" w:space="0" w:color="auto"/>
            </w:tcBorders>
            <w:shd w:val="clear" w:color="auto" w:fill="FFFFFF"/>
            <w:tcMar>
              <w:top w:w="0" w:type="dxa"/>
              <w:left w:w="108" w:type="dxa"/>
              <w:bottom w:w="0" w:type="dxa"/>
              <w:right w:w="108" w:type="dxa"/>
            </w:tcMar>
          </w:tcPr>
          <w:p w14:paraId="3CBE90FE"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142</w:t>
            </w:r>
          </w:p>
          <w:p w14:paraId="75CD2641"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38.7%</w:t>
            </w:r>
          </w:p>
        </w:tc>
        <w:tc>
          <w:tcPr>
            <w:tcW w:w="673" w:type="pct"/>
            <w:tcBorders>
              <w:top w:val="single" w:sz="8" w:space="0" w:color="auto"/>
            </w:tcBorders>
            <w:shd w:val="clear" w:color="auto" w:fill="FFFFFF"/>
            <w:tcMar>
              <w:top w:w="0" w:type="dxa"/>
              <w:left w:w="108" w:type="dxa"/>
              <w:bottom w:w="0" w:type="dxa"/>
              <w:right w:w="108" w:type="dxa"/>
            </w:tcMar>
          </w:tcPr>
          <w:p w14:paraId="5A417E7A"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193</w:t>
            </w:r>
          </w:p>
          <w:p w14:paraId="1D9DF9B2"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52.6%</w:t>
            </w:r>
          </w:p>
        </w:tc>
        <w:tc>
          <w:tcPr>
            <w:tcW w:w="377" w:type="pct"/>
            <w:tcBorders>
              <w:top w:val="single" w:sz="8" w:space="0" w:color="auto"/>
            </w:tcBorders>
          </w:tcPr>
          <w:p w14:paraId="5080E04E"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4.40</w:t>
            </w:r>
          </w:p>
        </w:tc>
      </w:tr>
      <w:tr w:rsidR="00554670" w:rsidRPr="00623B18" w14:paraId="577F91D5" w14:textId="77777777" w:rsidTr="00C25885">
        <w:trPr>
          <w:trHeight w:val="767"/>
        </w:trPr>
        <w:tc>
          <w:tcPr>
            <w:tcW w:w="1564" w:type="pct"/>
            <w:shd w:val="clear" w:color="auto" w:fill="FFFFFF"/>
            <w:tcMar>
              <w:top w:w="0" w:type="dxa"/>
              <w:left w:w="108" w:type="dxa"/>
              <w:bottom w:w="0" w:type="dxa"/>
              <w:right w:w="108" w:type="dxa"/>
            </w:tcMar>
          </w:tcPr>
          <w:p w14:paraId="112F1BDA" w14:textId="77777777" w:rsidR="00554670" w:rsidRPr="00623B18" w:rsidRDefault="00554670">
            <w:pPr>
              <w:pStyle w:val="ListParagraph"/>
              <w:numPr>
                <w:ilvl w:val="0"/>
                <w:numId w:val="1"/>
              </w:numPr>
              <w:spacing w:before="134" w:after="0" w:line="276" w:lineRule="auto"/>
              <w:ind w:right="-46"/>
              <w:jc w:val="left"/>
              <w:rPr>
                <w:rFonts w:eastAsia="Times New Roman" w:cs="Times New Roman"/>
                <w:szCs w:val="24"/>
              </w:rPr>
            </w:pPr>
            <w:r w:rsidRPr="00623B18">
              <w:rPr>
                <w:rFonts w:eastAsia="Times New Roman" w:cs="Times New Roman"/>
                <w:szCs w:val="24"/>
              </w:rPr>
              <w:t>I am obedient to school rules.</w:t>
            </w:r>
          </w:p>
        </w:tc>
        <w:tc>
          <w:tcPr>
            <w:tcW w:w="681" w:type="pct"/>
            <w:shd w:val="clear" w:color="auto" w:fill="FFFFFF"/>
            <w:tcMar>
              <w:top w:w="0" w:type="dxa"/>
              <w:left w:w="108" w:type="dxa"/>
              <w:bottom w:w="0" w:type="dxa"/>
              <w:right w:w="108" w:type="dxa"/>
            </w:tcMar>
          </w:tcPr>
          <w:p w14:paraId="574C33AA"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0</w:t>
            </w:r>
          </w:p>
          <w:p w14:paraId="2166E6D0"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0.0%</w:t>
            </w:r>
          </w:p>
        </w:tc>
        <w:tc>
          <w:tcPr>
            <w:tcW w:w="681" w:type="pct"/>
            <w:shd w:val="clear" w:color="auto" w:fill="FFFFFF"/>
            <w:tcMar>
              <w:top w:w="0" w:type="dxa"/>
              <w:left w:w="108" w:type="dxa"/>
              <w:bottom w:w="0" w:type="dxa"/>
              <w:right w:w="108" w:type="dxa"/>
            </w:tcMar>
          </w:tcPr>
          <w:p w14:paraId="03B17C2E"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8</w:t>
            </w:r>
          </w:p>
          <w:p w14:paraId="4AF5902E"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2.2%</w:t>
            </w:r>
          </w:p>
        </w:tc>
        <w:tc>
          <w:tcPr>
            <w:tcW w:w="512" w:type="pct"/>
            <w:shd w:val="clear" w:color="auto" w:fill="FFFFFF"/>
            <w:tcMar>
              <w:top w:w="0" w:type="dxa"/>
              <w:left w:w="108" w:type="dxa"/>
              <w:bottom w:w="0" w:type="dxa"/>
              <w:right w:w="108" w:type="dxa"/>
            </w:tcMar>
          </w:tcPr>
          <w:p w14:paraId="49A919A4"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8</w:t>
            </w:r>
          </w:p>
          <w:p w14:paraId="774975C0"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2.2%</w:t>
            </w:r>
          </w:p>
        </w:tc>
        <w:tc>
          <w:tcPr>
            <w:tcW w:w="512" w:type="pct"/>
            <w:shd w:val="clear" w:color="auto" w:fill="FFFFFF"/>
            <w:tcMar>
              <w:top w:w="0" w:type="dxa"/>
              <w:left w:w="108" w:type="dxa"/>
              <w:bottom w:w="0" w:type="dxa"/>
              <w:right w:w="108" w:type="dxa"/>
            </w:tcMar>
          </w:tcPr>
          <w:p w14:paraId="58374A66"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120</w:t>
            </w:r>
          </w:p>
          <w:p w14:paraId="5C2E0A70"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32.7%</w:t>
            </w:r>
          </w:p>
        </w:tc>
        <w:tc>
          <w:tcPr>
            <w:tcW w:w="673" w:type="pct"/>
            <w:shd w:val="clear" w:color="auto" w:fill="FFFFFF"/>
            <w:tcMar>
              <w:top w:w="0" w:type="dxa"/>
              <w:left w:w="108" w:type="dxa"/>
              <w:bottom w:w="0" w:type="dxa"/>
              <w:right w:w="108" w:type="dxa"/>
            </w:tcMar>
          </w:tcPr>
          <w:p w14:paraId="6D534D4A"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231</w:t>
            </w:r>
          </w:p>
          <w:p w14:paraId="2FC91196"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62.9%</w:t>
            </w:r>
          </w:p>
        </w:tc>
        <w:tc>
          <w:tcPr>
            <w:tcW w:w="377" w:type="pct"/>
          </w:tcPr>
          <w:p w14:paraId="4FB46B27"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4.59</w:t>
            </w:r>
          </w:p>
        </w:tc>
      </w:tr>
      <w:tr w:rsidR="00554670" w:rsidRPr="00623B18" w14:paraId="235915F6" w14:textId="77777777" w:rsidTr="00C25885">
        <w:trPr>
          <w:trHeight w:val="807"/>
        </w:trPr>
        <w:tc>
          <w:tcPr>
            <w:tcW w:w="1564" w:type="pct"/>
            <w:shd w:val="clear" w:color="auto" w:fill="FFFFFF"/>
            <w:tcMar>
              <w:top w:w="0" w:type="dxa"/>
              <w:left w:w="108" w:type="dxa"/>
              <w:bottom w:w="0" w:type="dxa"/>
              <w:right w:w="108" w:type="dxa"/>
            </w:tcMar>
          </w:tcPr>
          <w:p w14:paraId="540A69FA" w14:textId="77777777" w:rsidR="00554670" w:rsidRPr="00623B18" w:rsidRDefault="00554670">
            <w:pPr>
              <w:pStyle w:val="ListParagraph"/>
              <w:numPr>
                <w:ilvl w:val="0"/>
                <w:numId w:val="1"/>
              </w:numPr>
              <w:spacing w:before="134" w:after="0" w:line="276" w:lineRule="auto"/>
              <w:ind w:right="-46"/>
              <w:jc w:val="left"/>
              <w:rPr>
                <w:rFonts w:eastAsia="Times New Roman" w:cs="Times New Roman"/>
                <w:szCs w:val="24"/>
              </w:rPr>
            </w:pPr>
            <w:r w:rsidRPr="00623B18">
              <w:rPr>
                <w:rFonts w:eastAsia="Times New Roman" w:cs="Times New Roman"/>
                <w:szCs w:val="24"/>
              </w:rPr>
              <w:t>I am cooperative and loyal.</w:t>
            </w:r>
          </w:p>
        </w:tc>
        <w:tc>
          <w:tcPr>
            <w:tcW w:w="681" w:type="pct"/>
            <w:shd w:val="clear" w:color="auto" w:fill="FFFFFF"/>
            <w:tcMar>
              <w:top w:w="0" w:type="dxa"/>
              <w:left w:w="108" w:type="dxa"/>
              <w:bottom w:w="0" w:type="dxa"/>
              <w:right w:w="108" w:type="dxa"/>
            </w:tcMar>
          </w:tcPr>
          <w:p w14:paraId="2E906E3E"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5</w:t>
            </w:r>
          </w:p>
          <w:p w14:paraId="75E212DE"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1.4%</w:t>
            </w:r>
          </w:p>
        </w:tc>
        <w:tc>
          <w:tcPr>
            <w:tcW w:w="681" w:type="pct"/>
            <w:shd w:val="clear" w:color="auto" w:fill="FFFFFF"/>
            <w:tcMar>
              <w:top w:w="0" w:type="dxa"/>
              <w:left w:w="108" w:type="dxa"/>
              <w:bottom w:w="0" w:type="dxa"/>
              <w:right w:w="108" w:type="dxa"/>
            </w:tcMar>
          </w:tcPr>
          <w:p w14:paraId="7CFAC063"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6</w:t>
            </w:r>
          </w:p>
          <w:p w14:paraId="3AB38BFA"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1.6%</w:t>
            </w:r>
          </w:p>
        </w:tc>
        <w:tc>
          <w:tcPr>
            <w:tcW w:w="512" w:type="pct"/>
            <w:shd w:val="clear" w:color="auto" w:fill="FFFFFF"/>
            <w:tcMar>
              <w:top w:w="0" w:type="dxa"/>
              <w:left w:w="108" w:type="dxa"/>
              <w:bottom w:w="0" w:type="dxa"/>
              <w:right w:w="108" w:type="dxa"/>
            </w:tcMar>
          </w:tcPr>
          <w:p w14:paraId="150DD2F6"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23</w:t>
            </w:r>
          </w:p>
          <w:p w14:paraId="4E62D260"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6.3%</w:t>
            </w:r>
          </w:p>
        </w:tc>
        <w:tc>
          <w:tcPr>
            <w:tcW w:w="512" w:type="pct"/>
            <w:shd w:val="clear" w:color="auto" w:fill="FFFFFF"/>
            <w:tcMar>
              <w:top w:w="0" w:type="dxa"/>
              <w:left w:w="108" w:type="dxa"/>
              <w:bottom w:w="0" w:type="dxa"/>
              <w:right w:w="108" w:type="dxa"/>
            </w:tcMar>
          </w:tcPr>
          <w:p w14:paraId="402D90C1"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127</w:t>
            </w:r>
          </w:p>
          <w:p w14:paraId="2F171AD3"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34.6%</w:t>
            </w:r>
          </w:p>
        </w:tc>
        <w:tc>
          <w:tcPr>
            <w:tcW w:w="673" w:type="pct"/>
            <w:shd w:val="clear" w:color="auto" w:fill="FFFFFF"/>
            <w:tcMar>
              <w:top w:w="0" w:type="dxa"/>
              <w:left w:w="108" w:type="dxa"/>
              <w:bottom w:w="0" w:type="dxa"/>
              <w:right w:w="108" w:type="dxa"/>
            </w:tcMar>
          </w:tcPr>
          <w:p w14:paraId="246CDAE9"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206</w:t>
            </w:r>
          </w:p>
          <w:p w14:paraId="7F16D057"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56.1%</w:t>
            </w:r>
          </w:p>
        </w:tc>
        <w:tc>
          <w:tcPr>
            <w:tcW w:w="377" w:type="pct"/>
          </w:tcPr>
          <w:p w14:paraId="2943A68C"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4.43</w:t>
            </w:r>
          </w:p>
        </w:tc>
      </w:tr>
      <w:tr w:rsidR="00554670" w:rsidRPr="00623B18" w14:paraId="649E6E77" w14:textId="77777777" w:rsidTr="00C25885">
        <w:trPr>
          <w:trHeight w:val="535"/>
        </w:trPr>
        <w:tc>
          <w:tcPr>
            <w:tcW w:w="1564" w:type="pct"/>
            <w:shd w:val="clear" w:color="auto" w:fill="FFFFFF"/>
            <w:tcMar>
              <w:top w:w="0" w:type="dxa"/>
              <w:left w:w="108" w:type="dxa"/>
              <w:bottom w:w="0" w:type="dxa"/>
              <w:right w:w="108" w:type="dxa"/>
            </w:tcMar>
          </w:tcPr>
          <w:p w14:paraId="2BAC54B0" w14:textId="77777777" w:rsidR="00554670" w:rsidRPr="00623B18" w:rsidRDefault="00554670">
            <w:pPr>
              <w:pStyle w:val="ListParagraph"/>
              <w:numPr>
                <w:ilvl w:val="0"/>
                <w:numId w:val="1"/>
              </w:numPr>
              <w:spacing w:before="134" w:after="0" w:line="276" w:lineRule="auto"/>
              <w:ind w:right="-46"/>
              <w:jc w:val="left"/>
              <w:rPr>
                <w:rFonts w:eastAsia="Times New Roman" w:cs="Times New Roman"/>
                <w:szCs w:val="24"/>
              </w:rPr>
            </w:pPr>
            <w:r w:rsidRPr="00623B18">
              <w:rPr>
                <w:rFonts w:eastAsia="Times New Roman" w:cs="Times New Roman"/>
                <w:szCs w:val="24"/>
              </w:rPr>
              <w:t>I have positive influence to peers.</w:t>
            </w:r>
          </w:p>
        </w:tc>
        <w:tc>
          <w:tcPr>
            <w:tcW w:w="681" w:type="pct"/>
            <w:shd w:val="clear" w:color="auto" w:fill="FFFFFF"/>
            <w:tcMar>
              <w:top w:w="0" w:type="dxa"/>
              <w:left w:w="108" w:type="dxa"/>
              <w:bottom w:w="0" w:type="dxa"/>
              <w:right w:w="108" w:type="dxa"/>
            </w:tcMar>
          </w:tcPr>
          <w:p w14:paraId="0D39A102"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22</w:t>
            </w:r>
          </w:p>
          <w:p w14:paraId="76E27E9F"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6.0%</w:t>
            </w:r>
          </w:p>
        </w:tc>
        <w:tc>
          <w:tcPr>
            <w:tcW w:w="681" w:type="pct"/>
            <w:shd w:val="clear" w:color="auto" w:fill="FFFFFF"/>
            <w:tcMar>
              <w:top w:w="0" w:type="dxa"/>
              <w:left w:w="108" w:type="dxa"/>
              <w:bottom w:w="0" w:type="dxa"/>
              <w:right w:w="108" w:type="dxa"/>
            </w:tcMar>
          </w:tcPr>
          <w:p w14:paraId="6A20A31A"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20</w:t>
            </w:r>
          </w:p>
          <w:p w14:paraId="011E1AB4"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5.4%</w:t>
            </w:r>
          </w:p>
        </w:tc>
        <w:tc>
          <w:tcPr>
            <w:tcW w:w="512" w:type="pct"/>
            <w:shd w:val="clear" w:color="auto" w:fill="FFFFFF"/>
            <w:tcMar>
              <w:top w:w="0" w:type="dxa"/>
              <w:left w:w="108" w:type="dxa"/>
              <w:bottom w:w="0" w:type="dxa"/>
              <w:right w:w="108" w:type="dxa"/>
            </w:tcMar>
          </w:tcPr>
          <w:p w14:paraId="7AF32156"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57</w:t>
            </w:r>
          </w:p>
          <w:p w14:paraId="5C52D80D"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15.5%</w:t>
            </w:r>
          </w:p>
        </w:tc>
        <w:tc>
          <w:tcPr>
            <w:tcW w:w="512" w:type="pct"/>
            <w:shd w:val="clear" w:color="auto" w:fill="FFFFFF"/>
            <w:tcMar>
              <w:top w:w="0" w:type="dxa"/>
              <w:left w:w="108" w:type="dxa"/>
              <w:bottom w:w="0" w:type="dxa"/>
              <w:right w:w="108" w:type="dxa"/>
            </w:tcMar>
          </w:tcPr>
          <w:p w14:paraId="7137612E"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132</w:t>
            </w:r>
          </w:p>
          <w:p w14:paraId="74982894"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36.0%</w:t>
            </w:r>
          </w:p>
        </w:tc>
        <w:tc>
          <w:tcPr>
            <w:tcW w:w="673" w:type="pct"/>
            <w:shd w:val="clear" w:color="auto" w:fill="FFFFFF"/>
            <w:tcMar>
              <w:top w:w="0" w:type="dxa"/>
              <w:left w:w="108" w:type="dxa"/>
              <w:bottom w:w="0" w:type="dxa"/>
              <w:right w:w="108" w:type="dxa"/>
            </w:tcMar>
          </w:tcPr>
          <w:p w14:paraId="0C59B42C"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136</w:t>
            </w:r>
          </w:p>
          <w:p w14:paraId="6861BFF1"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37.1%</w:t>
            </w:r>
          </w:p>
        </w:tc>
        <w:tc>
          <w:tcPr>
            <w:tcW w:w="377" w:type="pct"/>
          </w:tcPr>
          <w:p w14:paraId="090D7717"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3.93</w:t>
            </w:r>
          </w:p>
        </w:tc>
      </w:tr>
      <w:tr w:rsidR="00554670" w:rsidRPr="00623B18" w14:paraId="38FB1051" w14:textId="77777777" w:rsidTr="001625EA">
        <w:trPr>
          <w:trHeight w:val="604"/>
        </w:trPr>
        <w:tc>
          <w:tcPr>
            <w:tcW w:w="1564" w:type="pct"/>
            <w:shd w:val="clear" w:color="auto" w:fill="FFFFFF"/>
            <w:tcMar>
              <w:top w:w="0" w:type="dxa"/>
              <w:left w:w="108" w:type="dxa"/>
              <w:bottom w:w="0" w:type="dxa"/>
              <w:right w:w="108" w:type="dxa"/>
            </w:tcMar>
          </w:tcPr>
          <w:p w14:paraId="2D00C584" w14:textId="77777777" w:rsidR="00554670" w:rsidRPr="00623B18" w:rsidRDefault="00554670">
            <w:pPr>
              <w:pStyle w:val="ListParagraph"/>
              <w:numPr>
                <w:ilvl w:val="0"/>
                <w:numId w:val="1"/>
              </w:numPr>
              <w:spacing w:before="134" w:after="0" w:line="276" w:lineRule="auto"/>
              <w:ind w:right="-46"/>
              <w:jc w:val="left"/>
              <w:rPr>
                <w:rFonts w:eastAsia="Times New Roman" w:cs="Times New Roman"/>
                <w:szCs w:val="24"/>
              </w:rPr>
            </w:pPr>
            <w:r w:rsidRPr="00623B18">
              <w:rPr>
                <w:rFonts w:eastAsia="Times New Roman" w:cs="Times New Roman"/>
                <w:szCs w:val="24"/>
              </w:rPr>
              <w:t>I have clear personal goals.</w:t>
            </w:r>
          </w:p>
        </w:tc>
        <w:tc>
          <w:tcPr>
            <w:tcW w:w="681" w:type="pct"/>
            <w:shd w:val="clear" w:color="auto" w:fill="FFFFFF"/>
            <w:tcMar>
              <w:top w:w="0" w:type="dxa"/>
              <w:left w:w="108" w:type="dxa"/>
              <w:bottom w:w="0" w:type="dxa"/>
              <w:right w:w="108" w:type="dxa"/>
            </w:tcMar>
          </w:tcPr>
          <w:p w14:paraId="11A61D37"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3</w:t>
            </w:r>
          </w:p>
          <w:p w14:paraId="2CBB8CAA"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0.8%</w:t>
            </w:r>
          </w:p>
        </w:tc>
        <w:tc>
          <w:tcPr>
            <w:tcW w:w="681" w:type="pct"/>
            <w:shd w:val="clear" w:color="auto" w:fill="FFFFFF"/>
            <w:tcMar>
              <w:top w:w="0" w:type="dxa"/>
              <w:left w:w="108" w:type="dxa"/>
              <w:bottom w:w="0" w:type="dxa"/>
              <w:right w:w="108" w:type="dxa"/>
            </w:tcMar>
          </w:tcPr>
          <w:p w14:paraId="32102CC0"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8</w:t>
            </w:r>
          </w:p>
          <w:p w14:paraId="3191972B"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2.2%</w:t>
            </w:r>
          </w:p>
        </w:tc>
        <w:tc>
          <w:tcPr>
            <w:tcW w:w="512" w:type="pct"/>
            <w:shd w:val="clear" w:color="auto" w:fill="FFFFFF"/>
            <w:tcMar>
              <w:top w:w="0" w:type="dxa"/>
              <w:left w:w="108" w:type="dxa"/>
              <w:bottom w:w="0" w:type="dxa"/>
              <w:right w:w="108" w:type="dxa"/>
            </w:tcMar>
          </w:tcPr>
          <w:p w14:paraId="39612929"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18</w:t>
            </w:r>
          </w:p>
          <w:p w14:paraId="5F74C9E2"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4.9%</w:t>
            </w:r>
          </w:p>
        </w:tc>
        <w:tc>
          <w:tcPr>
            <w:tcW w:w="512" w:type="pct"/>
            <w:shd w:val="clear" w:color="auto" w:fill="FFFFFF"/>
            <w:tcMar>
              <w:top w:w="0" w:type="dxa"/>
              <w:left w:w="108" w:type="dxa"/>
              <w:bottom w:w="0" w:type="dxa"/>
              <w:right w:w="108" w:type="dxa"/>
            </w:tcMar>
          </w:tcPr>
          <w:p w14:paraId="1E71C197"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116</w:t>
            </w:r>
          </w:p>
          <w:p w14:paraId="0D1C7335"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31.6%</w:t>
            </w:r>
          </w:p>
        </w:tc>
        <w:tc>
          <w:tcPr>
            <w:tcW w:w="673" w:type="pct"/>
            <w:shd w:val="clear" w:color="auto" w:fill="FFFFFF"/>
            <w:tcMar>
              <w:top w:w="0" w:type="dxa"/>
              <w:left w:w="108" w:type="dxa"/>
              <w:bottom w:w="0" w:type="dxa"/>
              <w:right w:w="108" w:type="dxa"/>
            </w:tcMar>
          </w:tcPr>
          <w:p w14:paraId="177C7852"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222</w:t>
            </w:r>
          </w:p>
          <w:p w14:paraId="1D20A0E2"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60.5%</w:t>
            </w:r>
          </w:p>
        </w:tc>
        <w:tc>
          <w:tcPr>
            <w:tcW w:w="377" w:type="pct"/>
          </w:tcPr>
          <w:p w14:paraId="07C8AF55"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4.49</w:t>
            </w:r>
          </w:p>
        </w:tc>
      </w:tr>
      <w:tr w:rsidR="00554670" w:rsidRPr="00623B18" w14:paraId="565F1844" w14:textId="77777777" w:rsidTr="001625EA">
        <w:trPr>
          <w:trHeight w:val="1"/>
        </w:trPr>
        <w:tc>
          <w:tcPr>
            <w:tcW w:w="1564" w:type="pct"/>
            <w:tcBorders>
              <w:bottom w:val="single" w:sz="4" w:space="0" w:color="auto"/>
            </w:tcBorders>
            <w:shd w:val="clear" w:color="auto" w:fill="FFFFFF"/>
            <w:tcMar>
              <w:top w:w="0" w:type="dxa"/>
              <w:left w:w="108" w:type="dxa"/>
              <w:bottom w:w="0" w:type="dxa"/>
              <w:right w:w="108" w:type="dxa"/>
            </w:tcMar>
          </w:tcPr>
          <w:p w14:paraId="12ADD55C" w14:textId="77777777" w:rsidR="00554670" w:rsidRPr="00623B18" w:rsidRDefault="00554670">
            <w:pPr>
              <w:pStyle w:val="ListParagraph"/>
              <w:numPr>
                <w:ilvl w:val="0"/>
                <w:numId w:val="1"/>
              </w:numPr>
              <w:spacing w:before="134" w:after="0" w:line="276" w:lineRule="auto"/>
              <w:ind w:right="-46"/>
              <w:jc w:val="left"/>
              <w:rPr>
                <w:rFonts w:eastAsia="Times New Roman" w:cs="Times New Roman"/>
                <w:szCs w:val="24"/>
              </w:rPr>
            </w:pPr>
            <w:r w:rsidRPr="00623B18">
              <w:rPr>
                <w:rFonts w:eastAsia="Times New Roman" w:cs="Times New Roman"/>
                <w:szCs w:val="24"/>
              </w:rPr>
              <w:t>I am academically focused.</w:t>
            </w:r>
          </w:p>
        </w:tc>
        <w:tc>
          <w:tcPr>
            <w:tcW w:w="681" w:type="pct"/>
            <w:tcBorders>
              <w:bottom w:val="single" w:sz="4" w:space="0" w:color="auto"/>
            </w:tcBorders>
            <w:shd w:val="clear" w:color="auto" w:fill="FFFFFF"/>
            <w:tcMar>
              <w:top w:w="0" w:type="dxa"/>
              <w:left w:w="108" w:type="dxa"/>
              <w:bottom w:w="0" w:type="dxa"/>
              <w:right w:w="108" w:type="dxa"/>
            </w:tcMar>
          </w:tcPr>
          <w:p w14:paraId="31DEED69"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w:t>
            </w:r>
          </w:p>
          <w:p w14:paraId="50469775"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0.3%</w:t>
            </w:r>
          </w:p>
        </w:tc>
        <w:tc>
          <w:tcPr>
            <w:tcW w:w="681" w:type="pct"/>
            <w:tcBorders>
              <w:bottom w:val="single" w:sz="4" w:space="0" w:color="auto"/>
            </w:tcBorders>
            <w:shd w:val="clear" w:color="auto" w:fill="FFFFFF"/>
            <w:tcMar>
              <w:top w:w="0" w:type="dxa"/>
              <w:left w:w="108" w:type="dxa"/>
              <w:bottom w:w="0" w:type="dxa"/>
              <w:right w:w="108" w:type="dxa"/>
            </w:tcMar>
          </w:tcPr>
          <w:p w14:paraId="3F2D33D4"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5</w:t>
            </w:r>
          </w:p>
          <w:p w14:paraId="442A1B11"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1.4%</w:t>
            </w:r>
          </w:p>
        </w:tc>
        <w:tc>
          <w:tcPr>
            <w:tcW w:w="512" w:type="pct"/>
            <w:tcBorders>
              <w:bottom w:val="single" w:sz="4" w:space="0" w:color="auto"/>
            </w:tcBorders>
            <w:shd w:val="clear" w:color="auto" w:fill="FFFFFF"/>
            <w:tcMar>
              <w:top w:w="0" w:type="dxa"/>
              <w:left w:w="108" w:type="dxa"/>
              <w:bottom w:w="0" w:type="dxa"/>
              <w:right w:w="108" w:type="dxa"/>
            </w:tcMar>
          </w:tcPr>
          <w:p w14:paraId="1E5D26DB"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21</w:t>
            </w:r>
          </w:p>
          <w:p w14:paraId="76A86491"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5.7%</w:t>
            </w:r>
          </w:p>
        </w:tc>
        <w:tc>
          <w:tcPr>
            <w:tcW w:w="512" w:type="pct"/>
            <w:tcBorders>
              <w:bottom w:val="single" w:sz="4" w:space="0" w:color="auto"/>
            </w:tcBorders>
            <w:shd w:val="clear" w:color="auto" w:fill="FFFFFF"/>
            <w:tcMar>
              <w:top w:w="0" w:type="dxa"/>
              <w:left w:w="108" w:type="dxa"/>
              <w:bottom w:w="0" w:type="dxa"/>
              <w:right w:w="108" w:type="dxa"/>
            </w:tcMar>
          </w:tcPr>
          <w:p w14:paraId="3526F3AE"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112</w:t>
            </w:r>
          </w:p>
          <w:p w14:paraId="325F2E5B"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30.5%</w:t>
            </w:r>
          </w:p>
        </w:tc>
        <w:tc>
          <w:tcPr>
            <w:tcW w:w="673" w:type="pct"/>
            <w:tcBorders>
              <w:bottom w:val="single" w:sz="4" w:space="0" w:color="auto"/>
            </w:tcBorders>
            <w:shd w:val="clear" w:color="auto" w:fill="FFFFFF"/>
            <w:tcMar>
              <w:top w:w="0" w:type="dxa"/>
              <w:left w:w="108" w:type="dxa"/>
              <w:bottom w:w="0" w:type="dxa"/>
              <w:right w:w="108" w:type="dxa"/>
            </w:tcMar>
          </w:tcPr>
          <w:p w14:paraId="0882323A"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228</w:t>
            </w:r>
          </w:p>
          <w:p w14:paraId="05CD9465"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62.1%</w:t>
            </w:r>
          </w:p>
        </w:tc>
        <w:tc>
          <w:tcPr>
            <w:tcW w:w="377" w:type="pct"/>
            <w:tcBorders>
              <w:bottom w:val="single" w:sz="4" w:space="0" w:color="auto"/>
            </w:tcBorders>
          </w:tcPr>
          <w:p w14:paraId="3AC29872"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4.53</w:t>
            </w:r>
          </w:p>
        </w:tc>
      </w:tr>
    </w:tbl>
    <w:p w14:paraId="1932D427" w14:textId="1AF734AA" w:rsidR="00554670" w:rsidRPr="00623B18" w:rsidRDefault="004B02E0" w:rsidP="00516FBC">
      <w:pPr>
        <w:spacing w:before="240" w:line="276" w:lineRule="auto"/>
        <w:rPr>
          <w:rFonts w:eastAsia="Times New Roman" w:cs="Times New Roman"/>
          <w:szCs w:val="24"/>
        </w:rPr>
      </w:pPr>
      <w:r>
        <w:rPr>
          <w:rFonts w:eastAsia="Times New Roman" w:cs="Times New Roman"/>
          <w:szCs w:val="24"/>
        </w:rPr>
        <w:t>Similarly, c</w:t>
      </w:r>
      <w:r w:rsidR="00554670" w:rsidRPr="00623B18">
        <w:rPr>
          <w:rFonts w:eastAsia="Times New Roman" w:cs="Times New Roman"/>
          <w:szCs w:val="24"/>
        </w:rPr>
        <w:t>lass teachers’ feedback was also sought on the same constructs about student discipline</w:t>
      </w:r>
      <w:r w:rsidR="00516FBC">
        <w:rPr>
          <w:rFonts w:eastAsia="Times New Roman" w:cs="Times New Roman"/>
          <w:szCs w:val="24"/>
        </w:rPr>
        <w:t xml:space="preserve"> of learners in their classes</w:t>
      </w:r>
      <w:r w:rsidR="00554670" w:rsidRPr="00623B18">
        <w:rPr>
          <w:rFonts w:eastAsia="Times New Roman" w:cs="Times New Roman"/>
          <w:szCs w:val="24"/>
        </w:rPr>
        <w:t xml:space="preserve">. </w:t>
      </w:r>
      <w:r w:rsidR="00516FBC">
        <w:rPr>
          <w:rFonts w:eastAsia="Times New Roman" w:cs="Times New Roman"/>
          <w:szCs w:val="24"/>
        </w:rPr>
        <w:t>The r</w:t>
      </w:r>
      <w:r w:rsidR="00554670" w:rsidRPr="00623B18">
        <w:rPr>
          <w:rFonts w:eastAsia="Times New Roman" w:cs="Times New Roman"/>
          <w:szCs w:val="24"/>
        </w:rPr>
        <w:t xml:space="preserve">esults were as summarized in Table </w:t>
      </w:r>
      <w:r>
        <w:rPr>
          <w:rFonts w:eastAsia="Times New Roman" w:cs="Times New Roman"/>
          <w:szCs w:val="24"/>
        </w:rPr>
        <w:t>2.</w:t>
      </w:r>
    </w:p>
    <w:p w14:paraId="4E01A1C7" w14:textId="7FD00F57" w:rsidR="00554670" w:rsidRPr="00623B18" w:rsidRDefault="00554670" w:rsidP="00516FBC">
      <w:pPr>
        <w:pStyle w:val="Caption"/>
      </w:pPr>
      <w:bookmarkStart w:id="11" w:name="_Toc234318389"/>
      <w:r w:rsidRPr="00623B18">
        <w:t xml:space="preserve">Table </w:t>
      </w:r>
      <w:r w:rsidR="00B35433">
        <w:t>2.</w:t>
      </w:r>
      <w:r w:rsidRPr="00623B18">
        <w:t xml:space="preserve"> Teachers’ Perceptions on Discipline in Boys’ Boarding</w:t>
      </w:r>
      <w:r w:rsidRPr="00D2071F">
        <w:t xml:space="preserve"> Senior </w:t>
      </w:r>
      <w:r w:rsidRPr="00623B18">
        <w:t>Schools</w:t>
      </w:r>
      <w:bookmarkEnd w:id="11"/>
    </w:p>
    <w:tbl>
      <w:tblPr>
        <w:tblW w:w="5000" w:type="pct"/>
        <w:tblCellMar>
          <w:top w:w="15" w:type="dxa"/>
          <w:left w:w="15" w:type="dxa"/>
          <w:bottom w:w="15" w:type="dxa"/>
          <w:right w:w="15" w:type="dxa"/>
        </w:tblCellMar>
        <w:tblLook w:val="04A0" w:firstRow="1" w:lastRow="0" w:firstColumn="1" w:lastColumn="0" w:noHBand="0" w:noVBand="1"/>
      </w:tblPr>
      <w:tblGrid>
        <w:gridCol w:w="2896"/>
        <w:gridCol w:w="1163"/>
        <w:gridCol w:w="1163"/>
        <w:gridCol w:w="876"/>
        <w:gridCol w:w="1123"/>
        <w:gridCol w:w="1150"/>
        <w:gridCol w:w="655"/>
      </w:tblGrid>
      <w:tr w:rsidR="00554670" w:rsidRPr="00623B18" w14:paraId="02D6AFAC" w14:textId="77777777" w:rsidTr="00C25885">
        <w:trPr>
          <w:trHeight w:val="1"/>
          <w:tblHeader/>
        </w:trPr>
        <w:tc>
          <w:tcPr>
            <w:tcW w:w="1605" w:type="pct"/>
            <w:tcBorders>
              <w:top w:val="single" w:sz="8" w:space="0" w:color="auto"/>
              <w:bottom w:val="single" w:sz="8" w:space="0" w:color="auto"/>
            </w:tcBorders>
            <w:shd w:val="clear" w:color="auto" w:fill="FFFFFF"/>
            <w:tcMar>
              <w:top w:w="0" w:type="dxa"/>
              <w:left w:w="108" w:type="dxa"/>
              <w:bottom w:w="0" w:type="dxa"/>
              <w:right w:w="108" w:type="dxa"/>
            </w:tcMar>
          </w:tcPr>
          <w:p w14:paraId="2FA81F51" w14:textId="77777777" w:rsidR="00554670" w:rsidRPr="00623B18" w:rsidRDefault="00554670" w:rsidP="005B7CA4">
            <w:pPr>
              <w:spacing w:after="0" w:line="276" w:lineRule="auto"/>
              <w:ind w:right="-46"/>
              <w:rPr>
                <w:rFonts w:eastAsia="Times New Roman" w:cs="Times New Roman"/>
                <w:szCs w:val="24"/>
              </w:rPr>
            </w:pPr>
          </w:p>
        </w:tc>
        <w:tc>
          <w:tcPr>
            <w:tcW w:w="644" w:type="pct"/>
            <w:tcBorders>
              <w:top w:val="single" w:sz="8" w:space="0" w:color="auto"/>
              <w:bottom w:val="single" w:sz="8" w:space="0" w:color="auto"/>
            </w:tcBorders>
            <w:shd w:val="clear" w:color="auto" w:fill="FFFFFF"/>
            <w:tcMar>
              <w:top w:w="0" w:type="dxa"/>
              <w:left w:w="108" w:type="dxa"/>
              <w:bottom w:w="0" w:type="dxa"/>
              <w:right w:w="108" w:type="dxa"/>
            </w:tcMar>
          </w:tcPr>
          <w:p w14:paraId="5FC63FF7" w14:textId="77777777" w:rsidR="00554670" w:rsidRPr="00623B18" w:rsidRDefault="00554670" w:rsidP="005B7CA4">
            <w:pPr>
              <w:spacing w:after="0" w:line="276" w:lineRule="auto"/>
              <w:ind w:right="-46"/>
              <w:jc w:val="center"/>
              <w:rPr>
                <w:rFonts w:eastAsia="Times New Roman" w:cs="Times New Roman"/>
                <w:b/>
                <w:bCs/>
                <w:szCs w:val="24"/>
              </w:rPr>
            </w:pPr>
            <w:r w:rsidRPr="00623B18">
              <w:rPr>
                <w:rFonts w:eastAsia="Times New Roman" w:cs="Times New Roman"/>
                <w:b/>
                <w:bCs/>
                <w:szCs w:val="24"/>
              </w:rPr>
              <w:t>Strongly Disagree</w:t>
            </w:r>
          </w:p>
          <w:p w14:paraId="5390C2E4" w14:textId="77777777" w:rsidR="00554670" w:rsidRPr="00623B18" w:rsidRDefault="00554670" w:rsidP="005B7CA4">
            <w:pPr>
              <w:spacing w:after="0" w:line="276" w:lineRule="auto"/>
              <w:ind w:right="-46"/>
              <w:jc w:val="center"/>
              <w:rPr>
                <w:rFonts w:eastAsia="Times New Roman" w:cs="Times New Roman"/>
                <w:szCs w:val="24"/>
              </w:rPr>
            </w:pPr>
            <w:r w:rsidRPr="00623B18">
              <w:rPr>
                <w:rFonts w:eastAsia="Times New Roman" w:cs="Times New Roman"/>
                <w:szCs w:val="24"/>
              </w:rPr>
              <w:t>(1)</w:t>
            </w:r>
          </w:p>
        </w:tc>
        <w:tc>
          <w:tcPr>
            <w:tcW w:w="644" w:type="pct"/>
            <w:tcBorders>
              <w:top w:val="single" w:sz="8" w:space="0" w:color="auto"/>
              <w:bottom w:val="single" w:sz="8" w:space="0" w:color="auto"/>
            </w:tcBorders>
            <w:shd w:val="clear" w:color="auto" w:fill="FFFFFF"/>
            <w:tcMar>
              <w:top w:w="0" w:type="dxa"/>
              <w:left w:w="108" w:type="dxa"/>
              <w:bottom w:w="0" w:type="dxa"/>
              <w:right w:w="108" w:type="dxa"/>
            </w:tcMar>
          </w:tcPr>
          <w:p w14:paraId="73918EB3" w14:textId="77777777" w:rsidR="00554670" w:rsidRPr="00623B18" w:rsidRDefault="00554670" w:rsidP="005B7CA4">
            <w:pPr>
              <w:spacing w:after="0" w:line="276" w:lineRule="auto"/>
              <w:ind w:right="-46"/>
              <w:jc w:val="center"/>
              <w:rPr>
                <w:rFonts w:eastAsia="Times New Roman" w:cs="Times New Roman"/>
                <w:b/>
                <w:bCs/>
                <w:szCs w:val="24"/>
              </w:rPr>
            </w:pPr>
            <w:r w:rsidRPr="00623B18">
              <w:rPr>
                <w:rFonts w:eastAsia="Times New Roman" w:cs="Times New Roman"/>
                <w:b/>
                <w:bCs/>
                <w:szCs w:val="24"/>
              </w:rPr>
              <w:t>Disagree</w:t>
            </w:r>
          </w:p>
          <w:p w14:paraId="321C5C1E" w14:textId="77777777" w:rsidR="00554670" w:rsidRPr="00623B18" w:rsidRDefault="00554670" w:rsidP="005B7CA4">
            <w:pPr>
              <w:spacing w:after="0" w:line="276" w:lineRule="auto"/>
              <w:ind w:right="-46"/>
              <w:jc w:val="center"/>
              <w:rPr>
                <w:rFonts w:eastAsia="Times New Roman" w:cs="Times New Roman"/>
                <w:b/>
                <w:bCs/>
                <w:szCs w:val="24"/>
              </w:rPr>
            </w:pPr>
          </w:p>
          <w:p w14:paraId="0506C4BE" w14:textId="77777777" w:rsidR="00554670" w:rsidRPr="00623B18" w:rsidRDefault="00554670" w:rsidP="005B7CA4">
            <w:pPr>
              <w:spacing w:after="0" w:line="276" w:lineRule="auto"/>
              <w:ind w:right="-46"/>
              <w:jc w:val="center"/>
              <w:rPr>
                <w:rFonts w:eastAsia="Times New Roman" w:cs="Times New Roman"/>
                <w:szCs w:val="24"/>
              </w:rPr>
            </w:pPr>
            <w:r w:rsidRPr="00623B18">
              <w:rPr>
                <w:rFonts w:eastAsia="Times New Roman" w:cs="Times New Roman"/>
                <w:szCs w:val="24"/>
              </w:rPr>
              <w:t>(2)</w:t>
            </w:r>
          </w:p>
        </w:tc>
        <w:tc>
          <w:tcPr>
            <w:tcW w:w="485" w:type="pct"/>
            <w:tcBorders>
              <w:top w:val="single" w:sz="8" w:space="0" w:color="auto"/>
              <w:bottom w:val="single" w:sz="8" w:space="0" w:color="auto"/>
            </w:tcBorders>
            <w:shd w:val="clear" w:color="auto" w:fill="FFFFFF"/>
            <w:tcMar>
              <w:top w:w="0" w:type="dxa"/>
              <w:left w:w="108" w:type="dxa"/>
              <w:bottom w:w="0" w:type="dxa"/>
              <w:right w:w="108" w:type="dxa"/>
            </w:tcMar>
          </w:tcPr>
          <w:p w14:paraId="6FB65854" w14:textId="77777777" w:rsidR="00554670" w:rsidRPr="00623B18" w:rsidRDefault="00554670" w:rsidP="005B7CA4">
            <w:pPr>
              <w:spacing w:after="0" w:line="276" w:lineRule="auto"/>
              <w:ind w:right="-46"/>
              <w:jc w:val="center"/>
              <w:rPr>
                <w:rFonts w:eastAsia="Times New Roman" w:cs="Times New Roman"/>
                <w:b/>
                <w:bCs/>
                <w:szCs w:val="24"/>
              </w:rPr>
            </w:pPr>
            <w:r w:rsidRPr="00623B18">
              <w:rPr>
                <w:rFonts w:eastAsia="Times New Roman" w:cs="Times New Roman"/>
                <w:b/>
                <w:bCs/>
                <w:szCs w:val="24"/>
              </w:rPr>
              <w:t>Not Sure</w:t>
            </w:r>
          </w:p>
          <w:p w14:paraId="41678E45" w14:textId="77777777" w:rsidR="00554670" w:rsidRPr="00623B18" w:rsidRDefault="00554670" w:rsidP="005B7CA4">
            <w:pPr>
              <w:spacing w:after="0" w:line="276" w:lineRule="auto"/>
              <w:ind w:right="-46"/>
              <w:jc w:val="center"/>
              <w:rPr>
                <w:rFonts w:eastAsia="Times New Roman" w:cs="Times New Roman"/>
                <w:szCs w:val="24"/>
              </w:rPr>
            </w:pPr>
            <w:r w:rsidRPr="00623B18">
              <w:rPr>
                <w:rFonts w:eastAsia="Times New Roman" w:cs="Times New Roman"/>
                <w:szCs w:val="24"/>
              </w:rPr>
              <w:t>(3)</w:t>
            </w:r>
          </w:p>
        </w:tc>
        <w:tc>
          <w:tcPr>
            <w:tcW w:w="622" w:type="pct"/>
            <w:tcBorders>
              <w:top w:val="single" w:sz="8" w:space="0" w:color="auto"/>
              <w:bottom w:val="single" w:sz="8" w:space="0" w:color="auto"/>
            </w:tcBorders>
            <w:shd w:val="clear" w:color="auto" w:fill="FFFFFF"/>
            <w:tcMar>
              <w:top w:w="0" w:type="dxa"/>
              <w:left w:w="108" w:type="dxa"/>
              <w:bottom w:w="0" w:type="dxa"/>
              <w:right w:w="108" w:type="dxa"/>
            </w:tcMar>
          </w:tcPr>
          <w:p w14:paraId="3CC9BB5E" w14:textId="77777777" w:rsidR="00554670" w:rsidRPr="00623B18" w:rsidRDefault="00554670" w:rsidP="005B7CA4">
            <w:pPr>
              <w:spacing w:after="0" w:line="276" w:lineRule="auto"/>
              <w:ind w:right="-46"/>
              <w:jc w:val="center"/>
              <w:rPr>
                <w:rFonts w:eastAsia="Times New Roman" w:cs="Times New Roman"/>
                <w:b/>
                <w:bCs/>
                <w:szCs w:val="24"/>
              </w:rPr>
            </w:pPr>
            <w:r w:rsidRPr="00623B18">
              <w:rPr>
                <w:rFonts w:eastAsia="Times New Roman" w:cs="Times New Roman"/>
                <w:b/>
                <w:bCs/>
                <w:szCs w:val="24"/>
              </w:rPr>
              <w:t>Agree</w:t>
            </w:r>
          </w:p>
          <w:p w14:paraId="2225D7DF" w14:textId="77777777" w:rsidR="00554670" w:rsidRPr="00623B18" w:rsidRDefault="00554670" w:rsidP="005B7CA4">
            <w:pPr>
              <w:spacing w:after="0" w:line="276" w:lineRule="auto"/>
              <w:ind w:right="-46"/>
              <w:jc w:val="center"/>
              <w:rPr>
                <w:rFonts w:eastAsia="Times New Roman" w:cs="Times New Roman"/>
                <w:b/>
                <w:bCs/>
                <w:szCs w:val="24"/>
              </w:rPr>
            </w:pPr>
          </w:p>
          <w:p w14:paraId="20D74DDF" w14:textId="77777777" w:rsidR="00554670" w:rsidRPr="00623B18" w:rsidRDefault="00554670" w:rsidP="005B7CA4">
            <w:pPr>
              <w:spacing w:after="0" w:line="276" w:lineRule="auto"/>
              <w:ind w:right="-46"/>
              <w:jc w:val="center"/>
              <w:rPr>
                <w:rFonts w:eastAsia="Times New Roman" w:cs="Times New Roman"/>
                <w:szCs w:val="24"/>
              </w:rPr>
            </w:pPr>
            <w:r w:rsidRPr="00623B18">
              <w:rPr>
                <w:rFonts w:eastAsia="Times New Roman" w:cs="Times New Roman"/>
                <w:szCs w:val="24"/>
              </w:rPr>
              <w:t>(4)</w:t>
            </w:r>
          </w:p>
        </w:tc>
        <w:tc>
          <w:tcPr>
            <w:tcW w:w="637" w:type="pct"/>
            <w:tcBorders>
              <w:top w:val="single" w:sz="8" w:space="0" w:color="auto"/>
              <w:bottom w:val="single" w:sz="8" w:space="0" w:color="auto"/>
            </w:tcBorders>
            <w:shd w:val="clear" w:color="auto" w:fill="FFFFFF"/>
            <w:tcMar>
              <w:top w:w="0" w:type="dxa"/>
              <w:left w:w="108" w:type="dxa"/>
              <w:bottom w:w="0" w:type="dxa"/>
              <w:right w:w="108" w:type="dxa"/>
            </w:tcMar>
          </w:tcPr>
          <w:p w14:paraId="7ED31EE7" w14:textId="77777777" w:rsidR="00554670" w:rsidRPr="00623B18" w:rsidRDefault="00554670" w:rsidP="005B7CA4">
            <w:pPr>
              <w:spacing w:after="0" w:line="276" w:lineRule="auto"/>
              <w:ind w:right="-46"/>
              <w:jc w:val="center"/>
              <w:rPr>
                <w:rFonts w:eastAsia="Times New Roman" w:cs="Times New Roman"/>
                <w:b/>
                <w:bCs/>
                <w:szCs w:val="24"/>
              </w:rPr>
            </w:pPr>
            <w:r w:rsidRPr="00623B18">
              <w:rPr>
                <w:rFonts w:eastAsia="Times New Roman" w:cs="Times New Roman"/>
                <w:b/>
                <w:bCs/>
                <w:szCs w:val="24"/>
              </w:rPr>
              <w:t>Strongly Agree</w:t>
            </w:r>
          </w:p>
          <w:p w14:paraId="04557B48" w14:textId="77777777" w:rsidR="00554670" w:rsidRPr="00623B18" w:rsidRDefault="00554670" w:rsidP="005B7CA4">
            <w:pPr>
              <w:spacing w:after="0" w:line="276" w:lineRule="auto"/>
              <w:ind w:right="-46"/>
              <w:jc w:val="center"/>
              <w:rPr>
                <w:rFonts w:eastAsia="Times New Roman" w:cs="Times New Roman"/>
                <w:szCs w:val="24"/>
              </w:rPr>
            </w:pPr>
            <w:r w:rsidRPr="00623B18">
              <w:rPr>
                <w:rFonts w:eastAsia="Times New Roman" w:cs="Times New Roman"/>
                <w:szCs w:val="24"/>
              </w:rPr>
              <w:t>(5)</w:t>
            </w:r>
          </w:p>
        </w:tc>
        <w:tc>
          <w:tcPr>
            <w:tcW w:w="363" w:type="pct"/>
            <w:tcBorders>
              <w:top w:val="single" w:sz="8" w:space="0" w:color="auto"/>
              <w:bottom w:val="single" w:sz="8" w:space="0" w:color="auto"/>
            </w:tcBorders>
          </w:tcPr>
          <w:p w14:paraId="5E673A44" w14:textId="77777777" w:rsidR="00554670" w:rsidRPr="00623B18" w:rsidRDefault="00554670" w:rsidP="005B7CA4">
            <w:pPr>
              <w:spacing w:after="0" w:line="276" w:lineRule="auto"/>
              <w:ind w:right="-46"/>
              <w:jc w:val="center"/>
              <w:rPr>
                <w:rFonts w:eastAsia="Times New Roman" w:cs="Times New Roman"/>
                <w:b/>
                <w:bCs/>
                <w:szCs w:val="24"/>
              </w:rPr>
            </w:pPr>
            <w:r w:rsidRPr="00623B18">
              <w:rPr>
                <w:rFonts w:eastAsia="Times New Roman" w:cs="Times New Roman"/>
                <w:b/>
                <w:bCs/>
                <w:szCs w:val="24"/>
              </w:rPr>
              <w:t>Mean</w:t>
            </w:r>
          </w:p>
          <w:p w14:paraId="39333CFD" w14:textId="77777777" w:rsidR="00554670" w:rsidRPr="00623B18" w:rsidRDefault="00554670" w:rsidP="005B7CA4">
            <w:pPr>
              <w:spacing w:after="0" w:line="276" w:lineRule="auto"/>
              <w:ind w:right="-46"/>
              <w:jc w:val="center"/>
              <w:rPr>
                <w:rFonts w:eastAsia="Times New Roman" w:cs="Times New Roman"/>
                <w:b/>
                <w:bCs/>
                <w:szCs w:val="24"/>
              </w:rPr>
            </w:pPr>
          </w:p>
          <w:p w14:paraId="7DB77A2B" w14:textId="77777777" w:rsidR="00554670" w:rsidRPr="00623B18" w:rsidRDefault="00554670" w:rsidP="005B7CA4">
            <w:pPr>
              <w:spacing w:after="0" w:line="276" w:lineRule="auto"/>
              <w:ind w:right="-46"/>
              <w:jc w:val="center"/>
              <w:rPr>
                <w:rFonts w:eastAsia="Times New Roman" w:cs="Times New Roman"/>
                <w:b/>
                <w:bCs/>
                <w:szCs w:val="24"/>
              </w:rPr>
            </w:pPr>
            <w:r w:rsidRPr="00623B18">
              <w:rPr>
                <w:rFonts w:cs="Times New Roman"/>
                <w:szCs w:val="24"/>
              </w:rPr>
              <w:t>(</w:t>
            </w:r>
            <m:oMath>
              <m:acc>
                <m:accPr>
                  <m:chr m:val="̅"/>
                  <m:ctrlPr>
                    <w:rPr>
                      <w:rFonts w:ascii="Cambria Math" w:hAnsi="Cambria Math" w:cs="Times New Roman"/>
                      <w:bCs/>
                      <w:szCs w:val="24"/>
                    </w:rPr>
                  </m:ctrlPr>
                </m:accPr>
                <m:e>
                  <m:r>
                    <m:rPr>
                      <m:sty m:val="p"/>
                    </m:rPr>
                    <w:rPr>
                      <w:rFonts w:ascii="Cambria Math" w:hAnsi="Cambria Math" w:cs="Times New Roman"/>
                      <w:szCs w:val="24"/>
                    </w:rPr>
                    <m:t>X</m:t>
                  </m:r>
                </m:e>
              </m:acc>
            </m:oMath>
            <w:r w:rsidRPr="00623B18">
              <w:rPr>
                <w:rFonts w:cs="Times New Roman"/>
                <w:bCs/>
                <w:szCs w:val="24"/>
              </w:rPr>
              <w:t>)</w:t>
            </w:r>
          </w:p>
        </w:tc>
      </w:tr>
      <w:tr w:rsidR="00554670" w:rsidRPr="00623B18" w14:paraId="47D9C217" w14:textId="77777777" w:rsidTr="004B02E0">
        <w:trPr>
          <w:trHeight w:val="930"/>
        </w:trPr>
        <w:tc>
          <w:tcPr>
            <w:tcW w:w="1605" w:type="pct"/>
            <w:tcBorders>
              <w:top w:val="single" w:sz="8" w:space="0" w:color="auto"/>
            </w:tcBorders>
            <w:shd w:val="clear" w:color="auto" w:fill="FFFFFF"/>
            <w:tcMar>
              <w:top w:w="0" w:type="dxa"/>
              <w:left w:w="108" w:type="dxa"/>
              <w:bottom w:w="0" w:type="dxa"/>
              <w:right w:w="108" w:type="dxa"/>
            </w:tcMar>
          </w:tcPr>
          <w:p w14:paraId="011E0A44" w14:textId="77777777" w:rsidR="00554670" w:rsidRPr="00623B18" w:rsidRDefault="00554670">
            <w:pPr>
              <w:pStyle w:val="ListParagraph"/>
              <w:numPr>
                <w:ilvl w:val="0"/>
                <w:numId w:val="2"/>
              </w:numPr>
              <w:spacing w:after="0" w:line="276" w:lineRule="auto"/>
              <w:ind w:right="-46"/>
              <w:jc w:val="left"/>
              <w:rPr>
                <w:rFonts w:eastAsia="Times New Roman" w:cs="Times New Roman"/>
                <w:szCs w:val="24"/>
              </w:rPr>
            </w:pPr>
            <w:r w:rsidRPr="00623B18">
              <w:rPr>
                <w:rFonts w:eastAsia="Times New Roman" w:cs="Times New Roman"/>
                <w:szCs w:val="24"/>
              </w:rPr>
              <w:t>Students in my class relate well with the authority</w:t>
            </w:r>
          </w:p>
        </w:tc>
        <w:tc>
          <w:tcPr>
            <w:tcW w:w="644" w:type="pct"/>
            <w:tcBorders>
              <w:top w:val="single" w:sz="8" w:space="0" w:color="auto"/>
            </w:tcBorders>
            <w:shd w:val="clear" w:color="auto" w:fill="FFFFFF"/>
            <w:tcMar>
              <w:top w:w="0" w:type="dxa"/>
              <w:left w:w="108" w:type="dxa"/>
              <w:bottom w:w="0" w:type="dxa"/>
              <w:right w:w="108" w:type="dxa"/>
            </w:tcMar>
          </w:tcPr>
          <w:p w14:paraId="787C8FB2"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0</w:t>
            </w:r>
          </w:p>
          <w:p w14:paraId="5DA18AF4"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0.0%</w:t>
            </w:r>
          </w:p>
        </w:tc>
        <w:tc>
          <w:tcPr>
            <w:tcW w:w="644" w:type="pct"/>
            <w:tcBorders>
              <w:top w:val="single" w:sz="8" w:space="0" w:color="auto"/>
            </w:tcBorders>
            <w:shd w:val="clear" w:color="auto" w:fill="FFFFFF"/>
            <w:tcMar>
              <w:top w:w="0" w:type="dxa"/>
              <w:left w:w="108" w:type="dxa"/>
              <w:bottom w:w="0" w:type="dxa"/>
              <w:right w:w="108" w:type="dxa"/>
            </w:tcMar>
          </w:tcPr>
          <w:p w14:paraId="195CA403"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0</w:t>
            </w:r>
          </w:p>
          <w:p w14:paraId="120CB3C0"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0.0%</w:t>
            </w:r>
          </w:p>
        </w:tc>
        <w:tc>
          <w:tcPr>
            <w:tcW w:w="485" w:type="pct"/>
            <w:tcBorders>
              <w:top w:val="single" w:sz="8" w:space="0" w:color="auto"/>
            </w:tcBorders>
            <w:shd w:val="clear" w:color="auto" w:fill="FFFFFF"/>
            <w:tcMar>
              <w:top w:w="0" w:type="dxa"/>
              <w:left w:w="108" w:type="dxa"/>
              <w:bottom w:w="0" w:type="dxa"/>
              <w:right w:w="108" w:type="dxa"/>
            </w:tcMar>
          </w:tcPr>
          <w:p w14:paraId="0C588A1F"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4</w:t>
            </w:r>
          </w:p>
          <w:p w14:paraId="3BB771AC"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7.7%</w:t>
            </w:r>
          </w:p>
        </w:tc>
        <w:tc>
          <w:tcPr>
            <w:tcW w:w="622" w:type="pct"/>
            <w:tcBorders>
              <w:top w:val="single" w:sz="8" w:space="0" w:color="auto"/>
            </w:tcBorders>
            <w:shd w:val="clear" w:color="auto" w:fill="FFFFFF"/>
            <w:tcMar>
              <w:top w:w="0" w:type="dxa"/>
              <w:left w:w="108" w:type="dxa"/>
              <w:bottom w:w="0" w:type="dxa"/>
              <w:right w:w="108" w:type="dxa"/>
            </w:tcMar>
          </w:tcPr>
          <w:p w14:paraId="0790A5FC"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32</w:t>
            </w:r>
          </w:p>
          <w:p w14:paraId="533C677F"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61.5%</w:t>
            </w:r>
          </w:p>
        </w:tc>
        <w:tc>
          <w:tcPr>
            <w:tcW w:w="637" w:type="pct"/>
            <w:tcBorders>
              <w:top w:val="single" w:sz="8" w:space="0" w:color="auto"/>
            </w:tcBorders>
            <w:shd w:val="clear" w:color="auto" w:fill="FFFFFF"/>
            <w:tcMar>
              <w:top w:w="0" w:type="dxa"/>
              <w:left w:w="108" w:type="dxa"/>
              <w:bottom w:w="0" w:type="dxa"/>
              <w:right w:w="108" w:type="dxa"/>
            </w:tcMar>
          </w:tcPr>
          <w:p w14:paraId="4F5B60C2"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16</w:t>
            </w:r>
          </w:p>
          <w:p w14:paraId="7F9BC259"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30.8%</w:t>
            </w:r>
          </w:p>
        </w:tc>
        <w:tc>
          <w:tcPr>
            <w:tcW w:w="363" w:type="pct"/>
            <w:tcBorders>
              <w:top w:val="single" w:sz="8" w:space="0" w:color="auto"/>
            </w:tcBorders>
          </w:tcPr>
          <w:p w14:paraId="157BC24D"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4.23</w:t>
            </w:r>
          </w:p>
        </w:tc>
      </w:tr>
      <w:tr w:rsidR="00554670" w:rsidRPr="00623B18" w14:paraId="4F7056E1" w14:textId="77777777" w:rsidTr="004B02E0">
        <w:trPr>
          <w:trHeight w:val="682"/>
        </w:trPr>
        <w:tc>
          <w:tcPr>
            <w:tcW w:w="1605" w:type="pct"/>
            <w:shd w:val="clear" w:color="auto" w:fill="FFFFFF"/>
            <w:tcMar>
              <w:top w:w="0" w:type="dxa"/>
              <w:left w:w="108" w:type="dxa"/>
              <w:bottom w:w="0" w:type="dxa"/>
              <w:right w:w="108" w:type="dxa"/>
            </w:tcMar>
          </w:tcPr>
          <w:p w14:paraId="07F7B617" w14:textId="77777777" w:rsidR="00554670" w:rsidRPr="00623B18" w:rsidRDefault="00554670">
            <w:pPr>
              <w:pStyle w:val="ListParagraph"/>
              <w:numPr>
                <w:ilvl w:val="0"/>
                <w:numId w:val="2"/>
              </w:numPr>
              <w:spacing w:after="0" w:line="276" w:lineRule="auto"/>
              <w:ind w:right="-46"/>
              <w:jc w:val="left"/>
              <w:rPr>
                <w:rFonts w:eastAsia="Times New Roman" w:cs="Times New Roman"/>
                <w:szCs w:val="24"/>
              </w:rPr>
            </w:pPr>
            <w:r w:rsidRPr="00623B18">
              <w:rPr>
                <w:rFonts w:eastAsia="Times New Roman" w:cs="Times New Roman"/>
                <w:szCs w:val="24"/>
              </w:rPr>
              <w:t>Students in my class are obedient to school rules.</w:t>
            </w:r>
          </w:p>
        </w:tc>
        <w:tc>
          <w:tcPr>
            <w:tcW w:w="644" w:type="pct"/>
            <w:shd w:val="clear" w:color="auto" w:fill="FFFFFF"/>
            <w:tcMar>
              <w:top w:w="0" w:type="dxa"/>
              <w:left w:w="108" w:type="dxa"/>
              <w:bottom w:w="0" w:type="dxa"/>
              <w:right w:w="108" w:type="dxa"/>
            </w:tcMar>
          </w:tcPr>
          <w:p w14:paraId="451139A4"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0</w:t>
            </w:r>
          </w:p>
          <w:p w14:paraId="40DD25A4"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0.0%</w:t>
            </w:r>
          </w:p>
        </w:tc>
        <w:tc>
          <w:tcPr>
            <w:tcW w:w="644" w:type="pct"/>
            <w:shd w:val="clear" w:color="auto" w:fill="FFFFFF"/>
            <w:tcMar>
              <w:top w:w="0" w:type="dxa"/>
              <w:left w:w="108" w:type="dxa"/>
              <w:bottom w:w="0" w:type="dxa"/>
              <w:right w:w="108" w:type="dxa"/>
            </w:tcMar>
          </w:tcPr>
          <w:p w14:paraId="7EF9CEFA"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w:t>
            </w:r>
          </w:p>
          <w:p w14:paraId="50865B2F"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1.9%</w:t>
            </w:r>
          </w:p>
        </w:tc>
        <w:tc>
          <w:tcPr>
            <w:tcW w:w="485" w:type="pct"/>
            <w:shd w:val="clear" w:color="auto" w:fill="FFFFFF"/>
            <w:tcMar>
              <w:top w:w="0" w:type="dxa"/>
              <w:left w:w="108" w:type="dxa"/>
              <w:bottom w:w="0" w:type="dxa"/>
              <w:right w:w="108" w:type="dxa"/>
            </w:tcMar>
          </w:tcPr>
          <w:p w14:paraId="4D64F869"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0</w:t>
            </w:r>
          </w:p>
          <w:p w14:paraId="359AA1EC"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0.0%</w:t>
            </w:r>
          </w:p>
        </w:tc>
        <w:tc>
          <w:tcPr>
            <w:tcW w:w="622" w:type="pct"/>
            <w:shd w:val="clear" w:color="auto" w:fill="FFFFFF"/>
            <w:tcMar>
              <w:top w:w="0" w:type="dxa"/>
              <w:left w:w="108" w:type="dxa"/>
              <w:bottom w:w="0" w:type="dxa"/>
              <w:right w:w="108" w:type="dxa"/>
            </w:tcMar>
          </w:tcPr>
          <w:p w14:paraId="0842A30B"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43</w:t>
            </w:r>
          </w:p>
          <w:p w14:paraId="7F759B55"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82.7%</w:t>
            </w:r>
          </w:p>
        </w:tc>
        <w:tc>
          <w:tcPr>
            <w:tcW w:w="637" w:type="pct"/>
            <w:shd w:val="clear" w:color="auto" w:fill="FFFFFF"/>
            <w:tcMar>
              <w:top w:w="0" w:type="dxa"/>
              <w:left w:w="108" w:type="dxa"/>
              <w:bottom w:w="0" w:type="dxa"/>
              <w:right w:w="108" w:type="dxa"/>
            </w:tcMar>
          </w:tcPr>
          <w:p w14:paraId="5DD510E0"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8</w:t>
            </w:r>
          </w:p>
          <w:p w14:paraId="51F54B19"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15.4%</w:t>
            </w:r>
          </w:p>
        </w:tc>
        <w:tc>
          <w:tcPr>
            <w:tcW w:w="363" w:type="pct"/>
          </w:tcPr>
          <w:p w14:paraId="4A4EE33C"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4.12</w:t>
            </w:r>
          </w:p>
        </w:tc>
      </w:tr>
      <w:tr w:rsidR="00554670" w:rsidRPr="00623B18" w14:paraId="3DA9FDAA" w14:textId="77777777" w:rsidTr="00C25885">
        <w:trPr>
          <w:trHeight w:val="1"/>
        </w:trPr>
        <w:tc>
          <w:tcPr>
            <w:tcW w:w="1605" w:type="pct"/>
            <w:shd w:val="clear" w:color="auto" w:fill="FFFFFF"/>
            <w:tcMar>
              <w:top w:w="0" w:type="dxa"/>
              <w:left w:w="108" w:type="dxa"/>
              <w:bottom w:w="0" w:type="dxa"/>
              <w:right w:w="108" w:type="dxa"/>
            </w:tcMar>
          </w:tcPr>
          <w:p w14:paraId="23C1C6AA" w14:textId="77777777" w:rsidR="00554670" w:rsidRPr="00623B18" w:rsidRDefault="00554670">
            <w:pPr>
              <w:pStyle w:val="ListParagraph"/>
              <w:numPr>
                <w:ilvl w:val="0"/>
                <w:numId w:val="2"/>
              </w:numPr>
              <w:spacing w:after="0" w:line="276" w:lineRule="auto"/>
              <w:ind w:right="-46"/>
              <w:jc w:val="left"/>
              <w:rPr>
                <w:rFonts w:eastAsia="Times New Roman" w:cs="Times New Roman"/>
                <w:szCs w:val="24"/>
              </w:rPr>
            </w:pPr>
            <w:r w:rsidRPr="00623B18">
              <w:rPr>
                <w:rFonts w:eastAsia="Times New Roman" w:cs="Times New Roman"/>
                <w:szCs w:val="24"/>
              </w:rPr>
              <w:t>Students in my class are cooperative and loyal.</w:t>
            </w:r>
          </w:p>
        </w:tc>
        <w:tc>
          <w:tcPr>
            <w:tcW w:w="644" w:type="pct"/>
            <w:shd w:val="clear" w:color="auto" w:fill="FFFFFF"/>
            <w:tcMar>
              <w:top w:w="0" w:type="dxa"/>
              <w:left w:w="108" w:type="dxa"/>
              <w:bottom w:w="0" w:type="dxa"/>
              <w:right w:w="108" w:type="dxa"/>
            </w:tcMar>
          </w:tcPr>
          <w:p w14:paraId="5BEF21D3"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0</w:t>
            </w:r>
          </w:p>
          <w:p w14:paraId="7FF19316"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0.0%</w:t>
            </w:r>
          </w:p>
        </w:tc>
        <w:tc>
          <w:tcPr>
            <w:tcW w:w="644" w:type="pct"/>
            <w:shd w:val="clear" w:color="auto" w:fill="FFFFFF"/>
            <w:tcMar>
              <w:top w:w="0" w:type="dxa"/>
              <w:left w:w="108" w:type="dxa"/>
              <w:bottom w:w="0" w:type="dxa"/>
              <w:right w:w="108" w:type="dxa"/>
            </w:tcMar>
          </w:tcPr>
          <w:p w14:paraId="71A4A15C"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w:t>
            </w:r>
          </w:p>
          <w:p w14:paraId="53CF35B1"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1.9%</w:t>
            </w:r>
          </w:p>
        </w:tc>
        <w:tc>
          <w:tcPr>
            <w:tcW w:w="485" w:type="pct"/>
            <w:shd w:val="clear" w:color="auto" w:fill="FFFFFF"/>
            <w:tcMar>
              <w:top w:w="0" w:type="dxa"/>
              <w:left w:w="108" w:type="dxa"/>
              <w:bottom w:w="0" w:type="dxa"/>
              <w:right w:w="108" w:type="dxa"/>
            </w:tcMar>
          </w:tcPr>
          <w:p w14:paraId="4F4B9719"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w:t>
            </w:r>
          </w:p>
          <w:p w14:paraId="21F08515"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1.9%</w:t>
            </w:r>
          </w:p>
        </w:tc>
        <w:tc>
          <w:tcPr>
            <w:tcW w:w="622" w:type="pct"/>
            <w:shd w:val="clear" w:color="auto" w:fill="FFFFFF"/>
            <w:tcMar>
              <w:top w:w="0" w:type="dxa"/>
              <w:left w:w="108" w:type="dxa"/>
              <w:bottom w:w="0" w:type="dxa"/>
              <w:right w:w="108" w:type="dxa"/>
            </w:tcMar>
          </w:tcPr>
          <w:p w14:paraId="232E38CB"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36</w:t>
            </w:r>
          </w:p>
          <w:p w14:paraId="3F458622"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69.2%</w:t>
            </w:r>
          </w:p>
        </w:tc>
        <w:tc>
          <w:tcPr>
            <w:tcW w:w="637" w:type="pct"/>
            <w:shd w:val="clear" w:color="auto" w:fill="FFFFFF"/>
            <w:tcMar>
              <w:top w:w="0" w:type="dxa"/>
              <w:left w:w="108" w:type="dxa"/>
              <w:bottom w:w="0" w:type="dxa"/>
              <w:right w:w="108" w:type="dxa"/>
            </w:tcMar>
          </w:tcPr>
          <w:p w14:paraId="69379DA4"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14</w:t>
            </w:r>
          </w:p>
          <w:p w14:paraId="15A78DDF"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26.9%</w:t>
            </w:r>
          </w:p>
        </w:tc>
        <w:tc>
          <w:tcPr>
            <w:tcW w:w="363" w:type="pct"/>
          </w:tcPr>
          <w:p w14:paraId="57FA7010"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4.12</w:t>
            </w:r>
          </w:p>
        </w:tc>
      </w:tr>
      <w:tr w:rsidR="00554670" w:rsidRPr="00623B18" w14:paraId="01F5161B" w14:textId="77777777" w:rsidTr="00C25885">
        <w:trPr>
          <w:trHeight w:val="849"/>
        </w:trPr>
        <w:tc>
          <w:tcPr>
            <w:tcW w:w="1605" w:type="pct"/>
            <w:shd w:val="clear" w:color="auto" w:fill="FFFFFF"/>
            <w:tcMar>
              <w:top w:w="0" w:type="dxa"/>
              <w:left w:w="108" w:type="dxa"/>
              <w:bottom w:w="0" w:type="dxa"/>
              <w:right w:w="108" w:type="dxa"/>
            </w:tcMar>
          </w:tcPr>
          <w:p w14:paraId="3D753328" w14:textId="77777777" w:rsidR="00554670" w:rsidRPr="00623B18" w:rsidRDefault="00554670">
            <w:pPr>
              <w:pStyle w:val="ListParagraph"/>
              <w:numPr>
                <w:ilvl w:val="0"/>
                <w:numId w:val="2"/>
              </w:numPr>
              <w:spacing w:after="0" w:line="276" w:lineRule="auto"/>
              <w:ind w:right="-46"/>
              <w:jc w:val="left"/>
              <w:rPr>
                <w:rFonts w:eastAsia="Times New Roman" w:cs="Times New Roman"/>
                <w:szCs w:val="24"/>
              </w:rPr>
            </w:pPr>
            <w:r w:rsidRPr="00623B18">
              <w:rPr>
                <w:rFonts w:eastAsia="Times New Roman" w:cs="Times New Roman"/>
                <w:szCs w:val="24"/>
              </w:rPr>
              <w:t>Students in my class have positive influence to peers.</w:t>
            </w:r>
          </w:p>
        </w:tc>
        <w:tc>
          <w:tcPr>
            <w:tcW w:w="644" w:type="pct"/>
            <w:shd w:val="clear" w:color="auto" w:fill="FFFFFF"/>
            <w:tcMar>
              <w:top w:w="0" w:type="dxa"/>
              <w:left w:w="108" w:type="dxa"/>
              <w:bottom w:w="0" w:type="dxa"/>
              <w:right w:w="108" w:type="dxa"/>
            </w:tcMar>
          </w:tcPr>
          <w:p w14:paraId="54385B8C" w14:textId="77777777" w:rsidR="00554670" w:rsidRPr="00623B18" w:rsidRDefault="00554670" w:rsidP="005B7CA4">
            <w:pPr>
              <w:spacing w:after="0" w:line="276" w:lineRule="auto"/>
              <w:jc w:val="center"/>
              <w:rPr>
                <w:rFonts w:eastAsia="Times New Roman" w:cs="Times New Roman"/>
                <w:szCs w:val="24"/>
              </w:rPr>
            </w:pPr>
            <w:r>
              <w:rPr>
                <w:rFonts w:eastAsia="Times New Roman" w:cs="Times New Roman"/>
                <w:szCs w:val="24"/>
              </w:rPr>
              <w:t>3</w:t>
            </w:r>
          </w:p>
          <w:p w14:paraId="111CF7C8" w14:textId="77777777" w:rsidR="00554670" w:rsidRPr="00623B18" w:rsidRDefault="00554670" w:rsidP="005B7CA4">
            <w:pPr>
              <w:spacing w:after="0" w:line="276" w:lineRule="auto"/>
              <w:jc w:val="center"/>
              <w:rPr>
                <w:rFonts w:eastAsia="Times New Roman" w:cs="Times New Roman"/>
                <w:szCs w:val="24"/>
              </w:rPr>
            </w:pPr>
            <w:r>
              <w:rPr>
                <w:rFonts w:eastAsia="Times New Roman" w:cs="Times New Roman"/>
                <w:szCs w:val="24"/>
              </w:rPr>
              <w:t>5.8</w:t>
            </w:r>
            <w:r w:rsidRPr="00623B18">
              <w:rPr>
                <w:rFonts w:eastAsia="Times New Roman" w:cs="Times New Roman"/>
                <w:szCs w:val="24"/>
              </w:rPr>
              <w:t>%</w:t>
            </w:r>
          </w:p>
        </w:tc>
        <w:tc>
          <w:tcPr>
            <w:tcW w:w="644" w:type="pct"/>
            <w:shd w:val="clear" w:color="auto" w:fill="FFFFFF"/>
            <w:tcMar>
              <w:top w:w="0" w:type="dxa"/>
              <w:left w:w="108" w:type="dxa"/>
              <w:bottom w:w="0" w:type="dxa"/>
              <w:right w:w="108" w:type="dxa"/>
            </w:tcMar>
          </w:tcPr>
          <w:p w14:paraId="1F5A790B" w14:textId="77777777" w:rsidR="00554670" w:rsidRPr="00623B18" w:rsidRDefault="00554670" w:rsidP="005B7CA4">
            <w:pPr>
              <w:spacing w:after="0" w:line="276" w:lineRule="auto"/>
              <w:jc w:val="center"/>
              <w:rPr>
                <w:rFonts w:eastAsia="Times New Roman" w:cs="Times New Roman"/>
                <w:szCs w:val="24"/>
              </w:rPr>
            </w:pPr>
            <w:r>
              <w:rPr>
                <w:rFonts w:eastAsia="Times New Roman" w:cs="Times New Roman"/>
                <w:szCs w:val="24"/>
              </w:rPr>
              <w:t>4</w:t>
            </w:r>
          </w:p>
          <w:p w14:paraId="6CE2561D" w14:textId="77777777" w:rsidR="00554670" w:rsidRPr="00623B18" w:rsidRDefault="00554670" w:rsidP="005B7CA4">
            <w:pPr>
              <w:spacing w:after="0" w:line="276" w:lineRule="auto"/>
              <w:jc w:val="center"/>
              <w:rPr>
                <w:rFonts w:eastAsia="Times New Roman" w:cs="Times New Roman"/>
                <w:szCs w:val="24"/>
              </w:rPr>
            </w:pPr>
            <w:r>
              <w:rPr>
                <w:rFonts w:eastAsia="Times New Roman" w:cs="Times New Roman"/>
                <w:szCs w:val="24"/>
              </w:rPr>
              <w:t>7.8</w:t>
            </w:r>
            <w:r w:rsidRPr="00623B18">
              <w:rPr>
                <w:rFonts w:eastAsia="Times New Roman" w:cs="Times New Roman"/>
                <w:szCs w:val="24"/>
              </w:rPr>
              <w:t>%</w:t>
            </w:r>
          </w:p>
        </w:tc>
        <w:tc>
          <w:tcPr>
            <w:tcW w:w="485" w:type="pct"/>
            <w:shd w:val="clear" w:color="auto" w:fill="FFFFFF"/>
            <w:tcMar>
              <w:top w:w="0" w:type="dxa"/>
              <w:left w:w="108" w:type="dxa"/>
              <w:bottom w:w="0" w:type="dxa"/>
              <w:right w:w="108" w:type="dxa"/>
            </w:tcMar>
          </w:tcPr>
          <w:p w14:paraId="420E7C70" w14:textId="77777777" w:rsidR="00554670" w:rsidRPr="00623B18" w:rsidRDefault="00554670" w:rsidP="005B7CA4">
            <w:pPr>
              <w:spacing w:after="0" w:line="276" w:lineRule="auto"/>
              <w:jc w:val="center"/>
              <w:rPr>
                <w:rFonts w:eastAsia="Times New Roman" w:cs="Times New Roman"/>
                <w:szCs w:val="24"/>
              </w:rPr>
            </w:pPr>
            <w:r>
              <w:rPr>
                <w:rFonts w:eastAsia="Times New Roman" w:cs="Times New Roman"/>
                <w:szCs w:val="24"/>
              </w:rPr>
              <w:t>8</w:t>
            </w:r>
          </w:p>
          <w:p w14:paraId="40C8AFBA"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15.</w:t>
            </w:r>
            <w:r>
              <w:rPr>
                <w:rFonts w:eastAsia="Times New Roman" w:cs="Times New Roman"/>
                <w:szCs w:val="24"/>
              </w:rPr>
              <w:t>3</w:t>
            </w:r>
            <w:r w:rsidRPr="00623B18">
              <w:rPr>
                <w:rFonts w:eastAsia="Times New Roman" w:cs="Times New Roman"/>
                <w:szCs w:val="24"/>
              </w:rPr>
              <w:t>%</w:t>
            </w:r>
          </w:p>
        </w:tc>
        <w:tc>
          <w:tcPr>
            <w:tcW w:w="622" w:type="pct"/>
            <w:shd w:val="clear" w:color="auto" w:fill="FFFFFF"/>
            <w:tcMar>
              <w:top w:w="0" w:type="dxa"/>
              <w:left w:w="108" w:type="dxa"/>
              <w:bottom w:w="0" w:type="dxa"/>
              <w:right w:w="108" w:type="dxa"/>
            </w:tcMar>
          </w:tcPr>
          <w:p w14:paraId="6E0A40A5" w14:textId="77777777" w:rsidR="00554670" w:rsidRPr="00623B18" w:rsidRDefault="00554670" w:rsidP="005B7CA4">
            <w:pPr>
              <w:spacing w:after="0" w:line="276" w:lineRule="auto"/>
              <w:jc w:val="center"/>
              <w:rPr>
                <w:rFonts w:eastAsia="Times New Roman" w:cs="Times New Roman"/>
                <w:szCs w:val="24"/>
              </w:rPr>
            </w:pPr>
            <w:r>
              <w:rPr>
                <w:rFonts w:eastAsia="Times New Roman" w:cs="Times New Roman"/>
                <w:szCs w:val="24"/>
              </w:rPr>
              <w:t>18</w:t>
            </w:r>
          </w:p>
          <w:p w14:paraId="1A5EDE20"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3</w:t>
            </w:r>
            <w:r>
              <w:rPr>
                <w:rFonts w:eastAsia="Times New Roman" w:cs="Times New Roman"/>
                <w:szCs w:val="24"/>
              </w:rPr>
              <w:t>4.6</w:t>
            </w:r>
            <w:r w:rsidRPr="00623B18">
              <w:rPr>
                <w:rFonts w:eastAsia="Times New Roman" w:cs="Times New Roman"/>
                <w:szCs w:val="24"/>
              </w:rPr>
              <w:t>%</w:t>
            </w:r>
          </w:p>
        </w:tc>
        <w:tc>
          <w:tcPr>
            <w:tcW w:w="637" w:type="pct"/>
            <w:shd w:val="clear" w:color="auto" w:fill="FFFFFF"/>
            <w:tcMar>
              <w:top w:w="0" w:type="dxa"/>
              <w:left w:w="108" w:type="dxa"/>
              <w:bottom w:w="0" w:type="dxa"/>
              <w:right w:w="108" w:type="dxa"/>
            </w:tcMar>
          </w:tcPr>
          <w:p w14:paraId="447C1F8E" w14:textId="77777777" w:rsidR="00554670" w:rsidRPr="00623B18" w:rsidRDefault="00554670" w:rsidP="005B7CA4">
            <w:pPr>
              <w:spacing w:after="0" w:line="276" w:lineRule="auto"/>
              <w:jc w:val="center"/>
              <w:rPr>
                <w:rFonts w:eastAsia="Times New Roman" w:cs="Times New Roman"/>
                <w:szCs w:val="24"/>
              </w:rPr>
            </w:pPr>
            <w:r>
              <w:rPr>
                <w:rFonts w:eastAsia="Times New Roman" w:cs="Times New Roman"/>
                <w:szCs w:val="24"/>
              </w:rPr>
              <w:t>19</w:t>
            </w:r>
          </w:p>
          <w:p w14:paraId="68D371AF" w14:textId="77777777" w:rsidR="00554670" w:rsidRPr="00623B18" w:rsidRDefault="00554670" w:rsidP="005B7CA4">
            <w:pPr>
              <w:spacing w:after="0" w:line="276" w:lineRule="auto"/>
              <w:jc w:val="center"/>
              <w:rPr>
                <w:rFonts w:eastAsia="Times New Roman" w:cs="Times New Roman"/>
                <w:szCs w:val="24"/>
              </w:rPr>
            </w:pPr>
            <w:r>
              <w:rPr>
                <w:rFonts w:eastAsia="Times New Roman" w:cs="Times New Roman"/>
                <w:szCs w:val="24"/>
              </w:rPr>
              <w:t>36.5</w:t>
            </w:r>
            <w:r w:rsidRPr="00623B18">
              <w:rPr>
                <w:rFonts w:eastAsia="Times New Roman" w:cs="Times New Roman"/>
                <w:szCs w:val="24"/>
              </w:rPr>
              <w:t>%</w:t>
            </w:r>
          </w:p>
        </w:tc>
        <w:tc>
          <w:tcPr>
            <w:tcW w:w="363" w:type="pct"/>
          </w:tcPr>
          <w:p w14:paraId="12BD4462" w14:textId="77777777" w:rsidR="00554670" w:rsidRPr="00623B18" w:rsidRDefault="00554670" w:rsidP="005B7CA4">
            <w:pPr>
              <w:spacing w:after="0" w:line="276" w:lineRule="auto"/>
              <w:jc w:val="center"/>
              <w:rPr>
                <w:rFonts w:eastAsia="Times New Roman" w:cs="Times New Roman"/>
                <w:szCs w:val="24"/>
              </w:rPr>
            </w:pPr>
            <w:r>
              <w:rPr>
                <w:rFonts w:eastAsia="Times New Roman" w:cs="Times New Roman"/>
                <w:szCs w:val="24"/>
              </w:rPr>
              <w:t>3.88</w:t>
            </w:r>
          </w:p>
        </w:tc>
      </w:tr>
      <w:tr w:rsidR="00554670" w:rsidRPr="00623B18" w14:paraId="785933E9" w14:textId="77777777" w:rsidTr="00C25885">
        <w:trPr>
          <w:trHeight w:val="579"/>
        </w:trPr>
        <w:tc>
          <w:tcPr>
            <w:tcW w:w="1605" w:type="pct"/>
            <w:shd w:val="clear" w:color="auto" w:fill="FFFFFF"/>
            <w:tcMar>
              <w:top w:w="0" w:type="dxa"/>
              <w:left w:w="108" w:type="dxa"/>
              <w:bottom w:w="0" w:type="dxa"/>
              <w:right w:w="108" w:type="dxa"/>
            </w:tcMar>
          </w:tcPr>
          <w:p w14:paraId="325DCD9F" w14:textId="77777777" w:rsidR="00554670" w:rsidRPr="00623B18" w:rsidRDefault="00554670">
            <w:pPr>
              <w:pStyle w:val="ListParagraph"/>
              <w:numPr>
                <w:ilvl w:val="0"/>
                <w:numId w:val="2"/>
              </w:numPr>
              <w:spacing w:after="0" w:line="276" w:lineRule="auto"/>
              <w:ind w:right="-46"/>
              <w:jc w:val="left"/>
              <w:rPr>
                <w:rFonts w:eastAsia="Times New Roman" w:cs="Times New Roman"/>
                <w:szCs w:val="24"/>
              </w:rPr>
            </w:pPr>
            <w:r w:rsidRPr="00623B18">
              <w:rPr>
                <w:rFonts w:eastAsia="Times New Roman" w:cs="Times New Roman"/>
                <w:szCs w:val="24"/>
              </w:rPr>
              <w:t>Students in my class have clear personal goals.</w:t>
            </w:r>
          </w:p>
        </w:tc>
        <w:tc>
          <w:tcPr>
            <w:tcW w:w="644" w:type="pct"/>
            <w:shd w:val="clear" w:color="auto" w:fill="FFFFFF"/>
            <w:tcMar>
              <w:top w:w="0" w:type="dxa"/>
              <w:left w:w="108" w:type="dxa"/>
              <w:bottom w:w="0" w:type="dxa"/>
              <w:right w:w="108" w:type="dxa"/>
            </w:tcMar>
          </w:tcPr>
          <w:p w14:paraId="53A60F00"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3</w:t>
            </w:r>
          </w:p>
          <w:p w14:paraId="249A535C" w14:textId="77777777" w:rsidR="00554670" w:rsidRPr="00623B18" w:rsidRDefault="00554670" w:rsidP="005B7CA4">
            <w:pPr>
              <w:spacing w:after="0" w:line="276" w:lineRule="auto"/>
              <w:jc w:val="center"/>
              <w:rPr>
                <w:rFonts w:eastAsia="Times New Roman" w:cs="Times New Roman"/>
                <w:szCs w:val="24"/>
              </w:rPr>
            </w:pPr>
            <w:r>
              <w:rPr>
                <w:rFonts w:eastAsia="Times New Roman" w:cs="Times New Roman"/>
                <w:szCs w:val="24"/>
              </w:rPr>
              <w:t>5</w:t>
            </w:r>
            <w:r w:rsidRPr="00623B18">
              <w:rPr>
                <w:rFonts w:eastAsia="Times New Roman" w:cs="Times New Roman"/>
                <w:szCs w:val="24"/>
              </w:rPr>
              <w:t>.8%</w:t>
            </w:r>
          </w:p>
        </w:tc>
        <w:tc>
          <w:tcPr>
            <w:tcW w:w="644" w:type="pct"/>
            <w:shd w:val="clear" w:color="auto" w:fill="FFFFFF"/>
            <w:tcMar>
              <w:top w:w="0" w:type="dxa"/>
              <w:left w:w="108" w:type="dxa"/>
              <w:bottom w:w="0" w:type="dxa"/>
              <w:right w:w="108" w:type="dxa"/>
            </w:tcMar>
          </w:tcPr>
          <w:p w14:paraId="4F7CBA86"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8</w:t>
            </w:r>
          </w:p>
          <w:p w14:paraId="7F0C992B" w14:textId="77777777" w:rsidR="00554670" w:rsidRPr="00623B18" w:rsidRDefault="00554670" w:rsidP="005B7CA4">
            <w:pPr>
              <w:spacing w:after="0" w:line="276" w:lineRule="auto"/>
              <w:jc w:val="center"/>
              <w:rPr>
                <w:rFonts w:eastAsia="Times New Roman" w:cs="Times New Roman"/>
                <w:szCs w:val="24"/>
              </w:rPr>
            </w:pPr>
            <w:r>
              <w:rPr>
                <w:rFonts w:eastAsia="Times New Roman" w:cs="Times New Roman"/>
                <w:szCs w:val="24"/>
              </w:rPr>
              <w:t>15.3</w:t>
            </w:r>
            <w:r w:rsidRPr="00623B18">
              <w:rPr>
                <w:rFonts w:eastAsia="Times New Roman" w:cs="Times New Roman"/>
                <w:szCs w:val="24"/>
              </w:rPr>
              <w:t>%</w:t>
            </w:r>
          </w:p>
        </w:tc>
        <w:tc>
          <w:tcPr>
            <w:tcW w:w="485" w:type="pct"/>
            <w:shd w:val="clear" w:color="auto" w:fill="FFFFFF"/>
            <w:tcMar>
              <w:top w:w="0" w:type="dxa"/>
              <w:left w:w="108" w:type="dxa"/>
              <w:bottom w:w="0" w:type="dxa"/>
              <w:right w:w="108" w:type="dxa"/>
            </w:tcMar>
          </w:tcPr>
          <w:p w14:paraId="215CF571"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18</w:t>
            </w:r>
          </w:p>
          <w:p w14:paraId="0640BC68" w14:textId="77777777" w:rsidR="00554670" w:rsidRPr="00623B18" w:rsidRDefault="00554670" w:rsidP="005B7CA4">
            <w:pPr>
              <w:spacing w:after="0" w:line="276" w:lineRule="auto"/>
              <w:jc w:val="center"/>
              <w:rPr>
                <w:rFonts w:eastAsia="Times New Roman" w:cs="Times New Roman"/>
                <w:szCs w:val="24"/>
              </w:rPr>
            </w:pPr>
            <w:r>
              <w:rPr>
                <w:rFonts w:eastAsia="Times New Roman" w:cs="Times New Roman"/>
                <w:szCs w:val="24"/>
              </w:rPr>
              <w:t>34.6</w:t>
            </w:r>
            <w:r w:rsidRPr="00623B18">
              <w:rPr>
                <w:rFonts w:eastAsia="Times New Roman" w:cs="Times New Roman"/>
                <w:szCs w:val="24"/>
              </w:rPr>
              <w:t>%</w:t>
            </w:r>
          </w:p>
        </w:tc>
        <w:tc>
          <w:tcPr>
            <w:tcW w:w="622" w:type="pct"/>
            <w:shd w:val="clear" w:color="auto" w:fill="FFFFFF"/>
            <w:tcMar>
              <w:top w:w="0" w:type="dxa"/>
              <w:left w:w="108" w:type="dxa"/>
              <w:bottom w:w="0" w:type="dxa"/>
              <w:right w:w="108" w:type="dxa"/>
            </w:tcMar>
          </w:tcPr>
          <w:p w14:paraId="7C8898C6"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11</w:t>
            </w:r>
          </w:p>
          <w:p w14:paraId="1F59F093" w14:textId="77777777" w:rsidR="00554670" w:rsidRPr="00623B18" w:rsidRDefault="00554670" w:rsidP="005B7CA4">
            <w:pPr>
              <w:spacing w:after="0" w:line="276" w:lineRule="auto"/>
              <w:jc w:val="center"/>
              <w:rPr>
                <w:rFonts w:eastAsia="Times New Roman" w:cs="Times New Roman"/>
                <w:szCs w:val="24"/>
              </w:rPr>
            </w:pPr>
            <w:r>
              <w:rPr>
                <w:rFonts w:eastAsia="Times New Roman" w:cs="Times New Roman"/>
                <w:szCs w:val="24"/>
              </w:rPr>
              <w:t>21.2</w:t>
            </w:r>
            <w:r w:rsidRPr="00623B18">
              <w:rPr>
                <w:rFonts w:eastAsia="Times New Roman" w:cs="Times New Roman"/>
                <w:szCs w:val="24"/>
              </w:rPr>
              <w:t>%</w:t>
            </w:r>
          </w:p>
        </w:tc>
        <w:tc>
          <w:tcPr>
            <w:tcW w:w="637" w:type="pct"/>
            <w:shd w:val="clear" w:color="auto" w:fill="FFFFFF"/>
            <w:tcMar>
              <w:top w:w="0" w:type="dxa"/>
              <w:left w:w="108" w:type="dxa"/>
              <w:bottom w:w="0" w:type="dxa"/>
              <w:right w:w="108" w:type="dxa"/>
            </w:tcMar>
          </w:tcPr>
          <w:p w14:paraId="586EE8A1" w14:textId="77777777" w:rsidR="00554670" w:rsidRPr="00623B18" w:rsidRDefault="00554670" w:rsidP="005B7CA4">
            <w:pPr>
              <w:spacing w:after="0" w:line="276" w:lineRule="auto"/>
              <w:jc w:val="center"/>
              <w:rPr>
                <w:rFonts w:eastAsia="Times New Roman" w:cs="Times New Roman"/>
                <w:szCs w:val="24"/>
              </w:rPr>
            </w:pPr>
            <w:r>
              <w:rPr>
                <w:rFonts w:eastAsia="Times New Roman" w:cs="Times New Roman"/>
                <w:szCs w:val="24"/>
              </w:rPr>
              <w:t>1</w:t>
            </w:r>
            <w:r w:rsidRPr="00623B18">
              <w:rPr>
                <w:rFonts w:eastAsia="Times New Roman" w:cs="Times New Roman"/>
                <w:szCs w:val="24"/>
              </w:rPr>
              <w:t>2</w:t>
            </w:r>
          </w:p>
          <w:p w14:paraId="31DF4F4B" w14:textId="77777777" w:rsidR="00554670" w:rsidRPr="00623B18" w:rsidRDefault="00554670" w:rsidP="005B7CA4">
            <w:pPr>
              <w:spacing w:after="0" w:line="276" w:lineRule="auto"/>
              <w:jc w:val="center"/>
              <w:rPr>
                <w:rFonts w:eastAsia="Times New Roman" w:cs="Times New Roman"/>
                <w:szCs w:val="24"/>
              </w:rPr>
            </w:pPr>
            <w:r>
              <w:rPr>
                <w:rFonts w:eastAsia="Times New Roman" w:cs="Times New Roman"/>
                <w:szCs w:val="24"/>
              </w:rPr>
              <w:t>23.1</w:t>
            </w:r>
            <w:r w:rsidRPr="00623B18">
              <w:rPr>
                <w:rFonts w:eastAsia="Times New Roman" w:cs="Times New Roman"/>
                <w:szCs w:val="24"/>
              </w:rPr>
              <w:t>%</w:t>
            </w:r>
          </w:p>
        </w:tc>
        <w:tc>
          <w:tcPr>
            <w:tcW w:w="363" w:type="pct"/>
          </w:tcPr>
          <w:p w14:paraId="5EF1ABD0"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3.40</w:t>
            </w:r>
          </w:p>
        </w:tc>
      </w:tr>
      <w:tr w:rsidR="00554670" w:rsidRPr="00623B18" w14:paraId="57D91F42" w14:textId="77777777" w:rsidTr="00C25885">
        <w:trPr>
          <w:trHeight w:val="1"/>
        </w:trPr>
        <w:tc>
          <w:tcPr>
            <w:tcW w:w="1605" w:type="pct"/>
            <w:tcBorders>
              <w:bottom w:val="single" w:sz="8" w:space="0" w:color="auto"/>
            </w:tcBorders>
            <w:shd w:val="clear" w:color="auto" w:fill="FFFFFF"/>
            <w:tcMar>
              <w:top w:w="0" w:type="dxa"/>
              <w:left w:w="108" w:type="dxa"/>
              <w:bottom w:w="0" w:type="dxa"/>
              <w:right w:w="108" w:type="dxa"/>
            </w:tcMar>
          </w:tcPr>
          <w:p w14:paraId="11295A53" w14:textId="77777777" w:rsidR="00554670" w:rsidRPr="00623B18" w:rsidRDefault="00554670">
            <w:pPr>
              <w:pStyle w:val="ListParagraph"/>
              <w:numPr>
                <w:ilvl w:val="0"/>
                <w:numId w:val="2"/>
              </w:numPr>
              <w:spacing w:after="0" w:line="276" w:lineRule="auto"/>
              <w:ind w:right="-46"/>
              <w:jc w:val="left"/>
              <w:rPr>
                <w:rFonts w:eastAsia="Times New Roman" w:cs="Times New Roman"/>
                <w:szCs w:val="24"/>
              </w:rPr>
            </w:pPr>
            <w:r w:rsidRPr="00623B18">
              <w:rPr>
                <w:rFonts w:eastAsia="Times New Roman" w:cs="Times New Roman"/>
                <w:szCs w:val="24"/>
              </w:rPr>
              <w:t>Students in my class are academically focused.</w:t>
            </w:r>
          </w:p>
        </w:tc>
        <w:tc>
          <w:tcPr>
            <w:tcW w:w="644" w:type="pct"/>
            <w:tcBorders>
              <w:bottom w:val="single" w:sz="8" w:space="0" w:color="auto"/>
            </w:tcBorders>
            <w:shd w:val="clear" w:color="auto" w:fill="FFFFFF"/>
            <w:tcMar>
              <w:top w:w="0" w:type="dxa"/>
              <w:left w:w="108" w:type="dxa"/>
              <w:bottom w:w="0" w:type="dxa"/>
              <w:right w:w="108" w:type="dxa"/>
            </w:tcMar>
          </w:tcPr>
          <w:p w14:paraId="7A7ACC2F"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w:t>
            </w:r>
          </w:p>
          <w:p w14:paraId="53F82374" w14:textId="77777777" w:rsidR="00554670" w:rsidRPr="00623B18" w:rsidRDefault="00554670" w:rsidP="005B7CA4">
            <w:pPr>
              <w:spacing w:after="0" w:line="276" w:lineRule="auto"/>
              <w:jc w:val="center"/>
              <w:rPr>
                <w:rFonts w:eastAsia="Times New Roman" w:cs="Times New Roman"/>
                <w:szCs w:val="24"/>
              </w:rPr>
            </w:pPr>
            <w:r>
              <w:rPr>
                <w:rFonts w:eastAsia="Times New Roman" w:cs="Times New Roman"/>
                <w:szCs w:val="24"/>
              </w:rPr>
              <w:t>1.9</w:t>
            </w:r>
            <w:r w:rsidRPr="00623B18">
              <w:rPr>
                <w:rFonts w:eastAsia="Times New Roman" w:cs="Times New Roman"/>
                <w:szCs w:val="24"/>
              </w:rPr>
              <w:t>%</w:t>
            </w:r>
          </w:p>
        </w:tc>
        <w:tc>
          <w:tcPr>
            <w:tcW w:w="644" w:type="pct"/>
            <w:tcBorders>
              <w:bottom w:val="single" w:sz="8" w:space="0" w:color="auto"/>
            </w:tcBorders>
            <w:shd w:val="clear" w:color="auto" w:fill="FFFFFF"/>
            <w:tcMar>
              <w:top w:w="0" w:type="dxa"/>
              <w:left w:w="108" w:type="dxa"/>
              <w:bottom w:w="0" w:type="dxa"/>
              <w:right w:w="108" w:type="dxa"/>
            </w:tcMar>
          </w:tcPr>
          <w:p w14:paraId="7175070F" w14:textId="77777777" w:rsidR="00554670" w:rsidRPr="00623B18" w:rsidRDefault="00554670" w:rsidP="005B7CA4">
            <w:pPr>
              <w:spacing w:after="0" w:line="276" w:lineRule="auto"/>
              <w:jc w:val="center"/>
              <w:rPr>
                <w:rFonts w:eastAsia="Times New Roman" w:cs="Times New Roman"/>
                <w:szCs w:val="24"/>
              </w:rPr>
            </w:pPr>
            <w:r>
              <w:rPr>
                <w:rFonts w:eastAsia="Times New Roman" w:cs="Times New Roman"/>
                <w:szCs w:val="24"/>
              </w:rPr>
              <w:t>17</w:t>
            </w:r>
          </w:p>
          <w:p w14:paraId="319CB633" w14:textId="77777777" w:rsidR="00554670" w:rsidRPr="00623B18" w:rsidRDefault="00554670" w:rsidP="005B7CA4">
            <w:pPr>
              <w:spacing w:after="0" w:line="276" w:lineRule="auto"/>
              <w:jc w:val="center"/>
              <w:rPr>
                <w:rFonts w:eastAsia="Times New Roman" w:cs="Times New Roman"/>
                <w:szCs w:val="24"/>
              </w:rPr>
            </w:pPr>
            <w:r>
              <w:rPr>
                <w:rFonts w:eastAsia="Times New Roman" w:cs="Times New Roman"/>
                <w:szCs w:val="24"/>
              </w:rPr>
              <w:t>32.7</w:t>
            </w:r>
            <w:r w:rsidRPr="00623B18">
              <w:rPr>
                <w:rFonts w:eastAsia="Times New Roman" w:cs="Times New Roman"/>
                <w:szCs w:val="24"/>
              </w:rPr>
              <w:t>%</w:t>
            </w:r>
          </w:p>
        </w:tc>
        <w:tc>
          <w:tcPr>
            <w:tcW w:w="485" w:type="pct"/>
            <w:tcBorders>
              <w:bottom w:val="single" w:sz="8" w:space="0" w:color="auto"/>
            </w:tcBorders>
            <w:shd w:val="clear" w:color="auto" w:fill="FFFFFF"/>
            <w:tcMar>
              <w:top w:w="0" w:type="dxa"/>
              <w:left w:w="108" w:type="dxa"/>
              <w:bottom w:w="0" w:type="dxa"/>
              <w:right w:w="108" w:type="dxa"/>
            </w:tcMar>
          </w:tcPr>
          <w:p w14:paraId="64067DCB"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21</w:t>
            </w:r>
          </w:p>
          <w:p w14:paraId="6814C895" w14:textId="77777777" w:rsidR="00554670" w:rsidRPr="00623B18" w:rsidRDefault="00554670" w:rsidP="005B7CA4">
            <w:pPr>
              <w:spacing w:after="0" w:line="276" w:lineRule="auto"/>
              <w:jc w:val="center"/>
              <w:rPr>
                <w:rFonts w:eastAsia="Times New Roman" w:cs="Times New Roman"/>
                <w:szCs w:val="24"/>
              </w:rPr>
            </w:pPr>
            <w:r>
              <w:rPr>
                <w:rFonts w:eastAsia="Times New Roman" w:cs="Times New Roman"/>
                <w:szCs w:val="24"/>
              </w:rPr>
              <w:t>40.4</w:t>
            </w:r>
            <w:r w:rsidRPr="00623B18">
              <w:rPr>
                <w:rFonts w:eastAsia="Times New Roman" w:cs="Times New Roman"/>
                <w:szCs w:val="24"/>
              </w:rPr>
              <w:t>%</w:t>
            </w:r>
          </w:p>
        </w:tc>
        <w:tc>
          <w:tcPr>
            <w:tcW w:w="622" w:type="pct"/>
            <w:tcBorders>
              <w:bottom w:val="single" w:sz="8" w:space="0" w:color="auto"/>
            </w:tcBorders>
            <w:shd w:val="clear" w:color="auto" w:fill="FFFFFF"/>
            <w:tcMar>
              <w:top w:w="0" w:type="dxa"/>
              <w:left w:w="108" w:type="dxa"/>
              <w:bottom w:w="0" w:type="dxa"/>
              <w:right w:w="108" w:type="dxa"/>
            </w:tcMar>
          </w:tcPr>
          <w:p w14:paraId="005FF54B"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w:t>
            </w:r>
            <w:r>
              <w:rPr>
                <w:rFonts w:eastAsia="Times New Roman" w:cs="Times New Roman"/>
                <w:szCs w:val="24"/>
              </w:rPr>
              <w:t>0</w:t>
            </w:r>
          </w:p>
          <w:p w14:paraId="7C51E6B4" w14:textId="77777777" w:rsidR="00554670" w:rsidRPr="00623B18" w:rsidRDefault="00554670" w:rsidP="005B7CA4">
            <w:pPr>
              <w:spacing w:after="0" w:line="276" w:lineRule="auto"/>
              <w:jc w:val="center"/>
              <w:rPr>
                <w:rFonts w:eastAsia="Times New Roman" w:cs="Times New Roman"/>
                <w:szCs w:val="24"/>
              </w:rPr>
            </w:pPr>
            <w:r>
              <w:rPr>
                <w:rFonts w:eastAsia="Times New Roman" w:cs="Times New Roman"/>
                <w:szCs w:val="24"/>
              </w:rPr>
              <w:t>19.2</w:t>
            </w:r>
            <w:r w:rsidRPr="00623B18">
              <w:rPr>
                <w:rFonts w:eastAsia="Times New Roman" w:cs="Times New Roman"/>
                <w:szCs w:val="24"/>
              </w:rPr>
              <w:t>%</w:t>
            </w:r>
          </w:p>
        </w:tc>
        <w:tc>
          <w:tcPr>
            <w:tcW w:w="637" w:type="pct"/>
            <w:tcBorders>
              <w:bottom w:val="single" w:sz="8" w:space="0" w:color="auto"/>
            </w:tcBorders>
            <w:shd w:val="clear" w:color="auto" w:fill="FFFFFF"/>
            <w:tcMar>
              <w:top w:w="0" w:type="dxa"/>
              <w:left w:w="108" w:type="dxa"/>
              <w:bottom w:w="0" w:type="dxa"/>
              <w:right w:w="108" w:type="dxa"/>
            </w:tcMar>
          </w:tcPr>
          <w:p w14:paraId="6D0C8AE4"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22</w:t>
            </w:r>
          </w:p>
          <w:p w14:paraId="15392CAA" w14:textId="77777777" w:rsidR="00554670" w:rsidRPr="00623B18" w:rsidRDefault="00554670" w:rsidP="005B7CA4">
            <w:pPr>
              <w:spacing w:after="0" w:line="276" w:lineRule="auto"/>
              <w:jc w:val="center"/>
              <w:rPr>
                <w:rFonts w:eastAsia="Times New Roman" w:cs="Times New Roman"/>
                <w:szCs w:val="24"/>
              </w:rPr>
            </w:pPr>
            <w:r>
              <w:rPr>
                <w:rFonts w:eastAsia="Times New Roman" w:cs="Times New Roman"/>
                <w:szCs w:val="24"/>
              </w:rPr>
              <w:t>42.3</w:t>
            </w:r>
            <w:r w:rsidRPr="00623B18">
              <w:rPr>
                <w:rFonts w:eastAsia="Times New Roman" w:cs="Times New Roman"/>
                <w:szCs w:val="24"/>
              </w:rPr>
              <w:t>%</w:t>
            </w:r>
          </w:p>
        </w:tc>
        <w:tc>
          <w:tcPr>
            <w:tcW w:w="363" w:type="pct"/>
            <w:tcBorders>
              <w:bottom w:val="single" w:sz="8" w:space="0" w:color="auto"/>
            </w:tcBorders>
          </w:tcPr>
          <w:p w14:paraId="4D733585"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4.</w:t>
            </w:r>
            <w:r>
              <w:rPr>
                <w:rFonts w:eastAsia="Times New Roman" w:cs="Times New Roman"/>
                <w:szCs w:val="24"/>
              </w:rPr>
              <w:t>77</w:t>
            </w:r>
          </w:p>
        </w:tc>
      </w:tr>
    </w:tbl>
    <w:p w14:paraId="3F910F0D" w14:textId="77777777" w:rsidR="00554670" w:rsidRPr="00623B18" w:rsidRDefault="00554670" w:rsidP="005B7CA4">
      <w:pPr>
        <w:spacing w:before="240" w:line="276" w:lineRule="auto"/>
      </w:pPr>
      <w:r w:rsidRPr="00623B18">
        <w:t xml:space="preserve">When asked whether they related well with those in authority, 0.8% of the students strongly disagreed, 2.5% disagreed, 5.4% were not sure, 38.7% agreed and 52.6% strongly agreed. The findings indicated an overwhelmingly positive perception of student-authority relationships within the schools sampled. This was corroborated by responses of class teachers of whom 61.5% agreed and 30.8% strongly agreed that students related well with authority. With a combined 91.3% of students either agreeing or strongly agreeing, the data suggests a high level of relational synchronization between the student body and school leadership. Gregory and Ripski (2008) found that students were significantly more likely to cooperate with teachers they perceive as “authoritative” (high warmth, high expectations) rather than “authoritarian” (low warmth, high control). The 91.3% positive response suggests the staff has successfully cultivated this trust. </w:t>
      </w:r>
    </w:p>
    <w:p w14:paraId="3AFB4B07" w14:textId="77777777" w:rsidR="00554670" w:rsidRDefault="00554670" w:rsidP="005B7CA4">
      <w:pPr>
        <w:spacing w:line="276" w:lineRule="auto"/>
      </w:pPr>
      <w:r w:rsidRPr="00623B18">
        <w:t xml:space="preserve">Considering the concept of </w:t>
      </w:r>
      <w:r w:rsidRPr="00623B18">
        <w:rPr>
          <w:i/>
          <w:iCs/>
        </w:rPr>
        <w:t>Social Desirability Bias</w:t>
      </w:r>
      <w:r w:rsidRPr="00623B18">
        <w:t>, some early scholars, such as Nederhof (1985), cautioned that in highly disciplined environments, students may provide "strongly agree" responses because they feel it is the correct or safest answer, rather than their internal reality. While the majority is positive, the 8.7% who are "not sure" or disagree represent a critical minority that often requires the most administrative attention. Way (2011) notes that even in schools with generally positive climates, students from lower Socioeconomic Status (SES) backgrounds sometimes feel invisible or unfairly targeted by authority. While this negative percentage is small, research by Skiba et al. (2014) warns that disciplinary actions are often disproportionately concentrated within this small, disengaged group.</w:t>
      </w:r>
    </w:p>
    <w:p w14:paraId="6309E86F" w14:textId="748BFE8B" w:rsidR="00554670" w:rsidRPr="004B02E0" w:rsidRDefault="004B02E0" w:rsidP="004B02E0">
      <w:pPr>
        <w:rPr>
          <w:b/>
          <w:bCs/>
          <w:i/>
          <w:iCs/>
        </w:rPr>
      </w:pPr>
      <w:bookmarkStart w:id="12" w:name="_Toc234318353"/>
      <w:r>
        <w:rPr>
          <w:b/>
          <w:bCs/>
          <w:i/>
          <w:iCs/>
        </w:rPr>
        <w:t>B)</w:t>
      </w:r>
      <w:r w:rsidR="00554670" w:rsidRPr="004B02E0">
        <w:rPr>
          <w:b/>
          <w:bCs/>
          <w:i/>
          <w:iCs/>
        </w:rPr>
        <w:t xml:space="preserve"> Family Income Status</w:t>
      </w:r>
      <w:bookmarkEnd w:id="12"/>
    </w:p>
    <w:p w14:paraId="0E26DAB8" w14:textId="20805863" w:rsidR="00554670" w:rsidRPr="00623B18" w:rsidRDefault="004B02E0" w:rsidP="001625EA">
      <w:pPr>
        <w:spacing w:before="240" w:line="276" w:lineRule="auto"/>
        <w:rPr>
          <w:rFonts w:eastAsia="Times New Roman" w:cs="Times New Roman"/>
          <w:szCs w:val="24"/>
        </w:rPr>
      </w:pPr>
      <w:r>
        <w:rPr>
          <w:rFonts w:eastAsia="Times New Roman" w:cs="Times New Roman"/>
          <w:szCs w:val="24"/>
        </w:rPr>
        <w:lastRenderedPageBreak/>
        <w:t>S</w:t>
      </w:r>
      <w:r w:rsidR="00554670" w:rsidRPr="00623B18">
        <w:rPr>
          <w:rFonts w:eastAsia="Times New Roman" w:cs="Times New Roman"/>
          <w:szCs w:val="24"/>
        </w:rPr>
        <w:t xml:space="preserve">tudents’ perception of </w:t>
      </w:r>
      <w:r w:rsidR="00554670" w:rsidRPr="00623B18">
        <w:t xml:space="preserve">their overall family income status </w:t>
      </w:r>
      <w:r w:rsidR="00554670" w:rsidRPr="00623B18">
        <w:rPr>
          <w:rFonts w:eastAsia="Times New Roman" w:cs="Times New Roman"/>
          <w:szCs w:val="24"/>
        </w:rPr>
        <w:t>was sought. The findings were as summarized in Figure</w:t>
      </w:r>
      <w:r>
        <w:rPr>
          <w:rFonts w:eastAsia="Times New Roman" w:cs="Times New Roman"/>
          <w:szCs w:val="24"/>
        </w:rPr>
        <w:t xml:space="preserve"> </w:t>
      </w:r>
      <w:r w:rsidR="00554670" w:rsidRPr="00623B18">
        <w:rPr>
          <w:rFonts w:eastAsia="Times New Roman" w:cs="Times New Roman"/>
          <w:szCs w:val="24"/>
        </w:rPr>
        <w:t>1.</w:t>
      </w:r>
    </w:p>
    <w:p w14:paraId="03A18A02" w14:textId="1D164ED8" w:rsidR="00554670" w:rsidRPr="00623B18" w:rsidRDefault="00554670" w:rsidP="00516FBC">
      <w:pPr>
        <w:pStyle w:val="Caption"/>
      </w:pPr>
      <w:bookmarkStart w:id="13" w:name="_Toc224682223"/>
      <w:r w:rsidRPr="00623B18">
        <w:t xml:space="preserve">Figure </w:t>
      </w:r>
      <w:r w:rsidR="003F1A31">
        <w:t>1</w:t>
      </w:r>
      <w:r w:rsidRPr="00623B18">
        <w:t xml:space="preserve"> Students’ Perceptions of their Overall Family Income Status Category</w:t>
      </w:r>
      <w:bookmarkEnd w:id="13"/>
    </w:p>
    <w:p w14:paraId="673814F0" w14:textId="77777777" w:rsidR="00554670" w:rsidRPr="00623B18" w:rsidRDefault="00554670" w:rsidP="005B7CA4">
      <w:pPr>
        <w:spacing w:line="276" w:lineRule="auto"/>
        <w:jc w:val="center"/>
      </w:pPr>
      <w:r w:rsidRPr="00623B18">
        <w:rPr>
          <w:noProof/>
        </w:rPr>
        <w:drawing>
          <wp:inline distT="0" distB="0" distL="0" distR="0" wp14:anchorId="753625DF" wp14:editId="4F0B753F">
            <wp:extent cx="5462337" cy="3220954"/>
            <wp:effectExtent l="0" t="0" r="5080" b="0"/>
            <wp:docPr id="778901275"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D882D73" w14:textId="77777777" w:rsidR="00554670" w:rsidRPr="00623B18" w:rsidRDefault="00554670" w:rsidP="005B7CA4">
      <w:pPr>
        <w:spacing w:line="276" w:lineRule="auto"/>
      </w:pPr>
      <w:r w:rsidRPr="00623B18">
        <w:t xml:space="preserve">The findings indicated that 30% of students came from low-income families, 63% from middle-income families, and 7% from high-income families, suggesting that the majority of students in boys’ </w:t>
      </w:r>
      <w:r w:rsidRPr="00D2071F">
        <w:t xml:space="preserve">boarding senior schools originate from middle-income households. This pattern reflects the socioeconomic composition </w:t>
      </w:r>
      <w:r w:rsidRPr="00623B18">
        <w:t xml:space="preserve">typical of many public secondary schools in developing contexts, where middle-income families constitute the largest group able to sustain boarding education. Similar trends have been reported in Kenya. For instance, a study in Trans-Nzoia County found that 59% of secondary school students came from middle-class families, confirming the dominance of this socioeconomic group in public schools (Kanyi et al., 2026). The 30% representation of students from low-income households is also consistent with findings that many learners in Kenyan public </w:t>
      </w:r>
      <w:r w:rsidRPr="00D2071F">
        <w:t>senior schools originate from economically disadvantaged backgrounds, where financ</w:t>
      </w:r>
      <w:r w:rsidRPr="00623B18">
        <w:t xml:space="preserve">ial constraints influence educational experiences and access to learning resources (Kobane et al., 2025). </w:t>
      </w:r>
    </w:p>
    <w:p w14:paraId="1C44950F" w14:textId="77777777" w:rsidR="00554670" w:rsidRDefault="00554670" w:rsidP="005B7CA4">
      <w:pPr>
        <w:spacing w:line="276" w:lineRule="auto"/>
      </w:pPr>
      <w:r w:rsidRPr="00623B18">
        <w:t>Studies further indicate that economic hardship within households may contribute to behavioural challenges among students due to financial stress and limited parental supervision (Aute et al., 2020). The small proportion of students from high-income families (7%) corresponds with evidence that affluent households often enroll their children in private or elite institutions perceived to provide better academic opportunities (Simiyu &amp; Likoko, 2024). However, some studies report slightly different patterns; for example, research on family socioeconomic background and girls’</w:t>
      </w:r>
      <w:r w:rsidRPr="0042451F">
        <w:rPr>
          <w:color w:val="FF0000"/>
        </w:rPr>
        <w:t xml:space="preserve"> </w:t>
      </w:r>
      <w:r w:rsidRPr="00D2071F">
        <w:t xml:space="preserve">senior education </w:t>
      </w:r>
      <w:r w:rsidRPr="00623B18">
        <w:t xml:space="preserve">found a higher proportion of high-income families among students (Wechuli, 2020). These differences may be attributed to variations in school type, regional economic conditions, and gender-based investment in </w:t>
      </w:r>
      <w:r w:rsidRPr="00623B18">
        <w:lastRenderedPageBreak/>
        <w:t>education. Overall, the findings reaffirm the importance of family socioeconomic status in shaping educational participation and potentially influencing student discipline.</w:t>
      </w:r>
    </w:p>
    <w:p w14:paraId="26363ED7" w14:textId="0200B03E" w:rsidR="00554670" w:rsidRPr="004B02E0" w:rsidRDefault="004B02E0" w:rsidP="004B02E0">
      <w:pPr>
        <w:rPr>
          <w:b/>
          <w:bCs/>
          <w:i/>
          <w:iCs/>
        </w:rPr>
      </w:pPr>
      <w:bookmarkStart w:id="14" w:name="_Toc234318354"/>
      <w:r>
        <w:rPr>
          <w:b/>
          <w:bCs/>
          <w:i/>
          <w:iCs/>
        </w:rPr>
        <w:t>C)</w:t>
      </w:r>
      <w:r w:rsidR="00554670" w:rsidRPr="004B02E0">
        <w:rPr>
          <w:b/>
          <w:bCs/>
          <w:i/>
          <w:iCs/>
        </w:rPr>
        <w:t xml:space="preserve"> Other Perceptions on Aspects of Family Income</w:t>
      </w:r>
      <w:bookmarkEnd w:id="14"/>
    </w:p>
    <w:p w14:paraId="0A158CB5" w14:textId="77777777" w:rsidR="00554670" w:rsidRDefault="00554670" w:rsidP="005B7CA4">
      <w:pPr>
        <w:spacing w:after="0" w:line="276" w:lineRule="auto"/>
        <w:rPr>
          <w:rFonts w:eastAsia="Times New Roman" w:cs="Times New Roman"/>
          <w:bCs/>
          <w:szCs w:val="24"/>
        </w:rPr>
      </w:pPr>
      <w:r w:rsidRPr="00623B18">
        <w:rPr>
          <w:rFonts w:eastAsia="Times New Roman" w:cs="Times New Roman"/>
          <w:bCs/>
          <w:szCs w:val="24"/>
        </w:rPr>
        <w:t>The students were asked to select an option that corresponded to their perception on the rating of aspects of their family income. These included estimated average family income, income stability/ consistency, as well as expenditure on education. Results were as summarized in Table 4.6.</w:t>
      </w:r>
    </w:p>
    <w:p w14:paraId="77C3C3FB" w14:textId="09FFFCDE" w:rsidR="00554670" w:rsidRPr="00623B18" w:rsidRDefault="00554670" w:rsidP="00516FBC">
      <w:pPr>
        <w:pStyle w:val="Caption"/>
      </w:pPr>
      <w:bookmarkStart w:id="15" w:name="_Toc234318390"/>
      <w:r w:rsidRPr="00623B18">
        <w:t xml:space="preserve">Table </w:t>
      </w:r>
      <w:r w:rsidR="003F1A31">
        <w:t>3.</w:t>
      </w:r>
      <w:r w:rsidRPr="00623B18">
        <w:t xml:space="preserve"> Students Perceptions on Aspects of Family Income</w:t>
      </w:r>
      <w:bookmarkEnd w:id="15"/>
    </w:p>
    <w:tbl>
      <w:tblPr>
        <w:tblW w:w="4997" w:type="pct"/>
        <w:tblCellMar>
          <w:top w:w="15" w:type="dxa"/>
          <w:left w:w="15" w:type="dxa"/>
          <w:bottom w:w="15" w:type="dxa"/>
          <w:right w:w="15" w:type="dxa"/>
        </w:tblCellMar>
        <w:tblLook w:val="04A0" w:firstRow="1" w:lastRow="0" w:firstColumn="1" w:lastColumn="0" w:noHBand="0" w:noVBand="1"/>
      </w:tblPr>
      <w:tblGrid>
        <w:gridCol w:w="2799"/>
        <w:gridCol w:w="1119"/>
        <w:gridCol w:w="1063"/>
        <w:gridCol w:w="1117"/>
        <w:gridCol w:w="1117"/>
        <w:gridCol w:w="1117"/>
        <w:gridCol w:w="689"/>
      </w:tblGrid>
      <w:tr w:rsidR="00554670" w:rsidRPr="00623B18" w14:paraId="762F5F88" w14:textId="77777777" w:rsidTr="00C25885">
        <w:trPr>
          <w:trHeight w:val="1"/>
        </w:trPr>
        <w:tc>
          <w:tcPr>
            <w:tcW w:w="1552" w:type="pct"/>
            <w:tcBorders>
              <w:top w:val="single" w:sz="8" w:space="0" w:color="auto"/>
              <w:bottom w:val="single" w:sz="8" w:space="0" w:color="auto"/>
            </w:tcBorders>
            <w:shd w:val="clear" w:color="auto" w:fill="FFFFFF"/>
            <w:tcMar>
              <w:top w:w="0" w:type="dxa"/>
              <w:left w:w="108" w:type="dxa"/>
              <w:bottom w:w="0" w:type="dxa"/>
              <w:right w:w="108" w:type="dxa"/>
            </w:tcMar>
          </w:tcPr>
          <w:p w14:paraId="2C427849" w14:textId="77777777" w:rsidR="00554670" w:rsidRPr="00623B18" w:rsidRDefault="00554670" w:rsidP="005B7CA4">
            <w:pPr>
              <w:spacing w:after="0" w:line="276" w:lineRule="auto"/>
              <w:ind w:right="-46"/>
              <w:jc w:val="center"/>
              <w:rPr>
                <w:rFonts w:eastAsia="Times New Roman" w:cs="Times New Roman"/>
                <w:b/>
                <w:iCs/>
                <w:szCs w:val="24"/>
              </w:rPr>
            </w:pPr>
          </w:p>
        </w:tc>
        <w:tc>
          <w:tcPr>
            <w:tcW w:w="620" w:type="pct"/>
            <w:tcBorders>
              <w:top w:val="single" w:sz="8" w:space="0" w:color="auto"/>
              <w:bottom w:val="single" w:sz="8" w:space="0" w:color="auto"/>
            </w:tcBorders>
            <w:shd w:val="clear" w:color="auto" w:fill="FFFFFF"/>
            <w:tcMar>
              <w:top w:w="0" w:type="dxa"/>
              <w:left w:w="108" w:type="dxa"/>
              <w:bottom w:w="0" w:type="dxa"/>
              <w:right w:w="108" w:type="dxa"/>
            </w:tcMar>
          </w:tcPr>
          <w:p w14:paraId="0D0D44FD" w14:textId="77777777" w:rsidR="00554670" w:rsidRPr="00623B18" w:rsidRDefault="00554670" w:rsidP="005B7CA4">
            <w:pPr>
              <w:spacing w:after="0" w:line="276" w:lineRule="auto"/>
              <w:ind w:right="-46"/>
              <w:jc w:val="center"/>
              <w:rPr>
                <w:rFonts w:eastAsia="Times New Roman" w:cs="Times New Roman"/>
                <w:b/>
                <w:iCs/>
                <w:szCs w:val="24"/>
              </w:rPr>
            </w:pPr>
            <w:r w:rsidRPr="00623B18">
              <w:rPr>
                <w:rFonts w:eastAsia="Times New Roman" w:cs="Times New Roman"/>
                <w:b/>
                <w:iCs/>
                <w:szCs w:val="24"/>
              </w:rPr>
              <w:t>Far Below Average</w:t>
            </w:r>
          </w:p>
        </w:tc>
        <w:tc>
          <w:tcPr>
            <w:tcW w:w="589" w:type="pct"/>
            <w:tcBorders>
              <w:top w:val="single" w:sz="8" w:space="0" w:color="auto"/>
              <w:bottom w:val="single" w:sz="8" w:space="0" w:color="auto"/>
            </w:tcBorders>
            <w:shd w:val="clear" w:color="auto" w:fill="FFFFFF"/>
            <w:tcMar>
              <w:top w:w="0" w:type="dxa"/>
              <w:left w:w="108" w:type="dxa"/>
              <w:bottom w:w="0" w:type="dxa"/>
              <w:right w:w="108" w:type="dxa"/>
            </w:tcMar>
          </w:tcPr>
          <w:p w14:paraId="511C67CA" w14:textId="77777777" w:rsidR="00554670" w:rsidRPr="00623B18" w:rsidRDefault="00554670" w:rsidP="005B7CA4">
            <w:pPr>
              <w:spacing w:after="0" w:line="276" w:lineRule="auto"/>
              <w:ind w:right="-46"/>
              <w:jc w:val="center"/>
              <w:rPr>
                <w:rFonts w:eastAsia="Times New Roman" w:cs="Times New Roman"/>
                <w:b/>
                <w:iCs/>
                <w:szCs w:val="24"/>
              </w:rPr>
            </w:pPr>
            <w:r w:rsidRPr="00623B18">
              <w:rPr>
                <w:rFonts w:eastAsia="Times New Roman" w:cs="Times New Roman"/>
                <w:b/>
                <w:iCs/>
                <w:szCs w:val="24"/>
              </w:rPr>
              <w:t>Below average</w:t>
            </w:r>
          </w:p>
        </w:tc>
        <w:tc>
          <w:tcPr>
            <w:tcW w:w="619" w:type="pct"/>
            <w:tcBorders>
              <w:top w:val="single" w:sz="8" w:space="0" w:color="auto"/>
              <w:bottom w:val="single" w:sz="8" w:space="0" w:color="auto"/>
            </w:tcBorders>
            <w:shd w:val="clear" w:color="auto" w:fill="FFFFFF"/>
            <w:tcMar>
              <w:top w:w="0" w:type="dxa"/>
              <w:left w:w="108" w:type="dxa"/>
              <w:bottom w:w="0" w:type="dxa"/>
              <w:right w:w="108" w:type="dxa"/>
            </w:tcMar>
          </w:tcPr>
          <w:p w14:paraId="49C68DF8" w14:textId="77777777" w:rsidR="00554670" w:rsidRPr="00623B18" w:rsidRDefault="00554670" w:rsidP="005B7CA4">
            <w:pPr>
              <w:spacing w:after="0" w:line="276" w:lineRule="auto"/>
              <w:ind w:right="-46"/>
              <w:jc w:val="center"/>
              <w:rPr>
                <w:rFonts w:eastAsia="Times New Roman" w:cs="Times New Roman"/>
                <w:b/>
                <w:iCs/>
                <w:szCs w:val="24"/>
              </w:rPr>
            </w:pPr>
            <w:r w:rsidRPr="00623B18">
              <w:rPr>
                <w:rFonts w:eastAsia="Times New Roman" w:cs="Times New Roman"/>
                <w:b/>
                <w:iCs/>
                <w:szCs w:val="24"/>
              </w:rPr>
              <w:t>Average</w:t>
            </w:r>
          </w:p>
        </w:tc>
        <w:tc>
          <w:tcPr>
            <w:tcW w:w="619" w:type="pct"/>
            <w:tcBorders>
              <w:top w:val="single" w:sz="8" w:space="0" w:color="auto"/>
              <w:bottom w:val="single" w:sz="8" w:space="0" w:color="auto"/>
            </w:tcBorders>
            <w:shd w:val="clear" w:color="auto" w:fill="FFFFFF"/>
            <w:tcMar>
              <w:top w:w="0" w:type="dxa"/>
              <w:left w:w="108" w:type="dxa"/>
              <w:bottom w:w="0" w:type="dxa"/>
              <w:right w:w="108" w:type="dxa"/>
            </w:tcMar>
          </w:tcPr>
          <w:p w14:paraId="614137E9" w14:textId="77777777" w:rsidR="00554670" w:rsidRPr="00623B18" w:rsidRDefault="00554670" w:rsidP="005B7CA4">
            <w:pPr>
              <w:spacing w:after="0" w:line="276" w:lineRule="auto"/>
              <w:ind w:right="-46"/>
              <w:jc w:val="center"/>
              <w:rPr>
                <w:rFonts w:eastAsia="Times New Roman" w:cs="Times New Roman"/>
                <w:b/>
                <w:iCs/>
                <w:szCs w:val="24"/>
              </w:rPr>
            </w:pPr>
            <w:r w:rsidRPr="00623B18">
              <w:rPr>
                <w:rFonts w:eastAsia="Times New Roman" w:cs="Times New Roman"/>
                <w:b/>
                <w:iCs/>
                <w:szCs w:val="24"/>
              </w:rPr>
              <w:t>Above Average</w:t>
            </w:r>
          </w:p>
        </w:tc>
        <w:tc>
          <w:tcPr>
            <w:tcW w:w="619" w:type="pct"/>
            <w:tcBorders>
              <w:top w:val="single" w:sz="8" w:space="0" w:color="auto"/>
              <w:bottom w:val="single" w:sz="8" w:space="0" w:color="auto"/>
            </w:tcBorders>
            <w:shd w:val="clear" w:color="auto" w:fill="FFFFFF"/>
            <w:tcMar>
              <w:top w:w="0" w:type="dxa"/>
              <w:left w:w="108" w:type="dxa"/>
              <w:bottom w:w="0" w:type="dxa"/>
              <w:right w:w="108" w:type="dxa"/>
            </w:tcMar>
          </w:tcPr>
          <w:p w14:paraId="1E0AD72A" w14:textId="77777777" w:rsidR="00554670" w:rsidRPr="00623B18" w:rsidRDefault="00554670" w:rsidP="005B7CA4">
            <w:pPr>
              <w:spacing w:after="0" w:line="276" w:lineRule="auto"/>
              <w:ind w:right="-46"/>
              <w:jc w:val="center"/>
              <w:rPr>
                <w:rFonts w:eastAsia="Times New Roman" w:cs="Times New Roman"/>
                <w:b/>
                <w:iCs/>
                <w:szCs w:val="24"/>
              </w:rPr>
            </w:pPr>
            <w:r w:rsidRPr="00623B18">
              <w:rPr>
                <w:rFonts w:eastAsia="Times New Roman" w:cs="Times New Roman"/>
                <w:b/>
                <w:iCs/>
                <w:szCs w:val="24"/>
              </w:rPr>
              <w:t>Far Above Average</w:t>
            </w:r>
          </w:p>
        </w:tc>
        <w:tc>
          <w:tcPr>
            <w:tcW w:w="382" w:type="pct"/>
            <w:tcBorders>
              <w:top w:val="single" w:sz="8" w:space="0" w:color="auto"/>
              <w:bottom w:val="single" w:sz="8" w:space="0" w:color="auto"/>
            </w:tcBorders>
          </w:tcPr>
          <w:p w14:paraId="20ED20DB" w14:textId="77777777" w:rsidR="00554670" w:rsidRPr="00623B18" w:rsidRDefault="00554670" w:rsidP="005B7CA4">
            <w:pPr>
              <w:spacing w:after="0" w:line="276" w:lineRule="auto"/>
              <w:ind w:right="-46"/>
              <w:jc w:val="center"/>
              <w:rPr>
                <w:rFonts w:eastAsia="Times New Roman" w:cs="Times New Roman"/>
                <w:b/>
                <w:bCs/>
                <w:szCs w:val="24"/>
              </w:rPr>
            </w:pPr>
            <w:r w:rsidRPr="00623B18">
              <w:rPr>
                <w:rFonts w:eastAsia="Times New Roman" w:cs="Times New Roman"/>
                <w:b/>
                <w:bCs/>
                <w:szCs w:val="24"/>
              </w:rPr>
              <w:t>Mean</w:t>
            </w:r>
          </w:p>
          <w:p w14:paraId="441226AF" w14:textId="77777777" w:rsidR="00554670" w:rsidRPr="00623B18" w:rsidRDefault="00554670" w:rsidP="005B7CA4">
            <w:pPr>
              <w:spacing w:after="0" w:line="276" w:lineRule="auto"/>
              <w:ind w:right="-46"/>
              <w:jc w:val="center"/>
              <w:rPr>
                <w:rFonts w:eastAsia="Times New Roman" w:cs="Times New Roman"/>
                <w:b/>
                <w:bCs/>
                <w:szCs w:val="24"/>
              </w:rPr>
            </w:pPr>
          </w:p>
          <w:p w14:paraId="0762D91A" w14:textId="77777777" w:rsidR="00554670" w:rsidRPr="00623B18" w:rsidRDefault="00554670" w:rsidP="005B7CA4">
            <w:pPr>
              <w:spacing w:after="0" w:line="276" w:lineRule="auto"/>
              <w:ind w:right="-46"/>
              <w:jc w:val="center"/>
              <w:rPr>
                <w:rFonts w:eastAsia="Times New Roman" w:cs="Times New Roman"/>
                <w:b/>
                <w:iCs/>
                <w:szCs w:val="24"/>
              </w:rPr>
            </w:pPr>
            <w:r w:rsidRPr="00623B18">
              <w:rPr>
                <w:rFonts w:cs="Times New Roman"/>
                <w:szCs w:val="24"/>
              </w:rPr>
              <w:t>(</w:t>
            </w:r>
            <m:oMath>
              <m:acc>
                <m:accPr>
                  <m:chr m:val="̅"/>
                  <m:ctrlPr>
                    <w:rPr>
                      <w:rFonts w:ascii="Cambria Math" w:hAnsi="Cambria Math" w:cs="Times New Roman"/>
                      <w:bCs/>
                      <w:szCs w:val="24"/>
                    </w:rPr>
                  </m:ctrlPr>
                </m:accPr>
                <m:e>
                  <m:r>
                    <m:rPr>
                      <m:sty m:val="p"/>
                    </m:rPr>
                    <w:rPr>
                      <w:rFonts w:ascii="Cambria Math" w:hAnsi="Cambria Math" w:cs="Times New Roman"/>
                      <w:szCs w:val="24"/>
                    </w:rPr>
                    <m:t>X</m:t>
                  </m:r>
                </m:e>
              </m:acc>
            </m:oMath>
            <w:r w:rsidRPr="00623B18">
              <w:rPr>
                <w:rFonts w:cs="Times New Roman"/>
                <w:bCs/>
                <w:szCs w:val="24"/>
              </w:rPr>
              <w:t>)</w:t>
            </w:r>
          </w:p>
        </w:tc>
      </w:tr>
      <w:tr w:rsidR="00554670" w:rsidRPr="00623B18" w14:paraId="1D495853" w14:textId="77777777" w:rsidTr="00C25885">
        <w:tc>
          <w:tcPr>
            <w:tcW w:w="1552" w:type="pct"/>
            <w:tcBorders>
              <w:top w:val="single" w:sz="8" w:space="0" w:color="auto"/>
            </w:tcBorders>
            <w:shd w:val="clear" w:color="auto" w:fill="FFFFFF"/>
            <w:tcMar>
              <w:top w:w="0" w:type="dxa"/>
              <w:left w:w="108" w:type="dxa"/>
              <w:bottom w:w="0" w:type="dxa"/>
              <w:right w:w="108" w:type="dxa"/>
            </w:tcMar>
          </w:tcPr>
          <w:p w14:paraId="1270E13D" w14:textId="77777777" w:rsidR="00554670" w:rsidRPr="00623B18" w:rsidRDefault="00554670">
            <w:pPr>
              <w:pStyle w:val="ListParagraph"/>
              <w:numPr>
                <w:ilvl w:val="0"/>
                <w:numId w:val="5"/>
              </w:numPr>
              <w:spacing w:before="134" w:after="0" w:line="276" w:lineRule="auto"/>
              <w:ind w:right="-46"/>
              <w:jc w:val="left"/>
              <w:rPr>
                <w:rFonts w:eastAsia="Times New Roman" w:cs="Times New Roman"/>
                <w:szCs w:val="24"/>
              </w:rPr>
            </w:pPr>
            <w:r w:rsidRPr="00623B18">
              <w:rPr>
                <w:rFonts w:eastAsia="Times New Roman" w:cs="Times New Roman"/>
                <w:szCs w:val="24"/>
              </w:rPr>
              <w:t>Estimated average income.</w:t>
            </w:r>
          </w:p>
        </w:tc>
        <w:tc>
          <w:tcPr>
            <w:tcW w:w="620" w:type="pct"/>
            <w:tcBorders>
              <w:top w:val="single" w:sz="8" w:space="0" w:color="auto"/>
            </w:tcBorders>
            <w:shd w:val="clear" w:color="auto" w:fill="FFFFFF"/>
            <w:tcMar>
              <w:top w:w="0" w:type="dxa"/>
              <w:left w:w="108" w:type="dxa"/>
              <w:bottom w:w="0" w:type="dxa"/>
              <w:right w:w="108" w:type="dxa"/>
            </w:tcMar>
          </w:tcPr>
          <w:p w14:paraId="0F7DAC51"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45</w:t>
            </w:r>
          </w:p>
          <w:p w14:paraId="63485A05"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12.3%</w:t>
            </w:r>
          </w:p>
        </w:tc>
        <w:tc>
          <w:tcPr>
            <w:tcW w:w="589" w:type="pct"/>
            <w:tcBorders>
              <w:top w:val="single" w:sz="8" w:space="0" w:color="auto"/>
            </w:tcBorders>
            <w:shd w:val="clear" w:color="auto" w:fill="FFFFFF"/>
            <w:tcMar>
              <w:top w:w="0" w:type="dxa"/>
              <w:left w:w="108" w:type="dxa"/>
              <w:bottom w:w="0" w:type="dxa"/>
              <w:right w:w="108" w:type="dxa"/>
            </w:tcMar>
          </w:tcPr>
          <w:p w14:paraId="69B24D4D"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94</w:t>
            </w:r>
          </w:p>
          <w:p w14:paraId="784C7ADB"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25.6%</w:t>
            </w:r>
          </w:p>
        </w:tc>
        <w:tc>
          <w:tcPr>
            <w:tcW w:w="619" w:type="pct"/>
            <w:tcBorders>
              <w:top w:val="single" w:sz="8" w:space="0" w:color="auto"/>
            </w:tcBorders>
            <w:shd w:val="clear" w:color="auto" w:fill="FFFFFF"/>
            <w:tcMar>
              <w:top w:w="0" w:type="dxa"/>
              <w:left w:w="108" w:type="dxa"/>
              <w:bottom w:w="0" w:type="dxa"/>
              <w:right w:w="108" w:type="dxa"/>
            </w:tcMar>
          </w:tcPr>
          <w:p w14:paraId="29121560"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189</w:t>
            </w:r>
          </w:p>
          <w:p w14:paraId="35CADA6B"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51.5%</w:t>
            </w:r>
          </w:p>
        </w:tc>
        <w:tc>
          <w:tcPr>
            <w:tcW w:w="619" w:type="pct"/>
            <w:tcBorders>
              <w:top w:val="single" w:sz="8" w:space="0" w:color="auto"/>
            </w:tcBorders>
            <w:shd w:val="clear" w:color="auto" w:fill="FFFFFF"/>
            <w:tcMar>
              <w:top w:w="0" w:type="dxa"/>
              <w:left w:w="108" w:type="dxa"/>
              <w:bottom w:w="0" w:type="dxa"/>
              <w:right w:w="108" w:type="dxa"/>
            </w:tcMar>
          </w:tcPr>
          <w:p w14:paraId="422A0CD8"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28</w:t>
            </w:r>
          </w:p>
          <w:p w14:paraId="623B895E"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7.6%</w:t>
            </w:r>
          </w:p>
        </w:tc>
        <w:tc>
          <w:tcPr>
            <w:tcW w:w="619" w:type="pct"/>
            <w:tcBorders>
              <w:top w:val="single" w:sz="8" w:space="0" w:color="auto"/>
            </w:tcBorders>
            <w:shd w:val="clear" w:color="auto" w:fill="FFFFFF"/>
            <w:tcMar>
              <w:top w:w="0" w:type="dxa"/>
              <w:left w:w="108" w:type="dxa"/>
              <w:bottom w:w="0" w:type="dxa"/>
              <w:right w:w="108" w:type="dxa"/>
            </w:tcMar>
          </w:tcPr>
          <w:p w14:paraId="2111BF41"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11</w:t>
            </w:r>
          </w:p>
          <w:p w14:paraId="40E2EDDD"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3.0%</w:t>
            </w:r>
          </w:p>
        </w:tc>
        <w:tc>
          <w:tcPr>
            <w:tcW w:w="382" w:type="pct"/>
            <w:tcBorders>
              <w:top w:val="single" w:sz="8" w:space="0" w:color="auto"/>
            </w:tcBorders>
          </w:tcPr>
          <w:p w14:paraId="5CCC1B8A"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2.63</w:t>
            </w:r>
          </w:p>
        </w:tc>
      </w:tr>
      <w:tr w:rsidR="00554670" w:rsidRPr="00623B18" w14:paraId="2F6633C0" w14:textId="77777777" w:rsidTr="00C25885">
        <w:trPr>
          <w:trHeight w:val="1040"/>
        </w:trPr>
        <w:tc>
          <w:tcPr>
            <w:tcW w:w="1552" w:type="pct"/>
            <w:shd w:val="clear" w:color="auto" w:fill="FFFFFF"/>
            <w:tcMar>
              <w:top w:w="0" w:type="dxa"/>
              <w:left w:w="108" w:type="dxa"/>
              <w:bottom w:w="0" w:type="dxa"/>
              <w:right w:w="108" w:type="dxa"/>
            </w:tcMar>
          </w:tcPr>
          <w:p w14:paraId="21CE1DCE" w14:textId="77777777" w:rsidR="00554670" w:rsidRPr="00623B18" w:rsidRDefault="00554670">
            <w:pPr>
              <w:pStyle w:val="ListParagraph"/>
              <w:numPr>
                <w:ilvl w:val="0"/>
                <w:numId w:val="5"/>
              </w:numPr>
              <w:spacing w:before="134" w:after="0" w:line="276" w:lineRule="auto"/>
              <w:ind w:right="-46"/>
              <w:jc w:val="left"/>
              <w:rPr>
                <w:rFonts w:eastAsia="Times New Roman" w:cs="Times New Roman"/>
                <w:szCs w:val="24"/>
              </w:rPr>
            </w:pPr>
            <w:r w:rsidRPr="00623B18">
              <w:rPr>
                <w:rFonts w:eastAsia="Times New Roman" w:cs="Times New Roman"/>
                <w:szCs w:val="24"/>
              </w:rPr>
              <w:t>Income stability/ consistency.</w:t>
            </w:r>
          </w:p>
        </w:tc>
        <w:tc>
          <w:tcPr>
            <w:tcW w:w="620" w:type="pct"/>
            <w:shd w:val="clear" w:color="auto" w:fill="FFFFFF"/>
            <w:tcMar>
              <w:top w:w="0" w:type="dxa"/>
              <w:left w:w="108" w:type="dxa"/>
              <w:bottom w:w="0" w:type="dxa"/>
              <w:right w:w="108" w:type="dxa"/>
            </w:tcMar>
          </w:tcPr>
          <w:p w14:paraId="7B5A1D68"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51</w:t>
            </w:r>
          </w:p>
          <w:p w14:paraId="4B271A1D"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13.9%</w:t>
            </w:r>
          </w:p>
        </w:tc>
        <w:tc>
          <w:tcPr>
            <w:tcW w:w="589" w:type="pct"/>
            <w:shd w:val="clear" w:color="auto" w:fill="FFFFFF"/>
            <w:tcMar>
              <w:top w:w="0" w:type="dxa"/>
              <w:left w:w="108" w:type="dxa"/>
              <w:bottom w:w="0" w:type="dxa"/>
              <w:right w:w="108" w:type="dxa"/>
            </w:tcMar>
          </w:tcPr>
          <w:p w14:paraId="3621A3C7"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151</w:t>
            </w:r>
          </w:p>
          <w:p w14:paraId="4394C995"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41.1%</w:t>
            </w:r>
          </w:p>
        </w:tc>
        <w:tc>
          <w:tcPr>
            <w:tcW w:w="619" w:type="pct"/>
            <w:shd w:val="clear" w:color="auto" w:fill="FFFFFF"/>
            <w:tcMar>
              <w:top w:w="0" w:type="dxa"/>
              <w:left w:w="108" w:type="dxa"/>
              <w:bottom w:w="0" w:type="dxa"/>
              <w:right w:w="108" w:type="dxa"/>
            </w:tcMar>
          </w:tcPr>
          <w:p w14:paraId="3E062D20"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129</w:t>
            </w:r>
          </w:p>
          <w:p w14:paraId="0DFDEFDB"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35.1%</w:t>
            </w:r>
          </w:p>
        </w:tc>
        <w:tc>
          <w:tcPr>
            <w:tcW w:w="619" w:type="pct"/>
            <w:shd w:val="clear" w:color="auto" w:fill="FFFFFF"/>
            <w:tcMar>
              <w:top w:w="0" w:type="dxa"/>
              <w:left w:w="108" w:type="dxa"/>
              <w:bottom w:w="0" w:type="dxa"/>
              <w:right w:w="108" w:type="dxa"/>
            </w:tcMar>
          </w:tcPr>
          <w:p w14:paraId="61E7661E"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25</w:t>
            </w:r>
          </w:p>
          <w:p w14:paraId="05458AA2"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6.8%</w:t>
            </w:r>
          </w:p>
        </w:tc>
        <w:tc>
          <w:tcPr>
            <w:tcW w:w="619" w:type="pct"/>
            <w:shd w:val="clear" w:color="auto" w:fill="FFFFFF"/>
            <w:tcMar>
              <w:top w:w="0" w:type="dxa"/>
              <w:left w:w="108" w:type="dxa"/>
              <w:bottom w:w="0" w:type="dxa"/>
              <w:right w:w="108" w:type="dxa"/>
            </w:tcMar>
          </w:tcPr>
          <w:p w14:paraId="57E41462"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11</w:t>
            </w:r>
          </w:p>
          <w:p w14:paraId="63EEE1E5"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3.0%</w:t>
            </w:r>
          </w:p>
        </w:tc>
        <w:tc>
          <w:tcPr>
            <w:tcW w:w="382" w:type="pct"/>
          </w:tcPr>
          <w:p w14:paraId="5E5CF66A"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2.44</w:t>
            </w:r>
          </w:p>
        </w:tc>
      </w:tr>
      <w:tr w:rsidR="00554670" w:rsidRPr="00623B18" w14:paraId="59930567" w14:textId="77777777" w:rsidTr="00C25885">
        <w:trPr>
          <w:trHeight w:val="1"/>
        </w:trPr>
        <w:tc>
          <w:tcPr>
            <w:tcW w:w="1552" w:type="pct"/>
            <w:tcBorders>
              <w:bottom w:val="single" w:sz="8" w:space="0" w:color="auto"/>
            </w:tcBorders>
            <w:shd w:val="clear" w:color="auto" w:fill="FFFFFF"/>
            <w:tcMar>
              <w:top w:w="0" w:type="dxa"/>
              <w:left w:w="108" w:type="dxa"/>
              <w:bottom w:w="0" w:type="dxa"/>
              <w:right w:w="108" w:type="dxa"/>
            </w:tcMar>
          </w:tcPr>
          <w:p w14:paraId="7EDC0E29" w14:textId="77777777" w:rsidR="00554670" w:rsidRPr="00623B18" w:rsidRDefault="00554670">
            <w:pPr>
              <w:pStyle w:val="ListParagraph"/>
              <w:numPr>
                <w:ilvl w:val="0"/>
                <w:numId w:val="5"/>
              </w:numPr>
              <w:spacing w:before="134" w:after="0" w:line="276" w:lineRule="auto"/>
              <w:ind w:right="-46"/>
              <w:jc w:val="left"/>
              <w:rPr>
                <w:rFonts w:eastAsia="Times New Roman" w:cs="Times New Roman"/>
                <w:szCs w:val="24"/>
              </w:rPr>
            </w:pPr>
            <w:r w:rsidRPr="00623B18">
              <w:rPr>
                <w:rFonts w:eastAsia="Times New Roman" w:cs="Times New Roman"/>
                <w:szCs w:val="24"/>
              </w:rPr>
              <w:t>Expenditure on education (e.g. fees, books).</w:t>
            </w:r>
          </w:p>
        </w:tc>
        <w:tc>
          <w:tcPr>
            <w:tcW w:w="620" w:type="pct"/>
            <w:tcBorders>
              <w:bottom w:val="single" w:sz="8" w:space="0" w:color="auto"/>
            </w:tcBorders>
            <w:shd w:val="clear" w:color="auto" w:fill="FFFFFF"/>
            <w:tcMar>
              <w:top w:w="0" w:type="dxa"/>
              <w:left w:w="108" w:type="dxa"/>
              <w:bottom w:w="0" w:type="dxa"/>
              <w:right w:w="108" w:type="dxa"/>
            </w:tcMar>
          </w:tcPr>
          <w:p w14:paraId="5B182AB0"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43</w:t>
            </w:r>
          </w:p>
          <w:p w14:paraId="492A7C13"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11.7%</w:t>
            </w:r>
          </w:p>
        </w:tc>
        <w:tc>
          <w:tcPr>
            <w:tcW w:w="589" w:type="pct"/>
            <w:tcBorders>
              <w:bottom w:val="single" w:sz="8" w:space="0" w:color="auto"/>
            </w:tcBorders>
            <w:shd w:val="clear" w:color="auto" w:fill="FFFFFF"/>
            <w:tcMar>
              <w:top w:w="0" w:type="dxa"/>
              <w:left w:w="108" w:type="dxa"/>
              <w:bottom w:w="0" w:type="dxa"/>
              <w:right w:w="108" w:type="dxa"/>
            </w:tcMar>
          </w:tcPr>
          <w:p w14:paraId="7DE6D272"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96</w:t>
            </w:r>
          </w:p>
          <w:p w14:paraId="1B244EAF"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26.2%</w:t>
            </w:r>
          </w:p>
        </w:tc>
        <w:tc>
          <w:tcPr>
            <w:tcW w:w="619" w:type="pct"/>
            <w:tcBorders>
              <w:bottom w:val="single" w:sz="8" w:space="0" w:color="auto"/>
            </w:tcBorders>
            <w:shd w:val="clear" w:color="auto" w:fill="FFFFFF"/>
            <w:tcMar>
              <w:top w:w="0" w:type="dxa"/>
              <w:left w:w="108" w:type="dxa"/>
              <w:bottom w:w="0" w:type="dxa"/>
              <w:right w:w="108" w:type="dxa"/>
            </w:tcMar>
          </w:tcPr>
          <w:p w14:paraId="5AEB5F5F"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141</w:t>
            </w:r>
          </w:p>
          <w:p w14:paraId="12B6AA83"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38.4%</w:t>
            </w:r>
          </w:p>
        </w:tc>
        <w:tc>
          <w:tcPr>
            <w:tcW w:w="619" w:type="pct"/>
            <w:tcBorders>
              <w:bottom w:val="single" w:sz="8" w:space="0" w:color="auto"/>
            </w:tcBorders>
            <w:shd w:val="clear" w:color="auto" w:fill="FFFFFF"/>
            <w:tcMar>
              <w:top w:w="0" w:type="dxa"/>
              <w:left w:w="108" w:type="dxa"/>
              <w:bottom w:w="0" w:type="dxa"/>
              <w:right w:w="108" w:type="dxa"/>
            </w:tcMar>
          </w:tcPr>
          <w:p w14:paraId="04B825C1"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52</w:t>
            </w:r>
          </w:p>
          <w:p w14:paraId="278D1F80"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14.2%</w:t>
            </w:r>
          </w:p>
        </w:tc>
        <w:tc>
          <w:tcPr>
            <w:tcW w:w="619" w:type="pct"/>
            <w:tcBorders>
              <w:bottom w:val="single" w:sz="8" w:space="0" w:color="auto"/>
            </w:tcBorders>
            <w:shd w:val="clear" w:color="auto" w:fill="FFFFFF"/>
            <w:tcMar>
              <w:top w:w="0" w:type="dxa"/>
              <w:left w:w="108" w:type="dxa"/>
              <w:bottom w:w="0" w:type="dxa"/>
              <w:right w:w="108" w:type="dxa"/>
            </w:tcMar>
          </w:tcPr>
          <w:p w14:paraId="6BFE48CA"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35</w:t>
            </w:r>
          </w:p>
          <w:p w14:paraId="153B5EAD"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9.5%</w:t>
            </w:r>
          </w:p>
        </w:tc>
        <w:tc>
          <w:tcPr>
            <w:tcW w:w="382" w:type="pct"/>
            <w:tcBorders>
              <w:bottom w:val="single" w:sz="8" w:space="0" w:color="auto"/>
            </w:tcBorders>
          </w:tcPr>
          <w:p w14:paraId="21ABDEE7"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2.84</w:t>
            </w:r>
          </w:p>
        </w:tc>
      </w:tr>
    </w:tbl>
    <w:p w14:paraId="7843372D" w14:textId="3E63ED9A" w:rsidR="00554670" w:rsidRDefault="00554670" w:rsidP="005B7CA4">
      <w:pPr>
        <w:spacing w:before="240" w:after="240" w:line="276" w:lineRule="auto"/>
        <w:rPr>
          <w:rFonts w:eastAsia="Times New Roman" w:cs="Times New Roman"/>
          <w:bCs/>
          <w:szCs w:val="24"/>
        </w:rPr>
      </w:pPr>
      <w:r w:rsidRPr="00623B18">
        <w:rPr>
          <w:rFonts w:eastAsia="Times New Roman" w:cs="Times New Roman"/>
          <w:bCs/>
          <w:szCs w:val="24"/>
        </w:rPr>
        <w:t xml:space="preserve">Similarly, class teachers were asked to select the option that corresponded to their perception on the rating of family income among parents of students in their class. Findings were as summarized in Table </w:t>
      </w:r>
      <w:r w:rsidRPr="003F1A31">
        <w:rPr>
          <w:rFonts w:eastAsia="Times New Roman" w:cs="Times New Roman"/>
          <w:bCs/>
          <w:szCs w:val="24"/>
        </w:rPr>
        <w:t>4</w:t>
      </w:r>
    </w:p>
    <w:p w14:paraId="3FD65DBC" w14:textId="6516DD2C" w:rsidR="00554670" w:rsidRPr="00623B18" w:rsidRDefault="00554670" w:rsidP="00516FBC">
      <w:pPr>
        <w:pStyle w:val="Caption"/>
        <w:rPr>
          <w:rFonts w:cs="Times New Roman"/>
        </w:rPr>
      </w:pPr>
      <w:bookmarkStart w:id="16" w:name="_Toc234318391"/>
      <w:r w:rsidRPr="00623B18">
        <w:t xml:space="preserve">Table </w:t>
      </w:r>
      <w:r w:rsidR="003F1A31">
        <w:t>4.</w:t>
      </w:r>
      <w:r w:rsidRPr="00623B18">
        <w:t xml:space="preserve"> Class Teachers’ Perception </w:t>
      </w:r>
      <w:r>
        <w:t xml:space="preserve">on </w:t>
      </w:r>
      <w:r w:rsidRPr="00623B18">
        <w:t>Family Income Among Parents</w:t>
      </w:r>
      <w:bookmarkEnd w:id="16"/>
    </w:p>
    <w:tbl>
      <w:tblPr>
        <w:tblW w:w="5000" w:type="pct"/>
        <w:tblBorders>
          <w:top w:val="single" w:sz="8" w:space="0" w:color="auto"/>
          <w:bottom w:val="single" w:sz="8" w:space="0" w:color="auto"/>
        </w:tblBorders>
        <w:tblCellMar>
          <w:top w:w="15" w:type="dxa"/>
          <w:left w:w="15" w:type="dxa"/>
          <w:bottom w:w="15" w:type="dxa"/>
          <w:right w:w="15" w:type="dxa"/>
        </w:tblCellMar>
        <w:tblLook w:val="04A0" w:firstRow="1" w:lastRow="0" w:firstColumn="1" w:lastColumn="0" w:noHBand="0" w:noVBand="1"/>
      </w:tblPr>
      <w:tblGrid>
        <w:gridCol w:w="2804"/>
        <w:gridCol w:w="1118"/>
        <w:gridCol w:w="1062"/>
        <w:gridCol w:w="1118"/>
        <w:gridCol w:w="1117"/>
        <w:gridCol w:w="1117"/>
        <w:gridCol w:w="690"/>
      </w:tblGrid>
      <w:tr w:rsidR="00554670" w:rsidRPr="00623B18" w14:paraId="2C0FEBD2" w14:textId="77777777" w:rsidTr="00C25885">
        <w:trPr>
          <w:trHeight w:val="1"/>
        </w:trPr>
        <w:tc>
          <w:tcPr>
            <w:tcW w:w="1553" w:type="pct"/>
            <w:tcBorders>
              <w:top w:val="single" w:sz="8" w:space="0" w:color="auto"/>
              <w:bottom w:val="single" w:sz="8" w:space="0" w:color="auto"/>
            </w:tcBorders>
            <w:shd w:val="clear" w:color="auto" w:fill="FFFFFF"/>
            <w:tcMar>
              <w:top w:w="0" w:type="dxa"/>
              <w:left w:w="108" w:type="dxa"/>
              <w:bottom w:w="0" w:type="dxa"/>
              <w:right w:w="108" w:type="dxa"/>
            </w:tcMar>
          </w:tcPr>
          <w:p w14:paraId="1DD6C818" w14:textId="77777777" w:rsidR="00554670" w:rsidRPr="00623B18" w:rsidRDefault="00554670" w:rsidP="005B7CA4">
            <w:pPr>
              <w:spacing w:after="0" w:line="276" w:lineRule="auto"/>
              <w:ind w:right="-46"/>
              <w:rPr>
                <w:rFonts w:eastAsia="Times New Roman" w:cs="Times New Roman"/>
                <w:b/>
                <w:iCs/>
                <w:szCs w:val="24"/>
              </w:rPr>
            </w:pPr>
            <w:r w:rsidRPr="00623B18">
              <w:rPr>
                <w:rFonts w:eastAsia="Times New Roman" w:cs="Times New Roman"/>
                <w:b/>
                <w:iCs/>
                <w:szCs w:val="24"/>
              </w:rPr>
              <w:t> </w:t>
            </w:r>
          </w:p>
        </w:tc>
        <w:tc>
          <w:tcPr>
            <w:tcW w:w="619" w:type="pct"/>
            <w:tcBorders>
              <w:top w:val="single" w:sz="8" w:space="0" w:color="auto"/>
              <w:bottom w:val="single" w:sz="8" w:space="0" w:color="auto"/>
            </w:tcBorders>
            <w:shd w:val="clear" w:color="auto" w:fill="FFFFFF"/>
            <w:tcMar>
              <w:top w:w="0" w:type="dxa"/>
              <w:left w:w="108" w:type="dxa"/>
              <w:bottom w:w="0" w:type="dxa"/>
              <w:right w:w="108" w:type="dxa"/>
            </w:tcMar>
          </w:tcPr>
          <w:p w14:paraId="53C70F8B" w14:textId="77777777" w:rsidR="00554670" w:rsidRPr="00623B18" w:rsidRDefault="00554670" w:rsidP="005B7CA4">
            <w:pPr>
              <w:spacing w:after="0" w:line="276" w:lineRule="auto"/>
              <w:ind w:right="-46"/>
              <w:jc w:val="center"/>
              <w:rPr>
                <w:rFonts w:eastAsia="Times New Roman" w:cs="Times New Roman"/>
                <w:b/>
                <w:iCs/>
                <w:szCs w:val="24"/>
              </w:rPr>
            </w:pPr>
            <w:r w:rsidRPr="00623B18">
              <w:rPr>
                <w:rFonts w:eastAsia="Times New Roman" w:cs="Times New Roman"/>
                <w:b/>
                <w:iCs/>
                <w:szCs w:val="24"/>
              </w:rPr>
              <w:t>Far Below Average</w:t>
            </w:r>
          </w:p>
        </w:tc>
        <w:tc>
          <w:tcPr>
            <w:tcW w:w="588" w:type="pct"/>
            <w:tcBorders>
              <w:top w:val="single" w:sz="8" w:space="0" w:color="auto"/>
              <w:bottom w:val="single" w:sz="8" w:space="0" w:color="auto"/>
            </w:tcBorders>
            <w:shd w:val="clear" w:color="auto" w:fill="FFFFFF"/>
            <w:tcMar>
              <w:top w:w="0" w:type="dxa"/>
              <w:left w:w="108" w:type="dxa"/>
              <w:bottom w:w="0" w:type="dxa"/>
              <w:right w:w="108" w:type="dxa"/>
            </w:tcMar>
          </w:tcPr>
          <w:p w14:paraId="667471DF" w14:textId="77777777" w:rsidR="00BD2408" w:rsidRDefault="00BD2408" w:rsidP="005B7CA4">
            <w:pPr>
              <w:spacing w:after="0" w:line="276" w:lineRule="auto"/>
              <w:ind w:right="-46"/>
              <w:jc w:val="center"/>
              <w:rPr>
                <w:rFonts w:eastAsia="Times New Roman" w:cs="Times New Roman"/>
                <w:b/>
                <w:iCs/>
                <w:szCs w:val="24"/>
              </w:rPr>
            </w:pPr>
          </w:p>
          <w:p w14:paraId="16AC24A3" w14:textId="1F3C46CA" w:rsidR="00554670" w:rsidRPr="00623B18" w:rsidRDefault="00554670" w:rsidP="005B7CA4">
            <w:pPr>
              <w:spacing w:after="0" w:line="276" w:lineRule="auto"/>
              <w:ind w:right="-46"/>
              <w:jc w:val="center"/>
              <w:rPr>
                <w:rFonts w:eastAsia="Times New Roman" w:cs="Times New Roman"/>
                <w:b/>
                <w:iCs/>
                <w:szCs w:val="24"/>
              </w:rPr>
            </w:pPr>
            <w:r w:rsidRPr="00623B18">
              <w:rPr>
                <w:rFonts w:eastAsia="Times New Roman" w:cs="Times New Roman"/>
                <w:b/>
                <w:iCs/>
                <w:szCs w:val="24"/>
              </w:rPr>
              <w:t>Below average</w:t>
            </w:r>
          </w:p>
        </w:tc>
        <w:tc>
          <w:tcPr>
            <w:tcW w:w="619" w:type="pct"/>
            <w:tcBorders>
              <w:top w:val="single" w:sz="8" w:space="0" w:color="auto"/>
              <w:bottom w:val="single" w:sz="8" w:space="0" w:color="auto"/>
            </w:tcBorders>
            <w:shd w:val="clear" w:color="auto" w:fill="FFFFFF"/>
            <w:tcMar>
              <w:top w:w="0" w:type="dxa"/>
              <w:left w:w="108" w:type="dxa"/>
              <w:bottom w:w="0" w:type="dxa"/>
              <w:right w:w="108" w:type="dxa"/>
            </w:tcMar>
          </w:tcPr>
          <w:p w14:paraId="13BC898A" w14:textId="77777777" w:rsidR="00BD2408" w:rsidRDefault="00BD2408" w:rsidP="005B7CA4">
            <w:pPr>
              <w:spacing w:after="0" w:line="276" w:lineRule="auto"/>
              <w:ind w:right="-46"/>
              <w:jc w:val="center"/>
              <w:rPr>
                <w:rFonts w:eastAsia="Times New Roman" w:cs="Times New Roman"/>
                <w:b/>
                <w:iCs/>
                <w:szCs w:val="24"/>
              </w:rPr>
            </w:pPr>
          </w:p>
          <w:p w14:paraId="529A778C" w14:textId="77777777" w:rsidR="00BD2408" w:rsidRDefault="00BD2408" w:rsidP="005B7CA4">
            <w:pPr>
              <w:spacing w:after="0" w:line="276" w:lineRule="auto"/>
              <w:ind w:right="-46"/>
              <w:jc w:val="center"/>
              <w:rPr>
                <w:rFonts w:eastAsia="Times New Roman" w:cs="Times New Roman"/>
                <w:b/>
                <w:iCs/>
                <w:szCs w:val="24"/>
              </w:rPr>
            </w:pPr>
          </w:p>
          <w:p w14:paraId="65062C39" w14:textId="42F52BB4" w:rsidR="00554670" w:rsidRPr="00623B18" w:rsidRDefault="00554670" w:rsidP="005B7CA4">
            <w:pPr>
              <w:spacing w:after="0" w:line="276" w:lineRule="auto"/>
              <w:ind w:right="-46"/>
              <w:jc w:val="center"/>
              <w:rPr>
                <w:rFonts w:eastAsia="Times New Roman" w:cs="Times New Roman"/>
                <w:b/>
                <w:iCs/>
                <w:szCs w:val="24"/>
              </w:rPr>
            </w:pPr>
            <w:r w:rsidRPr="00623B18">
              <w:rPr>
                <w:rFonts w:eastAsia="Times New Roman" w:cs="Times New Roman"/>
                <w:b/>
                <w:iCs/>
                <w:szCs w:val="24"/>
              </w:rPr>
              <w:t>Average</w:t>
            </w:r>
          </w:p>
        </w:tc>
        <w:tc>
          <w:tcPr>
            <w:tcW w:w="619" w:type="pct"/>
            <w:tcBorders>
              <w:top w:val="single" w:sz="8" w:space="0" w:color="auto"/>
              <w:bottom w:val="single" w:sz="8" w:space="0" w:color="auto"/>
            </w:tcBorders>
            <w:shd w:val="clear" w:color="auto" w:fill="FFFFFF"/>
            <w:tcMar>
              <w:top w:w="0" w:type="dxa"/>
              <w:left w:w="108" w:type="dxa"/>
              <w:bottom w:w="0" w:type="dxa"/>
              <w:right w:w="108" w:type="dxa"/>
            </w:tcMar>
          </w:tcPr>
          <w:p w14:paraId="2DFA2A70" w14:textId="77777777" w:rsidR="00BD2408" w:rsidRDefault="00BD2408" w:rsidP="005B7CA4">
            <w:pPr>
              <w:spacing w:after="0" w:line="276" w:lineRule="auto"/>
              <w:ind w:right="-46"/>
              <w:jc w:val="center"/>
              <w:rPr>
                <w:rFonts w:eastAsia="Times New Roman" w:cs="Times New Roman"/>
                <w:b/>
                <w:iCs/>
                <w:szCs w:val="24"/>
              </w:rPr>
            </w:pPr>
          </w:p>
          <w:p w14:paraId="38DB6A96" w14:textId="0AE929ED" w:rsidR="00554670" w:rsidRPr="00623B18" w:rsidRDefault="00554670" w:rsidP="005B7CA4">
            <w:pPr>
              <w:spacing w:after="0" w:line="276" w:lineRule="auto"/>
              <w:ind w:right="-46"/>
              <w:jc w:val="center"/>
              <w:rPr>
                <w:rFonts w:eastAsia="Times New Roman" w:cs="Times New Roman"/>
                <w:b/>
                <w:iCs/>
                <w:szCs w:val="24"/>
              </w:rPr>
            </w:pPr>
            <w:r w:rsidRPr="00623B18">
              <w:rPr>
                <w:rFonts w:eastAsia="Times New Roman" w:cs="Times New Roman"/>
                <w:b/>
                <w:iCs/>
                <w:szCs w:val="24"/>
              </w:rPr>
              <w:t>Above Average</w:t>
            </w:r>
          </w:p>
        </w:tc>
        <w:tc>
          <w:tcPr>
            <w:tcW w:w="619" w:type="pct"/>
            <w:tcBorders>
              <w:top w:val="single" w:sz="8" w:space="0" w:color="auto"/>
              <w:bottom w:val="single" w:sz="8" w:space="0" w:color="auto"/>
            </w:tcBorders>
            <w:shd w:val="clear" w:color="auto" w:fill="FFFFFF"/>
            <w:tcMar>
              <w:top w:w="0" w:type="dxa"/>
              <w:left w:w="108" w:type="dxa"/>
              <w:bottom w:w="0" w:type="dxa"/>
              <w:right w:w="108" w:type="dxa"/>
            </w:tcMar>
          </w:tcPr>
          <w:p w14:paraId="5494DB33" w14:textId="77777777" w:rsidR="00554670" w:rsidRPr="00623B18" w:rsidRDefault="00554670" w:rsidP="005B7CA4">
            <w:pPr>
              <w:spacing w:after="0" w:line="276" w:lineRule="auto"/>
              <w:ind w:right="-46"/>
              <w:jc w:val="center"/>
              <w:rPr>
                <w:rFonts w:eastAsia="Times New Roman" w:cs="Times New Roman"/>
                <w:b/>
                <w:iCs/>
                <w:szCs w:val="24"/>
              </w:rPr>
            </w:pPr>
            <w:r w:rsidRPr="00623B18">
              <w:rPr>
                <w:rFonts w:eastAsia="Times New Roman" w:cs="Times New Roman"/>
                <w:b/>
                <w:iCs/>
                <w:szCs w:val="24"/>
              </w:rPr>
              <w:t>Far Above Average</w:t>
            </w:r>
          </w:p>
        </w:tc>
        <w:tc>
          <w:tcPr>
            <w:tcW w:w="382" w:type="pct"/>
            <w:tcBorders>
              <w:top w:val="single" w:sz="8" w:space="0" w:color="auto"/>
              <w:bottom w:val="single" w:sz="8" w:space="0" w:color="auto"/>
            </w:tcBorders>
          </w:tcPr>
          <w:p w14:paraId="77DD0910" w14:textId="77777777" w:rsidR="00BD2408" w:rsidRDefault="00BD2408" w:rsidP="005B7CA4">
            <w:pPr>
              <w:spacing w:after="0" w:line="276" w:lineRule="auto"/>
              <w:ind w:right="-46"/>
              <w:jc w:val="center"/>
              <w:rPr>
                <w:rFonts w:eastAsia="Times New Roman" w:cs="Times New Roman"/>
                <w:b/>
                <w:bCs/>
                <w:szCs w:val="24"/>
              </w:rPr>
            </w:pPr>
          </w:p>
          <w:p w14:paraId="6DAA2424" w14:textId="713ACD25" w:rsidR="00554670" w:rsidRPr="00623B18" w:rsidRDefault="00554670" w:rsidP="005B7CA4">
            <w:pPr>
              <w:spacing w:after="0" w:line="276" w:lineRule="auto"/>
              <w:ind w:right="-46"/>
              <w:jc w:val="center"/>
              <w:rPr>
                <w:rFonts w:eastAsia="Times New Roman" w:cs="Times New Roman"/>
                <w:b/>
                <w:bCs/>
                <w:szCs w:val="24"/>
              </w:rPr>
            </w:pPr>
            <w:r w:rsidRPr="00623B18">
              <w:rPr>
                <w:rFonts w:eastAsia="Times New Roman" w:cs="Times New Roman"/>
                <w:b/>
                <w:bCs/>
                <w:szCs w:val="24"/>
              </w:rPr>
              <w:t>Mean</w:t>
            </w:r>
          </w:p>
          <w:p w14:paraId="3EF73097" w14:textId="77777777" w:rsidR="00554670" w:rsidRPr="00623B18" w:rsidRDefault="00554670" w:rsidP="005B7CA4">
            <w:pPr>
              <w:spacing w:after="0" w:line="276" w:lineRule="auto"/>
              <w:ind w:right="-46"/>
              <w:jc w:val="center"/>
              <w:rPr>
                <w:rFonts w:eastAsia="Times New Roman" w:cs="Times New Roman"/>
                <w:b/>
                <w:iCs/>
                <w:szCs w:val="24"/>
              </w:rPr>
            </w:pPr>
            <w:r w:rsidRPr="00623B18">
              <w:rPr>
                <w:rFonts w:cs="Times New Roman"/>
                <w:szCs w:val="24"/>
              </w:rPr>
              <w:t>(</w:t>
            </w:r>
            <m:oMath>
              <m:acc>
                <m:accPr>
                  <m:chr m:val="̅"/>
                  <m:ctrlPr>
                    <w:rPr>
                      <w:rFonts w:ascii="Cambria Math" w:hAnsi="Cambria Math" w:cs="Times New Roman"/>
                      <w:bCs/>
                      <w:szCs w:val="24"/>
                    </w:rPr>
                  </m:ctrlPr>
                </m:accPr>
                <m:e>
                  <m:r>
                    <m:rPr>
                      <m:sty m:val="p"/>
                    </m:rPr>
                    <w:rPr>
                      <w:rFonts w:ascii="Cambria Math" w:hAnsi="Cambria Math" w:cs="Times New Roman"/>
                      <w:szCs w:val="24"/>
                    </w:rPr>
                    <m:t>X</m:t>
                  </m:r>
                </m:e>
              </m:acc>
            </m:oMath>
            <w:r w:rsidRPr="00623B18">
              <w:rPr>
                <w:rFonts w:cs="Times New Roman"/>
                <w:bCs/>
                <w:szCs w:val="24"/>
              </w:rPr>
              <w:t>)</w:t>
            </w:r>
          </w:p>
        </w:tc>
      </w:tr>
      <w:tr w:rsidR="00554670" w:rsidRPr="00623B18" w14:paraId="1BD1171D" w14:textId="77777777" w:rsidTr="00C25885">
        <w:trPr>
          <w:trHeight w:val="883"/>
        </w:trPr>
        <w:tc>
          <w:tcPr>
            <w:tcW w:w="1553" w:type="pct"/>
            <w:tcBorders>
              <w:top w:val="single" w:sz="8" w:space="0" w:color="auto"/>
            </w:tcBorders>
            <w:shd w:val="clear" w:color="auto" w:fill="FFFFFF"/>
            <w:tcMar>
              <w:top w:w="0" w:type="dxa"/>
              <w:left w:w="108" w:type="dxa"/>
              <w:bottom w:w="0" w:type="dxa"/>
              <w:right w:w="108" w:type="dxa"/>
            </w:tcMar>
          </w:tcPr>
          <w:p w14:paraId="79D69E65" w14:textId="77777777" w:rsidR="00554670" w:rsidRPr="00623B18" w:rsidRDefault="00554670">
            <w:pPr>
              <w:pStyle w:val="ListParagraph"/>
              <w:numPr>
                <w:ilvl w:val="0"/>
                <w:numId w:val="4"/>
              </w:numPr>
              <w:spacing w:after="0" w:line="276" w:lineRule="auto"/>
              <w:ind w:right="-46"/>
              <w:jc w:val="left"/>
              <w:rPr>
                <w:rFonts w:eastAsia="Times New Roman" w:cs="Times New Roman"/>
                <w:szCs w:val="24"/>
              </w:rPr>
            </w:pPr>
            <w:r w:rsidRPr="00623B18">
              <w:rPr>
                <w:rFonts w:eastAsia="Times New Roman" w:cs="Times New Roman"/>
                <w:szCs w:val="24"/>
              </w:rPr>
              <w:t>Estimated average income</w:t>
            </w:r>
          </w:p>
        </w:tc>
        <w:tc>
          <w:tcPr>
            <w:tcW w:w="619" w:type="pct"/>
            <w:tcBorders>
              <w:top w:val="single" w:sz="8" w:space="0" w:color="auto"/>
            </w:tcBorders>
            <w:shd w:val="clear" w:color="auto" w:fill="FFFFFF"/>
            <w:tcMar>
              <w:top w:w="0" w:type="dxa"/>
              <w:left w:w="108" w:type="dxa"/>
              <w:bottom w:w="0" w:type="dxa"/>
              <w:right w:w="108" w:type="dxa"/>
            </w:tcMar>
          </w:tcPr>
          <w:p w14:paraId="398770FE"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w:t>
            </w:r>
          </w:p>
          <w:p w14:paraId="1C06941F"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3.8%</w:t>
            </w:r>
          </w:p>
        </w:tc>
        <w:tc>
          <w:tcPr>
            <w:tcW w:w="588" w:type="pct"/>
            <w:tcBorders>
              <w:top w:val="single" w:sz="8" w:space="0" w:color="auto"/>
            </w:tcBorders>
            <w:shd w:val="clear" w:color="auto" w:fill="FFFFFF"/>
            <w:tcMar>
              <w:top w:w="0" w:type="dxa"/>
              <w:left w:w="108" w:type="dxa"/>
              <w:bottom w:w="0" w:type="dxa"/>
              <w:right w:w="108" w:type="dxa"/>
            </w:tcMar>
          </w:tcPr>
          <w:p w14:paraId="436D268E"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12</w:t>
            </w:r>
          </w:p>
          <w:p w14:paraId="4D6CDF64"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23.1%</w:t>
            </w:r>
          </w:p>
        </w:tc>
        <w:tc>
          <w:tcPr>
            <w:tcW w:w="619" w:type="pct"/>
            <w:tcBorders>
              <w:top w:val="single" w:sz="8" w:space="0" w:color="auto"/>
            </w:tcBorders>
            <w:shd w:val="clear" w:color="auto" w:fill="FFFFFF"/>
            <w:tcMar>
              <w:top w:w="0" w:type="dxa"/>
              <w:left w:w="108" w:type="dxa"/>
              <w:bottom w:w="0" w:type="dxa"/>
              <w:right w:w="108" w:type="dxa"/>
            </w:tcMar>
          </w:tcPr>
          <w:p w14:paraId="64C2D5F1"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36</w:t>
            </w:r>
          </w:p>
          <w:p w14:paraId="21967DDB"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69.2%</w:t>
            </w:r>
          </w:p>
        </w:tc>
        <w:tc>
          <w:tcPr>
            <w:tcW w:w="619" w:type="pct"/>
            <w:tcBorders>
              <w:top w:val="single" w:sz="8" w:space="0" w:color="auto"/>
            </w:tcBorders>
            <w:shd w:val="clear" w:color="auto" w:fill="FFFFFF"/>
            <w:tcMar>
              <w:top w:w="0" w:type="dxa"/>
              <w:left w:w="108" w:type="dxa"/>
              <w:bottom w:w="0" w:type="dxa"/>
              <w:right w:w="108" w:type="dxa"/>
            </w:tcMar>
          </w:tcPr>
          <w:p w14:paraId="25670557"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w:t>
            </w:r>
          </w:p>
          <w:p w14:paraId="7C4498B8"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3.8%</w:t>
            </w:r>
          </w:p>
        </w:tc>
        <w:tc>
          <w:tcPr>
            <w:tcW w:w="619" w:type="pct"/>
            <w:tcBorders>
              <w:top w:val="single" w:sz="8" w:space="0" w:color="auto"/>
            </w:tcBorders>
            <w:shd w:val="clear" w:color="auto" w:fill="FFFFFF"/>
            <w:tcMar>
              <w:top w:w="0" w:type="dxa"/>
              <w:left w:w="108" w:type="dxa"/>
              <w:bottom w:w="0" w:type="dxa"/>
              <w:right w:w="108" w:type="dxa"/>
            </w:tcMar>
          </w:tcPr>
          <w:p w14:paraId="6EA3BAEF"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0</w:t>
            </w:r>
          </w:p>
          <w:p w14:paraId="1A4758D7"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0.0%</w:t>
            </w:r>
          </w:p>
        </w:tc>
        <w:tc>
          <w:tcPr>
            <w:tcW w:w="382" w:type="pct"/>
            <w:tcBorders>
              <w:top w:val="single" w:sz="8" w:space="0" w:color="auto"/>
            </w:tcBorders>
          </w:tcPr>
          <w:p w14:paraId="3E27E6E1"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2.73</w:t>
            </w:r>
          </w:p>
        </w:tc>
      </w:tr>
      <w:tr w:rsidR="00554670" w:rsidRPr="00623B18" w14:paraId="6F89DAC8" w14:textId="77777777" w:rsidTr="00C25885">
        <w:trPr>
          <w:trHeight w:val="941"/>
        </w:trPr>
        <w:tc>
          <w:tcPr>
            <w:tcW w:w="1553" w:type="pct"/>
            <w:shd w:val="clear" w:color="auto" w:fill="FFFFFF"/>
            <w:tcMar>
              <w:top w:w="0" w:type="dxa"/>
              <w:left w:w="108" w:type="dxa"/>
              <w:bottom w:w="0" w:type="dxa"/>
              <w:right w:w="108" w:type="dxa"/>
            </w:tcMar>
          </w:tcPr>
          <w:p w14:paraId="3F70710D" w14:textId="77777777" w:rsidR="00554670" w:rsidRPr="00623B18" w:rsidRDefault="00554670">
            <w:pPr>
              <w:pStyle w:val="ListParagraph"/>
              <w:numPr>
                <w:ilvl w:val="0"/>
                <w:numId w:val="4"/>
              </w:numPr>
              <w:spacing w:after="0" w:line="276" w:lineRule="auto"/>
              <w:ind w:right="-46"/>
              <w:jc w:val="left"/>
              <w:rPr>
                <w:rFonts w:eastAsia="Times New Roman" w:cs="Times New Roman"/>
                <w:szCs w:val="24"/>
              </w:rPr>
            </w:pPr>
            <w:r w:rsidRPr="00623B18">
              <w:rPr>
                <w:rFonts w:eastAsia="Times New Roman" w:cs="Times New Roman"/>
                <w:szCs w:val="24"/>
              </w:rPr>
              <w:t>Income stability/ consistency</w:t>
            </w:r>
          </w:p>
        </w:tc>
        <w:tc>
          <w:tcPr>
            <w:tcW w:w="619" w:type="pct"/>
            <w:shd w:val="clear" w:color="auto" w:fill="FFFFFF"/>
            <w:tcMar>
              <w:top w:w="0" w:type="dxa"/>
              <w:left w:w="108" w:type="dxa"/>
              <w:bottom w:w="0" w:type="dxa"/>
              <w:right w:w="108" w:type="dxa"/>
            </w:tcMar>
          </w:tcPr>
          <w:p w14:paraId="57ADDE6E"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w:t>
            </w:r>
          </w:p>
          <w:p w14:paraId="443B1294"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3.8%</w:t>
            </w:r>
          </w:p>
        </w:tc>
        <w:tc>
          <w:tcPr>
            <w:tcW w:w="588" w:type="pct"/>
            <w:shd w:val="clear" w:color="auto" w:fill="FFFFFF"/>
            <w:tcMar>
              <w:top w:w="0" w:type="dxa"/>
              <w:left w:w="108" w:type="dxa"/>
              <w:bottom w:w="0" w:type="dxa"/>
              <w:right w:w="108" w:type="dxa"/>
            </w:tcMar>
          </w:tcPr>
          <w:p w14:paraId="294491D5"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24</w:t>
            </w:r>
          </w:p>
          <w:p w14:paraId="469B5898"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46.2%</w:t>
            </w:r>
          </w:p>
        </w:tc>
        <w:tc>
          <w:tcPr>
            <w:tcW w:w="619" w:type="pct"/>
            <w:shd w:val="clear" w:color="auto" w:fill="FFFFFF"/>
            <w:tcMar>
              <w:top w:w="0" w:type="dxa"/>
              <w:left w:w="108" w:type="dxa"/>
              <w:bottom w:w="0" w:type="dxa"/>
              <w:right w:w="108" w:type="dxa"/>
            </w:tcMar>
          </w:tcPr>
          <w:p w14:paraId="50A28C3F"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22</w:t>
            </w:r>
          </w:p>
          <w:p w14:paraId="06EB1C3D"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42.3%</w:t>
            </w:r>
          </w:p>
        </w:tc>
        <w:tc>
          <w:tcPr>
            <w:tcW w:w="619" w:type="pct"/>
            <w:shd w:val="clear" w:color="auto" w:fill="FFFFFF"/>
            <w:tcMar>
              <w:top w:w="0" w:type="dxa"/>
              <w:left w:w="108" w:type="dxa"/>
              <w:bottom w:w="0" w:type="dxa"/>
              <w:right w:w="108" w:type="dxa"/>
            </w:tcMar>
          </w:tcPr>
          <w:p w14:paraId="04A7115A"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4</w:t>
            </w:r>
          </w:p>
          <w:p w14:paraId="18515E39"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7.7%</w:t>
            </w:r>
          </w:p>
        </w:tc>
        <w:tc>
          <w:tcPr>
            <w:tcW w:w="619" w:type="pct"/>
            <w:shd w:val="clear" w:color="auto" w:fill="FFFFFF"/>
            <w:tcMar>
              <w:top w:w="0" w:type="dxa"/>
              <w:left w:w="108" w:type="dxa"/>
              <w:bottom w:w="0" w:type="dxa"/>
              <w:right w:w="108" w:type="dxa"/>
            </w:tcMar>
          </w:tcPr>
          <w:p w14:paraId="049870D9"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0</w:t>
            </w:r>
          </w:p>
          <w:p w14:paraId="672DFAE3"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0.0%</w:t>
            </w:r>
          </w:p>
        </w:tc>
        <w:tc>
          <w:tcPr>
            <w:tcW w:w="382" w:type="pct"/>
          </w:tcPr>
          <w:p w14:paraId="69FED04C"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2.54</w:t>
            </w:r>
          </w:p>
        </w:tc>
      </w:tr>
      <w:tr w:rsidR="00554670" w:rsidRPr="00623B18" w14:paraId="56716FE3" w14:textId="77777777" w:rsidTr="00C25885">
        <w:trPr>
          <w:trHeight w:val="1"/>
        </w:trPr>
        <w:tc>
          <w:tcPr>
            <w:tcW w:w="1553" w:type="pct"/>
            <w:shd w:val="clear" w:color="auto" w:fill="FFFFFF"/>
            <w:tcMar>
              <w:top w:w="0" w:type="dxa"/>
              <w:left w:w="108" w:type="dxa"/>
              <w:bottom w:w="0" w:type="dxa"/>
              <w:right w:w="108" w:type="dxa"/>
            </w:tcMar>
          </w:tcPr>
          <w:p w14:paraId="169B2F6F" w14:textId="77777777" w:rsidR="00554670" w:rsidRPr="00623B18" w:rsidRDefault="00554670">
            <w:pPr>
              <w:pStyle w:val="ListParagraph"/>
              <w:numPr>
                <w:ilvl w:val="0"/>
                <w:numId w:val="4"/>
              </w:numPr>
              <w:spacing w:after="0" w:line="276" w:lineRule="auto"/>
              <w:ind w:right="-46"/>
              <w:jc w:val="left"/>
              <w:rPr>
                <w:rFonts w:eastAsia="Times New Roman" w:cs="Times New Roman"/>
                <w:szCs w:val="24"/>
              </w:rPr>
            </w:pPr>
            <w:r w:rsidRPr="00623B18">
              <w:rPr>
                <w:rFonts w:eastAsia="Times New Roman" w:cs="Times New Roman"/>
                <w:szCs w:val="24"/>
              </w:rPr>
              <w:t>Expenditure on education (e.g. fees, books)</w:t>
            </w:r>
          </w:p>
        </w:tc>
        <w:tc>
          <w:tcPr>
            <w:tcW w:w="619" w:type="pct"/>
            <w:shd w:val="clear" w:color="auto" w:fill="FFFFFF"/>
            <w:tcMar>
              <w:top w:w="0" w:type="dxa"/>
              <w:left w:w="108" w:type="dxa"/>
              <w:bottom w:w="0" w:type="dxa"/>
              <w:right w:w="108" w:type="dxa"/>
            </w:tcMar>
          </w:tcPr>
          <w:p w14:paraId="5A7763B4"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5</w:t>
            </w:r>
          </w:p>
          <w:p w14:paraId="3138DAF1"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9.6%</w:t>
            </w:r>
          </w:p>
        </w:tc>
        <w:tc>
          <w:tcPr>
            <w:tcW w:w="588" w:type="pct"/>
            <w:shd w:val="clear" w:color="auto" w:fill="FFFFFF"/>
            <w:tcMar>
              <w:top w:w="0" w:type="dxa"/>
              <w:left w:w="108" w:type="dxa"/>
              <w:bottom w:w="0" w:type="dxa"/>
              <w:right w:w="108" w:type="dxa"/>
            </w:tcMar>
          </w:tcPr>
          <w:p w14:paraId="6D340E43"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20</w:t>
            </w:r>
          </w:p>
          <w:p w14:paraId="011421D2"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38.5%</w:t>
            </w:r>
          </w:p>
        </w:tc>
        <w:tc>
          <w:tcPr>
            <w:tcW w:w="619" w:type="pct"/>
            <w:shd w:val="clear" w:color="auto" w:fill="FFFFFF"/>
            <w:tcMar>
              <w:top w:w="0" w:type="dxa"/>
              <w:left w:w="108" w:type="dxa"/>
              <w:bottom w:w="0" w:type="dxa"/>
              <w:right w:w="108" w:type="dxa"/>
            </w:tcMar>
          </w:tcPr>
          <w:p w14:paraId="7C6223F7"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23</w:t>
            </w:r>
          </w:p>
          <w:p w14:paraId="5C0AC127"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44.2%</w:t>
            </w:r>
          </w:p>
        </w:tc>
        <w:tc>
          <w:tcPr>
            <w:tcW w:w="619" w:type="pct"/>
            <w:shd w:val="clear" w:color="auto" w:fill="FFFFFF"/>
            <w:tcMar>
              <w:top w:w="0" w:type="dxa"/>
              <w:left w:w="108" w:type="dxa"/>
              <w:bottom w:w="0" w:type="dxa"/>
              <w:right w:w="108" w:type="dxa"/>
            </w:tcMar>
          </w:tcPr>
          <w:p w14:paraId="23A0D54E"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4</w:t>
            </w:r>
          </w:p>
          <w:p w14:paraId="6C23C688"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7.7%</w:t>
            </w:r>
          </w:p>
        </w:tc>
        <w:tc>
          <w:tcPr>
            <w:tcW w:w="619" w:type="pct"/>
            <w:shd w:val="clear" w:color="auto" w:fill="FFFFFF"/>
            <w:tcMar>
              <w:top w:w="0" w:type="dxa"/>
              <w:left w:w="108" w:type="dxa"/>
              <w:bottom w:w="0" w:type="dxa"/>
              <w:right w:w="108" w:type="dxa"/>
            </w:tcMar>
          </w:tcPr>
          <w:p w14:paraId="33844E43"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0</w:t>
            </w:r>
          </w:p>
          <w:p w14:paraId="75BB27BE"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0.0%</w:t>
            </w:r>
          </w:p>
        </w:tc>
        <w:tc>
          <w:tcPr>
            <w:tcW w:w="382" w:type="pct"/>
          </w:tcPr>
          <w:p w14:paraId="27F0A833"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2.50</w:t>
            </w:r>
          </w:p>
        </w:tc>
      </w:tr>
    </w:tbl>
    <w:p w14:paraId="420618CF" w14:textId="77777777" w:rsidR="004B02E0" w:rsidRDefault="004B02E0" w:rsidP="004B02E0">
      <w:pPr>
        <w:rPr>
          <w:b/>
          <w:bCs/>
          <w:i/>
          <w:iCs/>
        </w:rPr>
      </w:pPr>
    </w:p>
    <w:p w14:paraId="58DE3C9E" w14:textId="5D1694F7" w:rsidR="00554670" w:rsidRPr="004B02E0" w:rsidRDefault="004B02E0" w:rsidP="004B02E0">
      <w:pPr>
        <w:rPr>
          <w:b/>
          <w:bCs/>
          <w:i/>
          <w:iCs/>
        </w:rPr>
      </w:pPr>
      <w:r>
        <w:rPr>
          <w:b/>
          <w:bCs/>
          <w:i/>
          <w:iCs/>
        </w:rPr>
        <w:t xml:space="preserve">D) </w:t>
      </w:r>
      <w:r w:rsidR="00554670" w:rsidRPr="004B02E0">
        <w:rPr>
          <w:b/>
          <w:bCs/>
          <w:i/>
          <w:iCs/>
        </w:rPr>
        <w:t xml:space="preserve">Estimated Average Family Income </w:t>
      </w:r>
    </w:p>
    <w:p w14:paraId="60C85B7A" w14:textId="77777777" w:rsidR="00554670" w:rsidRPr="00623B18" w:rsidRDefault="00554670" w:rsidP="005B7CA4">
      <w:pPr>
        <w:spacing w:line="276" w:lineRule="auto"/>
      </w:pPr>
      <w:r w:rsidRPr="00623B18">
        <w:lastRenderedPageBreak/>
        <w:t>The findings on estimated average family income showed that 12.3% of students rated their family income as far below average, 25.6% as below average, 51.5% as average, 7.6% as above average, and 3.0% as far above average. In comparison, class teachers rated students’ family income as 3.8% far below average, 23.1% below average, 69.2% average, and 3.8% above average. Both perspectives therefore indicate that the majority of learners originate from middle-income households, although students were more likely than teachers to perceive their families as being in the lower income categories.</w:t>
      </w:r>
    </w:p>
    <w:p w14:paraId="016A4E9C" w14:textId="77777777" w:rsidR="00554670" w:rsidRPr="00623B18" w:rsidRDefault="00554670" w:rsidP="005B7CA4">
      <w:pPr>
        <w:spacing w:line="276" w:lineRule="auto"/>
      </w:pPr>
      <w:r w:rsidRPr="00623B18">
        <w:t xml:space="preserve">The predominance of the average income category suggests that </w:t>
      </w:r>
      <w:r>
        <w:t xml:space="preserve">public </w:t>
      </w:r>
      <w:r w:rsidRPr="00623B18">
        <w:t>boys’ boarding secondary schools in Kakamega County largely attract students from households with moderate socio-economic capacity, a pattern widely observed in developing contexts where middle-income families are better able to meet schooling costs (UNESCO, 2021). In Kenya, despite policies such as Free Day Secondary Education, families still bear indirect costs including uniforms, books, and boarding expenses, which may limit participation among very low-income households (Oketch &amp; Rolleston, 2019).</w:t>
      </w:r>
    </w:p>
    <w:p w14:paraId="665670BD" w14:textId="77777777" w:rsidR="00554670" w:rsidRPr="00623B18" w:rsidRDefault="00554670" w:rsidP="005B7CA4">
      <w:pPr>
        <w:spacing w:line="276" w:lineRule="auto"/>
      </w:pPr>
      <w:r w:rsidRPr="00623B18">
        <w:t xml:space="preserve">The discrepancy between student and teacher perceptions may arise because students possess direct knowledge of their household finances, whereas teachers rely on observable indicators such as fee payment patterns or access to learning materials (Sirin, 2016). Similar studies indicate that enrolment in </w:t>
      </w:r>
      <w:r w:rsidRPr="00D2071F">
        <w:t xml:space="preserve">public senior </w:t>
      </w:r>
      <w:r w:rsidRPr="00623B18">
        <w:t>schools tends to cluster around middle-income families, while wealthier households often choose private schools (Reardon, 2018; World Bank, 2020). Nevertheless, the 37.9% of students reporting below-average income highlights the continued presence of economically disadvantaged learners, whose financial constraints may affect their engagement and behavioural adjustment in school (OECD, 2019).</w:t>
      </w:r>
    </w:p>
    <w:p w14:paraId="1D2FFA19" w14:textId="4D77C648" w:rsidR="00554670" w:rsidRPr="004B02E0" w:rsidRDefault="004B02E0" w:rsidP="00BD2408">
      <w:pPr>
        <w:spacing w:after="0"/>
        <w:rPr>
          <w:b/>
          <w:bCs/>
          <w:i/>
          <w:iCs/>
        </w:rPr>
      </w:pPr>
      <w:r>
        <w:rPr>
          <w:b/>
          <w:bCs/>
          <w:i/>
          <w:iCs/>
        </w:rPr>
        <w:t xml:space="preserve">E) </w:t>
      </w:r>
      <w:r w:rsidR="00554670" w:rsidRPr="004B02E0">
        <w:rPr>
          <w:b/>
          <w:bCs/>
          <w:i/>
          <w:iCs/>
        </w:rPr>
        <w:t>Income Stability/ Consistency</w:t>
      </w:r>
    </w:p>
    <w:p w14:paraId="2C109402" w14:textId="66167F07" w:rsidR="00CE263C" w:rsidRPr="00CE263C" w:rsidRDefault="00CE263C" w:rsidP="00CE263C">
      <w:pPr>
        <w:spacing w:line="276" w:lineRule="auto"/>
      </w:pPr>
      <w:r w:rsidRPr="00CE263C">
        <w:t xml:space="preserve">The </w:t>
      </w:r>
      <w:r>
        <w:t>results showed</w:t>
      </w:r>
      <w:r w:rsidRPr="00CE263C">
        <w:t xml:space="preserve"> that 55% of students rated the stability of their family income as being below average or far below average, 35.1% as average, and only 9.8% as </w:t>
      </w:r>
      <w:r>
        <w:t xml:space="preserve">being </w:t>
      </w:r>
      <w:r w:rsidRPr="00CE263C">
        <w:t xml:space="preserve">above average. Similarly, </w:t>
      </w:r>
      <w:r>
        <w:t xml:space="preserve">the </w:t>
      </w:r>
      <w:r w:rsidRPr="00CE263C">
        <w:t>class teachers</w:t>
      </w:r>
      <w:r>
        <w:t>’ responses</w:t>
      </w:r>
      <w:r w:rsidRPr="00CE263C">
        <w:t xml:space="preserve"> </w:t>
      </w:r>
      <w:r>
        <w:t>indicated</w:t>
      </w:r>
      <w:r w:rsidRPr="00CE263C">
        <w:t xml:space="preserve"> that 50% of students came from households with below-average income stability, 42.3% </w:t>
      </w:r>
      <w:r>
        <w:t xml:space="preserve">being </w:t>
      </w:r>
      <w:r w:rsidRPr="00CE263C">
        <w:t xml:space="preserve">average, and 7.7% </w:t>
      </w:r>
      <w:r>
        <w:t xml:space="preserve">being </w:t>
      </w:r>
      <w:r w:rsidRPr="00CE263C">
        <w:t>above average. The</w:t>
      </w:r>
      <w:r>
        <w:t xml:space="preserve"> findings suggest</w:t>
      </w:r>
      <w:r w:rsidRPr="00CE263C">
        <w:t xml:space="preserve"> that a </w:t>
      </w:r>
      <w:r w:rsidRPr="00CE263C">
        <w:t>considerable</w:t>
      </w:r>
      <w:r w:rsidRPr="00CE263C">
        <w:t xml:space="preserve"> proportion of learners in public boys’ boarding </w:t>
      </w:r>
      <w:r>
        <w:t>senior</w:t>
      </w:r>
      <w:r w:rsidRPr="00CE263C">
        <w:t xml:space="preserve"> schools in Kakamega County </w:t>
      </w:r>
      <w:r>
        <w:t>come</w:t>
      </w:r>
      <w:r w:rsidRPr="00CE263C">
        <w:t xml:space="preserve"> from </w:t>
      </w:r>
      <w:r w:rsidRPr="00CE263C">
        <w:t>families</w:t>
      </w:r>
      <w:r w:rsidRPr="00CE263C">
        <w:t xml:space="preserve"> </w:t>
      </w:r>
      <w:r>
        <w:t>with</w:t>
      </w:r>
      <w:r w:rsidRPr="00CE263C">
        <w:t xml:space="preserve"> irregular or unstable income streams, which may affect </w:t>
      </w:r>
      <w:r>
        <w:t xml:space="preserve">the ability of </w:t>
      </w:r>
      <w:r w:rsidRPr="00CE263C">
        <w:t>families to meet educational expenses and support students’ academic</w:t>
      </w:r>
      <w:r>
        <w:t>s</w:t>
      </w:r>
      <w:r w:rsidRPr="00CE263C">
        <w:t xml:space="preserve"> and behavioural development</w:t>
      </w:r>
      <w:r>
        <w:t xml:space="preserve"> consistently</w:t>
      </w:r>
      <w:r w:rsidRPr="00CE263C">
        <w:t>.</w:t>
      </w:r>
      <w:r>
        <w:t xml:space="preserve">  </w:t>
      </w:r>
    </w:p>
    <w:p w14:paraId="08B59378" w14:textId="5CD8194D" w:rsidR="00554670" w:rsidRPr="00623B18" w:rsidRDefault="00CE263C" w:rsidP="005B7CA4">
      <w:pPr>
        <w:spacing w:before="240" w:line="276" w:lineRule="auto"/>
      </w:pPr>
      <w:r w:rsidRPr="00CE263C">
        <w:t xml:space="preserve">This </w:t>
      </w:r>
      <w:r>
        <w:t>finding is consistent</w:t>
      </w:r>
      <w:r w:rsidRPr="00CE263C">
        <w:t xml:space="preserve"> with </w:t>
      </w:r>
      <w:r w:rsidR="0084230F">
        <w:t>studies</w:t>
      </w:r>
      <w:r w:rsidRPr="00CE263C">
        <w:t xml:space="preserve"> indicating that </w:t>
      </w:r>
      <w:r w:rsidR="0084230F" w:rsidRPr="00CE263C">
        <w:t>sundry</w:t>
      </w:r>
      <w:r w:rsidRPr="00CE263C">
        <w:t xml:space="preserve"> households in Sub-Saharan Africa experience income </w:t>
      </w:r>
      <w:r w:rsidR="0084230F" w:rsidRPr="00CE263C">
        <w:t>unpredictability</w:t>
      </w:r>
      <w:r w:rsidRPr="00CE263C">
        <w:t>, particularly those</w:t>
      </w:r>
      <w:r w:rsidR="0084230F">
        <w:t xml:space="preserve"> who</w:t>
      </w:r>
      <w:r w:rsidRPr="00CE263C">
        <w:t xml:space="preserve"> depend on informal employment or </w:t>
      </w:r>
      <w:r w:rsidR="0084230F">
        <w:t>peasant</w:t>
      </w:r>
      <w:r w:rsidRPr="00CE263C">
        <w:t xml:space="preserve"> </w:t>
      </w:r>
      <w:r w:rsidR="0084230F">
        <w:t>farming</w:t>
      </w:r>
      <w:r w:rsidRPr="00CE263C">
        <w:t xml:space="preserve"> (Filmer &amp; Schady, 2019). Income instability can </w:t>
      </w:r>
      <w:r w:rsidR="007A0025">
        <w:t>minimize</w:t>
      </w:r>
      <w:r w:rsidR="0084230F">
        <w:t xml:space="preserve"> the capacity of</w:t>
      </w:r>
      <w:r w:rsidRPr="00CE263C">
        <w:t xml:space="preserve"> families to </w:t>
      </w:r>
      <w:r w:rsidR="007A0025">
        <w:t>continuously support</w:t>
      </w:r>
      <w:r w:rsidRPr="00CE263C">
        <w:t xml:space="preserve"> educational </w:t>
      </w:r>
      <w:r w:rsidR="007A0025">
        <w:t>endeavors of their children,</w:t>
      </w:r>
      <w:r w:rsidRPr="00CE263C">
        <w:t xml:space="preserve"> and may </w:t>
      </w:r>
      <w:r w:rsidR="007A0025">
        <w:t>escalate to</w:t>
      </w:r>
      <w:r w:rsidRPr="00CE263C">
        <w:t xml:space="preserve"> household stress that influences adolescents’ behaviour in school settings (Miller &amp; Johnson, 2017). </w:t>
      </w:r>
      <w:r w:rsidR="002C3A13">
        <w:t>According to A</w:t>
      </w:r>
      <w:r w:rsidR="002C3A13" w:rsidRPr="00CE263C">
        <w:t xml:space="preserve">buya </w:t>
      </w:r>
      <w:r w:rsidR="002C3A13">
        <w:t>and</w:t>
      </w:r>
      <w:r w:rsidR="002C3A13" w:rsidRPr="00CE263C">
        <w:t xml:space="preserve"> Oketch </w:t>
      </w:r>
      <w:r w:rsidR="002C3A13">
        <w:t>(</w:t>
      </w:r>
      <w:r w:rsidR="002C3A13" w:rsidRPr="00CE263C">
        <w:t>2016</w:t>
      </w:r>
      <w:r w:rsidR="002C3A13">
        <w:t>), m</w:t>
      </w:r>
      <w:r w:rsidRPr="00CE263C">
        <w:t xml:space="preserve">any families </w:t>
      </w:r>
      <w:r w:rsidR="002C3A13">
        <w:t xml:space="preserve">in Kenya </w:t>
      </w:r>
      <w:r w:rsidRPr="00CE263C">
        <w:t xml:space="preserve">rely on informal sector employment and seasonal earnings, which often leads to unpredictable financial resources for supporting </w:t>
      </w:r>
      <w:r w:rsidR="002C3A13">
        <w:t>high school</w:t>
      </w:r>
      <w:r w:rsidRPr="00CE263C">
        <w:t xml:space="preserve"> education. Such </w:t>
      </w:r>
      <w:r w:rsidR="005A0935">
        <w:t>can negatively impact</w:t>
      </w:r>
      <w:r w:rsidRPr="00CE263C">
        <w:t xml:space="preserve"> students’ psychological </w:t>
      </w:r>
      <w:r w:rsidR="005A0935">
        <w:t>health</w:t>
      </w:r>
      <w:r w:rsidR="005A0935" w:rsidRPr="00CE263C">
        <w:t xml:space="preserve"> </w:t>
      </w:r>
      <w:r w:rsidRPr="00CE263C">
        <w:t xml:space="preserve">and </w:t>
      </w:r>
      <w:r w:rsidR="005A0935">
        <w:t>coping with</w:t>
      </w:r>
      <w:r w:rsidRPr="00CE263C">
        <w:t xml:space="preserve"> the structured environment of </w:t>
      </w:r>
      <w:r w:rsidR="005A0935">
        <w:t xml:space="preserve">the </w:t>
      </w:r>
      <w:r w:rsidRPr="00CE263C">
        <w:t xml:space="preserve">boarding schools, </w:t>
      </w:r>
      <w:r w:rsidR="005A0935">
        <w:t>often</w:t>
      </w:r>
      <w:r w:rsidRPr="00CE263C">
        <w:t xml:space="preserve"> </w:t>
      </w:r>
      <w:r w:rsidR="005A0935">
        <w:t>leading</w:t>
      </w:r>
      <w:r w:rsidRPr="00CE263C">
        <w:t xml:space="preserve"> to behavioural </w:t>
      </w:r>
      <w:r w:rsidR="005A0935">
        <w:t>aberrations</w:t>
      </w:r>
      <w:r w:rsidRPr="00CE263C">
        <w:t xml:space="preserve"> (Oruko &amp; Muthaa, 2020).</w:t>
      </w:r>
      <w:r w:rsidR="00274350">
        <w:t xml:space="preserve"> This</w:t>
      </w:r>
      <w:r w:rsidR="002304E4" w:rsidRPr="002304E4">
        <w:t xml:space="preserve"> pattern</w:t>
      </w:r>
      <w:r w:rsidR="00274350">
        <w:t xml:space="preserve">, however, </w:t>
      </w:r>
      <w:r w:rsidR="00A71298">
        <w:t>differs from</w:t>
      </w:r>
      <w:r w:rsidR="002304E4" w:rsidRPr="002304E4">
        <w:t xml:space="preserve"> findings </w:t>
      </w:r>
      <w:r w:rsidR="00A71298">
        <w:lastRenderedPageBreak/>
        <w:t>in</w:t>
      </w:r>
      <w:r w:rsidR="002304E4" w:rsidRPr="002304E4">
        <w:t xml:space="preserve"> more economically stable contexts, where households typically have predictable income through formal employment (Reardon, 2018).</w:t>
      </w:r>
    </w:p>
    <w:p w14:paraId="38E710FA" w14:textId="7461C780" w:rsidR="00554670" w:rsidRPr="000D0882" w:rsidRDefault="004B02E0" w:rsidP="004B02E0">
      <w:pPr>
        <w:rPr>
          <w:b/>
          <w:bCs/>
          <w:i/>
          <w:iCs/>
        </w:rPr>
      </w:pPr>
      <w:r w:rsidRPr="000D0882">
        <w:rPr>
          <w:b/>
          <w:bCs/>
          <w:i/>
          <w:iCs/>
        </w:rPr>
        <w:t xml:space="preserve">F) </w:t>
      </w:r>
      <w:r w:rsidR="00554670" w:rsidRPr="000D0882">
        <w:rPr>
          <w:b/>
          <w:bCs/>
          <w:i/>
          <w:iCs/>
        </w:rPr>
        <w:t>Expenditure on Education</w:t>
      </w:r>
    </w:p>
    <w:p w14:paraId="254A0A72" w14:textId="0D947A92" w:rsidR="00554670" w:rsidRPr="00673FE7" w:rsidRDefault="000D0882" w:rsidP="000558F4">
      <w:pPr>
        <w:spacing w:line="276" w:lineRule="auto"/>
      </w:pPr>
      <w:r w:rsidRPr="000D0882">
        <w:t>Self-reports by students indicated that while a majority perceived their family’s expenditure on education as "average" (38.4%), a substantial 37.9% identified it as “below” or “far below average”. This assessment is corroborated by responses from teachers, with 48.1% rating household spending as below the mean.</w:t>
      </w:r>
      <w:r w:rsidR="00673FE7">
        <w:t xml:space="preserve"> </w:t>
      </w:r>
      <w:r w:rsidR="00554670" w:rsidRPr="000558F4">
        <w:t xml:space="preserve">These findings </w:t>
      </w:r>
      <w:r w:rsidR="003D5533" w:rsidRPr="000558F4">
        <w:t>highlight</w:t>
      </w:r>
      <w:r w:rsidR="00554670" w:rsidRPr="000558F4">
        <w:t xml:space="preserve"> the financial constraints </w:t>
      </w:r>
      <w:r w:rsidR="003D5533" w:rsidRPr="000558F4">
        <w:t>predominant</w:t>
      </w:r>
      <w:r w:rsidR="00554670" w:rsidRPr="000558F4">
        <w:t xml:space="preserve"> in developing contexts where</w:t>
      </w:r>
      <w:r w:rsidR="003D5533" w:rsidRPr="000558F4">
        <w:t xml:space="preserve"> </w:t>
      </w:r>
      <w:r w:rsidR="00554670" w:rsidRPr="000558F4">
        <w:t>households retain a</w:t>
      </w:r>
      <w:r w:rsidR="004C17BA">
        <w:t>n</w:t>
      </w:r>
      <w:r w:rsidR="00554670" w:rsidRPr="000558F4">
        <w:t xml:space="preserve"> </w:t>
      </w:r>
      <w:r w:rsidR="003D5533" w:rsidRPr="000558F4">
        <w:t>uneven</w:t>
      </w:r>
      <w:r w:rsidR="00554670" w:rsidRPr="000558F4">
        <w:t xml:space="preserve"> burden for </w:t>
      </w:r>
      <w:r w:rsidR="003D5533" w:rsidRPr="000558F4">
        <w:t>auxiliary</w:t>
      </w:r>
      <w:r w:rsidR="00554670" w:rsidRPr="000558F4">
        <w:t xml:space="preserve"> costs like </w:t>
      </w:r>
      <w:r w:rsidR="003D5533" w:rsidRPr="000558F4">
        <w:t xml:space="preserve">school </w:t>
      </w:r>
      <w:r w:rsidR="00554670" w:rsidRPr="000558F4">
        <w:t>uniforms and boarding</w:t>
      </w:r>
      <w:r w:rsidR="003D5533" w:rsidRPr="000558F4">
        <w:t xml:space="preserve"> expenses</w:t>
      </w:r>
      <w:r w:rsidR="00554670" w:rsidRPr="000558F4">
        <w:t xml:space="preserve"> (Abuya &amp; Oketch, 2016). Such </w:t>
      </w:r>
      <w:r w:rsidR="003D5533" w:rsidRPr="000558F4">
        <w:t>discrepancies</w:t>
      </w:r>
      <w:r w:rsidR="00554670" w:rsidRPr="000558F4">
        <w:t xml:space="preserve"> are critical, </w:t>
      </w:r>
      <w:r w:rsidR="003D5533" w:rsidRPr="000558F4">
        <w:t>since</w:t>
      </w:r>
      <w:r w:rsidR="00554670" w:rsidRPr="000558F4">
        <w:t xml:space="preserve"> expenditure </w:t>
      </w:r>
      <w:r w:rsidR="003D5533" w:rsidRPr="000558F4">
        <w:t>on education is an indicator for</w:t>
      </w:r>
      <w:r w:rsidR="00554670" w:rsidRPr="000558F4">
        <w:t xml:space="preserve"> a family’s capacity to invest in the requisite resources that facilitate academic </w:t>
      </w:r>
      <w:r w:rsidR="003D5533" w:rsidRPr="000558F4">
        <w:t xml:space="preserve">progress </w:t>
      </w:r>
      <w:r w:rsidR="00554670" w:rsidRPr="000558F4">
        <w:t xml:space="preserve">and school adjustment. Reardon (2018) </w:t>
      </w:r>
      <w:r w:rsidR="003D5533" w:rsidRPr="000558F4">
        <w:t>s well as</w:t>
      </w:r>
      <w:r w:rsidR="00554670" w:rsidRPr="000558F4">
        <w:t xml:space="preserve"> Hanushek and Woessmann (2020) contend</w:t>
      </w:r>
      <w:r w:rsidR="003D5533" w:rsidRPr="000558F4">
        <w:t>ed that</w:t>
      </w:r>
      <w:r w:rsidR="00554670" w:rsidRPr="000558F4">
        <w:t xml:space="preserve"> </w:t>
      </w:r>
      <w:r w:rsidR="000558F4" w:rsidRPr="000558F4">
        <w:t>families’ educational expenditure</w:t>
      </w:r>
      <w:r w:rsidR="00554670" w:rsidRPr="000558F4">
        <w:t xml:space="preserve"> directly </w:t>
      </w:r>
      <w:r w:rsidR="000558F4" w:rsidRPr="000558F4">
        <w:t>determines</w:t>
      </w:r>
      <w:r w:rsidR="00554670" w:rsidRPr="000558F4">
        <w:t xml:space="preserve"> the quality of </w:t>
      </w:r>
      <w:r w:rsidR="000558F4" w:rsidRPr="000558F4">
        <w:t>school</w:t>
      </w:r>
      <w:r w:rsidR="00554670" w:rsidRPr="000558F4">
        <w:t xml:space="preserve"> environments, motivation</w:t>
      </w:r>
      <w:r w:rsidR="000558F4" w:rsidRPr="000558F4">
        <w:t xml:space="preserve"> of learners</w:t>
      </w:r>
      <w:r w:rsidR="00554670" w:rsidRPr="000558F4">
        <w:t xml:space="preserve">, and </w:t>
      </w:r>
      <w:r w:rsidR="003D5533" w:rsidRPr="000558F4">
        <w:t xml:space="preserve">student </w:t>
      </w:r>
      <w:r w:rsidR="000558F4" w:rsidRPr="000558F4">
        <w:t>discipline</w:t>
      </w:r>
      <w:r w:rsidR="00554670" w:rsidRPr="000558F4">
        <w:t>.</w:t>
      </w:r>
      <w:r w:rsidR="000558F4">
        <w:t xml:space="preserve"> </w:t>
      </w:r>
    </w:p>
    <w:p w14:paraId="247F6C2A" w14:textId="59F78C3F" w:rsidR="00554670" w:rsidRDefault="00554670" w:rsidP="005B7CA4">
      <w:pPr>
        <w:spacing w:after="0" w:line="276" w:lineRule="auto"/>
      </w:pPr>
      <w:r w:rsidRPr="000558F4">
        <w:t>The data further highlight</w:t>
      </w:r>
      <w:r w:rsidR="000558F4" w:rsidRPr="000558F4">
        <w:t>ed</w:t>
      </w:r>
      <w:r w:rsidRPr="000558F4">
        <w:t xml:space="preserve"> </w:t>
      </w:r>
      <w:r w:rsidR="000558F4" w:rsidRPr="000558F4">
        <w:t>economic</w:t>
      </w:r>
      <w:r w:rsidRPr="000558F4">
        <w:t xml:space="preserve"> diversity in Kakamega County’s public boys’ boarding senior schools, with 23.7% of </w:t>
      </w:r>
      <w:r w:rsidR="000558F4" w:rsidRPr="000558F4">
        <w:t xml:space="preserve">the </w:t>
      </w:r>
      <w:r w:rsidRPr="000558F4">
        <w:t xml:space="preserve">students reporting </w:t>
      </w:r>
      <w:r w:rsidR="000558F4" w:rsidRPr="000558F4">
        <w:t>family’s spending on education, such as books and fees as being “</w:t>
      </w:r>
      <w:r w:rsidRPr="000558F4">
        <w:t>above average</w:t>
      </w:r>
      <w:r w:rsidR="000558F4" w:rsidRPr="000558F4">
        <w:t>”</w:t>
      </w:r>
      <w:r w:rsidRPr="000558F4">
        <w:t>. This internal variance aligns with observations by Glewwe and Kremer (2017) regarding the heterogeneity of household inputs within the same schooling systems. Ultimately, when families</w:t>
      </w:r>
      <w:r w:rsidRPr="00623B18">
        <w:t xml:space="preserve"> struggle to meet these costs, the resulting resource scarcity may manifest as student stress or limited adherence to institutional regulations. </w:t>
      </w:r>
      <w:r w:rsidR="00E21E3F" w:rsidRPr="00623B18">
        <w:t>Subsequently</w:t>
      </w:r>
      <w:r w:rsidRPr="00623B18">
        <w:t xml:space="preserve">, these financial </w:t>
      </w:r>
      <w:r w:rsidR="00E21E3F">
        <w:t>differences</w:t>
      </w:r>
      <w:r w:rsidRPr="00623B18">
        <w:t xml:space="preserve"> serve as a </w:t>
      </w:r>
      <w:r w:rsidR="00E21E3F">
        <w:t>fundamental</w:t>
      </w:r>
      <w:r w:rsidRPr="00623B18">
        <w:t xml:space="preserve"> lens for analyzing student discipline, as limited </w:t>
      </w:r>
      <w:r w:rsidR="00E21E3F">
        <w:t>financial</w:t>
      </w:r>
      <w:r w:rsidRPr="00623B18">
        <w:t xml:space="preserve"> support </w:t>
      </w:r>
      <w:r w:rsidR="00E21E3F" w:rsidRPr="00623B18">
        <w:t>often</w:t>
      </w:r>
      <w:r w:rsidRPr="00623B18">
        <w:t xml:space="preserve"> correlates with diminished access to the materials necessary for consistent behavioral and academic compliance.</w:t>
      </w:r>
    </w:p>
    <w:p w14:paraId="0AA267E7" w14:textId="77777777" w:rsidR="00B43142" w:rsidRDefault="00B43142" w:rsidP="005B7CA4">
      <w:pPr>
        <w:spacing w:after="0" w:line="276" w:lineRule="auto"/>
      </w:pPr>
    </w:p>
    <w:p w14:paraId="47655C4D" w14:textId="6CEE0F5F" w:rsidR="00554670" w:rsidRPr="004B02E0" w:rsidRDefault="004B02E0" w:rsidP="004B02E0">
      <w:pPr>
        <w:rPr>
          <w:b/>
          <w:bCs/>
          <w:i/>
          <w:iCs/>
        </w:rPr>
      </w:pPr>
      <w:bookmarkStart w:id="17" w:name="_Toc234318355"/>
      <w:r>
        <w:rPr>
          <w:b/>
          <w:bCs/>
          <w:i/>
          <w:iCs/>
        </w:rPr>
        <w:t>G)</w:t>
      </w:r>
      <w:r w:rsidR="00554670" w:rsidRPr="004B02E0">
        <w:rPr>
          <w:b/>
          <w:bCs/>
          <w:i/>
          <w:iCs/>
        </w:rPr>
        <w:t xml:space="preserve"> Relationship between Family Income and Student Discipline</w:t>
      </w:r>
      <w:bookmarkEnd w:id="17"/>
    </w:p>
    <w:p w14:paraId="6CA909DB" w14:textId="00430460" w:rsidR="00554670" w:rsidRPr="00623B18" w:rsidRDefault="00554670" w:rsidP="005B7CA4">
      <w:pPr>
        <w:spacing w:after="0" w:line="276" w:lineRule="auto"/>
      </w:pPr>
      <w:r>
        <w:t>T</w:t>
      </w:r>
      <w:r w:rsidRPr="00623B18">
        <w:t xml:space="preserve">he perception of class teachers on the relationship between family income and student discipline was first sought. Findings were as summarized in Table </w:t>
      </w:r>
      <w:r w:rsidR="003F1A31">
        <w:t>5</w:t>
      </w:r>
      <w:r w:rsidRPr="00623B18">
        <w:t>.</w:t>
      </w:r>
    </w:p>
    <w:p w14:paraId="2BEC14AA" w14:textId="7F543EBC" w:rsidR="00554670" w:rsidRPr="00623B18" w:rsidRDefault="00554670" w:rsidP="00516FBC">
      <w:pPr>
        <w:pStyle w:val="Caption"/>
        <w:rPr>
          <w:rFonts w:cs="Times New Roman"/>
        </w:rPr>
      </w:pPr>
      <w:bookmarkStart w:id="18" w:name="_Toc234318393"/>
      <w:r w:rsidRPr="00623B18">
        <w:t xml:space="preserve">Table </w:t>
      </w:r>
      <w:r w:rsidR="003F1A31">
        <w:t>5.</w:t>
      </w:r>
      <w:r w:rsidRPr="00623B18">
        <w:t xml:space="preserve"> </w:t>
      </w:r>
      <w:r w:rsidR="00560BA7">
        <w:t xml:space="preserve">Class </w:t>
      </w:r>
      <w:r w:rsidRPr="00623B18">
        <w:t>Teachers’ Perceptions on Relationship between Family Income and Student Discipline</w:t>
      </w:r>
      <w:bookmarkEnd w:id="18"/>
    </w:p>
    <w:tbl>
      <w:tblPr>
        <w:tblW w:w="5000" w:type="pct"/>
        <w:tblBorders>
          <w:top w:val="single" w:sz="8" w:space="0" w:color="auto"/>
          <w:bottom w:val="single" w:sz="8" w:space="0" w:color="auto"/>
        </w:tblBorders>
        <w:tblCellMar>
          <w:top w:w="15" w:type="dxa"/>
          <w:left w:w="15" w:type="dxa"/>
          <w:bottom w:w="15" w:type="dxa"/>
          <w:right w:w="15" w:type="dxa"/>
        </w:tblCellMar>
        <w:tblLook w:val="04A0" w:firstRow="1" w:lastRow="0" w:firstColumn="1" w:lastColumn="0" w:noHBand="0" w:noVBand="1"/>
      </w:tblPr>
      <w:tblGrid>
        <w:gridCol w:w="3751"/>
        <w:gridCol w:w="1724"/>
        <w:gridCol w:w="1932"/>
        <w:gridCol w:w="1619"/>
      </w:tblGrid>
      <w:tr w:rsidR="00554670" w:rsidRPr="00623B18" w14:paraId="7E9FC184" w14:textId="77777777" w:rsidTr="00C25885">
        <w:trPr>
          <w:trHeight w:val="828"/>
        </w:trPr>
        <w:tc>
          <w:tcPr>
            <w:tcW w:w="2078" w:type="pct"/>
            <w:tcBorders>
              <w:top w:val="single" w:sz="8" w:space="0" w:color="auto"/>
              <w:bottom w:val="single" w:sz="8" w:space="0" w:color="auto"/>
            </w:tcBorders>
            <w:shd w:val="clear" w:color="auto" w:fill="FFFFFF"/>
            <w:tcMar>
              <w:top w:w="0" w:type="dxa"/>
              <w:left w:w="10" w:type="dxa"/>
              <w:bottom w:w="0" w:type="dxa"/>
              <w:right w:w="10" w:type="dxa"/>
            </w:tcMar>
          </w:tcPr>
          <w:p w14:paraId="1AE18C36" w14:textId="77777777" w:rsidR="00554670" w:rsidRPr="00623B18" w:rsidRDefault="00554670" w:rsidP="005B7CA4">
            <w:pPr>
              <w:spacing w:after="0" w:line="276" w:lineRule="auto"/>
              <w:jc w:val="left"/>
              <w:rPr>
                <w:rFonts w:eastAsia="Times New Roman" w:cs="Times New Roman"/>
                <w:szCs w:val="24"/>
              </w:rPr>
            </w:pPr>
          </w:p>
        </w:tc>
        <w:tc>
          <w:tcPr>
            <w:tcW w:w="955" w:type="pct"/>
            <w:tcBorders>
              <w:top w:val="single" w:sz="8" w:space="0" w:color="auto"/>
              <w:bottom w:val="single" w:sz="8" w:space="0" w:color="auto"/>
            </w:tcBorders>
            <w:shd w:val="clear" w:color="auto" w:fill="FFFFFF"/>
            <w:tcMar>
              <w:top w:w="0" w:type="dxa"/>
              <w:left w:w="10" w:type="dxa"/>
              <w:bottom w:w="0" w:type="dxa"/>
              <w:right w:w="10" w:type="dxa"/>
            </w:tcMar>
          </w:tcPr>
          <w:p w14:paraId="59CCADE9" w14:textId="77777777" w:rsidR="00554670" w:rsidRPr="00623B18" w:rsidRDefault="00554670" w:rsidP="005B7CA4">
            <w:pPr>
              <w:spacing w:after="0" w:line="276" w:lineRule="auto"/>
              <w:ind w:left="107" w:right="12"/>
              <w:jc w:val="center"/>
              <w:rPr>
                <w:rFonts w:eastAsia="Times New Roman" w:cs="Times New Roman"/>
                <w:b/>
                <w:szCs w:val="24"/>
              </w:rPr>
            </w:pPr>
            <w:r w:rsidRPr="00623B18">
              <w:rPr>
                <w:rFonts w:eastAsia="Times New Roman" w:cs="Times New Roman"/>
                <w:b/>
                <w:szCs w:val="24"/>
              </w:rPr>
              <w:t>High-income family</w:t>
            </w:r>
          </w:p>
        </w:tc>
        <w:tc>
          <w:tcPr>
            <w:tcW w:w="1070" w:type="pct"/>
            <w:tcBorders>
              <w:top w:val="single" w:sz="8" w:space="0" w:color="auto"/>
              <w:bottom w:val="single" w:sz="8" w:space="0" w:color="auto"/>
            </w:tcBorders>
            <w:shd w:val="clear" w:color="auto" w:fill="FFFFFF"/>
            <w:tcMar>
              <w:top w:w="0" w:type="dxa"/>
              <w:left w:w="10" w:type="dxa"/>
              <w:bottom w:w="0" w:type="dxa"/>
              <w:right w:w="10" w:type="dxa"/>
            </w:tcMar>
          </w:tcPr>
          <w:p w14:paraId="1C38A9A0" w14:textId="77777777" w:rsidR="00554670" w:rsidRPr="00623B18" w:rsidRDefault="00554670" w:rsidP="005B7CA4">
            <w:pPr>
              <w:spacing w:after="0" w:line="276" w:lineRule="auto"/>
              <w:ind w:left="107" w:right="6"/>
              <w:jc w:val="center"/>
              <w:rPr>
                <w:rFonts w:eastAsia="Times New Roman" w:cs="Times New Roman"/>
                <w:b/>
                <w:szCs w:val="24"/>
              </w:rPr>
            </w:pPr>
            <w:r w:rsidRPr="00623B18">
              <w:rPr>
                <w:rFonts w:eastAsia="Times New Roman" w:cs="Times New Roman"/>
                <w:b/>
                <w:szCs w:val="24"/>
              </w:rPr>
              <w:t>Middle income family</w:t>
            </w:r>
          </w:p>
        </w:tc>
        <w:tc>
          <w:tcPr>
            <w:tcW w:w="897" w:type="pct"/>
            <w:tcBorders>
              <w:top w:val="single" w:sz="8" w:space="0" w:color="auto"/>
              <w:bottom w:val="single" w:sz="8" w:space="0" w:color="auto"/>
            </w:tcBorders>
          </w:tcPr>
          <w:p w14:paraId="44D01AC5" w14:textId="77777777" w:rsidR="00554670" w:rsidRPr="00623B18" w:rsidRDefault="00554670" w:rsidP="005B7CA4">
            <w:pPr>
              <w:spacing w:after="0" w:line="276" w:lineRule="auto"/>
              <w:ind w:left="107" w:right="6"/>
              <w:jc w:val="center"/>
              <w:rPr>
                <w:rFonts w:eastAsia="Times New Roman" w:cs="Times New Roman"/>
                <w:b/>
                <w:szCs w:val="24"/>
              </w:rPr>
            </w:pPr>
            <w:r w:rsidRPr="00623B18">
              <w:rPr>
                <w:rFonts w:eastAsia="Times New Roman" w:cs="Times New Roman"/>
                <w:b/>
                <w:szCs w:val="24"/>
              </w:rPr>
              <w:t>Low-income family</w:t>
            </w:r>
          </w:p>
        </w:tc>
      </w:tr>
      <w:tr w:rsidR="00554670" w:rsidRPr="00623B18" w14:paraId="17A06A01" w14:textId="77777777" w:rsidTr="00C25885">
        <w:trPr>
          <w:trHeight w:val="828"/>
        </w:trPr>
        <w:tc>
          <w:tcPr>
            <w:tcW w:w="2078" w:type="pct"/>
            <w:tcBorders>
              <w:top w:val="single" w:sz="8" w:space="0" w:color="auto"/>
            </w:tcBorders>
            <w:shd w:val="clear" w:color="auto" w:fill="FFFFFF"/>
            <w:tcMar>
              <w:top w:w="0" w:type="dxa"/>
              <w:left w:w="10" w:type="dxa"/>
              <w:bottom w:w="0" w:type="dxa"/>
              <w:right w:w="10" w:type="dxa"/>
            </w:tcMar>
          </w:tcPr>
          <w:p w14:paraId="51CFEFDF" w14:textId="77777777" w:rsidR="00554670" w:rsidRPr="00623B18" w:rsidRDefault="00554670">
            <w:pPr>
              <w:pStyle w:val="ListParagraph"/>
              <w:numPr>
                <w:ilvl w:val="0"/>
                <w:numId w:val="3"/>
              </w:numPr>
              <w:spacing w:after="0" w:line="276" w:lineRule="auto"/>
              <w:jc w:val="left"/>
            </w:pPr>
            <w:r w:rsidRPr="00623B18">
              <w:t>Relate well with authority (e.g., teachers)</w:t>
            </w:r>
          </w:p>
        </w:tc>
        <w:tc>
          <w:tcPr>
            <w:tcW w:w="955" w:type="pct"/>
            <w:tcBorders>
              <w:top w:val="single" w:sz="8" w:space="0" w:color="auto"/>
            </w:tcBorders>
            <w:shd w:val="clear" w:color="auto" w:fill="FFFFFF"/>
            <w:tcMar>
              <w:top w:w="0" w:type="dxa"/>
              <w:left w:w="10" w:type="dxa"/>
              <w:bottom w:w="0" w:type="dxa"/>
              <w:right w:w="10" w:type="dxa"/>
            </w:tcMar>
          </w:tcPr>
          <w:p w14:paraId="31320EDC"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w:t>
            </w:r>
          </w:p>
          <w:p w14:paraId="6870E762"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3.8%</w:t>
            </w:r>
          </w:p>
        </w:tc>
        <w:tc>
          <w:tcPr>
            <w:tcW w:w="1070" w:type="pct"/>
            <w:tcBorders>
              <w:top w:val="single" w:sz="8" w:space="0" w:color="auto"/>
            </w:tcBorders>
            <w:shd w:val="clear" w:color="auto" w:fill="FFFFFF"/>
            <w:tcMar>
              <w:top w:w="0" w:type="dxa"/>
              <w:left w:w="10" w:type="dxa"/>
              <w:bottom w:w="0" w:type="dxa"/>
              <w:right w:w="10" w:type="dxa"/>
            </w:tcMar>
          </w:tcPr>
          <w:p w14:paraId="4E699628"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35</w:t>
            </w:r>
          </w:p>
          <w:p w14:paraId="43B26A87"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67.3%</w:t>
            </w:r>
          </w:p>
        </w:tc>
        <w:tc>
          <w:tcPr>
            <w:tcW w:w="897" w:type="pct"/>
            <w:tcBorders>
              <w:top w:val="single" w:sz="8" w:space="0" w:color="auto"/>
            </w:tcBorders>
          </w:tcPr>
          <w:p w14:paraId="2EAD8965"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15</w:t>
            </w:r>
          </w:p>
          <w:p w14:paraId="527CC50D"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28.8%</w:t>
            </w:r>
          </w:p>
        </w:tc>
      </w:tr>
      <w:tr w:rsidR="00554670" w:rsidRPr="00623B18" w14:paraId="127D3B96" w14:textId="77777777" w:rsidTr="00C25885">
        <w:trPr>
          <w:trHeight w:val="824"/>
        </w:trPr>
        <w:tc>
          <w:tcPr>
            <w:tcW w:w="2078" w:type="pct"/>
            <w:shd w:val="clear" w:color="auto" w:fill="FFFFFF"/>
            <w:tcMar>
              <w:top w:w="0" w:type="dxa"/>
              <w:left w:w="10" w:type="dxa"/>
              <w:bottom w:w="0" w:type="dxa"/>
              <w:right w:w="10" w:type="dxa"/>
            </w:tcMar>
          </w:tcPr>
          <w:p w14:paraId="000F5985" w14:textId="77777777" w:rsidR="00554670" w:rsidRPr="00623B18" w:rsidRDefault="00554670">
            <w:pPr>
              <w:pStyle w:val="ListParagraph"/>
              <w:numPr>
                <w:ilvl w:val="0"/>
                <w:numId w:val="3"/>
              </w:numPr>
              <w:spacing w:after="0" w:line="276" w:lineRule="auto"/>
              <w:jc w:val="left"/>
            </w:pPr>
            <w:r w:rsidRPr="00623B18">
              <w:t>Obedient to school rules </w:t>
            </w:r>
          </w:p>
        </w:tc>
        <w:tc>
          <w:tcPr>
            <w:tcW w:w="955" w:type="pct"/>
            <w:shd w:val="clear" w:color="auto" w:fill="FFFFFF"/>
            <w:tcMar>
              <w:top w:w="0" w:type="dxa"/>
              <w:left w:w="10" w:type="dxa"/>
              <w:bottom w:w="0" w:type="dxa"/>
              <w:right w:w="10" w:type="dxa"/>
            </w:tcMar>
          </w:tcPr>
          <w:p w14:paraId="67E9FCC9"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w:t>
            </w:r>
          </w:p>
          <w:p w14:paraId="16939113"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3.8%</w:t>
            </w:r>
          </w:p>
        </w:tc>
        <w:tc>
          <w:tcPr>
            <w:tcW w:w="1070" w:type="pct"/>
            <w:shd w:val="clear" w:color="auto" w:fill="FFFFFF"/>
            <w:tcMar>
              <w:top w:w="0" w:type="dxa"/>
              <w:left w:w="10" w:type="dxa"/>
              <w:bottom w:w="0" w:type="dxa"/>
              <w:right w:w="10" w:type="dxa"/>
            </w:tcMar>
          </w:tcPr>
          <w:p w14:paraId="36315627"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19</w:t>
            </w:r>
          </w:p>
          <w:p w14:paraId="1DC2DE40"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36.5%</w:t>
            </w:r>
          </w:p>
        </w:tc>
        <w:tc>
          <w:tcPr>
            <w:tcW w:w="897" w:type="pct"/>
          </w:tcPr>
          <w:p w14:paraId="57D50D0C"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31</w:t>
            </w:r>
          </w:p>
          <w:p w14:paraId="2362705C"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59.6%</w:t>
            </w:r>
          </w:p>
        </w:tc>
      </w:tr>
      <w:tr w:rsidR="00554670" w:rsidRPr="00623B18" w14:paraId="49BC0172" w14:textId="77777777" w:rsidTr="00C25885">
        <w:trPr>
          <w:trHeight w:val="807"/>
        </w:trPr>
        <w:tc>
          <w:tcPr>
            <w:tcW w:w="2078" w:type="pct"/>
            <w:shd w:val="clear" w:color="auto" w:fill="FFFFFF"/>
            <w:tcMar>
              <w:top w:w="0" w:type="dxa"/>
              <w:left w:w="10" w:type="dxa"/>
              <w:bottom w:w="0" w:type="dxa"/>
              <w:right w:w="10" w:type="dxa"/>
            </w:tcMar>
          </w:tcPr>
          <w:p w14:paraId="6963ABE0" w14:textId="77777777" w:rsidR="00554670" w:rsidRPr="00623B18" w:rsidRDefault="00554670">
            <w:pPr>
              <w:pStyle w:val="ListParagraph"/>
              <w:numPr>
                <w:ilvl w:val="0"/>
                <w:numId w:val="3"/>
              </w:numPr>
              <w:spacing w:after="0" w:line="276" w:lineRule="auto"/>
              <w:jc w:val="left"/>
            </w:pPr>
            <w:r w:rsidRPr="00623B18">
              <w:t>Cooperative and loyal</w:t>
            </w:r>
          </w:p>
        </w:tc>
        <w:tc>
          <w:tcPr>
            <w:tcW w:w="955" w:type="pct"/>
            <w:shd w:val="clear" w:color="auto" w:fill="FFFFFF"/>
            <w:tcMar>
              <w:top w:w="0" w:type="dxa"/>
              <w:left w:w="10" w:type="dxa"/>
              <w:bottom w:w="0" w:type="dxa"/>
              <w:right w:w="10" w:type="dxa"/>
            </w:tcMar>
          </w:tcPr>
          <w:p w14:paraId="2FC5AE08"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4</w:t>
            </w:r>
          </w:p>
          <w:p w14:paraId="4DB233D6"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7.7%</w:t>
            </w:r>
          </w:p>
        </w:tc>
        <w:tc>
          <w:tcPr>
            <w:tcW w:w="1070" w:type="pct"/>
            <w:shd w:val="clear" w:color="auto" w:fill="FFFFFF"/>
            <w:tcMar>
              <w:top w:w="0" w:type="dxa"/>
              <w:left w:w="10" w:type="dxa"/>
              <w:bottom w:w="0" w:type="dxa"/>
              <w:right w:w="10" w:type="dxa"/>
            </w:tcMar>
          </w:tcPr>
          <w:p w14:paraId="487B64CB"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23</w:t>
            </w:r>
          </w:p>
          <w:p w14:paraId="40D6A799"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44.2%</w:t>
            </w:r>
          </w:p>
        </w:tc>
        <w:tc>
          <w:tcPr>
            <w:tcW w:w="897" w:type="pct"/>
          </w:tcPr>
          <w:p w14:paraId="05E868FC"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25</w:t>
            </w:r>
          </w:p>
          <w:p w14:paraId="40103B34"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48.1%</w:t>
            </w:r>
          </w:p>
        </w:tc>
      </w:tr>
      <w:tr w:rsidR="00554670" w:rsidRPr="00623B18" w14:paraId="4670EE5C" w14:textId="77777777" w:rsidTr="00C25885">
        <w:trPr>
          <w:trHeight w:val="698"/>
        </w:trPr>
        <w:tc>
          <w:tcPr>
            <w:tcW w:w="2078" w:type="pct"/>
            <w:shd w:val="clear" w:color="auto" w:fill="FFFFFF"/>
            <w:tcMar>
              <w:top w:w="0" w:type="dxa"/>
              <w:left w:w="10" w:type="dxa"/>
              <w:bottom w:w="0" w:type="dxa"/>
              <w:right w:w="10" w:type="dxa"/>
            </w:tcMar>
          </w:tcPr>
          <w:p w14:paraId="4C905E29" w14:textId="77777777" w:rsidR="00554670" w:rsidRPr="00623B18" w:rsidRDefault="00554670">
            <w:pPr>
              <w:pStyle w:val="ListParagraph"/>
              <w:numPr>
                <w:ilvl w:val="0"/>
                <w:numId w:val="3"/>
              </w:numPr>
              <w:spacing w:after="0" w:line="276" w:lineRule="auto"/>
              <w:jc w:val="left"/>
            </w:pPr>
            <w:r w:rsidRPr="00623B18">
              <w:lastRenderedPageBreak/>
              <w:t>Have positive influence to peers</w:t>
            </w:r>
          </w:p>
        </w:tc>
        <w:tc>
          <w:tcPr>
            <w:tcW w:w="955" w:type="pct"/>
            <w:shd w:val="clear" w:color="auto" w:fill="FFFFFF"/>
            <w:tcMar>
              <w:top w:w="0" w:type="dxa"/>
              <w:left w:w="10" w:type="dxa"/>
              <w:bottom w:w="0" w:type="dxa"/>
              <w:right w:w="10" w:type="dxa"/>
            </w:tcMar>
          </w:tcPr>
          <w:p w14:paraId="59792C60"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7</w:t>
            </w:r>
          </w:p>
          <w:p w14:paraId="18A844C8"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13.5%</w:t>
            </w:r>
          </w:p>
        </w:tc>
        <w:tc>
          <w:tcPr>
            <w:tcW w:w="1070" w:type="pct"/>
            <w:shd w:val="clear" w:color="auto" w:fill="FFFFFF"/>
            <w:tcMar>
              <w:top w:w="0" w:type="dxa"/>
              <w:left w:w="10" w:type="dxa"/>
              <w:bottom w:w="0" w:type="dxa"/>
              <w:right w:w="10" w:type="dxa"/>
            </w:tcMar>
          </w:tcPr>
          <w:p w14:paraId="0A636156"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31</w:t>
            </w:r>
          </w:p>
          <w:p w14:paraId="2199C7F5"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59.6%</w:t>
            </w:r>
          </w:p>
        </w:tc>
        <w:tc>
          <w:tcPr>
            <w:tcW w:w="897" w:type="pct"/>
          </w:tcPr>
          <w:p w14:paraId="2398BFD2"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14</w:t>
            </w:r>
          </w:p>
          <w:p w14:paraId="3603AF82" w14:textId="77777777" w:rsidR="00554670" w:rsidRPr="00623B18" w:rsidRDefault="00554670" w:rsidP="005B7CA4">
            <w:pPr>
              <w:spacing w:after="0" w:line="276" w:lineRule="auto"/>
              <w:jc w:val="center"/>
              <w:rPr>
                <w:rFonts w:eastAsia="Times New Roman" w:cs="Times New Roman"/>
                <w:szCs w:val="24"/>
              </w:rPr>
            </w:pPr>
            <w:r w:rsidRPr="00623B18">
              <w:rPr>
                <w:rFonts w:eastAsia="Times New Roman" w:cs="Times New Roman"/>
                <w:szCs w:val="24"/>
              </w:rPr>
              <w:t>26.9%</w:t>
            </w:r>
          </w:p>
        </w:tc>
      </w:tr>
    </w:tbl>
    <w:p w14:paraId="75751AFB" w14:textId="77777777" w:rsidR="00554670" w:rsidRDefault="00554670" w:rsidP="005B7CA4">
      <w:pPr>
        <w:spacing w:before="240" w:after="0" w:line="276" w:lineRule="auto"/>
        <w:rPr>
          <w:rFonts w:cs="Times New Roman"/>
          <w:szCs w:val="24"/>
        </w:rPr>
      </w:pPr>
      <w:r>
        <w:t xml:space="preserve">Teachers’ attribution of each discipline behavior to a single income category showed 59.6% of teachers associating "obedient to school rules" most strongly with low-income families, versus only 36.5% for middle-income and 3.8% for high-income which is in contradiction of the assertion that </w:t>
      </w:r>
      <w:r>
        <w:rPr>
          <w:rFonts w:cs="Times New Roman"/>
          <w:szCs w:val="24"/>
        </w:rPr>
        <w:t>e</w:t>
      </w:r>
      <w:r w:rsidRPr="00623B18">
        <w:rPr>
          <w:rFonts w:cs="Times New Roman"/>
          <w:szCs w:val="24"/>
        </w:rPr>
        <w:t xml:space="preserve">conomically stable families typically provide superior emotional support, educational resources, and structured supervision, which facilitate better student </w:t>
      </w:r>
      <w:r>
        <w:rPr>
          <w:rFonts w:cs="Times New Roman"/>
          <w:szCs w:val="24"/>
        </w:rPr>
        <w:t xml:space="preserve">behavioural </w:t>
      </w:r>
      <w:r w:rsidRPr="00623B18">
        <w:rPr>
          <w:rFonts w:cs="Times New Roman"/>
          <w:szCs w:val="24"/>
        </w:rPr>
        <w:t>adjustment (Duncan &amp; Brooks-Gunn, 2018).</w:t>
      </w:r>
    </w:p>
    <w:p w14:paraId="28990E0A" w14:textId="3EC5E903" w:rsidR="00554670" w:rsidRPr="00623B18" w:rsidRDefault="00554670" w:rsidP="005B7CA4">
      <w:pPr>
        <w:spacing w:before="240" w:after="0" w:line="276" w:lineRule="auto"/>
        <w:rPr>
          <w:rFonts w:cs="Times New Roman"/>
          <w:szCs w:val="24"/>
        </w:rPr>
      </w:pPr>
      <w:r w:rsidRPr="00623B18">
        <w:rPr>
          <w:rFonts w:cs="Times New Roman"/>
          <w:szCs w:val="24"/>
        </w:rPr>
        <w:t xml:space="preserve">Secondly, </w:t>
      </w:r>
      <w:r w:rsidR="00560BA7">
        <w:rPr>
          <w:rFonts w:cs="Times New Roman"/>
          <w:szCs w:val="24"/>
        </w:rPr>
        <w:t xml:space="preserve">from the student responses, </w:t>
      </w:r>
      <w:r w:rsidRPr="00623B18">
        <w:rPr>
          <w:rFonts w:cs="Times New Roman"/>
          <w:szCs w:val="24"/>
        </w:rPr>
        <w:t>a one-way ANOVA was conducted to compare the effect of family income on student discipline across the three categories: low income, middle income and high income under the null hypothesis that:</w:t>
      </w:r>
    </w:p>
    <w:p w14:paraId="12BC5D0B" w14:textId="77777777" w:rsidR="00554670" w:rsidRPr="00623B18" w:rsidRDefault="00554670" w:rsidP="005B7CA4">
      <w:pPr>
        <w:autoSpaceDE w:val="0"/>
        <w:autoSpaceDN w:val="0"/>
        <w:adjustRightInd w:val="0"/>
        <w:spacing w:after="0" w:line="276" w:lineRule="auto"/>
        <w:ind w:left="720" w:hanging="720"/>
        <w:rPr>
          <w:rFonts w:cs="Times New Roman"/>
          <w:szCs w:val="24"/>
        </w:rPr>
      </w:pPr>
      <w:r w:rsidRPr="00623B18">
        <w:rPr>
          <w:rFonts w:cs="Times New Roman"/>
          <w:b/>
          <w:bCs/>
          <w:szCs w:val="24"/>
        </w:rPr>
        <w:t>H</w:t>
      </w:r>
      <w:r w:rsidRPr="00623B18">
        <w:rPr>
          <w:rFonts w:cs="Times New Roman"/>
          <w:b/>
          <w:bCs/>
          <w:szCs w:val="24"/>
          <w:vertAlign w:val="subscript"/>
        </w:rPr>
        <w:t>0</w:t>
      </w:r>
      <w:r w:rsidRPr="00623B18">
        <w:rPr>
          <w:rFonts w:cs="Times New Roman"/>
          <w:szCs w:val="24"/>
        </w:rPr>
        <w:t>:</w:t>
      </w:r>
      <w:r w:rsidRPr="00623B18">
        <w:rPr>
          <w:rFonts w:cs="Times New Roman"/>
          <w:szCs w:val="24"/>
        </w:rPr>
        <w:tab/>
        <w:t>There is no statistically significant difference in the mean student discipline scores across family income categories among students in public boys’ bo</w:t>
      </w:r>
      <w:r w:rsidRPr="00D2071F">
        <w:rPr>
          <w:rFonts w:cs="Times New Roman"/>
          <w:szCs w:val="24"/>
        </w:rPr>
        <w:t xml:space="preserve">arding </w:t>
      </w:r>
      <w:r w:rsidRPr="00D2071F">
        <w:t>senior</w:t>
      </w:r>
      <w:r w:rsidRPr="00D2071F">
        <w:rPr>
          <w:rFonts w:cs="Times New Roman"/>
          <w:szCs w:val="24"/>
        </w:rPr>
        <w:t xml:space="preserve"> </w:t>
      </w:r>
      <w:r w:rsidRPr="00623B18">
        <w:rPr>
          <w:rFonts w:cs="Times New Roman"/>
          <w:szCs w:val="24"/>
        </w:rPr>
        <w:t>schools in Kakamega County, Kenya</w:t>
      </w:r>
      <w:r w:rsidRPr="00623B18">
        <w:t>.</w:t>
      </w:r>
    </w:p>
    <w:p w14:paraId="5F4A2671" w14:textId="2306D909" w:rsidR="00554670" w:rsidRPr="00623B18" w:rsidRDefault="00554670" w:rsidP="004C17BA">
      <w:pPr>
        <w:autoSpaceDE w:val="0"/>
        <w:autoSpaceDN w:val="0"/>
        <w:adjustRightInd w:val="0"/>
        <w:spacing w:line="276" w:lineRule="auto"/>
        <w:rPr>
          <w:rFonts w:cs="Times New Roman"/>
          <w:szCs w:val="24"/>
        </w:rPr>
      </w:pPr>
      <w:r w:rsidRPr="00623B18">
        <w:rPr>
          <w:rFonts w:cs="Times New Roman"/>
          <w:bCs/>
          <w:iCs/>
          <w:szCs w:val="24"/>
        </w:rPr>
        <w:t xml:space="preserve">Prior to conducting the one-way ANOVA, Levene’s test for homogeneity of variances was performed to assess whether the assumption of equal variances across family income groups was satisfied. The test was not statistically significant, F (2, 360) = 1.44, p = .238, indicating that the assumption of homogeneity of variances was met. Therefore, the standard one-way ANOVA was considered appropriate for analysing differences in student discipline scores across the income groups. The ANOVA </w:t>
      </w:r>
      <w:r>
        <w:rPr>
          <w:rFonts w:cs="Times New Roman"/>
          <w:bCs/>
          <w:iCs/>
          <w:szCs w:val="24"/>
        </w:rPr>
        <w:t>results of the test were</w:t>
      </w:r>
      <w:r w:rsidRPr="00623B18">
        <w:rPr>
          <w:rFonts w:cs="Times New Roman"/>
          <w:bCs/>
          <w:iCs/>
          <w:szCs w:val="24"/>
        </w:rPr>
        <w:t xml:space="preserve"> </w:t>
      </w:r>
      <w:r w:rsidRPr="00623B18">
        <w:rPr>
          <w:rFonts w:cs="Times New Roman"/>
          <w:szCs w:val="24"/>
        </w:rPr>
        <w:t xml:space="preserve">presented in Table </w:t>
      </w:r>
      <w:r w:rsidR="003F1A31">
        <w:rPr>
          <w:rFonts w:cs="Times New Roman"/>
          <w:szCs w:val="24"/>
        </w:rPr>
        <w:t>6</w:t>
      </w:r>
      <w:r w:rsidR="00560BA7">
        <w:rPr>
          <w:rFonts w:cs="Times New Roman"/>
          <w:szCs w:val="24"/>
        </w:rPr>
        <w:t>.</w:t>
      </w:r>
    </w:p>
    <w:p w14:paraId="3AB1A6C6" w14:textId="3C2D7F2B" w:rsidR="00554670" w:rsidRPr="00623B18" w:rsidRDefault="00554670" w:rsidP="00516FBC">
      <w:pPr>
        <w:pStyle w:val="Caption"/>
        <w:rPr>
          <w:rFonts w:cs="Times New Roman"/>
        </w:rPr>
      </w:pPr>
      <w:bookmarkStart w:id="19" w:name="_Toc234318394"/>
      <w:r w:rsidRPr="00623B18">
        <w:t xml:space="preserve">Table </w:t>
      </w:r>
      <w:r w:rsidR="00EE72BE">
        <w:t>6</w:t>
      </w:r>
      <w:r w:rsidR="004B02E0">
        <w:t>.</w:t>
      </w:r>
      <w:r w:rsidRPr="00623B18">
        <w:t xml:space="preserve"> One-Way ANOVA Results for Family Income and Student Discipline</w:t>
      </w:r>
      <w:bookmarkEnd w:id="19"/>
    </w:p>
    <w:tbl>
      <w:tblPr>
        <w:tblStyle w:val="TableGrid1"/>
        <w:tblW w:w="5014"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032"/>
        <w:gridCol w:w="742"/>
        <w:gridCol w:w="1039"/>
        <w:gridCol w:w="1035"/>
        <w:gridCol w:w="1186"/>
        <w:gridCol w:w="1037"/>
        <w:gridCol w:w="1186"/>
        <w:gridCol w:w="891"/>
        <w:gridCol w:w="878"/>
        <w:gridCol w:w="25"/>
      </w:tblGrid>
      <w:tr w:rsidR="00554670" w:rsidRPr="00623B18" w14:paraId="62160AB5" w14:textId="77777777" w:rsidTr="00C25885">
        <w:trPr>
          <w:gridAfter w:val="1"/>
          <w:wAfter w:w="14" w:type="pct"/>
        </w:trPr>
        <w:tc>
          <w:tcPr>
            <w:tcW w:w="4986" w:type="pct"/>
            <w:gridSpan w:val="9"/>
            <w:tcBorders>
              <w:top w:val="single" w:sz="6" w:space="0" w:color="auto"/>
            </w:tcBorders>
          </w:tcPr>
          <w:p w14:paraId="4C57DF15" w14:textId="77777777" w:rsidR="00554670" w:rsidRPr="00623B18" w:rsidRDefault="00554670" w:rsidP="005B7CA4">
            <w:pPr>
              <w:spacing w:line="276" w:lineRule="auto"/>
            </w:pPr>
            <w:r w:rsidRPr="00623B18">
              <w:rPr>
                <w:b/>
                <w:bCs/>
              </w:rPr>
              <w:t>Descriptives</w:t>
            </w:r>
          </w:p>
        </w:tc>
      </w:tr>
      <w:tr w:rsidR="00554670" w:rsidRPr="00623B18" w14:paraId="2AB89511" w14:textId="77777777" w:rsidTr="00C25885">
        <w:trPr>
          <w:gridAfter w:val="1"/>
          <w:wAfter w:w="14" w:type="pct"/>
        </w:trPr>
        <w:tc>
          <w:tcPr>
            <w:tcW w:w="4986" w:type="pct"/>
            <w:gridSpan w:val="9"/>
          </w:tcPr>
          <w:p w14:paraId="02A5B90B" w14:textId="77777777" w:rsidR="00554670" w:rsidRPr="00623B18" w:rsidRDefault="00554670" w:rsidP="005B7CA4">
            <w:pPr>
              <w:spacing w:line="276" w:lineRule="auto"/>
            </w:pPr>
            <w:r w:rsidRPr="00623B18">
              <w:t xml:space="preserve">AvgDiscpLevel  </w:t>
            </w:r>
          </w:p>
        </w:tc>
      </w:tr>
      <w:tr w:rsidR="00554670" w:rsidRPr="00623B18" w14:paraId="612446DB" w14:textId="77777777" w:rsidTr="00C25885">
        <w:tc>
          <w:tcPr>
            <w:tcW w:w="570" w:type="pct"/>
            <w:vMerge w:val="restart"/>
            <w:tcBorders>
              <w:top w:val="single" w:sz="6" w:space="0" w:color="auto"/>
              <w:bottom w:val="single" w:sz="6" w:space="0" w:color="auto"/>
            </w:tcBorders>
          </w:tcPr>
          <w:p w14:paraId="063B7E41" w14:textId="77777777" w:rsidR="00554670" w:rsidRPr="00623B18" w:rsidRDefault="00554670" w:rsidP="005B7CA4">
            <w:pPr>
              <w:spacing w:line="276" w:lineRule="auto"/>
            </w:pPr>
          </w:p>
        </w:tc>
        <w:tc>
          <w:tcPr>
            <w:tcW w:w="410" w:type="pct"/>
            <w:vMerge w:val="restart"/>
            <w:tcBorders>
              <w:top w:val="single" w:sz="6" w:space="0" w:color="auto"/>
              <w:bottom w:val="single" w:sz="6" w:space="0" w:color="auto"/>
            </w:tcBorders>
          </w:tcPr>
          <w:p w14:paraId="33673C43" w14:textId="77777777" w:rsidR="00554670" w:rsidRPr="00623B18" w:rsidRDefault="00554670" w:rsidP="005B7CA4">
            <w:pPr>
              <w:spacing w:line="276" w:lineRule="auto"/>
            </w:pPr>
            <w:r w:rsidRPr="00623B18">
              <w:t>N</w:t>
            </w:r>
          </w:p>
        </w:tc>
        <w:tc>
          <w:tcPr>
            <w:tcW w:w="574" w:type="pct"/>
            <w:vMerge w:val="restart"/>
            <w:tcBorders>
              <w:top w:val="single" w:sz="6" w:space="0" w:color="auto"/>
              <w:bottom w:val="single" w:sz="6" w:space="0" w:color="auto"/>
            </w:tcBorders>
          </w:tcPr>
          <w:p w14:paraId="1A7F961B" w14:textId="77777777" w:rsidR="00554670" w:rsidRPr="00623B18" w:rsidRDefault="00554670" w:rsidP="005B7CA4">
            <w:pPr>
              <w:spacing w:line="276" w:lineRule="auto"/>
            </w:pPr>
            <w:r w:rsidRPr="00623B18">
              <w:t>Mean</w:t>
            </w:r>
          </w:p>
        </w:tc>
        <w:tc>
          <w:tcPr>
            <w:tcW w:w="572" w:type="pct"/>
            <w:vMerge w:val="restart"/>
            <w:tcBorders>
              <w:top w:val="single" w:sz="6" w:space="0" w:color="auto"/>
              <w:bottom w:val="single" w:sz="6" w:space="0" w:color="auto"/>
            </w:tcBorders>
          </w:tcPr>
          <w:p w14:paraId="2BAE5364" w14:textId="77777777" w:rsidR="00554670" w:rsidRPr="00623B18" w:rsidRDefault="00554670" w:rsidP="005B7CA4">
            <w:pPr>
              <w:spacing w:line="276" w:lineRule="auto"/>
            </w:pPr>
            <w:r w:rsidRPr="00623B18">
              <w:t>Std. Deviation</w:t>
            </w:r>
          </w:p>
        </w:tc>
        <w:tc>
          <w:tcPr>
            <w:tcW w:w="655" w:type="pct"/>
            <w:vMerge w:val="restart"/>
            <w:tcBorders>
              <w:top w:val="single" w:sz="6" w:space="0" w:color="auto"/>
              <w:bottom w:val="single" w:sz="6" w:space="0" w:color="auto"/>
            </w:tcBorders>
          </w:tcPr>
          <w:p w14:paraId="59C1E50A" w14:textId="77777777" w:rsidR="00554670" w:rsidRPr="00623B18" w:rsidRDefault="00554670" w:rsidP="005B7CA4">
            <w:pPr>
              <w:spacing w:line="276" w:lineRule="auto"/>
            </w:pPr>
            <w:r w:rsidRPr="00623B18">
              <w:t>Std. Error</w:t>
            </w:r>
          </w:p>
        </w:tc>
        <w:tc>
          <w:tcPr>
            <w:tcW w:w="1228" w:type="pct"/>
            <w:gridSpan w:val="2"/>
            <w:tcBorders>
              <w:top w:val="single" w:sz="6" w:space="0" w:color="auto"/>
              <w:bottom w:val="single" w:sz="6" w:space="0" w:color="auto"/>
            </w:tcBorders>
          </w:tcPr>
          <w:p w14:paraId="7E7C95EF" w14:textId="77777777" w:rsidR="00554670" w:rsidRPr="00623B18" w:rsidRDefault="00554670" w:rsidP="005B7CA4">
            <w:pPr>
              <w:spacing w:line="276" w:lineRule="auto"/>
            </w:pPr>
            <w:r w:rsidRPr="00623B18">
              <w:t>95% Confidence Interval for Mean</w:t>
            </w:r>
          </w:p>
        </w:tc>
        <w:tc>
          <w:tcPr>
            <w:tcW w:w="492" w:type="pct"/>
            <w:vMerge w:val="restart"/>
            <w:tcBorders>
              <w:top w:val="single" w:sz="6" w:space="0" w:color="auto"/>
              <w:bottom w:val="single" w:sz="6" w:space="0" w:color="auto"/>
            </w:tcBorders>
          </w:tcPr>
          <w:p w14:paraId="0C90E1D8" w14:textId="77777777" w:rsidR="00554670" w:rsidRPr="00623B18" w:rsidRDefault="00554670" w:rsidP="005B7CA4">
            <w:pPr>
              <w:spacing w:line="276" w:lineRule="auto"/>
            </w:pPr>
            <w:r w:rsidRPr="00623B18">
              <w:t>Minimum</w:t>
            </w:r>
          </w:p>
        </w:tc>
        <w:tc>
          <w:tcPr>
            <w:tcW w:w="499" w:type="pct"/>
            <w:gridSpan w:val="2"/>
            <w:vMerge w:val="restart"/>
            <w:tcBorders>
              <w:top w:val="single" w:sz="6" w:space="0" w:color="auto"/>
              <w:bottom w:val="single" w:sz="6" w:space="0" w:color="auto"/>
            </w:tcBorders>
          </w:tcPr>
          <w:p w14:paraId="2D34E43A" w14:textId="77777777" w:rsidR="00554670" w:rsidRPr="00623B18" w:rsidRDefault="00554670" w:rsidP="005B7CA4">
            <w:pPr>
              <w:spacing w:line="276" w:lineRule="auto"/>
            </w:pPr>
            <w:r w:rsidRPr="00623B18">
              <w:t>Maximum</w:t>
            </w:r>
          </w:p>
        </w:tc>
      </w:tr>
      <w:tr w:rsidR="00554670" w:rsidRPr="00623B18" w14:paraId="033B9FCE" w14:textId="77777777" w:rsidTr="00C25885">
        <w:tc>
          <w:tcPr>
            <w:tcW w:w="570" w:type="pct"/>
            <w:vMerge/>
            <w:tcBorders>
              <w:top w:val="single" w:sz="6" w:space="0" w:color="auto"/>
              <w:bottom w:val="single" w:sz="6" w:space="0" w:color="auto"/>
            </w:tcBorders>
          </w:tcPr>
          <w:p w14:paraId="47BF2BD4" w14:textId="77777777" w:rsidR="00554670" w:rsidRPr="00623B18" w:rsidRDefault="00554670" w:rsidP="005B7CA4">
            <w:pPr>
              <w:spacing w:line="276" w:lineRule="auto"/>
            </w:pPr>
          </w:p>
        </w:tc>
        <w:tc>
          <w:tcPr>
            <w:tcW w:w="410" w:type="pct"/>
            <w:vMerge/>
            <w:tcBorders>
              <w:top w:val="single" w:sz="6" w:space="0" w:color="auto"/>
              <w:bottom w:val="single" w:sz="6" w:space="0" w:color="auto"/>
            </w:tcBorders>
          </w:tcPr>
          <w:p w14:paraId="0C014FEA" w14:textId="77777777" w:rsidR="00554670" w:rsidRPr="00623B18" w:rsidRDefault="00554670" w:rsidP="005B7CA4">
            <w:pPr>
              <w:spacing w:line="276" w:lineRule="auto"/>
            </w:pPr>
          </w:p>
        </w:tc>
        <w:tc>
          <w:tcPr>
            <w:tcW w:w="574" w:type="pct"/>
            <w:vMerge/>
            <w:tcBorders>
              <w:top w:val="single" w:sz="6" w:space="0" w:color="auto"/>
              <w:bottom w:val="single" w:sz="6" w:space="0" w:color="auto"/>
            </w:tcBorders>
          </w:tcPr>
          <w:p w14:paraId="29638D11" w14:textId="77777777" w:rsidR="00554670" w:rsidRPr="00623B18" w:rsidRDefault="00554670" w:rsidP="005B7CA4">
            <w:pPr>
              <w:spacing w:line="276" w:lineRule="auto"/>
            </w:pPr>
          </w:p>
        </w:tc>
        <w:tc>
          <w:tcPr>
            <w:tcW w:w="572" w:type="pct"/>
            <w:vMerge/>
            <w:tcBorders>
              <w:top w:val="single" w:sz="6" w:space="0" w:color="auto"/>
              <w:bottom w:val="single" w:sz="6" w:space="0" w:color="auto"/>
            </w:tcBorders>
          </w:tcPr>
          <w:p w14:paraId="6B277C78" w14:textId="77777777" w:rsidR="00554670" w:rsidRPr="00623B18" w:rsidRDefault="00554670" w:rsidP="005B7CA4">
            <w:pPr>
              <w:spacing w:line="276" w:lineRule="auto"/>
            </w:pPr>
          </w:p>
        </w:tc>
        <w:tc>
          <w:tcPr>
            <w:tcW w:w="655" w:type="pct"/>
            <w:vMerge/>
            <w:tcBorders>
              <w:top w:val="single" w:sz="6" w:space="0" w:color="auto"/>
              <w:bottom w:val="single" w:sz="6" w:space="0" w:color="auto"/>
            </w:tcBorders>
          </w:tcPr>
          <w:p w14:paraId="64DF09BE" w14:textId="77777777" w:rsidR="00554670" w:rsidRPr="00623B18" w:rsidRDefault="00554670" w:rsidP="005B7CA4">
            <w:pPr>
              <w:spacing w:line="276" w:lineRule="auto"/>
            </w:pPr>
          </w:p>
        </w:tc>
        <w:tc>
          <w:tcPr>
            <w:tcW w:w="573" w:type="pct"/>
            <w:tcBorders>
              <w:top w:val="single" w:sz="6" w:space="0" w:color="auto"/>
              <w:bottom w:val="single" w:sz="6" w:space="0" w:color="auto"/>
            </w:tcBorders>
          </w:tcPr>
          <w:p w14:paraId="5B85AB7E" w14:textId="77777777" w:rsidR="00554670" w:rsidRPr="00623B18" w:rsidRDefault="00554670" w:rsidP="005B7CA4">
            <w:pPr>
              <w:spacing w:line="276" w:lineRule="auto"/>
            </w:pPr>
            <w:r w:rsidRPr="00623B18">
              <w:t>Lower Bound</w:t>
            </w:r>
          </w:p>
        </w:tc>
        <w:tc>
          <w:tcPr>
            <w:tcW w:w="655" w:type="pct"/>
            <w:tcBorders>
              <w:top w:val="single" w:sz="6" w:space="0" w:color="auto"/>
              <w:bottom w:val="single" w:sz="6" w:space="0" w:color="auto"/>
            </w:tcBorders>
          </w:tcPr>
          <w:p w14:paraId="3210E913" w14:textId="77777777" w:rsidR="00554670" w:rsidRPr="00623B18" w:rsidRDefault="00554670" w:rsidP="005B7CA4">
            <w:pPr>
              <w:spacing w:line="276" w:lineRule="auto"/>
            </w:pPr>
            <w:r w:rsidRPr="00623B18">
              <w:t>Upper Bound</w:t>
            </w:r>
          </w:p>
        </w:tc>
        <w:tc>
          <w:tcPr>
            <w:tcW w:w="492" w:type="pct"/>
            <w:vMerge/>
            <w:tcBorders>
              <w:top w:val="single" w:sz="6" w:space="0" w:color="auto"/>
              <w:bottom w:val="single" w:sz="6" w:space="0" w:color="auto"/>
            </w:tcBorders>
          </w:tcPr>
          <w:p w14:paraId="4DCA51BF" w14:textId="77777777" w:rsidR="00554670" w:rsidRPr="00623B18" w:rsidRDefault="00554670" w:rsidP="005B7CA4">
            <w:pPr>
              <w:spacing w:line="276" w:lineRule="auto"/>
            </w:pPr>
          </w:p>
        </w:tc>
        <w:tc>
          <w:tcPr>
            <w:tcW w:w="499" w:type="pct"/>
            <w:gridSpan w:val="2"/>
            <w:vMerge/>
            <w:tcBorders>
              <w:top w:val="single" w:sz="6" w:space="0" w:color="auto"/>
              <w:bottom w:val="single" w:sz="6" w:space="0" w:color="auto"/>
            </w:tcBorders>
          </w:tcPr>
          <w:p w14:paraId="65AEF00A" w14:textId="77777777" w:rsidR="00554670" w:rsidRPr="00623B18" w:rsidRDefault="00554670" w:rsidP="005B7CA4">
            <w:pPr>
              <w:spacing w:line="276" w:lineRule="auto"/>
            </w:pPr>
          </w:p>
        </w:tc>
      </w:tr>
      <w:tr w:rsidR="00554670" w:rsidRPr="00623B18" w14:paraId="663FCD73" w14:textId="77777777" w:rsidTr="00C25885">
        <w:trPr>
          <w:trHeight w:val="1009"/>
        </w:trPr>
        <w:tc>
          <w:tcPr>
            <w:tcW w:w="570" w:type="pct"/>
            <w:tcBorders>
              <w:top w:val="single" w:sz="6" w:space="0" w:color="auto"/>
            </w:tcBorders>
          </w:tcPr>
          <w:p w14:paraId="216E5218" w14:textId="77777777" w:rsidR="00554670" w:rsidRPr="00623B18" w:rsidRDefault="00554670" w:rsidP="005B7CA4">
            <w:pPr>
              <w:spacing w:line="276" w:lineRule="auto"/>
            </w:pPr>
            <w:r w:rsidRPr="00623B18">
              <w:t>High income family</w:t>
            </w:r>
          </w:p>
        </w:tc>
        <w:tc>
          <w:tcPr>
            <w:tcW w:w="410" w:type="pct"/>
            <w:tcBorders>
              <w:top w:val="single" w:sz="6" w:space="0" w:color="auto"/>
            </w:tcBorders>
          </w:tcPr>
          <w:p w14:paraId="2050154D" w14:textId="77777777" w:rsidR="00554670" w:rsidRPr="00623B18" w:rsidRDefault="00554670" w:rsidP="005B7CA4">
            <w:pPr>
              <w:spacing w:line="276" w:lineRule="auto"/>
            </w:pPr>
            <w:r w:rsidRPr="00623B18">
              <w:t>23</w:t>
            </w:r>
          </w:p>
        </w:tc>
        <w:tc>
          <w:tcPr>
            <w:tcW w:w="574" w:type="pct"/>
            <w:tcBorders>
              <w:top w:val="single" w:sz="6" w:space="0" w:color="auto"/>
            </w:tcBorders>
          </w:tcPr>
          <w:p w14:paraId="3B4DE664" w14:textId="77777777" w:rsidR="00554670" w:rsidRPr="00623B18" w:rsidRDefault="00554670" w:rsidP="005B7CA4">
            <w:pPr>
              <w:spacing w:line="276" w:lineRule="auto"/>
            </w:pPr>
            <w:r w:rsidRPr="00623B18">
              <w:t>4.4152</w:t>
            </w:r>
          </w:p>
        </w:tc>
        <w:tc>
          <w:tcPr>
            <w:tcW w:w="572" w:type="pct"/>
            <w:tcBorders>
              <w:top w:val="single" w:sz="6" w:space="0" w:color="auto"/>
            </w:tcBorders>
          </w:tcPr>
          <w:p w14:paraId="368C65BE" w14:textId="77777777" w:rsidR="00554670" w:rsidRPr="00623B18" w:rsidRDefault="00554670" w:rsidP="005B7CA4">
            <w:pPr>
              <w:spacing w:line="276" w:lineRule="auto"/>
            </w:pPr>
            <w:r w:rsidRPr="00623B18">
              <w:t>.68886</w:t>
            </w:r>
          </w:p>
        </w:tc>
        <w:tc>
          <w:tcPr>
            <w:tcW w:w="655" w:type="pct"/>
            <w:tcBorders>
              <w:top w:val="single" w:sz="6" w:space="0" w:color="auto"/>
            </w:tcBorders>
          </w:tcPr>
          <w:p w14:paraId="4327F494" w14:textId="77777777" w:rsidR="00554670" w:rsidRPr="00623B18" w:rsidRDefault="00554670" w:rsidP="005B7CA4">
            <w:pPr>
              <w:spacing w:line="276" w:lineRule="auto"/>
            </w:pPr>
            <w:r w:rsidRPr="00623B18">
              <w:t>.14364</w:t>
            </w:r>
          </w:p>
        </w:tc>
        <w:tc>
          <w:tcPr>
            <w:tcW w:w="573" w:type="pct"/>
            <w:tcBorders>
              <w:top w:val="single" w:sz="6" w:space="0" w:color="auto"/>
            </w:tcBorders>
          </w:tcPr>
          <w:p w14:paraId="6EDEA156" w14:textId="77777777" w:rsidR="00554670" w:rsidRPr="00623B18" w:rsidRDefault="00554670" w:rsidP="005B7CA4">
            <w:pPr>
              <w:spacing w:line="276" w:lineRule="auto"/>
            </w:pPr>
            <w:r w:rsidRPr="00623B18">
              <w:t>3.8543</w:t>
            </w:r>
          </w:p>
        </w:tc>
        <w:tc>
          <w:tcPr>
            <w:tcW w:w="655" w:type="pct"/>
            <w:tcBorders>
              <w:top w:val="single" w:sz="6" w:space="0" w:color="auto"/>
            </w:tcBorders>
          </w:tcPr>
          <w:p w14:paraId="6DE05CB2" w14:textId="77777777" w:rsidR="00554670" w:rsidRPr="00623B18" w:rsidRDefault="00554670" w:rsidP="005B7CA4">
            <w:pPr>
              <w:spacing w:line="276" w:lineRule="auto"/>
            </w:pPr>
            <w:r w:rsidRPr="00623B18">
              <w:t>4.4501</w:t>
            </w:r>
          </w:p>
        </w:tc>
        <w:tc>
          <w:tcPr>
            <w:tcW w:w="492" w:type="pct"/>
            <w:tcBorders>
              <w:top w:val="single" w:sz="6" w:space="0" w:color="auto"/>
            </w:tcBorders>
          </w:tcPr>
          <w:p w14:paraId="53510DA0" w14:textId="77777777" w:rsidR="00554670" w:rsidRPr="00623B18" w:rsidRDefault="00554670" w:rsidP="005B7CA4">
            <w:pPr>
              <w:spacing w:line="276" w:lineRule="auto"/>
            </w:pPr>
            <w:r w:rsidRPr="00623B18">
              <w:t>2.17</w:t>
            </w:r>
          </w:p>
        </w:tc>
        <w:tc>
          <w:tcPr>
            <w:tcW w:w="499" w:type="pct"/>
            <w:gridSpan w:val="2"/>
            <w:tcBorders>
              <w:top w:val="single" w:sz="6" w:space="0" w:color="auto"/>
            </w:tcBorders>
          </w:tcPr>
          <w:p w14:paraId="6784A1CB" w14:textId="77777777" w:rsidR="00554670" w:rsidRPr="00623B18" w:rsidRDefault="00554670" w:rsidP="005B7CA4">
            <w:pPr>
              <w:spacing w:line="276" w:lineRule="auto"/>
            </w:pPr>
            <w:r w:rsidRPr="00623B18">
              <w:t>4.67</w:t>
            </w:r>
          </w:p>
        </w:tc>
      </w:tr>
      <w:tr w:rsidR="00554670" w:rsidRPr="00623B18" w14:paraId="49A3E640" w14:textId="77777777" w:rsidTr="00C25885">
        <w:trPr>
          <w:trHeight w:val="982"/>
        </w:trPr>
        <w:tc>
          <w:tcPr>
            <w:tcW w:w="570" w:type="pct"/>
          </w:tcPr>
          <w:p w14:paraId="38B9936A" w14:textId="77777777" w:rsidR="00554670" w:rsidRPr="00623B18" w:rsidRDefault="00554670" w:rsidP="005B7CA4">
            <w:pPr>
              <w:spacing w:line="276" w:lineRule="auto"/>
            </w:pPr>
            <w:r w:rsidRPr="00623B18">
              <w:t>Middle income family</w:t>
            </w:r>
          </w:p>
        </w:tc>
        <w:tc>
          <w:tcPr>
            <w:tcW w:w="410" w:type="pct"/>
          </w:tcPr>
          <w:p w14:paraId="42590CCB" w14:textId="77777777" w:rsidR="00554670" w:rsidRPr="00623B18" w:rsidRDefault="00554670" w:rsidP="005B7CA4">
            <w:pPr>
              <w:spacing w:line="276" w:lineRule="auto"/>
            </w:pPr>
            <w:r w:rsidRPr="00623B18">
              <w:t>232</w:t>
            </w:r>
          </w:p>
        </w:tc>
        <w:tc>
          <w:tcPr>
            <w:tcW w:w="574" w:type="pct"/>
          </w:tcPr>
          <w:p w14:paraId="6D4CA5EE" w14:textId="77777777" w:rsidR="00554670" w:rsidRPr="00623B18" w:rsidRDefault="00554670" w:rsidP="005B7CA4">
            <w:pPr>
              <w:spacing w:line="276" w:lineRule="auto"/>
            </w:pPr>
            <w:r w:rsidRPr="00623B18">
              <w:t>4.3966</w:t>
            </w:r>
          </w:p>
        </w:tc>
        <w:tc>
          <w:tcPr>
            <w:tcW w:w="572" w:type="pct"/>
          </w:tcPr>
          <w:p w14:paraId="308681AA" w14:textId="77777777" w:rsidR="00554670" w:rsidRPr="00623B18" w:rsidRDefault="00554670" w:rsidP="005B7CA4">
            <w:pPr>
              <w:spacing w:line="276" w:lineRule="auto"/>
            </w:pPr>
            <w:r w:rsidRPr="00623B18">
              <w:t>.45399</w:t>
            </w:r>
          </w:p>
        </w:tc>
        <w:tc>
          <w:tcPr>
            <w:tcW w:w="655" w:type="pct"/>
          </w:tcPr>
          <w:p w14:paraId="3329274F" w14:textId="77777777" w:rsidR="00554670" w:rsidRPr="00623B18" w:rsidRDefault="00554670" w:rsidP="005B7CA4">
            <w:pPr>
              <w:spacing w:line="276" w:lineRule="auto"/>
            </w:pPr>
            <w:r w:rsidRPr="00623B18">
              <w:t>.02981</w:t>
            </w:r>
          </w:p>
        </w:tc>
        <w:tc>
          <w:tcPr>
            <w:tcW w:w="573" w:type="pct"/>
          </w:tcPr>
          <w:p w14:paraId="4CD5BF4A" w14:textId="77777777" w:rsidR="00554670" w:rsidRPr="00623B18" w:rsidRDefault="00554670" w:rsidP="005B7CA4">
            <w:pPr>
              <w:spacing w:line="276" w:lineRule="auto"/>
            </w:pPr>
            <w:r w:rsidRPr="00623B18">
              <w:t>4.3565</w:t>
            </w:r>
          </w:p>
        </w:tc>
        <w:tc>
          <w:tcPr>
            <w:tcW w:w="655" w:type="pct"/>
          </w:tcPr>
          <w:p w14:paraId="3F185F90" w14:textId="77777777" w:rsidR="00554670" w:rsidRPr="00623B18" w:rsidRDefault="00554670" w:rsidP="005B7CA4">
            <w:pPr>
              <w:spacing w:line="276" w:lineRule="auto"/>
            </w:pPr>
            <w:r w:rsidRPr="00623B18">
              <w:t>4.4740</w:t>
            </w:r>
          </w:p>
        </w:tc>
        <w:tc>
          <w:tcPr>
            <w:tcW w:w="492" w:type="pct"/>
          </w:tcPr>
          <w:p w14:paraId="2516DD73" w14:textId="77777777" w:rsidR="00554670" w:rsidRPr="00623B18" w:rsidRDefault="00554670" w:rsidP="005B7CA4">
            <w:pPr>
              <w:spacing w:line="276" w:lineRule="auto"/>
            </w:pPr>
            <w:r w:rsidRPr="00623B18">
              <w:t>3.17</w:t>
            </w:r>
          </w:p>
        </w:tc>
        <w:tc>
          <w:tcPr>
            <w:tcW w:w="499" w:type="pct"/>
            <w:gridSpan w:val="2"/>
          </w:tcPr>
          <w:p w14:paraId="793A38D9" w14:textId="77777777" w:rsidR="00554670" w:rsidRPr="00623B18" w:rsidRDefault="00554670" w:rsidP="005B7CA4">
            <w:pPr>
              <w:spacing w:line="276" w:lineRule="auto"/>
            </w:pPr>
            <w:r w:rsidRPr="00623B18">
              <w:t>5.00</w:t>
            </w:r>
          </w:p>
        </w:tc>
      </w:tr>
      <w:tr w:rsidR="00554670" w:rsidRPr="00623B18" w14:paraId="6563DB3B" w14:textId="77777777" w:rsidTr="00C25885">
        <w:tc>
          <w:tcPr>
            <w:tcW w:w="570" w:type="pct"/>
          </w:tcPr>
          <w:p w14:paraId="2FC5042F" w14:textId="77777777" w:rsidR="00554670" w:rsidRPr="00623B18" w:rsidRDefault="00554670" w:rsidP="005B7CA4">
            <w:pPr>
              <w:spacing w:line="276" w:lineRule="auto"/>
            </w:pPr>
            <w:r w:rsidRPr="00623B18">
              <w:t>Low-income family</w:t>
            </w:r>
          </w:p>
        </w:tc>
        <w:tc>
          <w:tcPr>
            <w:tcW w:w="410" w:type="pct"/>
          </w:tcPr>
          <w:p w14:paraId="343E5E3C" w14:textId="77777777" w:rsidR="00554670" w:rsidRPr="00623B18" w:rsidRDefault="00554670" w:rsidP="005B7CA4">
            <w:pPr>
              <w:spacing w:line="276" w:lineRule="auto"/>
            </w:pPr>
            <w:r w:rsidRPr="00623B18">
              <w:t>108</w:t>
            </w:r>
          </w:p>
        </w:tc>
        <w:tc>
          <w:tcPr>
            <w:tcW w:w="574" w:type="pct"/>
          </w:tcPr>
          <w:p w14:paraId="57B1F17F" w14:textId="77777777" w:rsidR="00554670" w:rsidRPr="00623B18" w:rsidRDefault="00554670" w:rsidP="005B7CA4">
            <w:pPr>
              <w:spacing w:line="276" w:lineRule="auto"/>
            </w:pPr>
            <w:r w:rsidRPr="00623B18">
              <w:t>4.1522</w:t>
            </w:r>
          </w:p>
        </w:tc>
        <w:tc>
          <w:tcPr>
            <w:tcW w:w="572" w:type="pct"/>
          </w:tcPr>
          <w:p w14:paraId="608A7CD6" w14:textId="77777777" w:rsidR="00554670" w:rsidRPr="00623B18" w:rsidRDefault="00554670" w:rsidP="005B7CA4">
            <w:pPr>
              <w:spacing w:line="276" w:lineRule="auto"/>
            </w:pPr>
            <w:r w:rsidRPr="00623B18">
              <w:t>.49907</w:t>
            </w:r>
          </w:p>
        </w:tc>
        <w:tc>
          <w:tcPr>
            <w:tcW w:w="655" w:type="pct"/>
          </w:tcPr>
          <w:p w14:paraId="3BE40691" w14:textId="77777777" w:rsidR="00554670" w:rsidRPr="00623B18" w:rsidRDefault="00554670" w:rsidP="005B7CA4">
            <w:pPr>
              <w:spacing w:line="276" w:lineRule="auto"/>
            </w:pPr>
            <w:r w:rsidRPr="00623B18">
              <w:t>.04802</w:t>
            </w:r>
          </w:p>
        </w:tc>
        <w:tc>
          <w:tcPr>
            <w:tcW w:w="573" w:type="pct"/>
          </w:tcPr>
          <w:p w14:paraId="35DCC6F0" w14:textId="77777777" w:rsidR="00554670" w:rsidRPr="00623B18" w:rsidRDefault="00554670" w:rsidP="005B7CA4">
            <w:pPr>
              <w:spacing w:line="276" w:lineRule="auto"/>
            </w:pPr>
            <w:r w:rsidRPr="00623B18">
              <w:t>4.3014</w:t>
            </w:r>
          </w:p>
        </w:tc>
        <w:tc>
          <w:tcPr>
            <w:tcW w:w="655" w:type="pct"/>
          </w:tcPr>
          <w:p w14:paraId="71C8ABFE" w14:textId="77777777" w:rsidR="00554670" w:rsidRPr="00623B18" w:rsidRDefault="00554670" w:rsidP="005B7CA4">
            <w:pPr>
              <w:spacing w:line="276" w:lineRule="auto"/>
            </w:pPr>
            <w:r w:rsidRPr="00623B18">
              <w:t>4.4918</w:t>
            </w:r>
          </w:p>
        </w:tc>
        <w:tc>
          <w:tcPr>
            <w:tcW w:w="492" w:type="pct"/>
          </w:tcPr>
          <w:p w14:paraId="3A7B2210" w14:textId="77777777" w:rsidR="00554670" w:rsidRPr="00623B18" w:rsidRDefault="00554670" w:rsidP="005B7CA4">
            <w:pPr>
              <w:spacing w:line="276" w:lineRule="auto"/>
            </w:pPr>
            <w:r w:rsidRPr="00623B18">
              <w:t>3.17</w:t>
            </w:r>
          </w:p>
        </w:tc>
        <w:tc>
          <w:tcPr>
            <w:tcW w:w="499" w:type="pct"/>
            <w:gridSpan w:val="2"/>
          </w:tcPr>
          <w:p w14:paraId="20D6A425" w14:textId="77777777" w:rsidR="00554670" w:rsidRPr="00623B18" w:rsidRDefault="00554670" w:rsidP="005B7CA4">
            <w:pPr>
              <w:spacing w:line="276" w:lineRule="auto"/>
            </w:pPr>
            <w:r w:rsidRPr="00623B18">
              <w:t>5.00</w:t>
            </w:r>
          </w:p>
        </w:tc>
      </w:tr>
      <w:tr w:rsidR="00554670" w:rsidRPr="00623B18" w14:paraId="6B9575E7" w14:textId="77777777" w:rsidTr="00C25885">
        <w:tc>
          <w:tcPr>
            <w:tcW w:w="570" w:type="pct"/>
            <w:tcBorders>
              <w:bottom w:val="single" w:sz="6" w:space="0" w:color="auto"/>
            </w:tcBorders>
          </w:tcPr>
          <w:p w14:paraId="42DE64B0" w14:textId="77777777" w:rsidR="00554670" w:rsidRPr="00623B18" w:rsidRDefault="00554670" w:rsidP="005B7CA4">
            <w:pPr>
              <w:spacing w:line="276" w:lineRule="auto"/>
            </w:pPr>
            <w:r w:rsidRPr="00623B18">
              <w:t>Total</w:t>
            </w:r>
          </w:p>
        </w:tc>
        <w:tc>
          <w:tcPr>
            <w:tcW w:w="410" w:type="pct"/>
            <w:tcBorders>
              <w:bottom w:val="single" w:sz="6" w:space="0" w:color="auto"/>
            </w:tcBorders>
          </w:tcPr>
          <w:p w14:paraId="68C9903F" w14:textId="77777777" w:rsidR="00554670" w:rsidRPr="00623B18" w:rsidRDefault="00554670" w:rsidP="005B7CA4">
            <w:pPr>
              <w:spacing w:line="276" w:lineRule="auto"/>
            </w:pPr>
            <w:r w:rsidRPr="00623B18">
              <w:t>363</w:t>
            </w:r>
          </w:p>
        </w:tc>
        <w:tc>
          <w:tcPr>
            <w:tcW w:w="574" w:type="pct"/>
            <w:tcBorders>
              <w:bottom w:val="single" w:sz="6" w:space="0" w:color="auto"/>
            </w:tcBorders>
          </w:tcPr>
          <w:p w14:paraId="17AFB8B3" w14:textId="77777777" w:rsidR="00554670" w:rsidRPr="00623B18" w:rsidRDefault="00554670" w:rsidP="005B7CA4">
            <w:pPr>
              <w:spacing w:line="276" w:lineRule="auto"/>
            </w:pPr>
            <w:r w:rsidRPr="00623B18">
              <w:t>4.3930</w:t>
            </w:r>
          </w:p>
        </w:tc>
        <w:tc>
          <w:tcPr>
            <w:tcW w:w="572" w:type="pct"/>
            <w:tcBorders>
              <w:bottom w:val="single" w:sz="6" w:space="0" w:color="auto"/>
            </w:tcBorders>
          </w:tcPr>
          <w:p w14:paraId="4B4D6F83" w14:textId="77777777" w:rsidR="00554670" w:rsidRPr="00623B18" w:rsidRDefault="00554670" w:rsidP="005B7CA4">
            <w:pPr>
              <w:spacing w:line="276" w:lineRule="auto"/>
            </w:pPr>
            <w:r w:rsidRPr="00623B18">
              <w:t>.48784</w:t>
            </w:r>
          </w:p>
        </w:tc>
        <w:tc>
          <w:tcPr>
            <w:tcW w:w="655" w:type="pct"/>
            <w:tcBorders>
              <w:bottom w:val="single" w:sz="6" w:space="0" w:color="auto"/>
            </w:tcBorders>
          </w:tcPr>
          <w:p w14:paraId="74BBCF2D" w14:textId="77777777" w:rsidR="00554670" w:rsidRPr="00623B18" w:rsidRDefault="00554670" w:rsidP="005B7CA4">
            <w:pPr>
              <w:spacing w:line="276" w:lineRule="auto"/>
            </w:pPr>
            <w:r w:rsidRPr="00623B18">
              <w:t>.02560</w:t>
            </w:r>
          </w:p>
        </w:tc>
        <w:tc>
          <w:tcPr>
            <w:tcW w:w="573" w:type="pct"/>
            <w:tcBorders>
              <w:bottom w:val="single" w:sz="6" w:space="0" w:color="auto"/>
            </w:tcBorders>
          </w:tcPr>
          <w:p w14:paraId="6407E256" w14:textId="77777777" w:rsidR="00554670" w:rsidRPr="00623B18" w:rsidRDefault="00554670" w:rsidP="005B7CA4">
            <w:pPr>
              <w:spacing w:line="276" w:lineRule="auto"/>
            </w:pPr>
            <w:r w:rsidRPr="00623B18">
              <w:t>4.3427</w:t>
            </w:r>
          </w:p>
        </w:tc>
        <w:tc>
          <w:tcPr>
            <w:tcW w:w="655" w:type="pct"/>
            <w:tcBorders>
              <w:bottom w:val="single" w:sz="6" w:space="0" w:color="auto"/>
            </w:tcBorders>
          </w:tcPr>
          <w:p w14:paraId="1D82FA26" w14:textId="77777777" w:rsidR="00554670" w:rsidRPr="00623B18" w:rsidRDefault="00554670" w:rsidP="005B7CA4">
            <w:pPr>
              <w:spacing w:line="276" w:lineRule="auto"/>
            </w:pPr>
            <w:r w:rsidRPr="00623B18">
              <w:t>4.4434</w:t>
            </w:r>
          </w:p>
        </w:tc>
        <w:tc>
          <w:tcPr>
            <w:tcW w:w="492" w:type="pct"/>
            <w:tcBorders>
              <w:bottom w:val="single" w:sz="6" w:space="0" w:color="auto"/>
            </w:tcBorders>
          </w:tcPr>
          <w:p w14:paraId="44C355C7" w14:textId="77777777" w:rsidR="00554670" w:rsidRPr="00623B18" w:rsidRDefault="00554670" w:rsidP="005B7CA4">
            <w:pPr>
              <w:spacing w:line="276" w:lineRule="auto"/>
            </w:pPr>
            <w:r w:rsidRPr="00623B18">
              <w:t>2.17</w:t>
            </w:r>
          </w:p>
        </w:tc>
        <w:tc>
          <w:tcPr>
            <w:tcW w:w="499" w:type="pct"/>
            <w:gridSpan w:val="2"/>
            <w:tcBorders>
              <w:bottom w:val="single" w:sz="6" w:space="0" w:color="auto"/>
            </w:tcBorders>
          </w:tcPr>
          <w:p w14:paraId="14BE8232" w14:textId="77777777" w:rsidR="00554670" w:rsidRPr="00623B18" w:rsidRDefault="00554670" w:rsidP="005B7CA4">
            <w:pPr>
              <w:spacing w:line="276" w:lineRule="auto"/>
            </w:pPr>
            <w:r w:rsidRPr="00623B18">
              <w:t>5.00</w:t>
            </w:r>
          </w:p>
        </w:tc>
      </w:tr>
    </w:tbl>
    <w:p w14:paraId="5FD91288" w14:textId="77777777" w:rsidR="00554670" w:rsidRPr="00623B18" w:rsidRDefault="00554670" w:rsidP="005B7CA4">
      <w:pPr>
        <w:autoSpaceDE w:val="0"/>
        <w:autoSpaceDN w:val="0"/>
        <w:adjustRightInd w:val="0"/>
        <w:spacing w:after="0" w:line="276" w:lineRule="auto"/>
        <w:ind w:left="720" w:hanging="720"/>
        <w:rPr>
          <w:rFonts w:cs="Times New Roman"/>
          <w:szCs w:val="24"/>
        </w:rPr>
      </w:pPr>
    </w:p>
    <w:tbl>
      <w:tblPr>
        <w:tblStyle w:val="TableGrid1"/>
        <w:tblW w:w="5000" w:type="pct"/>
        <w:tblInd w:w="5" w:type="dxa"/>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000" w:firstRow="0" w:lastRow="0" w:firstColumn="0" w:lastColumn="0" w:noHBand="0" w:noVBand="0"/>
      </w:tblPr>
      <w:tblGrid>
        <w:gridCol w:w="1994"/>
        <w:gridCol w:w="2004"/>
        <w:gridCol w:w="966"/>
        <w:gridCol w:w="1677"/>
        <w:gridCol w:w="1195"/>
        <w:gridCol w:w="1190"/>
      </w:tblGrid>
      <w:tr w:rsidR="00554670" w:rsidRPr="00623B18" w14:paraId="58364174" w14:textId="77777777" w:rsidTr="00C25885">
        <w:tc>
          <w:tcPr>
            <w:tcW w:w="5000" w:type="pct"/>
            <w:gridSpan w:val="6"/>
            <w:tcBorders>
              <w:top w:val="nil"/>
              <w:bottom w:val="single" w:sz="6" w:space="0" w:color="auto"/>
            </w:tcBorders>
          </w:tcPr>
          <w:p w14:paraId="25A8CFBD" w14:textId="77777777" w:rsidR="00554670" w:rsidRPr="00623B18" w:rsidRDefault="00554670" w:rsidP="005B7CA4">
            <w:pPr>
              <w:spacing w:line="276" w:lineRule="auto"/>
              <w:rPr>
                <w:b/>
                <w:bCs/>
              </w:rPr>
            </w:pPr>
            <w:r w:rsidRPr="00623B18">
              <w:rPr>
                <w:b/>
                <w:bCs/>
              </w:rPr>
              <w:t>ANOVA</w:t>
            </w:r>
          </w:p>
        </w:tc>
      </w:tr>
      <w:tr w:rsidR="00554670" w:rsidRPr="00623B18" w14:paraId="413B2A38" w14:textId="77777777" w:rsidTr="00C25885">
        <w:tc>
          <w:tcPr>
            <w:tcW w:w="5000" w:type="pct"/>
            <w:gridSpan w:val="6"/>
            <w:tcBorders>
              <w:top w:val="single" w:sz="6" w:space="0" w:color="auto"/>
              <w:bottom w:val="nil"/>
            </w:tcBorders>
          </w:tcPr>
          <w:p w14:paraId="3479D708" w14:textId="77777777" w:rsidR="00554670" w:rsidRPr="00623B18" w:rsidRDefault="00554670" w:rsidP="005B7CA4">
            <w:pPr>
              <w:spacing w:line="276" w:lineRule="auto"/>
            </w:pPr>
            <w:r w:rsidRPr="00623B18">
              <w:t xml:space="preserve">AvgDiscpLevel  </w:t>
            </w:r>
          </w:p>
        </w:tc>
      </w:tr>
      <w:tr w:rsidR="00554670" w:rsidRPr="00623B18" w14:paraId="1893AB8A" w14:textId="77777777" w:rsidTr="00C25885">
        <w:tc>
          <w:tcPr>
            <w:tcW w:w="1105" w:type="pct"/>
            <w:tcBorders>
              <w:top w:val="nil"/>
              <w:bottom w:val="single" w:sz="6" w:space="0" w:color="auto"/>
            </w:tcBorders>
          </w:tcPr>
          <w:p w14:paraId="15CF77CB" w14:textId="77777777" w:rsidR="00554670" w:rsidRPr="00623B18" w:rsidRDefault="00554670" w:rsidP="005B7CA4">
            <w:pPr>
              <w:spacing w:line="276" w:lineRule="auto"/>
            </w:pPr>
          </w:p>
        </w:tc>
        <w:tc>
          <w:tcPr>
            <w:tcW w:w="1110" w:type="pct"/>
            <w:tcBorders>
              <w:top w:val="nil"/>
              <w:bottom w:val="single" w:sz="6" w:space="0" w:color="auto"/>
            </w:tcBorders>
          </w:tcPr>
          <w:p w14:paraId="53336B3B" w14:textId="77777777" w:rsidR="00554670" w:rsidRPr="00623B18" w:rsidRDefault="00554670" w:rsidP="005B7CA4">
            <w:pPr>
              <w:spacing w:line="276" w:lineRule="auto"/>
            </w:pPr>
            <w:r w:rsidRPr="00623B18">
              <w:t>Sum of Squares</w:t>
            </w:r>
          </w:p>
        </w:tc>
        <w:tc>
          <w:tcPr>
            <w:tcW w:w="535" w:type="pct"/>
            <w:tcBorders>
              <w:top w:val="nil"/>
              <w:bottom w:val="single" w:sz="6" w:space="0" w:color="auto"/>
            </w:tcBorders>
          </w:tcPr>
          <w:p w14:paraId="76A59105" w14:textId="77777777" w:rsidR="00554670" w:rsidRPr="00623B18" w:rsidRDefault="00554670" w:rsidP="005B7CA4">
            <w:pPr>
              <w:spacing w:line="276" w:lineRule="auto"/>
            </w:pPr>
            <w:r w:rsidRPr="00623B18">
              <w:t>df</w:t>
            </w:r>
          </w:p>
        </w:tc>
        <w:tc>
          <w:tcPr>
            <w:tcW w:w="929" w:type="pct"/>
            <w:tcBorders>
              <w:top w:val="nil"/>
              <w:bottom w:val="single" w:sz="6" w:space="0" w:color="auto"/>
            </w:tcBorders>
          </w:tcPr>
          <w:p w14:paraId="48B95DCF" w14:textId="77777777" w:rsidR="00554670" w:rsidRPr="00623B18" w:rsidRDefault="00554670" w:rsidP="005B7CA4">
            <w:pPr>
              <w:spacing w:line="276" w:lineRule="auto"/>
            </w:pPr>
            <w:r w:rsidRPr="00623B18">
              <w:t>Mean Square</w:t>
            </w:r>
          </w:p>
        </w:tc>
        <w:tc>
          <w:tcPr>
            <w:tcW w:w="662" w:type="pct"/>
            <w:tcBorders>
              <w:top w:val="nil"/>
              <w:bottom w:val="single" w:sz="6" w:space="0" w:color="auto"/>
            </w:tcBorders>
          </w:tcPr>
          <w:p w14:paraId="0A50A4BF" w14:textId="77777777" w:rsidR="00554670" w:rsidRPr="00623B18" w:rsidRDefault="00554670" w:rsidP="005B7CA4">
            <w:pPr>
              <w:spacing w:line="276" w:lineRule="auto"/>
            </w:pPr>
            <w:r w:rsidRPr="00623B18">
              <w:t>F</w:t>
            </w:r>
          </w:p>
        </w:tc>
        <w:tc>
          <w:tcPr>
            <w:tcW w:w="659" w:type="pct"/>
            <w:tcBorders>
              <w:top w:val="nil"/>
              <w:bottom w:val="single" w:sz="6" w:space="0" w:color="auto"/>
            </w:tcBorders>
          </w:tcPr>
          <w:p w14:paraId="52CCDEFF" w14:textId="77777777" w:rsidR="00554670" w:rsidRPr="00623B18" w:rsidRDefault="00554670" w:rsidP="005B7CA4">
            <w:pPr>
              <w:spacing w:line="276" w:lineRule="auto"/>
            </w:pPr>
            <w:r w:rsidRPr="00623B18">
              <w:t>Sig.</w:t>
            </w:r>
          </w:p>
        </w:tc>
      </w:tr>
      <w:tr w:rsidR="00554670" w:rsidRPr="00623B18" w14:paraId="4E9AD7CA" w14:textId="77777777" w:rsidTr="00C25885">
        <w:tc>
          <w:tcPr>
            <w:tcW w:w="1105" w:type="pct"/>
            <w:tcBorders>
              <w:top w:val="single" w:sz="6" w:space="0" w:color="auto"/>
            </w:tcBorders>
          </w:tcPr>
          <w:p w14:paraId="74288ADF" w14:textId="77777777" w:rsidR="00554670" w:rsidRPr="00623B18" w:rsidRDefault="00554670" w:rsidP="005B7CA4">
            <w:pPr>
              <w:spacing w:line="276" w:lineRule="auto"/>
            </w:pPr>
            <w:r w:rsidRPr="00623B18">
              <w:lastRenderedPageBreak/>
              <w:t>Between Groups</w:t>
            </w:r>
          </w:p>
        </w:tc>
        <w:tc>
          <w:tcPr>
            <w:tcW w:w="1110" w:type="pct"/>
            <w:tcBorders>
              <w:top w:val="single" w:sz="6" w:space="0" w:color="auto"/>
            </w:tcBorders>
          </w:tcPr>
          <w:p w14:paraId="526480A0" w14:textId="77777777" w:rsidR="00554670" w:rsidRPr="00623B18" w:rsidRDefault="00554670" w:rsidP="005B7CA4">
            <w:pPr>
              <w:spacing w:line="276" w:lineRule="auto"/>
            </w:pPr>
            <w:r w:rsidRPr="00623B18">
              <w:t>1.450</w:t>
            </w:r>
          </w:p>
        </w:tc>
        <w:tc>
          <w:tcPr>
            <w:tcW w:w="535" w:type="pct"/>
            <w:tcBorders>
              <w:top w:val="single" w:sz="6" w:space="0" w:color="auto"/>
            </w:tcBorders>
          </w:tcPr>
          <w:p w14:paraId="74A75E73" w14:textId="77777777" w:rsidR="00554670" w:rsidRPr="00623B18" w:rsidRDefault="00554670" w:rsidP="005B7CA4">
            <w:pPr>
              <w:spacing w:line="276" w:lineRule="auto"/>
            </w:pPr>
            <w:r w:rsidRPr="00623B18">
              <w:t>2</w:t>
            </w:r>
          </w:p>
        </w:tc>
        <w:tc>
          <w:tcPr>
            <w:tcW w:w="929" w:type="pct"/>
            <w:tcBorders>
              <w:top w:val="single" w:sz="6" w:space="0" w:color="auto"/>
            </w:tcBorders>
          </w:tcPr>
          <w:p w14:paraId="53DF6A4C" w14:textId="77777777" w:rsidR="00554670" w:rsidRPr="00623B18" w:rsidRDefault="00554670" w:rsidP="005B7CA4">
            <w:pPr>
              <w:spacing w:line="276" w:lineRule="auto"/>
            </w:pPr>
            <w:r w:rsidRPr="00623B18">
              <w:t>.725</w:t>
            </w:r>
          </w:p>
        </w:tc>
        <w:tc>
          <w:tcPr>
            <w:tcW w:w="662" w:type="pct"/>
            <w:tcBorders>
              <w:top w:val="single" w:sz="6" w:space="0" w:color="auto"/>
            </w:tcBorders>
          </w:tcPr>
          <w:p w14:paraId="3CFDBDA7" w14:textId="77777777" w:rsidR="00554670" w:rsidRPr="00623B18" w:rsidRDefault="00554670" w:rsidP="005B7CA4">
            <w:pPr>
              <w:spacing w:line="276" w:lineRule="auto"/>
            </w:pPr>
            <w:r w:rsidRPr="00623B18">
              <w:t>3.081</w:t>
            </w:r>
          </w:p>
        </w:tc>
        <w:tc>
          <w:tcPr>
            <w:tcW w:w="659" w:type="pct"/>
            <w:tcBorders>
              <w:top w:val="single" w:sz="6" w:space="0" w:color="auto"/>
            </w:tcBorders>
          </w:tcPr>
          <w:p w14:paraId="6D61738D" w14:textId="77777777" w:rsidR="00554670" w:rsidRPr="00623B18" w:rsidRDefault="00554670" w:rsidP="005B7CA4">
            <w:pPr>
              <w:spacing w:line="276" w:lineRule="auto"/>
            </w:pPr>
            <w:r w:rsidRPr="00623B18">
              <w:t>.047</w:t>
            </w:r>
          </w:p>
        </w:tc>
      </w:tr>
      <w:tr w:rsidR="00554670" w:rsidRPr="00623B18" w14:paraId="295BAC93" w14:textId="77777777" w:rsidTr="00C25885">
        <w:tc>
          <w:tcPr>
            <w:tcW w:w="1105" w:type="pct"/>
          </w:tcPr>
          <w:p w14:paraId="25554C0F" w14:textId="77777777" w:rsidR="00554670" w:rsidRPr="00623B18" w:rsidRDefault="00554670" w:rsidP="005B7CA4">
            <w:pPr>
              <w:spacing w:line="276" w:lineRule="auto"/>
            </w:pPr>
            <w:r w:rsidRPr="00623B18">
              <w:t>Within Groups</w:t>
            </w:r>
          </w:p>
        </w:tc>
        <w:tc>
          <w:tcPr>
            <w:tcW w:w="1110" w:type="pct"/>
          </w:tcPr>
          <w:p w14:paraId="54538F99" w14:textId="77777777" w:rsidR="00554670" w:rsidRPr="00623B18" w:rsidRDefault="00554670" w:rsidP="005B7CA4">
            <w:pPr>
              <w:spacing w:line="276" w:lineRule="auto"/>
            </w:pPr>
            <w:r w:rsidRPr="00623B18">
              <w:t>84.701</w:t>
            </w:r>
          </w:p>
        </w:tc>
        <w:tc>
          <w:tcPr>
            <w:tcW w:w="535" w:type="pct"/>
          </w:tcPr>
          <w:p w14:paraId="24B8CA9C" w14:textId="77777777" w:rsidR="00554670" w:rsidRPr="00623B18" w:rsidRDefault="00554670" w:rsidP="005B7CA4">
            <w:pPr>
              <w:spacing w:line="276" w:lineRule="auto"/>
            </w:pPr>
            <w:r w:rsidRPr="00623B18">
              <w:t>360</w:t>
            </w:r>
          </w:p>
        </w:tc>
        <w:tc>
          <w:tcPr>
            <w:tcW w:w="929" w:type="pct"/>
          </w:tcPr>
          <w:p w14:paraId="604176F8" w14:textId="77777777" w:rsidR="00554670" w:rsidRPr="00623B18" w:rsidRDefault="00554670" w:rsidP="005B7CA4">
            <w:pPr>
              <w:spacing w:line="276" w:lineRule="auto"/>
            </w:pPr>
            <w:r w:rsidRPr="00623B18">
              <w:t>.235</w:t>
            </w:r>
          </w:p>
        </w:tc>
        <w:tc>
          <w:tcPr>
            <w:tcW w:w="662" w:type="pct"/>
          </w:tcPr>
          <w:p w14:paraId="4A7E000E" w14:textId="77777777" w:rsidR="00554670" w:rsidRPr="00623B18" w:rsidRDefault="00554670" w:rsidP="005B7CA4">
            <w:pPr>
              <w:spacing w:line="276" w:lineRule="auto"/>
            </w:pPr>
          </w:p>
        </w:tc>
        <w:tc>
          <w:tcPr>
            <w:tcW w:w="659" w:type="pct"/>
          </w:tcPr>
          <w:p w14:paraId="5ED4EB81" w14:textId="77777777" w:rsidR="00554670" w:rsidRPr="00623B18" w:rsidRDefault="00554670" w:rsidP="005B7CA4">
            <w:pPr>
              <w:spacing w:line="276" w:lineRule="auto"/>
            </w:pPr>
          </w:p>
        </w:tc>
      </w:tr>
      <w:tr w:rsidR="00554670" w:rsidRPr="00623B18" w14:paraId="7A67A590" w14:textId="77777777" w:rsidTr="00C25885">
        <w:tc>
          <w:tcPr>
            <w:tcW w:w="1105" w:type="pct"/>
          </w:tcPr>
          <w:p w14:paraId="3CF84EC8" w14:textId="77777777" w:rsidR="00554670" w:rsidRPr="00623B18" w:rsidRDefault="00554670" w:rsidP="005B7CA4">
            <w:pPr>
              <w:spacing w:line="276" w:lineRule="auto"/>
            </w:pPr>
            <w:r w:rsidRPr="00623B18">
              <w:t>Total</w:t>
            </w:r>
          </w:p>
        </w:tc>
        <w:tc>
          <w:tcPr>
            <w:tcW w:w="1110" w:type="pct"/>
          </w:tcPr>
          <w:p w14:paraId="1CF31E28" w14:textId="77777777" w:rsidR="00554670" w:rsidRPr="00623B18" w:rsidRDefault="00554670" w:rsidP="005B7CA4">
            <w:pPr>
              <w:spacing w:line="276" w:lineRule="auto"/>
            </w:pPr>
            <w:r w:rsidRPr="00623B18">
              <w:t>86.151</w:t>
            </w:r>
          </w:p>
        </w:tc>
        <w:tc>
          <w:tcPr>
            <w:tcW w:w="535" w:type="pct"/>
          </w:tcPr>
          <w:p w14:paraId="35D8B3A8" w14:textId="77777777" w:rsidR="00554670" w:rsidRPr="00623B18" w:rsidRDefault="00554670" w:rsidP="005B7CA4">
            <w:pPr>
              <w:spacing w:line="276" w:lineRule="auto"/>
            </w:pPr>
            <w:r w:rsidRPr="00623B18">
              <w:t>362</w:t>
            </w:r>
          </w:p>
        </w:tc>
        <w:tc>
          <w:tcPr>
            <w:tcW w:w="929" w:type="pct"/>
          </w:tcPr>
          <w:p w14:paraId="557106AD" w14:textId="77777777" w:rsidR="00554670" w:rsidRPr="00623B18" w:rsidRDefault="00554670" w:rsidP="005B7CA4">
            <w:pPr>
              <w:spacing w:line="276" w:lineRule="auto"/>
            </w:pPr>
          </w:p>
        </w:tc>
        <w:tc>
          <w:tcPr>
            <w:tcW w:w="662" w:type="pct"/>
          </w:tcPr>
          <w:p w14:paraId="6C1A0219" w14:textId="77777777" w:rsidR="00554670" w:rsidRPr="00623B18" w:rsidRDefault="00554670" w:rsidP="005B7CA4">
            <w:pPr>
              <w:spacing w:line="276" w:lineRule="auto"/>
            </w:pPr>
          </w:p>
        </w:tc>
        <w:tc>
          <w:tcPr>
            <w:tcW w:w="659" w:type="pct"/>
          </w:tcPr>
          <w:p w14:paraId="3CCF5E76" w14:textId="77777777" w:rsidR="00554670" w:rsidRPr="00623B18" w:rsidRDefault="00554670" w:rsidP="005B7CA4">
            <w:pPr>
              <w:spacing w:line="276" w:lineRule="auto"/>
            </w:pPr>
          </w:p>
        </w:tc>
      </w:tr>
    </w:tbl>
    <w:p w14:paraId="75477733" w14:textId="77777777" w:rsidR="00554670" w:rsidRPr="00623B18" w:rsidRDefault="00554670" w:rsidP="005B7CA4">
      <w:pPr>
        <w:autoSpaceDE w:val="0"/>
        <w:autoSpaceDN w:val="0"/>
        <w:adjustRightInd w:val="0"/>
        <w:spacing w:before="240" w:after="0" w:line="276" w:lineRule="auto"/>
        <w:rPr>
          <w:rFonts w:cs="Times New Roman"/>
          <w:szCs w:val="24"/>
        </w:rPr>
      </w:pPr>
      <w:r w:rsidRPr="00623B18">
        <w:rPr>
          <w:rFonts w:cs="Times New Roman"/>
          <w:szCs w:val="24"/>
        </w:rPr>
        <w:t xml:space="preserve">Inferential analysis using a One-Way ANOVA revealed a statistically significant difference in discipline scores across family income categories, F (2,360) =3.081, p=.047. Consequently, the null hypothesis was rejected, suggesting that family economic resources significantly influence the </w:t>
      </w:r>
      <w:r>
        <w:rPr>
          <w:rFonts w:cs="Times New Roman"/>
          <w:szCs w:val="24"/>
        </w:rPr>
        <w:t>discipline</w:t>
      </w:r>
      <w:r w:rsidRPr="00623B18">
        <w:rPr>
          <w:rFonts w:cs="Times New Roman"/>
          <w:szCs w:val="24"/>
        </w:rPr>
        <w:t xml:space="preserve"> of boys in public boarding</w:t>
      </w:r>
      <w:r w:rsidRPr="0042451F">
        <w:rPr>
          <w:color w:val="FF0000"/>
        </w:rPr>
        <w:t xml:space="preserve"> </w:t>
      </w:r>
      <w:r w:rsidRPr="00D2071F">
        <w:t>senior</w:t>
      </w:r>
      <w:r w:rsidRPr="00D2071F">
        <w:rPr>
          <w:rFonts w:cs="Times New Roman"/>
          <w:szCs w:val="24"/>
        </w:rPr>
        <w:t xml:space="preserve"> schools </w:t>
      </w:r>
      <w:r w:rsidRPr="00623B18">
        <w:rPr>
          <w:rFonts w:cs="Times New Roman"/>
          <w:szCs w:val="24"/>
        </w:rPr>
        <w:t>in Kakamega County.</w:t>
      </w:r>
    </w:p>
    <w:p w14:paraId="51B4E353" w14:textId="77777777" w:rsidR="00554670" w:rsidRPr="00623B18" w:rsidRDefault="00554670" w:rsidP="005B7CA4">
      <w:pPr>
        <w:autoSpaceDE w:val="0"/>
        <w:autoSpaceDN w:val="0"/>
        <w:adjustRightInd w:val="0"/>
        <w:spacing w:before="240" w:after="0" w:line="276" w:lineRule="auto"/>
        <w:rPr>
          <w:rFonts w:cs="Times New Roman"/>
          <w:szCs w:val="24"/>
        </w:rPr>
      </w:pPr>
      <w:r w:rsidRPr="00623B18">
        <w:rPr>
          <w:rFonts w:cs="Times New Roman"/>
          <w:szCs w:val="24"/>
        </w:rPr>
        <w:t>This finding aligns with established literature asserting that household income is a critical dimension of socioeconomic status that shapes behavioral outcomes. Reardon (2018) notes that economic disparities are strongly associated with variations in academic engagement and behavioral conduct</w:t>
      </w:r>
      <w:r>
        <w:rPr>
          <w:rFonts w:cs="Times New Roman"/>
          <w:szCs w:val="24"/>
        </w:rPr>
        <w:t xml:space="preserve"> of learners</w:t>
      </w:r>
      <w:r w:rsidRPr="00623B18">
        <w:rPr>
          <w:rFonts w:cs="Times New Roman"/>
          <w:szCs w:val="24"/>
        </w:rPr>
        <w:t>. In the Kenyan context, financial instability often manifests as parental stress or limited school involvement, potentially leading to behavioral challenges as students navigate the additional costs of boarding life (OECD, 2019; Oketch &amp; Rolleston, 2019).</w:t>
      </w:r>
    </w:p>
    <w:p w14:paraId="2381D47A" w14:textId="77777777" w:rsidR="00554670" w:rsidRDefault="00554670" w:rsidP="005B7CA4">
      <w:pPr>
        <w:autoSpaceDE w:val="0"/>
        <w:autoSpaceDN w:val="0"/>
        <w:adjustRightInd w:val="0"/>
        <w:spacing w:before="240" w:after="0" w:line="276" w:lineRule="auto"/>
        <w:rPr>
          <w:rFonts w:cs="Times New Roman"/>
          <w:szCs w:val="24"/>
        </w:rPr>
      </w:pPr>
      <w:r w:rsidRPr="00623B18">
        <w:rPr>
          <w:rFonts w:cs="Times New Roman"/>
          <w:szCs w:val="24"/>
        </w:rPr>
        <w:t>However, the relationship is nuanced. Some scholars argue that family processes, such as parenting styles and cohesion, may mediate the impact of income; thus, students from lower-income households can maintain high discipline if supported by consistent supervision (Amato, 2017). Additionally, Sirin (2016) suggests that when controlling for parental education and school climate, the direct association between income and behavior may weaken. Ultimately, while this study confirms that income variations significantly differentiate student discipline levels, it acknowledges that economic resources operate within a complex web of familial and institutional factors.</w:t>
      </w:r>
    </w:p>
    <w:p w14:paraId="529182C2" w14:textId="62184091" w:rsidR="00560BA7" w:rsidRDefault="00560BA7" w:rsidP="00560BA7">
      <w:pPr>
        <w:spacing w:before="240" w:line="276" w:lineRule="auto"/>
      </w:pPr>
      <w:r>
        <w:t>Finally, q</w:t>
      </w:r>
      <w:r>
        <w:t>ualitative data gathered t</w:t>
      </w:r>
      <w:r w:rsidRPr="00C97863">
        <w:t xml:space="preserve">hrough </w:t>
      </w:r>
      <w:r>
        <w:t xml:space="preserve">the </w:t>
      </w:r>
      <w:r w:rsidRPr="00C97863">
        <w:t xml:space="preserve">interviews conducted with </w:t>
      </w:r>
      <w:r>
        <w:t>the Deputy Principals of the participating schools provided</w:t>
      </w:r>
      <w:r w:rsidRPr="00C97863">
        <w:t xml:space="preserve"> insights into </w:t>
      </w:r>
      <w:r>
        <w:t>how family income influences student discipline was sought.</w:t>
      </w:r>
      <w:r w:rsidRPr="00C97863">
        <w:t xml:space="preserve"> The responses were analyzed thematically</w:t>
      </w:r>
      <w:r>
        <w:t xml:space="preserve"> as presented in Table </w:t>
      </w:r>
      <w:r w:rsidR="00EE72BE">
        <w:t>7</w:t>
      </w:r>
      <w:r>
        <w:t>.</w:t>
      </w:r>
    </w:p>
    <w:p w14:paraId="33522139" w14:textId="4A1FC201" w:rsidR="00560BA7" w:rsidRPr="00C052E4" w:rsidRDefault="00560BA7" w:rsidP="00560BA7">
      <w:pPr>
        <w:pStyle w:val="Caption"/>
        <w:rPr>
          <w:lang w:val="en-KE"/>
        </w:rPr>
      </w:pPr>
      <w:bookmarkStart w:id="20" w:name="_Toc234318392"/>
      <w:r>
        <w:t xml:space="preserve">Table </w:t>
      </w:r>
      <w:r w:rsidR="00EE72BE">
        <w:t>7</w:t>
      </w:r>
      <w:r>
        <w:t xml:space="preserve">. </w:t>
      </w:r>
      <w:r w:rsidRPr="00C052E4">
        <w:rPr>
          <w:lang w:val="en-KE"/>
        </w:rPr>
        <w:t xml:space="preserve">Thematic Analysis </w:t>
      </w:r>
      <w:r>
        <w:rPr>
          <w:lang w:val="en-KE"/>
        </w:rPr>
        <w:t>of Deputy Principals’ Responses on Family Income and Student Discipline</w:t>
      </w:r>
      <w:bookmarkEnd w:id="20"/>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5"/>
        <w:gridCol w:w="4002"/>
        <w:gridCol w:w="2359"/>
      </w:tblGrid>
      <w:tr w:rsidR="00560BA7" w:rsidRPr="004B02E0" w14:paraId="5BB9D89B" w14:textId="77777777" w:rsidTr="00C25885">
        <w:tc>
          <w:tcPr>
            <w:tcW w:w="1476" w:type="pct"/>
            <w:tcBorders>
              <w:top w:val="single" w:sz="4" w:space="0" w:color="auto"/>
              <w:bottom w:val="single" w:sz="4" w:space="0" w:color="auto"/>
            </w:tcBorders>
            <w:hideMark/>
          </w:tcPr>
          <w:p w14:paraId="70D14BE4" w14:textId="77777777" w:rsidR="00560BA7" w:rsidRPr="004B02E0" w:rsidRDefault="00560BA7" w:rsidP="00C25885">
            <w:pPr>
              <w:widowControl w:val="0"/>
              <w:autoSpaceDE w:val="0"/>
              <w:autoSpaceDN w:val="0"/>
              <w:spacing w:line="276" w:lineRule="auto"/>
              <w:jc w:val="center"/>
              <w:rPr>
                <w:b/>
                <w:bCs/>
                <w:sz w:val="24"/>
                <w:szCs w:val="28"/>
                <w:lang w:val="en-KE"/>
              </w:rPr>
            </w:pPr>
            <w:r w:rsidRPr="004B02E0">
              <w:rPr>
                <w:b/>
                <w:bCs/>
                <w:sz w:val="24"/>
                <w:szCs w:val="28"/>
                <w:lang w:val="en-KE"/>
              </w:rPr>
              <w:t>Interview Question</w:t>
            </w:r>
          </w:p>
        </w:tc>
        <w:tc>
          <w:tcPr>
            <w:tcW w:w="2217" w:type="pct"/>
            <w:tcBorders>
              <w:top w:val="single" w:sz="4" w:space="0" w:color="auto"/>
              <w:bottom w:val="single" w:sz="4" w:space="0" w:color="auto"/>
            </w:tcBorders>
            <w:hideMark/>
          </w:tcPr>
          <w:p w14:paraId="28594EE8" w14:textId="77777777" w:rsidR="00560BA7" w:rsidRPr="004B02E0" w:rsidRDefault="00560BA7" w:rsidP="00C25885">
            <w:pPr>
              <w:widowControl w:val="0"/>
              <w:autoSpaceDE w:val="0"/>
              <w:autoSpaceDN w:val="0"/>
              <w:spacing w:line="276" w:lineRule="auto"/>
              <w:jc w:val="center"/>
              <w:rPr>
                <w:b/>
                <w:bCs/>
                <w:sz w:val="24"/>
                <w:szCs w:val="28"/>
                <w:lang w:val="en-KE"/>
              </w:rPr>
            </w:pPr>
            <w:r w:rsidRPr="004B02E0">
              <w:rPr>
                <w:b/>
                <w:bCs/>
                <w:sz w:val="24"/>
                <w:szCs w:val="28"/>
                <w:lang w:val="en-KE"/>
              </w:rPr>
              <w:t>Responses from Deputy Principals</w:t>
            </w:r>
          </w:p>
        </w:tc>
        <w:tc>
          <w:tcPr>
            <w:tcW w:w="1307" w:type="pct"/>
            <w:tcBorders>
              <w:top w:val="single" w:sz="4" w:space="0" w:color="auto"/>
              <w:bottom w:val="single" w:sz="4" w:space="0" w:color="auto"/>
            </w:tcBorders>
            <w:hideMark/>
          </w:tcPr>
          <w:p w14:paraId="0534F579" w14:textId="77777777" w:rsidR="00560BA7" w:rsidRPr="004B02E0" w:rsidRDefault="00560BA7" w:rsidP="00C25885">
            <w:pPr>
              <w:widowControl w:val="0"/>
              <w:autoSpaceDE w:val="0"/>
              <w:autoSpaceDN w:val="0"/>
              <w:spacing w:line="276" w:lineRule="auto"/>
              <w:jc w:val="center"/>
              <w:rPr>
                <w:b/>
                <w:bCs/>
                <w:sz w:val="24"/>
                <w:szCs w:val="28"/>
                <w:lang w:val="en-KE"/>
              </w:rPr>
            </w:pPr>
            <w:r w:rsidRPr="004B02E0">
              <w:rPr>
                <w:b/>
                <w:bCs/>
                <w:sz w:val="24"/>
                <w:szCs w:val="28"/>
                <w:lang w:val="en-KE"/>
              </w:rPr>
              <w:t>Emerging Theme</w:t>
            </w:r>
          </w:p>
        </w:tc>
      </w:tr>
      <w:tr w:rsidR="00560BA7" w:rsidRPr="004B02E0" w14:paraId="63E8920D" w14:textId="77777777" w:rsidTr="00C25885">
        <w:tc>
          <w:tcPr>
            <w:tcW w:w="1476" w:type="pct"/>
            <w:tcBorders>
              <w:top w:val="single" w:sz="4" w:space="0" w:color="auto"/>
            </w:tcBorders>
            <w:hideMark/>
          </w:tcPr>
          <w:p w14:paraId="03B78E40" w14:textId="77777777" w:rsidR="00560BA7" w:rsidRPr="004B02E0" w:rsidRDefault="00560BA7">
            <w:pPr>
              <w:pStyle w:val="ListParagraph"/>
              <w:widowControl w:val="0"/>
              <w:numPr>
                <w:ilvl w:val="0"/>
                <w:numId w:val="6"/>
              </w:numPr>
              <w:autoSpaceDE w:val="0"/>
              <w:autoSpaceDN w:val="0"/>
              <w:spacing w:line="276" w:lineRule="auto"/>
              <w:jc w:val="left"/>
              <w:rPr>
                <w:sz w:val="24"/>
                <w:szCs w:val="28"/>
                <w:lang w:val="en-KE"/>
              </w:rPr>
            </w:pPr>
            <w:r w:rsidRPr="004B02E0">
              <w:rPr>
                <w:sz w:val="24"/>
                <w:szCs w:val="28"/>
                <w:lang w:val="en-KE"/>
              </w:rPr>
              <w:t>In your experience, how does family income influence student discipline in your school?</w:t>
            </w:r>
          </w:p>
        </w:tc>
        <w:tc>
          <w:tcPr>
            <w:tcW w:w="2217" w:type="pct"/>
            <w:tcBorders>
              <w:top w:val="single" w:sz="4" w:space="0" w:color="auto"/>
            </w:tcBorders>
            <w:hideMark/>
          </w:tcPr>
          <w:p w14:paraId="33D8DBDB" w14:textId="77777777" w:rsidR="00560BA7" w:rsidRPr="004B02E0" w:rsidRDefault="00560BA7" w:rsidP="00C25885">
            <w:pPr>
              <w:spacing w:line="276" w:lineRule="auto"/>
              <w:jc w:val="left"/>
              <w:rPr>
                <w:sz w:val="24"/>
                <w:szCs w:val="28"/>
                <w:lang w:val="en-KE"/>
              </w:rPr>
            </w:pPr>
            <w:r w:rsidRPr="004B02E0">
              <w:rPr>
                <w:i/>
                <w:iCs/>
                <w:sz w:val="24"/>
                <w:szCs w:val="28"/>
                <w:lang w:val="en-KE"/>
              </w:rPr>
              <w:t>"Students from financially unstable families often report late to school due to fee balances. Some become frustrated and violate school rules."</w:t>
            </w:r>
            <w:r w:rsidRPr="004B02E0">
              <w:rPr>
                <w:sz w:val="24"/>
                <w:szCs w:val="28"/>
                <w:lang w:val="en-KE"/>
              </w:rPr>
              <w:t xml:space="preserve"> -KII_DP_7</w:t>
            </w:r>
          </w:p>
          <w:p w14:paraId="217739A7" w14:textId="77777777" w:rsidR="00560BA7" w:rsidRPr="004B02E0" w:rsidRDefault="00560BA7" w:rsidP="00C25885">
            <w:pPr>
              <w:spacing w:before="240" w:line="276" w:lineRule="auto"/>
              <w:jc w:val="left"/>
              <w:rPr>
                <w:sz w:val="24"/>
                <w:szCs w:val="28"/>
                <w:lang w:val="en-KE"/>
              </w:rPr>
            </w:pPr>
            <w:r w:rsidRPr="004B02E0">
              <w:rPr>
                <w:i/>
                <w:iCs/>
                <w:sz w:val="24"/>
                <w:szCs w:val="28"/>
                <w:lang w:val="en-KE"/>
              </w:rPr>
              <w:t>"Learners from well-off families occasionally display a sense of entitlement and resist school authority."</w:t>
            </w:r>
            <w:r w:rsidRPr="004B02E0">
              <w:rPr>
                <w:sz w:val="24"/>
                <w:szCs w:val="28"/>
                <w:lang w:val="en-KE"/>
              </w:rPr>
              <w:t xml:space="preserve"> - KII_DP_3</w:t>
            </w:r>
          </w:p>
        </w:tc>
        <w:tc>
          <w:tcPr>
            <w:tcW w:w="1307" w:type="pct"/>
            <w:tcBorders>
              <w:top w:val="single" w:sz="4" w:space="0" w:color="auto"/>
            </w:tcBorders>
            <w:hideMark/>
          </w:tcPr>
          <w:p w14:paraId="75EB6E04" w14:textId="77777777" w:rsidR="00560BA7" w:rsidRPr="004B02E0" w:rsidRDefault="00560BA7" w:rsidP="00C25885">
            <w:pPr>
              <w:widowControl w:val="0"/>
              <w:autoSpaceDE w:val="0"/>
              <w:autoSpaceDN w:val="0"/>
              <w:spacing w:line="276" w:lineRule="auto"/>
              <w:jc w:val="left"/>
              <w:rPr>
                <w:sz w:val="24"/>
                <w:szCs w:val="28"/>
                <w:lang w:val="en-KE"/>
              </w:rPr>
            </w:pPr>
            <w:r w:rsidRPr="004B02E0">
              <w:rPr>
                <w:sz w:val="24"/>
                <w:szCs w:val="28"/>
                <w:lang w:val="en-KE"/>
              </w:rPr>
              <w:t>Financial constraints contribute to indiscipline; affluence may encourage entitlement and non-compliance.</w:t>
            </w:r>
          </w:p>
        </w:tc>
      </w:tr>
      <w:tr w:rsidR="00560BA7" w:rsidRPr="004B02E0" w14:paraId="614E5BB1" w14:textId="77777777" w:rsidTr="00C25885">
        <w:tc>
          <w:tcPr>
            <w:tcW w:w="1476" w:type="pct"/>
            <w:hideMark/>
          </w:tcPr>
          <w:p w14:paraId="6C37EDA3" w14:textId="77777777" w:rsidR="00560BA7" w:rsidRPr="004B02E0" w:rsidRDefault="00560BA7">
            <w:pPr>
              <w:pStyle w:val="ListParagraph"/>
              <w:widowControl w:val="0"/>
              <w:numPr>
                <w:ilvl w:val="0"/>
                <w:numId w:val="6"/>
              </w:numPr>
              <w:autoSpaceDE w:val="0"/>
              <w:autoSpaceDN w:val="0"/>
              <w:spacing w:line="276" w:lineRule="auto"/>
              <w:jc w:val="left"/>
              <w:rPr>
                <w:sz w:val="24"/>
                <w:szCs w:val="28"/>
                <w:lang w:val="en-KE"/>
              </w:rPr>
            </w:pPr>
            <w:r w:rsidRPr="004B02E0">
              <w:rPr>
                <w:sz w:val="24"/>
                <w:szCs w:val="28"/>
                <w:lang w:val="en-KE"/>
              </w:rPr>
              <w:lastRenderedPageBreak/>
              <w:t>What disciplinary behaviours are commonly associated with students from low-income households?</w:t>
            </w:r>
          </w:p>
        </w:tc>
        <w:tc>
          <w:tcPr>
            <w:tcW w:w="2217" w:type="pct"/>
            <w:hideMark/>
          </w:tcPr>
          <w:p w14:paraId="38A47C27" w14:textId="77777777" w:rsidR="00560BA7" w:rsidRPr="004B02E0" w:rsidRDefault="00560BA7" w:rsidP="00C25885">
            <w:pPr>
              <w:spacing w:line="276" w:lineRule="auto"/>
              <w:jc w:val="left"/>
              <w:rPr>
                <w:sz w:val="24"/>
                <w:szCs w:val="28"/>
                <w:lang w:val="en-KE"/>
              </w:rPr>
            </w:pPr>
            <w:r w:rsidRPr="004B02E0">
              <w:rPr>
                <w:i/>
                <w:iCs/>
                <w:sz w:val="24"/>
                <w:szCs w:val="28"/>
                <w:lang w:val="en-KE"/>
              </w:rPr>
              <w:t>"Absenteeism is common because students are sent home for school fees."</w:t>
            </w:r>
            <w:r w:rsidRPr="004B02E0">
              <w:rPr>
                <w:sz w:val="24"/>
                <w:szCs w:val="28"/>
                <w:lang w:val="en-KE"/>
              </w:rPr>
              <w:t xml:space="preserve"> - KII_DP_8</w:t>
            </w:r>
          </w:p>
          <w:p w14:paraId="193BBA6A" w14:textId="77777777" w:rsidR="00560BA7" w:rsidRPr="004B02E0" w:rsidRDefault="00560BA7" w:rsidP="00C25885">
            <w:pPr>
              <w:widowControl w:val="0"/>
              <w:autoSpaceDE w:val="0"/>
              <w:autoSpaceDN w:val="0"/>
              <w:spacing w:before="240" w:line="276" w:lineRule="auto"/>
              <w:jc w:val="left"/>
              <w:rPr>
                <w:sz w:val="24"/>
                <w:szCs w:val="28"/>
                <w:lang w:val="en-KE"/>
              </w:rPr>
            </w:pPr>
            <w:r w:rsidRPr="004B02E0">
              <w:rPr>
                <w:i/>
                <w:iCs/>
                <w:sz w:val="24"/>
                <w:szCs w:val="28"/>
                <w:lang w:val="en-KE"/>
              </w:rPr>
              <w:t xml:space="preserve">"Some students engage in theft or bullying to obtain basic necessities." </w:t>
            </w:r>
            <w:r w:rsidRPr="004B02E0">
              <w:rPr>
                <w:sz w:val="24"/>
                <w:szCs w:val="28"/>
                <w:lang w:val="en-KE"/>
              </w:rPr>
              <w:t>- KII_DP_2</w:t>
            </w:r>
          </w:p>
        </w:tc>
        <w:tc>
          <w:tcPr>
            <w:tcW w:w="1307" w:type="pct"/>
            <w:hideMark/>
          </w:tcPr>
          <w:p w14:paraId="236B2A9C" w14:textId="77777777" w:rsidR="00560BA7" w:rsidRPr="004B02E0" w:rsidRDefault="00560BA7" w:rsidP="00C25885">
            <w:pPr>
              <w:widowControl w:val="0"/>
              <w:autoSpaceDE w:val="0"/>
              <w:autoSpaceDN w:val="0"/>
              <w:spacing w:line="276" w:lineRule="auto"/>
              <w:jc w:val="left"/>
              <w:rPr>
                <w:sz w:val="24"/>
                <w:szCs w:val="28"/>
                <w:lang w:val="en-KE"/>
              </w:rPr>
            </w:pPr>
            <w:r w:rsidRPr="004B02E0">
              <w:rPr>
                <w:sz w:val="24"/>
                <w:szCs w:val="28"/>
                <w:lang w:val="en-KE"/>
              </w:rPr>
              <w:t>Economic hardship increases absenteeism, theft, and other maladaptive behaviours.</w:t>
            </w:r>
          </w:p>
        </w:tc>
      </w:tr>
      <w:tr w:rsidR="00560BA7" w:rsidRPr="004B02E0" w14:paraId="68302F2D" w14:textId="77777777" w:rsidTr="00C25885">
        <w:tc>
          <w:tcPr>
            <w:tcW w:w="1476" w:type="pct"/>
            <w:tcBorders>
              <w:bottom w:val="single" w:sz="4" w:space="0" w:color="auto"/>
            </w:tcBorders>
            <w:hideMark/>
          </w:tcPr>
          <w:p w14:paraId="162077E9" w14:textId="77777777" w:rsidR="00560BA7" w:rsidRPr="004B02E0" w:rsidRDefault="00560BA7">
            <w:pPr>
              <w:pStyle w:val="ListParagraph"/>
              <w:widowControl w:val="0"/>
              <w:numPr>
                <w:ilvl w:val="0"/>
                <w:numId w:val="6"/>
              </w:numPr>
              <w:autoSpaceDE w:val="0"/>
              <w:autoSpaceDN w:val="0"/>
              <w:spacing w:line="276" w:lineRule="auto"/>
              <w:jc w:val="left"/>
              <w:rPr>
                <w:sz w:val="24"/>
                <w:szCs w:val="28"/>
                <w:lang w:val="en-KE"/>
              </w:rPr>
            </w:pPr>
            <w:r w:rsidRPr="004B02E0">
              <w:rPr>
                <w:sz w:val="24"/>
                <w:szCs w:val="28"/>
                <w:lang w:val="en-KE"/>
              </w:rPr>
              <w:t>How do students from economically stable families generally compare with those from disadvantaged families regarding discipline?</w:t>
            </w:r>
          </w:p>
        </w:tc>
        <w:tc>
          <w:tcPr>
            <w:tcW w:w="2217" w:type="pct"/>
            <w:tcBorders>
              <w:bottom w:val="single" w:sz="4" w:space="0" w:color="auto"/>
            </w:tcBorders>
            <w:hideMark/>
          </w:tcPr>
          <w:p w14:paraId="76A4DA9E" w14:textId="77777777" w:rsidR="00560BA7" w:rsidRPr="004B02E0" w:rsidRDefault="00560BA7" w:rsidP="00C25885">
            <w:pPr>
              <w:widowControl w:val="0"/>
              <w:autoSpaceDE w:val="0"/>
              <w:autoSpaceDN w:val="0"/>
              <w:spacing w:line="276" w:lineRule="auto"/>
              <w:jc w:val="left"/>
              <w:rPr>
                <w:sz w:val="24"/>
                <w:szCs w:val="28"/>
                <w:lang w:val="en-KE"/>
              </w:rPr>
            </w:pPr>
            <w:r w:rsidRPr="004B02E0">
              <w:rPr>
                <w:i/>
                <w:iCs/>
                <w:sz w:val="24"/>
                <w:szCs w:val="28"/>
                <w:lang w:val="en-KE"/>
              </w:rPr>
              <w:t>"Most are well provided for and are emotionally stable, although a few become arrogant because parents overprotect them."</w:t>
            </w:r>
            <w:r w:rsidRPr="004B02E0">
              <w:rPr>
                <w:sz w:val="24"/>
                <w:szCs w:val="28"/>
                <w:lang w:val="en-KE"/>
              </w:rPr>
              <w:t xml:space="preserve"> - KII_DP_11</w:t>
            </w:r>
          </w:p>
        </w:tc>
        <w:tc>
          <w:tcPr>
            <w:tcW w:w="1307" w:type="pct"/>
            <w:tcBorders>
              <w:bottom w:val="single" w:sz="4" w:space="0" w:color="auto"/>
            </w:tcBorders>
            <w:hideMark/>
          </w:tcPr>
          <w:p w14:paraId="2D63C959" w14:textId="77777777" w:rsidR="00560BA7" w:rsidRPr="004B02E0" w:rsidRDefault="00560BA7" w:rsidP="00C25885">
            <w:pPr>
              <w:widowControl w:val="0"/>
              <w:autoSpaceDE w:val="0"/>
              <w:autoSpaceDN w:val="0"/>
              <w:spacing w:line="276" w:lineRule="auto"/>
              <w:jc w:val="left"/>
              <w:rPr>
                <w:sz w:val="24"/>
                <w:szCs w:val="28"/>
                <w:lang w:val="en-KE"/>
              </w:rPr>
            </w:pPr>
            <w:r w:rsidRPr="004B02E0">
              <w:rPr>
                <w:sz w:val="24"/>
                <w:szCs w:val="28"/>
                <w:lang w:val="en-KE"/>
              </w:rPr>
              <w:t>Economic stability generally supports discipline but may also foster indiscipline through excessive privilege.</w:t>
            </w:r>
          </w:p>
        </w:tc>
      </w:tr>
    </w:tbl>
    <w:p w14:paraId="1B8EB501" w14:textId="77777777" w:rsidR="00560BA7" w:rsidRDefault="00560BA7" w:rsidP="00560BA7">
      <w:pPr>
        <w:spacing w:before="240" w:after="0" w:line="276" w:lineRule="auto"/>
      </w:pPr>
      <w:r w:rsidRPr="00D43B07">
        <w:rPr>
          <w:lang w:val="en-KE"/>
        </w:rPr>
        <w:t>The thematic analysis revealed that family income</w:t>
      </w:r>
      <w:r>
        <w:rPr>
          <w:lang w:val="en-KE"/>
        </w:rPr>
        <w:t xml:space="preserve"> </w:t>
      </w:r>
      <w:r w:rsidRPr="00D43B07">
        <w:rPr>
          <w:lang w:val="en-KE"/>
        </w:rPr>
        <w:t>significantly influence</w:t>
      </w:r>
      <w:r>
        <w:rPr>
          <w:lang w:val="en-KE"/>
        </w:rPr>
        <w:t>s</w:t>
      </w:r>
      <w:r w:rsidRPr="00D43B07">
        <w:rPr>
          <w:lang w:val="en-KE"/>
        </w:rPr>
        <w:t xml:space="preserve"> student discipline in public boys' secondary schools in Kakamega County. Deputy Principals consistently observed that financial hardship contributed to absenteeism, fee-related disruptions, and, in some cases, theft and other misconduct. Conversely, while students from financially stable families generally exhibited better discipline, some displayed entitlement and resistance to authority due to excessive parental indulgence.</w:t>
      </w:r>
    </w:p>
    <w:p w14:paraId="705946ED" w14:textId="2B98CABC" w:rsidR="00554670" w:rsidRPr="00554670" w:rsidRDefault="00C4753E" w:rsidP="00560BA7">
      <w:pPr>
        <w:spacing w:before="240" w:line="276" w:lineRule="auto"/>
        <w:rPr>
          <w:b/>
          <w:bCs/>
        </w:rPr>
      </w:pPr>
      <w:bookmarkStart w:id="21" w:name="_Toc535091357"/>
      <w:bookmarkStart w:id="22" w:name="_Toc19544550"/>
      <w:bookmarkStart w:id="23" w:name="_Toc70696392"/>
      <w:bookmarkStart w:id="24" w:name="_Toc72063181"/>
      <w:bookmarkStart w:id="25" w:name="_Toc88958177"/>
      <w:bookmarkStart w:id="26" w:name="_Toc102398241"/>
      <w:bookmarkStart w:id="27" w:name="_Toc105360883"/>
      <w:bookmarkStart w:id="28" w:name="_Toc124773774"/>
      <w:bookmarkStart w:id="29" w:name="_Toc234318363"/>
      <w:r w:rsidRPr="00560BA7">
        <w:rPr>
          <w:b/>
          <w:bCs/>
        </w:rPr>
        <w:t>IV</w:t>
      </w:r>
      <w:r w:rsidR="00554670" w:rsidRPr="00560BA7">
        <w:rPr>
          <w:b/>
          <w:bCs/>
        </w:rPr>
        <w:t xml:space="preserve">. </w:t>
      </w:r>
      <w:r w:rsidR="00554670" w:rsidRPr="00560BA7">
        <w:rPr>
          <w:b/>
          <w:bCs/>
        </w:rPr>
        <w:t>CONCLUSION AND RECOMMENDATIONS</w:t>
      </w:r>
      <w:bookmarkEnd w:id="21"/>
      <w:bookmarkEnd w:id="22"/>
      <w:bookmarkEnd w:id="23"/>
      <w:bookmarkEnd w:id="24"/>
      <w:bookmarkEnd w:id="25"/>
      <w:bookmarkEnd w:id="26"/>
      <w:bookmarkEnd w:id="27"/>
      <w:bookmarkEnd w:id="28"/>
      <w:bookmarkEnd w:id="29"/>
    </w:p>
    <w:p w14:paraId="6553CF35" w14:textId="0F631A57" w:rsidR="00887FEE" w:rsidRPr="006102C9" w:rsidRDefault="00887FEE" w:rsidP="009E24C0">
      <w:bookmarkStart w:id="30" w:name="_Toc535091360"/>
      <w:bookmarkStart w:id="31" w:name="_Toc19544553"/>
      <w:bookmarkStart w:id="32" w:name="_Toc70696395"/>
      <w:bookmarkStart w:id="33" w:name="_Toc72063184"/>
      <w:bookmarkStart w:id="34" w:name="_Toc88958180"/>
      <w:bookmarkStart w:id="35" w:name="_Toc102398244"/>
      <w:bookmarkStart w:id="36" w:name="_Toc105360886"/>
      <w:bookmarkStart w:id="37" w:name="_Toc124773777"/>
      <w:bookmarkStart w:id="38" w:name="_Toc234318366"/>
      <w:r w:rsidRPr="006102C9">
        <w:t xml:space="preserve">Based on the above results, this study concluded that: (a) </w:t>
      </w:r>
      <w:r w:rsidR="001625EA" w:rsidRPr="006102C9">
        <w:t>Majority of students in public boys’ senior schools come from middle-income families</w:t>
      </w:r>
      <w:r w:rsidRPr="006102C9">
        <w:t xml:space="preserve">; (b) </w:t>
      </w:r>
      <w:r w:rsidR="004C17BA" w:rsidRPr="006102C9">
        <w:t xml:space="preserve">stability of family income </w:t>
      </w:r>
      <w:r w:rsidR="004C17BA" w:rsidRPr="006102C9">
        <w:t>is for majority of households is</w:t>
      </w:r>
      <w:r w:rsidR="004C17BA" w:rsidRPr="006102C9">
        <w:t xml:space="preserve"> below average or far below average</w:t>
      </w:r>
      <w:r w:rsidRPr="006102C9">
        <w:t>; (</w:t>
      </w:r>
      <w:r w:rsidR="004C17BA" w:rsidRPr="006102C9">
        <w:t>c</w:t>
      </w:r>
      <w:r w:rsidRPr="006102C9">
        <w:t xml:space="preserve">) </w:t>
      </w:r>
      <w:r w:rsidR="004C17BA" w:rsidRPr="006102C9">
        <w:t xml:space="preserve">Family expenditure on education is in majority of households is average or below average </w:t>
      </w:r>
      <w:r w:rsidRPr="006102C9">
        <w:t xml:space="preserve">(e) </w:t>
      </w:r>
      <w:r w:rsidR="004C17BA" w:rsidRPr="006102C9">
        <w:t xml:space="preserve">There is a </w:t>
      </w:r>
      <w:r w:rsidR="004C17BA" w:rsidRPr="006102C9">
        <w:rPr>
          <w:rFonts w:cs="Times New Roman"/>
          <w:szCs w:val="24"/>
        </w:rPr>
        <w:t>statistically significant difference in discipline scores across family income categories, F (2,360) =3.081, p=</w:t>
      </w:r>
      <w:r w:rsidR="004C17BA" w:rsidRPr="006102C9">
        <w:rPr>
          <w:rFonts w:cs="Times New Roman"/>
          <w:szCs w:val="24"/>
        </w:rPr>
        <w:t>0</w:t>
      </w:r>
      <w:r w:rsidR="004C17BA" w:rsidRPr="006102C9">
        <w:rPr>
          <w:rFonts w:cs="Times New Roman"/>
          <w:szCs w:val="24"/>
        </w:rPr>
        <w:t>.047</w:t>
      </w:r>
      <w:r w:rsidR="004C17BA" w:rsidRPr="006102C9">
        <w:rPr>
          <w:rFonts w:cs="Times New Roman"/>
          <w:szCs w:val="24"/>
        </w:rPr>
        <w:t xml:space="preserve">, implying that </w:t>
      </w:r>
      <w:r w:rsidR="004C17BA" w:rsidRPr="006102C9">
        <w:rPr>
          <w:rFonts w:cs="Times New Roman"/>
          <w:szCs w:val="24"/>
        </w:rPr>
        <w:t xml:space="preserve">family </w:t>
      </w:r>
      <w:r w:rsidR="004C17BA" w:rsidRPr="006102C9">
        <w:rPr>
          <w:rFonts w:cs="Times New Roman"/>
          <w:szCs w:val="24"/>
        </w:rPr>
        <w:t>income</w:t>
      </w:r>
      <w:r w:rsidR="004C17BA" w:rsidRPr="006102C9">
        <w:rPr>
          <w:rFonts w:cs="Times New Roman"/>
          <w:szCs w:val="24"/>
        </w:rPr>
        <w:t xml:space="preserve"> significantly influence</w:t>
      </w:r>
      <w:r w:rsidR="004C17BA" w:rsidRPr="006102C9">
        <w:rPr>
          <w:rFonts w:cs="Times New Roman"/>
          <w:szCs w:val="24"/>
        </w:rPr>
        <w:t>s</w:t>
      </w:r>
      <w:r w:rsidR="004C17BA" w:rsidRPr="006102C9">
        <w:rPr>
          <w:rFonts w:cs="Times New Roman"/>
          <w:szCs w:val="24"/>
        </w:rPr>
        <w:t xml:space="preserve"> the discipline of boys in public boarding</w:t>
      </w:r>
      <w:r w:rsidR="004C17BA" w:rsidRPr="006102C9">
        <w:rPr>
          <w:color w:val="FF0000"/>
        </w:rPr>
        <w:t xml:space="preserve"> </w:t>
      </w:r>
      <w:r w:rsidR="004C17BA" w:rsidRPr="006102C9">
        <w:t>senior</w:t>
      </w:r>
      <w:r w:rsidR="004C17BA" w:rsidRPr="006102C9">
        <w:rPr>
          <w:rFonts w:cs="Times New Roman"/>
          <w:szCs w:val="24"/>
        </w:rPr>
        <w:t xml:space="preserve"> schools</w:t>
      </w:r>
      <w:r w:rsidRPr="006102C9">
        <w:t>.</w:t>
      </w:r>
      <w:r w:rsidR="006102C9">
        <w:t xml:space="preserve"> </w:t>
      </w:r>
    </w:p>
    <w:p w14:paraId="6EC3DFA9" w14:textId="4C6189DB" w:rsidR="002C1C3A" w:rsidRPr="002C1C3A" w:rsidRDefault="00887FEE" w:rsidP="002C1C3A">
      <w:r w:rsidRPr="0075338F">
        <w:t>Based on these findings, the study recommends that</w:t>
      </w:r>
      <w:r w:rsidR="0075338F">
        <w:t>: (a)</w:t>
      </w:r>
      <w:r w:rsidR="00F84E38" w:rsidRPr="0075338F">
        <w:t xml:space="preserve"> the M</w:t>
      </w:r>
      <w:r w:rsidR="00F84E38" w:rsidRPr="0075338F">
        <w:t xml:space="preserve">inistry of Education </w:t>
      </w:r>
      <w:r w:rsidR="00F84E38" w:rsidRPr="0075338F">
        <w:t>should</w:t>
      </w:r>
      <w:r w:rsidR="00F84E38" w:rsidRPr="0075338F">
        <w:t xml:space="preserve"> expand</w:t>
      </w:r>
      <w:r w:rsidR="00F84E38">
        <w:t xml:space="preserve"> targeted bursary and financial assistance programs for students from low-income families</w:t>
      </w:r>
      <w:r w:rsidR="00F84E38">
        <w:t xml:space="preserve">; </w:t>
      </w:r>
      <w:r w:rsidR="0075338F">
        <w:t>(b) t</w:t>
      </w:r>
      <w:r w:rsidR="00F84E38">
        <w:t>he Planning Directorate of the Ministry of Education and Kakamega County Education Office to incorporate socio-economic background indicators into educational planning and student support systems</w:t>
      </w:r>
      <w:r w:rsidR="00F84E38">
        <w:t xml:space="preserve">; </w:t>
      </w:r>
      <w:r w:rsidR="0075338F">
        <w:t xml:space="preserve">(c) </w:t>
      </w:r>
      <w:r w:rsidR="00F84E38">
        <w:t>School administrators to strengthen school-based guidance and counselling programs to support students experiencing socio-economic and family-related challenges that may affect discipline</w:t>
      </w:r>
      <w:r w:rsidR="00F84E38">
        <w:t xml:space="preserve">; </w:t>
      </w:r>
      <w:r w:rsidR="0075338F">
        <w:t xml:space="preserve">(d) </w:t>
      </w:r>
      <w:r w:rsidR="00F84E38">
        <w:t>School administrations, Boards of Management, and community organizations should establish structured mentorship programs for students from vulnerable family backgrounds.</w:t>
      </w:r>
      <w:bookmarkEnd w:id="30"/>
      <w:bookmarkEnd w:id="31"/>
      <w:bookmarkEnd w:id="32"/>
      <w:bookmarkEnd w:id="33"/>
      <w:bookmarkEnd w:id="34"/>
      <w:bookmarkEnd w:id="35"/>
      <w:bookmarkEnd w:id="36"/>
      <w:bookmarkEnd w:id="37"/>
      <w:bookmarkEnd w:id="38"/>
      <w:r w:rsidR="00956382">
        <w:t xml:space="preserve"> </w:t>
      </w:r>
      <w:r w:rsidR="002C1C3A">
        <w:rPr>
          <w:rFonts w:eastAsia="Times New Roman" w:cs="Times New Roman"/>
          <w:szCs w:val="24"/>
        </w:rPr>
        <w:t xml:space="preserve">Future </w:t>
      </w:r>
      <w:r w:rsidR="002C1C3A">
        <w:rPr>
          <w:rFonts w:eastAsia="Times New Roman" w:cs="Times New Roman"/>
          <w:szCs w:val="24"/>
        </w:rPr>
        <w:t>studies</w:t>
      </w:r>
      <w:r w:rsidR="002C1C3A">
        <w:rPr>
          <w:rFonts w:eastAsia="Times New Roman" w:cs="Times New Roman"/>
          <w:szCs w:val="24"/>
        </w:rPr>
        <w:t xml:space="preserve"> should undertake a c</w:t>
      </w:r>
      <w:r w:rsidR="002C1C3A" w:rsidRPr="00783EE6">
        <w:rPr>
          <w:rFonts w:eastAsia="Times New Roman" w:cs="Times New Roman"/>
          <w:szCs w:val="24"/>
        </w:rPr>
        <w:t xml:space="preserve">omparative </w:t>
      </w:r>
      <w:r w:rsidR="002C1C3A">
        <w:rPr>
          <w:rFonts w:eastAsia="Times New Roman" w:cs="Times New Roman"/>
          <w:szCs w:val="24"/>
        </w:rPr>
        <w:t>inquiry</w:t>
      </w:r>
      <w:r w:rsidR="002C1C3A" w:rsidRPr="00783EE6">
        <w:rPr>
          <w:rFonts w:eastAsia="Times New Roman" w:cs="Times New Roman"/>
          <w:szCs w:val="24"/>
        </w:rPr>
        <w:t xml:space="preserve"> across </w:t>
      </w:r>
      <w:r w:rsidR="002C1C3A">
        <w:rPr>
          <w:rFonts w:eastAsia="Times New Roman" w:cs="Times New Roman"/>
          <w:szCs w:val="24"/>
        </w:rPr>
        <w:t>various</w:t>
      </w:r>
      <w:r w:rsidR="002C1C3A" w:rsidRPr="00783EE6">
        <w:rPr>
          <w:rFonts w:eastAsia="Times New Roman" w:cs="Times New Roman"/>
          <w:szCs w:val="24"/>
        </w:rPr>
        <w:t xml:space="preserve"> counties </w:t>
      </w:r>
      <w:r w:rsidR="002C1C3A">
        <w:rPr>
          <w:rFonts w:eastAsia="Times New Roman" w:cs="Times New Roman"/>
          <w:szCs w:val="24"/>
        </w:rPr>
        <w:t>to</w:t>
      </w:r>
      <w:r w:rsidR="002C1C3A" w:rsidRPr="00783EE6">
        <w:rPr>
          <w:rFonts w:eastAsia="Times New Roman" w:cs="Times New Roman"/>
          <w:szCs w:val="24"/>
        </w:rPr>
        <w:t xml:space="preserve"> help determine whether the patterns observed in Kakamega County are generalizable to other </w:t>
      </w:r>
      <w:r w:rsidR="002C1C3A">
        <w:rPr>
          <w:rFonts w:eastAsia="Times New Roman" w:cs="Times New Roman"/>
          <w:szCs w:val="24"/>
        </w:rPr>
        <w:t>parts</w:t>
      </w:r>
      <w:r w:rsidR="002C1C3A" w:rsidRPr="00783EE6">
        <w:rPr>
          <w:rFonts w:eastAsia="Times New Roman" w:cs="Times New Roman"/>
          <w:szCs w:val="24"/>
        </w:rPr>
        <w:t xml:space="preserve"> of the country.</w:t>
      </w:r>
    </w:p>
    <w:p w14:paraId="475D6958" w14:textId="77777777" w:rsidR="00554670" w:rsidRPr="009E24C0" w:rsidRDefault="00554670" w:rsidP="009E24C0">
      <w:pPr>
        <w:jc w:val="center"/>
        <w:rPr>
          <w:b/>
          <w:bCs/>
        </w:rPr>
      </w:pPr>
      <w:bookmarkStart w:id="39" w:name="_Toc234318371"/>
      <w:r w:rsidRPr="009E24C0">
        <w:rPr>
          <w:b/>
          <w:bCs/>
        </w:rPr>
        <w:t>REFERENCES</w:t>
      </w:r>
      <w:bookmarkEnd w:id="39"/>
    </w:p>
    <w:p w14:paraId="659F2D4F" w14:textId="77777777" w:rsidR="00554670" w:rsidRPr="00623B18" w:rsidRDefault="00554670" w:rsidP="009E24C0">
      <w:pPr>
        <w:widowControl w:val="0"/>
        <w:autoSpaceDE w:val="0"/>
        <w:autoSpaceDN w:val="0"/>
        <w:spacing w:line="240" w:lineRule="auto"/>
        <w:ind w:left="720" w:hanging="720"/>
      </w:pPr>
      <w:r w:rsidRPr="00623B18">
        <w:lastRenderedPageBreak/>
        <w:t xml:space="preserve">Abuya, B. A., &amp; Oketch, M. (2016). Socioeconomic inequalities in education in Kenya. </w:t>
      </w:r>
      <w:r w:rsidRPr="00623B18">
        <w:rPr>
          <w:i/>
          <w:iCs/>
        </w:rPr>
        <w:t>International Journal of Educational Development, 49</w:t>
      </w:r>
      <w:r w:rsidRPr="00623B18">
        <w:t>, 65–76.</w:t>
      </w:r>
    </w:p>
    <w:p w14:paraId="269A0F76" w14:textId="77777777" w:rsidR="00554670" w:rsidRPr="00623B18" w:rsidRDefault="00554670" w:rsidP="009E24C0">
      <w:pPr>
        <w:widowControl w:val="0"/>
        <w:autoSpaceDE w:val="0"/>
        <w:autoSpaceDN w:val="0"/>
        <w:spacing w:line="240" w:lineRule="auto"/>
        <w:ind w:left="720" w:hanging="720"/>
      </w:pPr>
      <w:r w:rsidRPr="00623B18">
        <w:t xml:space="preserve">Adeyemo, D. A. (2010). Parental involvement, interest in schooling and school environment as predictors of academic self-efficacy among secondary school students. </w:t>
      </w:r>
      <w:r w:rsidRPr="00623B18">
        <w:rPr>
          <w:rFonts w:eastAsia="Times New Roman"/>
          <w:i/>
          <w:iCs/>
        </w:rPr>
        <w:t>Electronic Journal of Research in Educational Psychology</w:t>
      </w:r>
      <w:r w:rsidRPr="00623B18">
        <w:t>, 8(1), 163–180.</w:t>
      </w:r>
    </w:p>
    <w:p w14:paraId="00B762EE" w14:textId="77777777" w:rsidR="00554670" w:rsidRPr="00623B18" w:rsidRDefault="00554670" w:rsidP="009E24C0">
      <w:pPr>
        <w:widowControl w:val="0"/>
        <w:autoSpaceDE w:val="0"/>
        <w:autoSpaceDN w:val="0"/>
        <w:spacing w:line="240" w:lineRule="auto"/>
        <w:ind w:left="720" w:hanging="720"/>
      </w:pPr>
      <w:r w:rsidRPr="00623B18">
        <w:t xml:space="preserve">Amato, P. R. (2017). The consequences of divorce for adults and children. </w:t>
      </w:r>
      <w:r w:rsidRPr="00623B18">
        <w:rPr>
          <w:i/>
          <w:iCs/>
        </w:rPr>
        <w:t>Journal of Marriage and Family, 79</w:t>
      </w:r>
      <w:r w:rsidRPr="00623B18">
        <w:t>(2), 439–458.</w:t>
      </w:r>
    </w:p>
    <w:p w14:paraId="12AFB95A" w14:textId="77777777" w:rsidR="00554670" w:rsidRPr="00623B18" w:rsidRDefault="00554670" w:rsidP="009E24C0">
      <w:pPr>
        <w:widowControl w:val="0"/>
        <w:autoSpaceDE w:val="0"/>
        <w:autoSpaceDN w:val="0"/>
        <w:spacing w:line="240" w:lineRule="auto"/>
        <w:ind w:left="720" w:hanging="720"/>
      </w:pPr>
      <w:r w:rsidRPr="00C470B2">
        <w:rPr>
          <w:lang w:val="pl-PL"/>
        </w:rPr>
        <w:t xml:space="preserve">Aute, D. A., Poipoi, M. W. U., &amp; Khasakhala, O. E. (2020). </w:t>
      </w:r>
      <w:r w:rsidRPr="00623B18">
        <w:t>Family Socioeconomic Status and Deviant Behaviour Among Secondary School Students in Homabay County, Kenya. </w:t>
      </w:r>
      <w:r w:rsidRPr="00623B18">
        <w:rPr>
          <w:i/>
          <w:iCs/>
        </w:rPr>
        <w:t>Science Journal of Education</w:t>
      </w:r>
      <w:r w:rsidRPr="00623B18">
        <w:t>, </w:t>
      </w:r>
      <w:r w:rsidRPr="00623B18">
        <w:rPr>
          <w:i/>
          <w:iCs/>
        </w:rPr>
        <w:t>8</w:t>
      </w:r>
      <w:r w:rsidRPr="00623B18">
        <w:t>(1), 14.</w:t>
      </w:r>
    </w:p>
    <w:p w14:paraId="1C523A31" w14:textId="77777777" w:rsidR="00554670" w:rsidRPr="00623B18" w:rsidRDefault="00554670" w:rsidP="009E24C0">
      <w:pPr>
        <w:widowControl w:val="0"/>
        <w:autoSpaceDE w:val="0"/>
        <w:autoSpaceDN w:val="0"/>
        <w:spacing w:line="240" w:lineRule="auto"/>
        <w:ind w:left="720" w:hanging="720"/>
      </w:pPr>
      <w:r w:rsidRPr="00C470B2">
        <w:rPr>
          <w:lang w:val="pl-PL"/>
        </w:rPr>
        <w:t xml:space="preserve">Bradley, R. H., &amp; Corwyn, R. F. (2002). </w:t>
      </w:r>
      <w:r w:rsidRPr="00623B18">
        <w:t xml:space="preserve">Socioeconomic status and child development. </w:t>
      </w:r>
      <w:r w:rsidRPr="00623B18">
        <w:rPr>
          <w:rFonts w:eastAsia="Times New Roman"/>
          <w:i/>
          <w:iCs/>
        </w:rPr>
        <w:t>Annual Review of Psychology</w:t>
      </w:r>
      <w:r w:rsidRPr="00623B18">
        <w:t>, 53, 371–399.</w:t>
      </w:r>
    </w:p>
    <w:p w14:paraId="77805AF1" w14:textId="77777777" w:rsidR="00554670" w:rsidRPr="00623B18" w:rsidRDefault="00554670" w:rsidP="009E24C0">
      <w:pPr>
        <w:widowControl w:val="0"/>
        <w:autoSpaceDE w:val="0"/>
        <w:autoSpaceDN w:val="0"/>
        <w:spacing w:line="240" w:lineRule="auto"/>
        <w:ind w:left="720" w:hanging="720"/>
      </w:pPr>
      <w:r w:rsidRPr="00623B18">
        <w:t>Cohen, L., Manion, L., &amp; Morrison, K. (2017). Validity and reliability. In </w:t>
      </w:r>
      <w:r w:rsidRPr="00623B18">
        <w:rPr>
          <w:i/>
          <w:iCs/>
        </w:rPr>
        <w:t>Research methods in education</w:t>
      </w:r>
      <w:r w:rsidRPr="00623B18">
        <w:t> (pp. 245-284). Routledge.</w:t>
      </w:r>
    </w:p>
    <w:p w14:paraId="59ECCBEB" w14:textId="77777777" w:rsidR="00554670" w:rsidRPr="00623B18" w:rsidRDefault="00554670" w:rsidP="009E24C0">
      <w:pPr>
        <w:widowControl w:val="0"/>
        <w:autoSpaceDE w:val="0"/>
        <w:autoSpaceDN w:val="0"/>
        <w:spacing w:line="240" w:lineRule="auto"/>
        <w:ind w:left="720" w:hanging="720"/>
      </w:pPr>
      <w:r w:rsidRPr="00623B18">
        <w:t xml:space="preserve">Duncan, G. J., &amp; Brooks-Gunn, J. (2018). </w:t>
      </w:r>
      <w:r w:rsidRPr="00623B18">
        <w:rPr>
          <w:i/>
          <w:iCs/>
        </w:rPr>
        <w:t>Consequences of growing up poor</w:t>
      </w:r>
      <w:r w:rsidRPr="00623B18">
        <w:t>. Russell Sage Foundation.</w:t>
      </w:r>
    </w:p>
    <w:p w14:paraId="52CA884D" w14:textId="77777777" w:rsidR="00554670" w:rsidRPr="00623B18" w:rsidRDefault="00554670" w:rsidP="009E24C0">
      <w:pPr>
        <w:widowControl w:val="0"/>
        <w:autoSpaceDE w:val="0"/>
        <w:autoSpaceDN w:val="0"/>
        <w:spacing w:line="240" w:lineRule="auto"/>
        <w:ind w:left="720" w:hanging="720"/>
      </w:pPr>
      <w:r w:rsidRPr="00623B18">
        <w:t xml:space="preserve">Evans, G. W. (2004). The environment of childhood poverty. </w:t>
      </w:r>
      <w:r w:rsidRPr="00623B18">
        <w:rPr>
          <w:rFonts w:eastAsia="Times New Roman"/>
          <w:i/>
          <w:iCs/>
        </w:rPr>
        <w:t>American Psychologist</w:t>
      </w:r>
      <w:r w:rsidRPr="00623B18">
        <w:t>, 59(2), 77–92.</w:t>
      </w:r>
    </w:p>
    <w:p w14:paraId="127CD850" w14:textId="77777777" w:rsidR="00554670" w:rsidRPr="00623B18" w:rsidRDefault="00554670" w:rsidP="009E24C0">
      <w:pPr>
        <w:widowControl w:val="0"/>
        <w:autoSpaceDE w:val="0"/>
        <w:autoSpaceDN w:val="0"/>
        <w:spacing w:line="240" w:lineRule="auto"/>
        <w:ind w:left="720" w:hanging="720"/>
      </w:pPr>
      <w:r w:rsidRPr="00623B18">
        <w:t xml:space="preserve">Filmer, D., &amp; Schady, N. (2019). Schooling, household income, and economic vulnerability in developing countries. </w:t>
      </w:r>
      <w:r w:rsidRPr="00623B18">
        <w:rPr>
          <w:i/>
          <w:iCs/>
        </w:rPr>
        <w:t>World Bank Research Observer, 34</w:t>
      </w:r>
      <w:r w:rsidRPr="00623B18">
        <w:t>(2), 219–246.</w:t>
      </w:r>
    </w:p>
    <w:p w14:paraId="50266F72" w14:textId="77777777" w:rsidR="00554670" w:rsidRPr="00623B18" w:rsidRDefault="00554670" w:rsidP="009E24C0">
      <w:pPr>
        <w:widowControl w:val="0"/>
        <w:autoSpaceDE w:val="0"/>
        <w:autoSpaceDN w:val="0"/>
        <w:spacing w:line="240" w:lineRule="auto"/>
        <w:ind w:left="720" w:hanging="720"/>
      </w:pPr>
      <w:r w:rsidRPr="00623B18">
        <w:t xml:space="preserve">Glewwe, P., &amp; Kremer, M. (2017). Schools, teachers, and education outcomes in developing countries. </w:t>
      </w:r>
      <w:r w:rsidRPr="00623B18">
        <w:rPr>
          <w:i/>
          <w:iCs/>
        </w:rPr>
        <w:t>Handbook of the Economics of Education, 5</w:t>
      </w:r>
      <w:r w:rsidRPr="00623B18">
        <w:t>, 653–743.</w:t>
      </w:r>
    </w:p>
    <w:p w14:paraId="03B91E80" w14:textId="77777777" w:rsidR="00554670" w:rsidRPr="00100A51" w:rsidRDefault="00554670" w:rsidP="009E24C0">
      <w:pPr>
        <w:widowControl w:val="0"/>
        <w:autoSpaceDE w:val="0"/>
        <w:autoSpaceDN w:val="0"/>
        <w:spacing w:line="240" w:lineRule="auto"/>
        <w:ind w:left="720" w:hanging="720"/>
        <w:rPr>
          <w:lang w:val="en-GB"/>
        </w:rPr>
      </w:pPr>
      <w:r w:rsidRPr="00623B18">
        <w:t xml:space="preserve">Gregory, A., &amp; Ripski, M. B. (2008). Adolescent trust in teachers: Implications for behavior in the high school classroom. </w:t>
      </w:r>
      <w:r w:rsidRPr="00100A51">
        <w:rPr>
          <w:i/>
          <w:iCs/>
          <w:lang w:val="en-GB"/>
        </w:rPr>
        <w:t>School Psychology Review, 37</w:t>
      </w:r>
      <w:r w:rsidRPr="00100A51">
        <w:rPr>
          <w:lang w:val="en-GB"/>
        </w:rPr>
        <w:t>(3), 337–353.</w:t>
      </w:r>
    </w:p>
    <w:p w14:paraId="286CAD5C" w14:textId="77777777" w:rsidR="00554670" w:rsidRPr="00623B18" w:rsidRDefault="00554670" w:rsidP="009E24C0">
      <w:pPr>
        <w:widowControl w:val="0"/>
        <w:autoSpaceDE w:val="0"/>
        <w:autoSpaceDN w:val="0"/>
        <w:spacing w:line="240" w:lineRule="auto"/>
        <w:ind w:left="720" w:hanging="720"/>
      </w:pPr>
      <w:r w:rsidRPr="00CE55F3">
        <w:rPr>
          <w:lang w:val="nl-NL"/>
        </w:rPr>
        <w:t xml:space="preserve">Hanushek, E. A., &amp; Woessmann, L. (2020). </w:t>
      </w:r>
      <w:r w:rsidRPr="00623B18">
        <w:t xml:space="preserve">Education, knowledge capital, and economic growth. </w:t>
      </w:r>
      <w:r w:rsidRPr="00623B18">
        <w:rPr>
          <w:i/>
          <w:iCs/>
        </w:rPr>
        <w:t>Economics of Education Review, 76</w:t>
      </w:r>
      <w:r w:rsidRPr="00623B18">
        <w:t>, 101–112.</w:t>
      </w:r>
    </w:p>
    <w:p w14:paraId="3CD4B9EF" w14:textId="4846D445" w:rsidR="00554670" w:rsidRPr="00623B18" w:rsidRDefault="00554670" w:rsidP="00AF61C7">
      <w:pPr>
        <w:widowControl w:val="0"/>
        <w:autoSpaceDE w:val="0"/>
        <w:autoSpaceDN w:val="0"/>
        <w:spacing w:line="240" w:lineRule="auto"/>
        <w:ind w:left="720" w:hanging="720"/>
      </w:pPr>
      <w:r w:rsidRPr="00623B18">
        <w:t xml:space="preserve">Hirschi, T. (1969). </w:t>
      </w:r>
      <w:r w:rsidRPr="00623B18">
        <w:rPr>
          <w:i/>
          <w:iCs/>
        </w:rPr>
        <w:t>Causes of delinquency</w:t>
      </w:r>
      <w:r w:rsidRPr="00623B18">
        <w:t>. University of California Press.</w:t>
      </w:r>
      <w:r w:rsidR="00AF61C7">
        <w:t xml:space="preserve"> </w:t>
      </w:r>
      <w:hyperlink r:id="rId6" w:history="1">
        <w:r w:rsidR="00AF61C7" w:rsidRPr="00277085">
          <w:rPr>
            <w:rStyle w:val="Hyperlink"/>
          </w:rPr>
          <w:t>https://ajoeijournal.org/sys/index.php/ajoei/article/view/282</w:t>
        </w:r>
      </w:hyperlink>
    </w:p>
    <w:p w14:paraId="3D047056" w14:textId="63693E74" w:rsidR="00554670" w:rsidRPr="00623B18" w:rsidRDefault="00554670" w:rsidP="00AF61C7">
      <w:pPr>
        <w:spacing w:line="240" w:lineRule="auto"/>
        <w:ind w:left="720" w:hanging="720"/>
        <w:jc w:val="left"/>
      </w:pPr>
      <w:r w:rsidRPr="00623B18">
        <w:t xml:space="preserve">JEPA (May 7, 2025). </w:t>
      </w:r>
      <w:r w:rsidRPr="00623B18">
        <w:rPr>
          <w:rFonts w:eastAsia="Times New Roman" w:cs="Times New Roman"/>
        </w:rPr>
        <w:t>Dormitories in Distress: Rethinking Discipline, Safety, and Class in East Africa’s Boarding Schools</w:t>
      </w:r>
      <w:r w:rsidRPr="00623B18">
        <w:t>) Available at</w:t>
      </w:r>
      <w:r w:rsidR="00AF61C7">
        <w:t xml:space="preserve"> </w:t>
      </w:r>
      <w:hyperlink r:id="rId7" w:history="1">
        <w:r w:rsidR="00AF61C7" w:rsidRPr="00277085">
          <w:rPr>
            <w:rStyle w:val="Hyperlink"/>
          </w:rPr>
          <w:t>https://www.jepaafrica.com/insights/rqxrm4wnamff8oiuncw3sonvb1ll8k?utm</w:t>
        </w:r>
      </w:hyperlink>
    </w:p>
    <w:p w14:paraId="721AE5EE" w14:textId="77777777" w:rsidR="00554670" w:rsidRPr="00623B18" w:rsidRDefault="00554670" w:rsidP="009E24C0">
      <w:pPr>
        <w:widowControl w:val="0"/>
        <w:autoSpaceDE w:val="0"/>
        <w:autoSpaceDN w:val="0"/>
        <w:spacing w:line="240" w:lineRule="auto"/>
        <w:ind w:left="720" w:hanging="720"/>
      </w:pPr>
      <w:r w:rsidRPr="00623B18">
        <w:t xml:space="preserve">Kanyi, M. G., Gikunda, R. M., Muchiri, J. M., &amp; Njuguna, G. (2026). Influence of family stratification on students’ enrollment in high school agriculture program in Trans Nzoia Sub-County, Kenya. </w:t>
      </w:r>
      <w:r w:rsidRPr="00623B18">
        <w:rPr>
          <w:i/>
          <w:iCs/>
        </w:rPr>
        <w:t>Journal of International Agricultural and Extension Education</w:t>
      </w:r>
      <w:r w:rsidRPr="00623B18">
        <w:t xml:space="preserve">, 33(1), 33–43. </w:t>
      </w:r>
    </w:p>
    <w:p w14:paraId="0CF3DA8B" w14:textId="3C485D25" w:rsidR="00554670" w:rsidRPr="00623B18" w:rsidRDefault="00554670" w:rsidP="00AF61C7">
      <w:pPr>
        <w:spacing w:line="240" w:lineRule="auto"/>
        <w:ind w:left="720" w:hanging="720"/>
      </w:pPr>
      <w:r w:rsidRPr="00100A51">
        <w:rPr>
          <w:lang w:val="en-GB"/>
        </w:rPr>
        <w:t xml:space="preserve">Keter, M. C., Wahonya, P. &amp; Mwangi P. N. (2025). </w:t>
      </w:r>
      <w:r w:rsidRPr="00623B18">
        <w:t xml:space="preserve">The role of parents and teachers in promoting student discipline and academic performance in secondary schools: A case of Nandi County, Kenya. </w:t>
      </w:r>
      <w:r w:rsidRPr="00623B18">
        <w:rPr>
          <w:i/>
          <w:iCs/>
        </w:rPr>
        <w:t>Journal of Research Innovation and implication in Education</w:t>
      </w:r>
      <w:r w:rsidRPr="00623B18">
        <w:t xml:space="preserve">, </w:t>
      </w:r>
      <w:r w:rsidRPr="00623B18">
        <w:rPr>
          <w:i/>
          <w:iCs/>
        </w:rPr>
        <w:t>9</w:t>
      </w:r>
      <w:r w:rsidRPr="00623B18">
        <w:t xml:space="preserve">(3), 518 - 532. </w:t>
      </w:r>
      <w:hyperlink r:id="rId8" w:history="1">
        <w:r w:rsidR="00AF61C7" w:rsidRPr="00277085">
          <w:rPr>
            <w:rStyle w:val="Hyperlink"/>
          </w:rPr>
          <w:t>https://doi.org/10.59765.vnf73</w:t>
        </w:r>
      </w:hyperlink>
    </w:p>
    <w:p w14:paraId="4A2E52FD" w14:textId="67579E1F" w:rsidR="00554670" w:rsidRPr="00623B18" w:rsidRDefault="00554670" w:rsidP="00AF61C7">
      <w:pPr>
        <w:spacing w:line="240" w:lineRule="auto"/>
        <w:ind w:left="720" w:hanging="720"/>
      </w:pPr>
      <w:r w:rsidRPr="00CE55F3">
        <w:rPr>
          <w:lang w:val="pl-PL"/>
        </w:rPr>
        <w:t xml:space="preserve">Kiome, J. M., Kibara, T., &amp; Kihara, P. (2023). </w:t>
      </w:r>
      <w:r w:rsidRPr="00623B18">
        <w:t xml:space="preserve">Influence of parental socioeconomic status on student academic performance in public primary schools in Starehe Sub-County, </w:t>
      </w:r>
      <w:r w:rsidRPr="00623B18">
        <w:lastRenderedPageBreak/>
        <w:t xml:space="preserve">Nairobi County, Kenya. </w:t>
      </w:r>
      <w:r w:rsidRPr="00623B18">
        <w:rPr>
          <w:rFonts w:eastAsia="Times New Roman"/>
          <w:i/>
          <w:iCs/>
        </w:rPr>
        <w:t>International Research Journal of Social Sciences, Education and Humanities</w:t>
      </w:r>
      <w:r w:rsidRPr="00623B18">
        <w:rPr>
          <w:i/>
          <w:iCs/>
        </w:rPr>
        <w:t>, 7</w:t>
      </w:r>
      <w:r w:rsidRPr="00623B18">
        <w:t xml:space="preserve">(2). Available at </w:t>
      </w:r>
      <w:hyperlink r:id="rId9" w:history="1">
        <w:r w:rsidR="00AF61C7" w:rsidRPr="00277085">
          <w:rPr>
            <w:rStyle w:val="Hyperlink"/>
          </w:rPr>
          <w:t>https://www.irjp.org/index.php/IRJSEH/article/view/415?utm</w:t>
        </w:r>
      </w:hyperlink>
    </w:p>
    <w:p w14:paraId="6E32A2E1" w14:textId="77777777" w:rsidR="00554670" w:rsidRPr="00623B18" w:rsidRDefault="00554670" w:rsidP="009E24C0">
      <w:pPr>
        <w:widowControl w:val="0"/>
        <w:autoSpaceDE w:val="0"/>
        <w:autoSpaceDN w:val="0"/>
        <w:spacing w:line="240" w:lineRule="auto"/>
        <w:ind w:left="720" w:hanging="720"/>
      </w:pPr>
      <w:r w:rsidRPr="00623B18">
        <w:t xml:space="preserve">Kobane, K., Mutegi, R., Mbeche, F., &amp; Chepkonga, S. (2025). Influence of family income levels on students’ completion rates in public secondary schools in Dadaab Sub-County, Kenya. </w:t>
      </w:r>
      <w:r w:rsidRPr="00623B18">
        <w:rPr>
          <w:i/>
          <w:iCs/>
        </w:rPr>
        <w:t>Journal of Education and Practice</w:t>
      </w:r>
      <w:r w:rsidRPr="00623B18">
        <w:t>, 16(6).</w:t>
      </w:r>
    </w:p>
    <w:p w14:paraId="369A1EA5" w14:textId="77777777" w:rsidR="00554670" w:rsidRPr="00623B18" w:rsidRDefault="00554670" w:rsidP="009E24C0">
      <w:pPr>
        <w:widowControl w:val="0"/>
        <w:autoSpaceDE w:val="0"/>
        <w:autoSpaceDN w:val="0"/>
        <w:spacing w:line="240" w:lineRule="auto"/>
        <w:ind w:left="720" w:hanging="720"/>
      </w:pPr>
      <w:r w:rsidRPr="00776535">
        <w:rPr>
          <w:lang w:val="nl-NL"/>
        </w:rPr>
        <w:t xml:space="preserve">Li, X., Zhang, Y., &amp; Wang, L. (2022). </w:t>
      </w:r>
      <w:r w:rsidRPr="00623B18">
        <w:t xml:space="preserve">The impact of family socioeconomic status on learning conformity among students: Self-efficacy as a mediating factor. </w:t>
      </w:r>
      <w:r w:rsidRPr="00623B18">
        <w:rPr>
          <w:rFonts w:eastAsia="Times New Roman"/>
          <w:i/>
          <w:iCs/>
        </w:rPr>
        <w:t>Sustainability</w:t>
      </w:r>
      <w:r w:rsidRPr="00623B18">
        <w:t>, 14(16), 9845.</w:t>
      </w:r>
    </w:p>
    <w:p w14:paraId="14CD9F34" w14:textId="77777777" w:rsidR="00554670" w:rsidRPr="00623B18" w:rsidRDefault="00554670" w:rsidP="009E24C0">
      <w:pPr>
        <w:widowControl w:val="0"/>
        <w:autoSpaceDE w:val="0"/>
        <w:autoSpaceDN w:val="0"/>
        <w:spacing w:line="240" w:lineRule="auto"/>
        <w:ind w:left="720" w:hanging="720"/>
      </w:pPr>
      <w:r w:rsidRPr="00776535">
        <w:rPr>
          <w:lang w:val="pl-PL"/>
        </w:rPr>
        <w:t xml:space="preserve">Mabunde, I., Barasa, J., &amp; Likoko, S. (2024). </w:t>
      </w:r>
      <w:r w:rsidRPr="00623B18">
        <w:t xml:space="preserve">Parenting behaviour and student discipline in public boarding secondary schools in Western region of Kenya. </w:t>
      </w:r>
      <w:r w:rsidRPr="00623B18">
        <w:rPr>
          <w:rFonts w:eastAsia="Times New Roman"/>
          <w:i/>
          <w:iCs/>
        </w:rPr>
        <w:t>International Journal of Science and Research Archive</w:t>
      </w:r>
      <w:r w:rsidRPr="00623B18">
        <w:t xml:space="preserve">, </w:t>
      </w:r>
      <w:r w:rsidRPr="00623B18">
        <w:rPr>
          <w:i/>
          <w:iCs/>
        </w:rPr>
        <w:t>13</w:t>
      </w:r>
      <w:r w:rsidRPr="00623B18">
        <w:t>(01), 1961–1971.</w:t>
      </w:r>
    </w:p>
    <w:p w14:paraId="2F613CCC" w14:textId="77777777" w:rsidR="00554670" w:rsidRPr="00623B18" w:rsidRDefault="00554670" w:rsidP="009E24C0">
      <w:pPr>
        <w:spacing w:line="240" w:lineRule="auto"/>
        <w:ind w:left="720" w:hanging="720"/>
        <w:rPr>
          <w:lang w:val="en-GB"/>
        </w:rPr>
      </w:pPr>
      <w:r w:rsidRPr="00100A51">
        <w:rPr>
          <w:lang w:val="en-GB"/>
        </w:rPr>
        <w:t xml:space="preserve">Mabunde, I., Likoko, S., &amp; Barasa, J. (2024). </w:t>
      </w:r>
      <w:r w:rsidRPr="00623B18">
        <w:t>Family Structure and Student Discipline in Public Boarding Secondary Schools in Western Region of Kenya. </w:t>
      </w:r>
      <w:r w:rsidRPr="00623B18">
        <w:rPr>
          <w:i/>
          <w:iCs/>
        </w:rPr>
        <w:t>European Journal of Theoretical and Applied Sciences</w:t>
      </w:r>
      <w:r w:rsidRPr="00623B18">
        <w:t>, </w:t>
      </w:r>
      <w:r w:rsidRPr="00623B18">
        <w:rPr>
          <w:i/>
          <w:iCs/>
        </w:rPr>
        <w:t>2</w:t>
      </w:r>
      <w:r w:rsidRPr="00623B18">
        <w:t>(5), 449-461.</w:t>
      </w:r>
    </w:p>
    <w:p w14:paraId="5B530101" w14:textId="77777777" w:rsidR="00554670" w:rsidRPr="00623B18" w:rsidRDefault="00554670" w:rsidP="009E24C0">
      <w:pPr>
        <w:widowControl w:val="0"/>
        <w:autoSpaceDE w:val="0"/>
        <w:autoSpaceDN w:val="0"/>
        <w:spacing w:line="240" w:lineRule="auto"/>
        <w:ind w:left="720" w:hanging="720"/>
      </w:pPr>
      <w:r w:rsidRPr="00623B18">
        <w:t xml:space="preserve">Miller, P. W., &amp; Johnson, D. V. (2017). Family income instability and child behavioural outcomes. </w:t>
      </w:r>
      <w:r w:rsidRPr="00623B18">
        <w:rPr>
          <w:i/>
          <w:iCs/>
        </w:rPr>
        <w:t>Journal of Family and Economic Issues, 38</w:t>
      </w:r>
      <w:r w:rsidRPr="00623B18">
        <w:t>(3), 357–369.</w:t>
      </w:r>
    </w:p>
    <w:p w14:paraId="19FF34D7" w14:textId="77777777" w:rsidR="00554670" w:rsidRPr="00623B18" w:rsidRDefault="00554670" w:rsidP="009E24C0">
      <w:pPr>
        <w:widowControl w:val="0"/>
        <w:autoSpaceDE w:val="0"/>
        <w:autoSpaceDN w:val="0"/>
        <w:spacing w:line="240" w:lineRule="auto"/>
        <w:ind w:left="720" w:hanging="720"/>
      </w:pPr>
      <w:r w:rsidRPr="00623B18">
        <w:t xml:space="preserve">Nederhof, A. J. (1985). Methods of coping with social desirability bias: A review. </w:t>
      </w:r>
      <w:r w:rsidRPr="00623B18">
        <w:rPr>
          <w:i/>
          <w:iCs/>
        </w:rPr>
        <w:t>European Journal of Social Psychology, 15</w:t>
      </w:r>
      <w:r w:rsidRPr="00623B18">
        <w:t xml:space="preserve">(3), 263–280. </w:t>
      </w:r>
    </w:p>
    <w:p w14:paraId="4F5C0086" w14:textId="77777777" w:rsidR="00554670" w:rsidRPr="00623B18" w:rsidRDefault="00554670" w:rsidP="009E24C0">
      <w:pPr>
        <w:widowControl w:val="0"/>
        <w:autoSpaceDE w:val="0"/>
        <w:autoSpaceDN w:val="0"/>
        <w:spacing w:line="240" w:lineRule="auto"/>
        <w:ind w:left="720" w:hanging="720"/>
      </w:pPr>
      <w:r w:rsidRPr="00623B18">
        <w:t xml:space="preserve">Ngware, M. W., Oketch, M., &amp; Mutisya, M. (2013). Does education inequality persist in Kenya? </w:t>
      </w:r>
      <w:r w:rsidRPr="00623B18">
        <w:rPr>
          <w:rFonts w:eastAsia="Times New Roman"/>
          <w:i/>
          <w:iCs/>
        </w:rPr>
        <w:t>International Journal of Educational Development</w:t>
      </w:r>
      <w:r w:rsidRPr="00623B18">
        <w:t>, 33(5), 522–533.</w:t>
      </w:r>
    </w:p>
    <w:p w14:paraId="14035D5D" w14:textId="77777777" w:rsidR="00554670" w:rsidRPr="00623B18" w:rsidRDefault="00554670" w:rsidP="009E24C0">
      <w:pPr>
        <w:spacing w:line="240" w:lineRule="auto"/>
        <w:ind w:left="720" w:hanging="720"/>
      </w:pPr>
      <w:r w:rsidRPr="00776535">
        <w:rPr>
          <w:lang w:val="pl-PL"/>
        </w:rPr>
        <w:t xml:space="preserve">Obonyo, S. A., Mokua, M. G., &amp; Mugai, J. W. (2024). </w:t>
      </w:r>
      <w:r w:rsidRPr="00623B18">
        <w:t>Influence Of Parents’ Personal Values on Pupils’ Discipline in Public Primary Schools in Kibra Sub-County, Nairobi County, Kenya. </w:t>
      </w:r>
      <w:r w:rsidRPr="00623B18">
        <w:rPr>
          <w:i/>
          <w:iCs/>
        </w:rPr>
        <w:t>African Journal of Emerging Issues</w:t>
      </w:r>
      <w:r w:rsidRPr="00623B18">
        <w:t>, </w:t>
      </w:r>
      <w:r w:rsidRPr="00623B18">
        <w:rPr>
          <w:i/>
          <w:iCs/>
        </w:rPr>
        <w:t>6</w:t>
      </w:r>
      <w:r w:rsidRPr="00623B18">
        <w:t xml:space="preserve">(2), 71-87. </w:t>
      </w:r>
    </w:p>
    <w:p w14:paraId="60217088" w14:textId="77777777" w:rsidR="00554670" w:rsidRPr="00623B18" w:rsidRDefault="00554670" w:rsidP="009E24C0">
      <w:pPr>
        <w:widowControl w:val="0"/>
        <w:autoSpaceDE w:val="0"/>
        <w:autoSpaceDN w:val="0"/>
        <w:spacing w:line="240" w:lineRule="auto"/>
        <w:ind w:left="720" w:hanging="720"/>
      </w:pPr>
      <w:r w:rsidRPr="00623B18">
        <w:t xml:space="preserve">OECD. (2019). </w:t>
      </w:r>
      <w:r w:rsidRPr="00623B18">
        <w:rPr>
          <w:i/>
          <w:iCs/>
        </w:rPr>
        <w:t>PISA 2018 results (Volume II): Where all students can succeed</w:t>
      </w:r>
      <w:r w:rsidRPr="00623B18">
        <w:t>. OECD Publishing.</w:t>
      </w:r>
    </w:p>
    <w:p w14:paraId="7BAA1CA1" w14:textId="77777777" w:rsidR="00554670" w:rsidRPr="00623B18" w:rsidRDefault="00554670" w:rsidP="009E24C0">
      <w:pPr>
        <w:widowControl w:val="0"/>
        <w:autoSpaceDE w:val="0"/>
        <w:autoSpaceDN w:val="0"/>
        <w:spacing w:line="240" w:lineRule="auto"/>
        <w:ind w:left="720" w:hanging="720"/>
      </w:pPr>
      <w:r w:rsidRPr="00623B18">
        <w:t xml:space="preserve">Oketch, M., &amp; Rolleston, C. (2019). Policies on free secondary education in East Africa and their implications for equity. </w:t>
      </w:r>
      <w:r w:rsidRPr="00623B18">
        <w:rPr>
          <w:i/>
          <w:iCs/>
        </w:rPr>
        <w:t>International Journal of Educational Development, 66</w:t>
      </w:r>
      <w:r w:rsidRPr="00623B18">
        <w:t>, 120–128.</w:t>
      </w:r>
    </w:p>
    <w:p w14:paraId="481933D0" w14:textId="77777777" w:rsidR="00554670" w:rsidRPr="00623B18" w:rsidRDefault="00554670" w:rsidP="009E24C0">
      <w:pPr>
        <w:spacing w:line="240" w:lineRule="auto"/>
        <w:ind w:left="720" w:hanging="720"/>
        <w:rPr>
          <w:rFonts w:eastAsia="Times New Roman" w:cs="Times New Roman"/>
          <w:szCs w:val="24"/>
        </w:rPr>
      </w:pPr>
      <w:r w:rsidRPr="00623B18">
        <w:t xml:space="preserve">Oketch, M., &amp; Somerset, A. (2010). Free primary education and after in Kenya: Enrolment impact, quality effects, and the transition to secondary school. </w:t>
      </w:r>
      <w:r w:rsidRPr="00623B18">
        <w:rPr>
          <w:rFonts w:eastAsia="Times New Roman"/>
          <w:i/>
          <w:iCs/>
        </w:rPr>
        <w:t>CREATE Pathways to Access Research Monograph</w:t>
      </w:r>
      <w:r w:rsidRPr="00623B18">
        <w:t>.</w:t>
      </w:r>
    </w:p>
    <w:p w14:paraId="4910FD04" w14:textId="77777777" w:rsidR="00554670" w:rsidRPr="00623B18" w:rsidRDefault="00554670" w:rsidP="009E24C0">
      <w:pPr>
        <w:widowControl w:val="0"/>
        <w:autoSpaceDE w:val="0"/>
        <w:autoSpaceDN w:val="0"/>
        <w:spacing w:line="240" w:lineRule="auto"/>
        <w:ind w:left="720" w:hanging="720"/>
      </w:pPr>
      <w:r w:rsidRPr="00623B18">
        <w:t xml:space="preserve">Oruko, G., &amp; Muthaa, R. (2020). Socio-economic factors influencing students’ behaviour in Kenyan secondary schools. </w:t>
      </w:r>
      <w:r w:rsidRPr="00623B18">
        <w:rPr>
          <w:i/>
          <w:iCs/>
        </w:rPr>
        <w:t>African Educational Research Journal, 8</w:t>
      </w:r>
      <w:r w:rsidRPr="00623B18">
        <w:t>(3), 452–460.</w:t>
      </w:r>
    </w:p>
    <w:p w14:paraId="1C2C23E7" w14:textId="77777777" w:rsidR="00554670" w:rsidRPr="00623B18" w:rsidRDefault="00554670" w:rsidP="009E24C0">
      <w:pPr>
        <w:widowControl w:val="0"/>
        <w:autoSpaceDE w:val="0"/>
        <w:autoSpaceDN w:val="0"/>
        <w:spacing w:line="240" w:lineRule="auto"/>
        <w:ind w:left="720" w:hanging="720"/>
      </w:pPr>
      <w:r w:rsidRPr="00623B18">
        <w:t xml:space="preserve">Reardon, S. F. (2018). Educational inequality and income inequality. </w:t>
      </w:r>
      <w:r w:rsidRPr="00623B18">
        <w:rPr>
          <w:i/>
          <w:iCs/>
        </w:rPr>
        <w:t>Educational Researcher, 47</w:t>
      </w:r>
      <w:r w:rsidRPr="00623B18">
        <w:t>(3), 178–186.</w:t>
      </w:r>
    </w:p>
    <w:p w14:paraId="646A034C" w14:textId="77777777" w:rsidR="00554670" w:rsidRPr="00623B18" w:rsidRDefault="00554670" w:rsidP="009E24C0">
      <w:pPr>
        <w:widowControl w:val="0"/>
        <w:autoSpaceDE w:val="0"/>
        <w:autoSpaceDN w:val="0"/>
        <w:spacing w:line="240" w:lineRule="auto"/>
        <w:ind w:left="720" w:hanging="720"/>
      </w:pPr>
      <w:r w:rsidRPr="00623B18">
        <w:t xml:space="preserve">Reiss, F. (2013). Socioeconomic inequalities and mental health problems in children and adolescents. </w:t>
      </w:r>
      <w:r w:rsidRPr="00623B18">
        <w:rPr>
          <w:rFonts w:eastAsia="Times New Roman"/>
          <w:i/>
          <w:iCs/>
        </w:rPr>
        <w:t>Social Science &amp; Medicine</w:t>
      </w:r>
      <w:r w:rsidRPr="00623B18">
        <w:t>, 90, 24–31.</w:t>
      </w:r>
    </w:p>
    <w:p w14:paraId="38AC9710" w14:textId="77777777" w:rsidR="00554670" w:rsidRPr="00623B18" w:rsidRDefault="00554670" w:rsidP="009E24C0">
      <w:pPr>
        <w:widowControl w:val="0"/>
        <w:autoSpaceDE w:val="0"/>
        <w:autoSpaceDN w:val="0"/>
        <w:spacing w:line="240" w:lineRule="auto"/>
        <w:ind w:left="720" w:hanging="720"/>
      </w:pPr>
      <w:r w:rsidRPr="002C1C3A">
        <w:rPr>
          <w:lang w:val="pl-PL"/>
        </w:rPr>
        <w:t xml:space="preserve">Saatcioglu, A., &amp; Rury, J. L. (2012). </w:t>
      </w:r>
      <w:r w:rsidRPr="00623B18">
        <w:t xml:space="preserve">Opportunity hoarding in school districts: The role of parents in maintaining inequality. </w:t>
      </w:r>
      <w:r w:rsidRPr="00623B18">
        <w:rPr>
          <w:rFonts w:eastAsia="Times New Roman"/>
          <w:i/>
          <w:iCs/>
        </w:rPr>
        <w:t>American Educational Research Journal</w:t>
      </w:r>
      <w:r w:rsidRPr="00623B18">
        <w:t xml:space="preserve">. Available at </w:t>
      </w:r>
      <w:hyperlink r:id="rId10" w:history="1">
        <w:r w:rsidRPr="00623B18">
          <w:rPr>
            <w:rStyle w:val="Hyperlink"/>
            <w:color w:val="auto"/>
          </w:rPr>
          <w:t>https://arxiv.org/abs/1705.08082?utm</w:t>
        </w:r>
      </w:hyperlink>
    </w:p>
    <w:p w14:paraId="3E9019EC" w14:textId="2A6967D9" w:rsidR="00554670" w:rsidRDefault="00554670" w:rsidP="00AF61C7">
      <w:pPr>
        <w:widowControl w:val="0"/>
        <w:autoSpaceDE w:val="0"/>
        <w:autoSpaceDN w:val="0"/>
        <w:spacing w:line="240" w:lineRule="auto"/>
        <w:ind w:left="720" w:hanging="720"/>
      </w:pPr>
      <w:r w:rsidRPr="00623B18">
        <w:lastRenderedPageBreak/>
        <w:t xml:space="preserve">Simiyu, C. W., &amp; Likoko, S. N. (2024). Family socio-economic background and girls’ education in public secondary schools in Bungoma County, Kenya. </w:t>
      </w:r>
      <w:r w:rsidRPr="00623B18">
        <w:rPr>
          <w:i/>
          <w:iCs/>
        </w:rPr>
        <w:t>East African Journal of Arts and Social Sciences</w:t>
      </w:r>
      <w:r w:rsidRPr="00623B18">
        <w:t xml:space="preserve">, </w:t>
      </w:r>
      <w:r w:rsidRPr="00623B18">
        <w:rPr>
          <w:i/>
          <w:iCs/>
        </w:rPr>
        <w:t>8</w:t>
      </w:r>
      <w:r w:rsidRPr="00623B18">
        <w:t xml:space="preserve">(1), 317-324. </w:t>
      </w:r>
      <w:hyperlink r:id="rId11" w:history="1">
        <w:r w:rsidR="00AF61C7" w:rsidRPr="00277085">
          <w:rPr>
            <w:rStyle w:val="Hyperlink"/>
            <w:lang w:val="en-GB"/>
          </w:rPr>
          <w:t>https://doi.org/10.37284/eajass.8.1.2762</w:t>
        </w:r>
      </w:hyperlink>
    </w:p>
    <w:p w14:paraId="393F39B1" w14:textId="77777777" w:rsidR="00554670" w:rsidRPr="00623B18" w:rsidRDefault="00554670" w:rsidP="009E24C0">
      <w:pPr>
        <w:widowControl w:val="0"/>
        <w:autoSpaceDE w:val="0"/>
        <w:autoSpaceDN w:val="0"/>
        <w:spacing w:line="240" w:lineRule="auto"/>
        <w:ind w:left="720" w:hanging="720"/>
      </w:pPr>
      <w:r w:rsidRPr="00623B18">
        <w:t xml:space="preserve">Sirin, S. R. (2016). Socioeconomic status and academic achievement: A meta-analytic review of research. </w:t>
      </w:r>
      <w:r w:rsidRPr="00623B18">
        <w:rPr>
          <w:i/>
          <w:iCs/>
        </w:rPr>
        <w:t>Review of Educational Research, 86</w:t>
      </w:r>
      <w:r w:rsidRPr="00623B18">
        <w:t>(3), 778–801.</w:t>
      </w:r>
    </w:p>
    <w:p w14:paraId="499515AA" w14:textId="77777777" w:rsidR="00554670" w:rsidRPr="00623B18" w:rsidRDefault="00554670" w:rsidP="009E24C0">
      <w:pPr>
        <w:widowControl w:val="0"/>
        <w:autoSpaceDE w:val="0"/>
        <w:autoSpaceDN w:val="0"/>
        <w:spacing w:line="240" w:lineRule="auto"/>
        <w:ind w:left="720" w:hanging="720"/>
      </w:pPr>
      <w:r w:rsidRPr="00623B18">
        <w:t xml:space="preserve">Skiba, R. J., Chung, C. G., Trachok, M., Baker, T. L., Sheya, A., &amp; Hughes, R. L. (2014). Parsing disciplinary disproportionality: Contributions of infraction, student, and school characteristics to out-of-school suspension and expulsion. </w:t>
      </w:r>
      <w:r w:rsidRPr="00623B18">
        <w:rPr>
          <w:i/>
          <w:iCs/>
        </w:rPr>
        <w:t>American Educational Research Journal, 51</w:t>
      </w:r>
      <w:r w:rsidRPr="00623B18">
        <w:t>(4), 640–670.</w:t>
      </w:r>
    </w:p>
    <w:p w14:paraId="05DA59AA" w14:textId="77777777" w:rsidR="00554670" w:rsidRPr="00623B18" w:rsidRDefault="00554670" w:rsidP="009E24C0">
      <w:pPr>
        <w:widowControl w:val="0"/>
        <w:autoSpaceDE w:val="0"/>
        <w:autoSpaceDN w:val="0"/>
        <w:spacing w:line="240" w:lineRule="auto"/>
        <w:ind w:left="720" w:hanging="720"/>
      </w:pPr>
      <w:r w:rsidRPr="00623B18">
        <w:t xml:space="preserve">UNESCO. (2021). </w:t>
      </w:r>
      <w:r w:rsidRPr="00623B18">
        <w:rPr>
          <w:i/>
          <w:iCs/>
        </w:rPr>
        <w:t>Global education monitoring report 2021/2022: Non-state actors in education</w:t>
      </w:r>
      <w:r w:rsidRPr="00623B18">
        <w:t>. UNESCO Publishing.</w:t>
      </w:r>
    </w:p>
    <w:p w14:paraId="3B8DE15C" w14:textId="77777777" w:rsidR="00554670" w:rsidRPr="00623B18" w:rsidRDefault="00554670" w:rsidP="009E24C0">
      <w:pPr>
        <w:widowControl w:val="0"/>
        <w:autoSpaceDE w:val="0"/>
        <w:autoSpaceDN w:val="0"/>
        <w:spacing w:line="240" w:lineRule="auto"/>
        <w:ind w:left="720" w:hanging="720"/>
      </w:pPr>
      <w:r w:rsidRPr="00623B18">
        <w:t xml:space="preserve">Way, N. (2011). </w:t>
      </w:r>
      <w:r w:rsidRPr="00623B18">
        <w:rPr>
          <w:i/>
          <w:iCs/>
        </w:rPr>
        <w:t>Deep secrets: Boys' friendships and the crisis of connection</w:t>
      </w:r>
      <w:r w:rsidRPr="00623B18">
        <w:t xml:space="preserve">. Harvard University Press. </w:t>
      </w:r>
    </w:p>
    <w:p w14:paraId="4D0B5CE3" w14:textId="07FD51E1" w:rsidR="00554670" w:rsidRDefault="00554670" w:rsidP="00AF61C7">
      <w:pPr>
        <w:widowControl w:val="0"/>
        <w:autoSpaceDE w:val="0"/>
        <w:autoSpaceDN w:val="0"/>
        <w:spacing w:line="240" w:lineRule="auto"/>
        <w:ind w:left="720" w:hanging="720"/>
        <w:jc w:val="left"/>
      </w:pPr>
      <w:r w:rsidRPr="00623B18">
        <w:t xml:space="preserve">Wechuli, S. C. (2020). Family Socio-Economic Background and Its Effects on the Investment in Girls Education in Public Secondary Schools in Bungoma County, Kenya. Master’s Thesis, Kenyatta University. Available at </w:t>
      </w:r>
      <w:hyperlink r:id="rId12" w:history="1">
        <w:r w:rsidR="00AF61C7" w:rsidRPr="00277085">
          <w:rPr>
            <w:rStyle w:val="Hyperlink"/>
          </w:rPr>
          <w:t>https://ir-library.ku.ac.ke/server/api/core/bitstreams/b081c04c-6af1-4189-9d9f-5224bf15c387/content</w:t>
        </w:r>
      </w:hyperlink>
    </w:p>
    <w:p w14:paraId="4F8D072E" w14:textId="3F628C1C" w:rsidR="00554670" w:rsidRDefault="00554670" w:rsidP="00EE72BE">
      <w:pPr>
        <w:widowControl w:val="0"/>
        <w:autoSpaceDE w:val="0"/>
        <w:autoSpaceDN w:val="0"/>
        <w:spacing w:line="240" w:lineRule="auto"/>
        <w:ind w:left="720" w:hanging="720"/>
      </w:pPr>
      <w:r w:rsidRPr="00623B18">
        <w:t xml:space="preserve">World Bank. (2020). </w:t>
      </w:r>
      <w:r w:rsidRPr="00623B18">
        <w:rPr>
          <w:i/>
          <w:iCs/>
        </w:rPr>
        <w:t>Education in Sub-Saharan Africa: Learning outcomes and equity</w:t>
      </w:r>
      <w:r w:rsidRPr="00623B18">
        <w:t xml:space="preserve">. World Bank Publications. </w:t>
      </w:r>
    </w:p>
    <w:sectPr w:rsidR="005546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73BEA"/>
    <w:multiLevelType w:val="hybridMultilevel"/>
    <w:tmpl w:val="682CD5F8"/>
    <w:lvl w:ilvl="0" w:tplc="20000019">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2B6E4880"/>
    <w:multiLevelType w:val="hybridMultilevel"/>
    <w:tmpl w:val="1D8E4CA8"/>
    <w:lvl w:ilvl="0" w:tplc="20000019">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30B370CE"/>
    <w:multiLevelType w:val="hybridMultilevel"/>
    <w:tmpl w:val="D38E9CE0"/>
    <w:lvl w:ilvl="0" w:tplc="20000019">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44694586"/>
    <w:multiLevelType w:val="hybridMultilevel"/>
    <w:tmpl w:val="DCB83B08"/>
    <w:lvl w:ilvl="0" w:tplc="20000019">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61135A47"/>
    <w:multiLevelType w:val="hybridMultilevel"/>
    <w:tmpl w:val="BE9C1FBE"/>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7955047A"/>
    <w:multiLevelType w:val="hybridMultilevel"/>
    <w:tmpl w:val="E34C7C52"/>
    <w:lvl w:ilvl="0" w:tplc="20000019">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178665639">
    <w:abstractNumId w:val="3"/>
  </w:num>
  <w:num w:numId="2" w16cid:durableId="1493835493">
    <w:abstractNumId w:val="1"/>
  </w:num>
  <w:num w:numId="3" w16cid:durableId="1119841879">
    <w:abstractNumId w:val="0"/>
  </w:num>
  <w:num w:numId="4" w16cid:durableId="1767261858">
    <w:abstractNumId w:val="2"/>
  </w:num>
  <w:num w:numId="5" w16cid:durableId="911963950">
    <w:abstractNumId w:val="5"/>
  </w:num>
  <w:num w:numId="6" w16cid:durableId="73053783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670"/>
    <w:rsid w:val="00000A16"/>
    <w:rsid w:val="00007700"/>
    <w:rsid w:val="00025EF0"/>
    <w:rsid w:val="000325E7"/>
    <w:rsid w:val="0004050E"/>
    <w:rsid w:val="00040E63"/>
    <w:rsid w:val="00041F23"/>
    <w:rsid w:val="000558F4"/>
    <w:rsid w:val="00060E57"/>
    <w:rsid w:val="00073359"/>
    <w:rsid w:val="00073C52"/>
    <w:rsid w:val="00074A85"/>
    <w:rsid w:val="00076380"/>
    <w:rsid w:val="000B11B3"/>
    <w:rsid w:val="000D0882"/>
    <w:rsid w:val="000D2962"/>
    <w:rsid w:val="000F28F8"/>
    <w:rsid w:val="00105500"/>
    <w:rsid w:val="00105B66"/>
    <w:rsid w:val="00107534"/>
    <w:rsid w:val="0010755C"/>
    <w:rsid w:val="00120294"/>
    <w:rsid w:val="0012174E"/>
    <w:rsid w:val="00144206"/>
    <w:rsid w:val="00145D21"/>
    <w:rsid w:val="00151AD3"/>
    <w:rsid w:val="001559A5"/>
    <w:rsid w:val="001625EA"/>
    <w:rsid w:val="00172760"/>
    <w:rsid w:val="00175107"/>
    <w:rsid w:val="001A7B1C"/>
    <w:rsid w:val="001C531C"/>
    <w:rsid w:val="001C61AC"/>
    <w:rsid w:val="001C6326"/>
    <w:rsid w:val="001F721E"/>
    <w:rsid w:val="001F79F8"/>
    <w:rsid w:val="00204BE0"/>
    <w:rsid w:val="002150D8"/>
    <w:rsid w:val="002304E4"/>
    <w:rsid w:val="00234A65"/>
    <w:rsid w:val="00242EAC"/>
    <w:rsid w:val="0025740B"/>
    <w:rsid w:val="00274350"/>
    <w:rsid w:val="002864C9"/>
    <w:rsid w:val="002A5613"/>
    <w:rsid w:val="002B319B"/>
    <w:rsid w:val="002C1C3A"/>
    <w:rsid w:val="002C3A13"/>
    <w:rsid w:val="002C5CF0"/>
    <w:rsid w:val="002D258B"/>
    <w:rsid w:val="002E2D8A"/>
    <w:rsid w:val="002F0D23"/>
    <w:rsid w:val="002F58E7"/>
    <w:rsid w:val="0030761C"/>
    <w:rsid w:val="003202D1"/>
    <w:rsid w:val="00320FEF"/>
    <w:rsid w:val="003231DF"/>
    <w:rsid w:val="003266FF"/>
    <w:rsid w:val="00327D21"/>
    <w:rsid w:val="003458EA"/>
    <w:rsid w:val="003567CE"/>
    <w:rsid w:val="00357002"/>
    <w:rsid w:val="00357A07"/>
    <w:rsid w:val="00364155"/>
    <w:rsid w:val="0037223F"/>
    <w:rsid w:val="00372D45"/>
    <w:rsid w:val="00377D9D"/>
    <w:rsid w:val="00391BFC"/>
    <w:rsid w:val="003A250C"/>
    <w:rsid w:val="003A2BDB"/>
    <w:rsid w:val="003A5C20"/>
    <w:rsid w:val="003A5D9B"/>
    <w:rsid w:val="003B1C05"/>
    <w:rsid w:val="003C094B"/>
    <w:rsid w:val="003D5533"/>
    <w:rsid w:val="003D7719"/>
    <w:rsid w:val="003E3CC0"/>
    <w:rsid w:val="003F1A31"/>
    <w:rsid w:val="003F3D8C"/>
    <w:rsid w:val="004022E7"/>
    <w:rsid w:val="00412014"/>
    <w:rsid w:val="004225E6"/>
    <w:rsid w:val="00436B0E"/>
    <w:rsid w:val="00440CB7"/>
    <w:rsid w:val="00454AC4"/>
    <w:rsid w:val="00457183"/>
    <w:rsid w:val="0046262E"/>
    <w:rsid w:val="00497F0F"/>
    <w:rsid w:val="004A152B"/>
    <w:rsid w:val="004A33B0"/>
    <w:rsid w:val="004A69ED"/>
    <w:rsid w:val="004B02E0"/>
    <w:rsid w:val="004B0F28"/>
    <w:rsid w:val="004B26D8"/>
    <w:rsid w:val="004C0387"/>
    <w:rsid w:val="004C100A"/>
    <w:rsid w:val="004C17BA"/>
    <w:rsid w:val="004E7514"/>
    <w:rsid w:val="004F2D09"/>
    <w:rsid w:val="005012B5"/>
    <w:rsid w:val="00516FBC"/>
    <w:rsid w:val="005408D7"/>
    <w:rsid w:val="00542E2D"/>
    <w:rsid w:val="00554670"/>
    <w:rsid w:val="00560BA7"/>
    <w:rsid w:val="00561A02"/>
    <w:rsid w:val="00563D7A"/>
    <w:rsid w:val="00571662"/>
    <w:rsid w:val="00574043"/>
    <w:rsid w:val="00583C5D"/>
    <w:rsid w:val="00585277"/>
    <w:rsid w:val="00587387"/>
    <w:rsid w:val="005A0486"/>
    <w:rsid w:val="005A05BA"/>
    <w:rsid w:val="005A0935"/>
    <w:rsid w:val="005A7404"/>
    <w:rsid w:val="005B2D55"/>
    <w:rsid w:val="005B7CA4"/>
    <w:rsid w:val="005D1A9E"/>
    <w:rsid w:val="005F57EC"/>
    <w:rsid w:val="005F72E4"/>
    <w:rsid w:val="00606BFF"/>
    <w:rsid w:val="006102C9"/>
    <w:rsid w:val="00610597"/>
    <w:rsid w:val="006136F5"/>
    <w:rsid w:val="00620A7A"/>
    <w:rsid w:val="00621A62"/>
    <w:rsid w:val="00651FA7"/>
    <w:rsid w:val="006570F3"/>
    <w:rsid w:val="00673FE7"/>
    <w:rsid w:val="00692FCC"/>
    <w:rsid w:val="00694297"/>
    <w:rsid w:val="006955E0"/>
    <w:rsid w:val="006A44FC"/>
    <w:rsid w:val="006C0128"/>
    <w:rsid w:val="006C18C7"/>
    <w:rsid w:val="006E5782"/>
    <w:rsid w:val="00700DBE"/>
    <w:rsid w:val="007034AC"/>
    <w:rsid w:val="00724229"/>
    <w:rsid w:val="0073283B"/>
    <w:rsid w:val="00734685"/>
    <w:rsid w:val="007503C1"/>
    <w:rsid w:val="0075338F"/>
    <w:rsid w:val="00755929"/>
    <w:rsid w:val="00776535"/>
    <w:rsid w:val="00783EE6"/>
    <w:rsid w:val="00784EB4"/>
    <w:rsid w:val="007861BF"/>
    <w:rsid w:val="0079238E"/>
    <w:rsid w:val="007925BE"/>
    <w:rsid w:val="00795FE4"/>
    <w:rsid w:val="007A0025"/>
    <w:rsid w:val="007A36DA"/>
    <w:rsid w:val="007A5108"/>
    <w:rsid w:val="007B26F5"/>
    <w:rsid w:val="007C7AE4"/>
    <w:rsid w:val="007E0E47"/>
    <w:rsid w:val="007F4CB5"/>
    <w:rsid w:val="007F7327"/>
    <w:rsid w:val="0080302D"/>
    <w:rsid w:val="008114B4"/>
    <w:rsid w:val="00815E5E"/>
    <w:rsid w:val="00817343"/>
    <w:rsid w:val="00817511"/>
    <w:rsid w:val="00827531"/>
    <w:rsid w:val="0084230F"/>
    <w:rsid w:val="00863F4F"/>
    <w:rsid w:val="00864443"/>
    <w:rsid w:val="00871C73"/>
    <w:rsid w:val="00882CE3"/>
    <w:rsid w:val="0088373A"/>
    <w:rsid w:val="008859D0"/>
    <w:rsid w:val="00887AE3"/>
    <w:rsid w:val="00887FEE"/>
    <w:rsid w:val="0089269B"/>
    <w:rsid w:val="00895E08"/>
    <w:rsid w:val="00896711"/>
    <w:rsid w:val="008A7ECE"/>
    <w:rsid w:val="008C60AE"/>
    <w:rsid w:val="008C6EEA"/>
    <w:rsid w:val="008D3C4E"/>
    <w:rsid w:val="008D57BC"/>
    <w:rsid w:val="008F06F8"/>
    <w:rsid w:val="00900C2C"/>
    <w:rsid w:val="00902C43"/>
    <w:rsid w:val="00907559"/>
    <w:rsid w:val="0091006D"/>
    <w:rsid w:val="0091773A"/>
    <w:rsid w:val="009354A8"/>
    <w:rsid w:val="00944173"/>
    <w:rsid w:val="00956382"/>
    <w:rsid w:val="0097174B"/>
    <w:rsid w:val="009778EC"/>
    <w:rsid w:val="00981129"/>
    <w:rsid w:val="009A21CF"/>
    <w:rsid w:val="009B18DB"/>
    <w:rsid w:val="009B4FAC"/>
    <w:rsid w:val="009C243C"/>
    <w:rsid w:val="009D3B01"/>
    <w:rsid w:val="009E24C0"/>
    <w:rsid w:val="009F6D2E"/>
    <w:rsid w:val="00A12969"/>
    <w:rsid w:val="00A3538B"/>
    <w:rsid w:val="00A570B7"/>
    <w:rsid w:val="00A616C2"/>
    <w:rsid w:val="00A644AF"/>
    <w:rsid w:val="00A71298"/>
    <w:rsid w:val="00A74FFC"/>
    <w:rsid w:val="00A767F0"/>
    <w:rsid w:val="00A81384"/>
    <w:rsid w:val="00A82A30"/>
    <w:rsid w:val="00A95A3A"/>
    <w:rsid w:val="00A9707E"/>
    <w:rsid w:val="00A973DC"/>
    <w:rsid w:val="00AA02E5"/>
    <w:rsid w:val="00AA06B7"/>
    <w:rsid w:val="00AA5F02"/>
    <w:rsid w:val="00AC24C9"/>
    <w:rsid w:val="00AC453B"/>
    <w:rsid w:val="00AD2998"/>
    <w:rsid w:val="00AD5ADA"/>
    <w:rsid w:val="00AD618D"/>
    <w:rsid w:val="00AF61C7"/>
    <w:rsid w:val="00B11B5B"/>
    <w:rsid w:val="00B2519E"/>
    <w:rsid w:val="00B26966"/>
    <w:rsid w:val="00B30D2A"/>
    <w:rsid w:val="00B35433"/>
    <w:rsid w:val="00B42953"/>
    <w:rsid w:val="00B43142"/>
    <w:rsid w:val="00B50064"/>
    <w:rsid w:val="00B512D5"/>
    <w:rsid w:val="00B722DF"/>
    <w:rsid w:val="00B74EF3"/>
    <w:rsid w:val="00B76F7B"/>
    <w:rsid w:val="00B810E7"/>
    <w:rsid w:val="00B96791"/>
    <w:rsid w:val="00BB7CDE"/>
    <w:rsid w:val="00BC39FA"/>
    <w:rsid w:val="00BC4434"/>
    <w:rsid w:val="00BC7643"/>
    <w:rsid w:val="00BD2408"/>
    <w:rsid w:val="00BE0D49"/>
    <w:rsid w:val="00BE1D53"/>
    <w:rsid w:val="00BF0DB7"/>
    <w:rsid w:val="00C015BB"/>
    <w:rsid w:val="00C01B42"/>
    <w:rsid w:val="00C12465"/>
    <w:rsid w:val="00C2730C"/>
    <w:rsid w:val="00C42CD4"/>
    <w:rsid w:val="00C470B2"/>
    <w:rsid w:val="00C4753E"/>
    <w:rsid w:val="00C65434"/>
    <w:rsid w:val="00C6669F"/>
    <w:rsid w:val="00C7397E"/>
    <w:rsid w:val="00C76CBC"/>
    <w:rsid w:val="00C83154"/>
    <w:rsid w:val="00CA44FE"/>
    <w:rsid w:val="00CB1841"/>
    <w:rsid w:val="00CB4A52"/>
    <w:rsid w:val="00CC290C"/>
    <w:rsid w:val="00CC2EF5"/>
    <w:rsid w:val="00CC5849"/>
    <w:rsid w:val="00CE263C"/>
    <w:rsid w:val="00CE55F3"/>
    <w:rsid w:val="00CF277E"/>
    <w:rsid w:val="00CF3E26"/>
    <w:rsid w:val="00CF4546"/>
    <w:rsid w:val="00D0299F"/>
    <w:rsid w:val="00D05562"/>
    <w:rsid w:val="00D16B4B"/>
    <w:rsid w:val="00D26DAF"/>
    <w:rsid w:val="00D27165"/>
    <w:rsid w:val="00D472F0"/>
    <w:rsid w:val="00D708D8"/>
    <w:rsid w:val="00D74F5C"/>
    <w:rsid w:val="00D760F9"/>
    <w:rsid w:val="00D80E93"/>
    <w:rsid w:val="00D85B39"/>
    <w:rsid w:val="00DA0EB4"/>
    <w:rsid w:val="00DA1A3F"/>
    <w:rsid w:val="00DA2A4B"/>
    <w:rsid w:val="00DA3734"/>
    <w:rsid w:val="00DA3FFC"/>
    <w:rsid w:val="00DB0F76"/>
    <w:rsid w:val="00DB29F0"/>
    <w:rsid w:val="00DC69A5"/>
    <w:rsid w:val="00DD0712"/>
    <w:rsid w:val="00DD4687"/>
    <w:rsid w:val="00DE5A31"/>
    <w:rsid w:val="00DE7930"/>
    <w:rsid w:val="00DF64FF"/>
    <w:rsid w:val="00E107F7"/>
    <w:rsid w:val="00E10F17"/>
    <w:rsid w:val="00E1367E"/>
    <w:rsid w:val="00E21E3F"/>
    <w:rsid w:val="00E34890"/>
    <w:rsid w:val="00E407A6"/>
    <w:rsid w:val="00E42AF7"/>
    <w:rsid w:val="00E46377"/>
    <w:rsid w:val="00E5797B"/>
    <w:rsid w:val="00E60778"/>
    <w:rsid w:val="00E60833"/>
    <w:rsid w:val="00E773C1"/>
    <w:rsid w:val="00E84E0F"/>
    <w:rsid w:val="00E869C2"/>
    <w:rsid w:val="00EB35EF"/>
    <w:rsid w:val="00EB70B4"/>
    <w:rsid w:val="00EB7EDF"/>
    <w:rsid w:val="00EC5ECB"/>
    <w:rsid w:val="00ED1EFB"/>
    <w:rsid w:val="00ED403E"/>
    <w:rsid w:val="00EE210C"/>
    <w:rsid w:val="00EE2ABC"/>
    <w:rsid w:val="00EE72BE"/>
    <w:rsid w:val="00EF1EC1"/>
    <w:rsid w:val="00EF359C"/>
    <w:rsid w:val="00EF3CBD"/>
    <w:rsid w:val="00EF5582"/>
    <w:rsid w:val="00EF5F7E"/>
    <w:rsid w:val="00F12B7F"/>
    <w:rsid w:val="00F14640"/>
    <w:rsid w:val="00F177F0"/>
    <w:rsid w:val="00F352A6"/>
    <w:rsid w:val="00F3555C"/>
    <w:rsid w:val="00F40A8D"/>
    <w:rsid w:val="00F4447A"/>
    <w:rsid w:val="00F4581D"/>
    <w:rsid w:val="00F84E38"/>
    <w:rsid w:val="00F93A06"/>
    <w:rsid w:val="00F956E6"/>
    <w:rsid w:val="00F97744"/>
    <w:rsid w:val="00FA286D"/>
    <w:rsid w:val="00FA6570"/>
    <w:rsid w:val="00FB26E4"/>
    <w:rsid w:val="00FB7D88"/>
    <w:rsid w:val="00FC0BC9"/>
    <w:rsid w:val="00FC402E"/>
    <w:rsid w:val="00FD1148"/>
    <w:rsid w:val="00FF3342"/>
    <w:rsid w:val="00FF4FD7"/>
    <w:rsid w:val="00FF53C9"/>
  </w:rsids>
  <m:mathPr>
    <m:mathFont m:val="Cambria Math"/>
    <m:brkBin m:val="before"/>
    <m:brkBinSub m:val="--"/>
    <m:smallFrac m:val="0"/>
    <m:dispDef/>
    <m:lMargin m:val="0"/>
    <m:rMargin m:val="0"/>
    <m:defJc m:val="centerGroup"/>
    <m:wrapIndent m:val="1440"/>
    <m:intLim m:val="subSup"/>
    <m:naryLim m:val="undOvr"/>
  </m:mathPr>
  <w:themeFontLang w:val="en-K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99B7"/>
  <w15:chartTrackingRefBased/>
  <w15:docId w15:val="{606CCCA7-D224-4270-9200-034652A3C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K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670"/>
    <w:pPr>
      <w:spacing w:line="259" w:lineRule="auto"/>
      <w:jc w:val="both"/>
    </w:pPr>
    <w:rPr>
      <w:rFonts w:ascii="Times New Roman" w:eastAsiaTheme="minorHAnsi" w:hAnsi="Times New Roman"/>
      <w:kern w:val="0"/>
      <w:szCs w:val="22"/>
      <w:lang w:val="en-US" w:eastAsia="en-US"/>
      <w14:ligatures w14:val="none"/>
    </w:rPr>
  </w:style>
  <w:style w:type="paragraph" w:styleId="Heading1">
    <w:name w:val="heading 1"/>
    <w:basedOn w:val="Normal"/>
    <w:next w:val="Normal"/>
    <w:link w:val="Heading1Char"/>
    <w:autoRedefine/>
    <w:uiPriority w:val="9"/>
    <w:qFormat/>
    <w:rsid w:val="00B722DF"/>
    <w:pPr>
      <w:keepNext/>
      <w:keepLines/>
      <w:spacing w:before="360" w:after="80"/>
      <w:outlineLvl w:val="0"/>
    </w:pPr>
    <w:rPr>
      <w:rFonts w:eastAsiaTheme="majorEastAsia" w:cstheme="majorBidi"/>
      <w:b/>
      <w:szCs w:val="40"/>
    </w:rPr>
  </w:style>
  <w:style w:type="paragraph" w:styleId="Heading2">
    <w:name w:val="heading 2"/>
    <w:basedOn w:val="Normal"/>
    <w:next w:val="Normal"/>
    <w:link w:val="Heading2Char"/>
    <w:autoRedefine/>
    <w:uiPriority w:val="9"/>
    <w:unhideWhenUsed/>
    <w:qFormat/>
    <w:rsid w:val="00B722DF"/>
    <w:pPr>
      <w:keepNext/>
      <w:keepLines/>
      <w:spacing w:before="160" w:after="80" w:line="276" w:lineRule="auto"/>
      <w:outlineLvl w:val="1"/>
    </w:pPr>
    <w:rPr>
      <w:rFonts w:eastAsiaTheme="majorEastAsia" w:cstheme="majorBidi"/>
      <w:b/>
      <w:szCs w:val="32"/>
      <w:lang w:val="en-GB"/>
    </w:rPr>
  </w:style>
  <w:style w:type="paragraph" w:styleId="Heading3">
    <w:name w:val="heading 3"/>
    <w:basedOn w:val="Normal"/>
    <w:next w:val="Normal"/>
    <w:link w:val="Heading3Char"/>
    <w:uiPriority w:val="9"/>
    <w:unhideWhenUsed/>
    <w:qFormat/>
    <w:rsid w:val="0055467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546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5467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5467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5467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5467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5467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aliases w:val="List of Figures"/>
    <w:basedOn w:val="Normal"/>
    <w:next w:val="Normal"/>
    <w:autoRedefine/>
    <w:uiPriority w:val="99"/>
    <w:unhideWhenUsed/>
    <w:qFormat/>
    <w:rsid w:val="00BC4434"/>
    <w:pPr>
      <w:jc w:val="left"/>
    </w:pPr>
    <w:rPr>
      <w:rFonts w:eastAsia="SimSun"/>
      <w14:ligatures w14:val="standardContextual"/>
    </w:rPr>
  </w:style>
  <w:style w:type="character" w:customStyle="1" w:styleId="Heading2Char">
    <w:name w:val="Heading 2 Char"/>
    <w:basedOn w:val="DefaultParagraphFont"/>
    <w:link w:val="Heading2"/>
    <w:uiPriority w:val="9"/>
    <w:rsid w:val="00B722DF"/>
    <w:rPr>
      <w:rFonts w:ascii="Times New Roman" w:eastAsiaTheme="majorEastAsia" w:hAnsi="Times New Roman" w:cstheme="majorBidi"/>
      <w:b/>
      <w:kern w:val="0"/>
      <w:szCs w:val="32"/>
      <w:lang w:val="en-GB" w:eastAsia="en-US"/>
      <w14:ligatures w14:val="none"/>
    </w:rPr>
  </w:style>
  <w:style w:type="character" w:customStyle="1" w:styleId="Heading1Char">
    <w:name w:val="Heading 1 Char"/>
    <w:basedOn w:val="DefaultParagraphFont"/>
    <w:link w:val="Heading1"/>
    <w:uiPriority w:val="9"/>
    <w:rsid w:val="00B722DF"/>
    <w:rPr>
      <w:rFonts w:ascii="Times New Roman" w:eastAsiaTheme="majorEastAsia" w:hAnsi="Times New Roman" w:cstheme="majorBidi"/>
      <w:b/>
      <w:kern w:val="0"/>
      <w:szCs w:val="40"/>
      <w:lang w:val="en-US" w:eastAsia="en-US"/>
      <w14:ligatures w14:val="none"/>
    </w:rPr>
  </w:style>
  <w:style w:type="character" w:customStyle="1" w:styleId="Heading3Char">
    <w:name w:val="Heading 3 Char"/>
    <w:basedOn w:val="DefaultParagraphFont"/>
    <w:link w:val="Heading3"/>
    <w:uiPriority w:val="9"/>
    <w:rsid w:val="00554670"/>
    <w:rPr>
      <w:rFonts w:eastAsiaTheme="majorEastAsia" w:cstheme="majorBidi"/>
      <w:color w:val="0F4761" w:themeColor="accent1" w:themeShade="BF"/>
      <w:kern w:val="0"/>
      <w:sz w:val="28"/>
      <w:szCs w:val="28"/>
      <w:lang w:val="en-US" w:eastAsia="en-US"/>
      <w14:ligatures w14:val="none"/>
    </w:rPr>
  </w:style>
  <w:style w:type="character" w:customStyle="1" w:styleId="Heading4Char">
    <w:name w:val="Heading 4 Char"/>
    <w:basedOn w:val="DefaultParagraphFont"/>
    <w:link w:val="Heading4"/>
    <w:uiPriority w:val="9"/>
    <w:rsid w:val="00554670"/>
    <w:rPr>
      <w:rFonts w:eastAsiaTheme="majorEastAsia" w:cstheme="majorBidi"/>
      <w:i/>
      <w:iCs/>
      <w:color w:val="0F4761" w:themeColor="accent1" w:themeShade="BF"/>
      <w:kern w:val="0"/>
      <w:szCs w:val="22"/>
      <w:lang w:val="en-US" w:eastAsia="en-US"/>
      <w14:ligatures w14:val="none"/>
    </w:rPr>
  </w:style>
  <w:style w:type="character" w:customStyle="1" w:styleId="Heading5Char">
    <w:name w:val="Heading 5 Char"/>
    <w:basedOn w:val="DefaultParagraphFont"/>
    <w:link w:val="Heading5"/>
    <w:uiPriority w:val="9"/>
    <w:semiHidden/>
    <w:rsid w:val="00554670"/>
    <w:rPr>
      <w:rFonts w:eastAsiaTheme="majorEastAsia" w:cstheme="majorBidi"/>
      <w:color w:val="0F4761" w:themeColor="accent1" w:themeShade="BF"/>
      <w:kern w:val="0"/>
      <w:szCs w:val="22"/>
      <w:lang w:val="en-US" w:eastAsia="en-US"/>
      <w14:ligatures w14:val="none"/>
    </w:rPr>
  </w:style>
  <w:style w:type="character" w:customStyle="1" w:styleId="Heading6Char">
    <w:name w:val="Heading 6 Char"/>
    <w:basedOn w:val="DefaultParagraphFont"/>
    <w:link w:val="Heading6"/>
    <w:uiPriority w:val="9"/>
    <w:semiHidden/>
    <w:rsid w:val="00554670"/>
    <w:rPr>
      <w:rFonts w:eastAsiaTheme="majorEastAsia" w:cstheme="majorBidi"/>
      <w:i/>
      <w:iCs/>
      <w:color w:val="595959" w:themeColor="text1" w:themeTint="A6"/>
      <w:kern w:val="0"/>
      <w:szCs w:val="22"/>
      <w:lang w:val="en-US" w:eastAsia="en-US"/>
      <w14:ligatures w14:val="none"/>
    </w:rPr>
  </w:style>
  <w:style w:type="character" w:customStyle="1" w:styleId="Heading7Char">
    <w:name w:val="Heading 7 Char"/>
    <w:basedOn w:val="DefaultParagraphFont"/>
    <w:link w:val="Heading7"/>
    <w:uiPriority w:val="9"/>
    <w:semiHidden/>
    <w:rsid w:val="00554670"/>
    <w:rPr>
      <w:rFonts w:eastAsiaTheme="majorEastAsia" w:cstheme="majorBidi"/>
      <w:color w:val="595959" w:themeColor="text1" w:themeTint="A6"/>
      <w:kern w:val="0"/>
      <w:szCs w:val="22"/>
      <w:lang w:val="en-US" w:eastAsia="en-US"/>
      <w14:ligatures w14:val="none"/>
    </w:rPr>
  </w:style>
  <w:style w:type="character" w:customStyle="1" w:styleId="Heading8Char">
    <w:name w:val="Heading 8 Char"/>
    <w:basedOn w:val="DefaultParagraphFont"/>
    <w:link w:val="Heading8"/>
    <w:uiPriority w:val="9"/>
    <w:semiHidden/>
    <w:rsid w:val="00554670"/>
    <w:rPr>
      <w:rFonts w:eastAsiaTheme="majorEastAsia" w:cstheme="majorBidi"/>
      <w:i/>
      <w:iCs/>
      <w:color w:val="272727" w:themeColor="text1" w:themeTint="D8"/>
      <w:kern w:val="0"/>
      <w:szCs w:val="22"/>
      <w:lang w:val="en-US" w:eastAsia="en-US"/>
      <w14:ligatures w14:val="none"/>
    </w:rPr>
  </w:style>
  <w:style w:type="character" w:customStyle="1" w:styleId="Heading9Char">
    <w:name w:val="Heading 9 Char"/>
    <w:basedOn w:val="DefaultParagraphFont"/>
    <w:link w:val="Heading9"/>
    <w:uiPriority w:val="9"/>
    <w:semiHidden/>
    <w:rsid w:val="00554670"/>
    <w:rPr>
      <w:rFonts w:eastAsiaTheme="majorEastAsia" w:cstheme="majorBidi"/>
      <w:color w:val="272727" w:themeColor="text1" w:themeTint="D8"/>
      <w:kern w:val="0"/>
      <w:szCs w:val="22"/>
      <w:lang w:val="en-US" w:eastAsia="en-US"/>
      <w14:ligatures w14:val="none"/>
    </w:rPr>
  </w:style>
  <w:style w:type="paragraph" w:styleId="Title">
    <w:name w:val="Title"/>
    <w:basedOn w:val="Normal"/>
    <w:next w:val="Normal"/>
    <w:link w:val="TitleChar"/>
    <w:uiPriority w:val="10"/>
    <w:qFormat/>
    <w:rsid w:val="005546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670"/>
    <w:rPr>
      <w:rFonts w:asciiTheme="majorHAnsi" w:eastAsiaTheme="majorEastAsia" w:hAnsiTheme="majorHAnsi" w:cstheme="majorBidi"/>
      <w:spacing w:val="-10"/>
      <w:kern w:val="28"/>
      <w:sz w:val="56"/>
      <w:szCs w:val="56"/>
      <w:lang w:val="en-US" w:eastAsia="en-US"/>
      <w14:ligatures w14:val="none"/>
    </w:rPr>
  </w:style>
  <w:style w:type="paragraph" w:styleId="Subtitle">
    <w:name w:val="Subtitle"/>
    <w:basedOn w:val="Normal"/>
    <w:next w:val="Normal"/>
    <w:link w:val="SubtitleChar"/>
    <w:uiPriority w:val="11"/>
    <w:qFormat/>
    <w:rsid w:val="0055467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670"/>
    <w:rPr>
      <w:rFonts w:eastAsiaTheme="majorEastAsia" w:cstheme="majorBidi"/>
      <w:color w:val="595959" w:themeColor="text1" w:themeTint="A6"/>
      <w:spacing w:val="15"/>
      <w:kern w:val="0"/>
      <w:sz w:val="28"/>
      <w:szCs w:val="28"/>
      <w:lang w:val="en-US" w:eastAsia="en-US"/>
      <w14:ligatures w14:val="none"/>
    </w:rPr>
  </w:style>
  <w:style w:type="paragraph" w:styleId="Quote">
    <w:name w:val="Quote"/>
    <w:basedOn w:val="Normal"/>
    <w:next w:val="Normal"/>
    <w:link w:val="QuoteChar"/>
    <w:uiPriority w:val="29"/>
    <w:qFormat/>
    <w:rsid w:val="00554670"/>
    <w:pPr>
      <w:spacing w:before="160"/>
      <w:jc w:val="center"/>
    </w:pPr>
    <w:rPr>
      <w:i/>
      <w:iCs/>
      <w:color w:val="404040" w:themeColor="text1" w:themeTint="BF"/>
    </w:rPr>
  </w:style>
  <w:style w:type="character" w:customStyle="1" w:styleId="QuoteChar">
    <w:name w:val="Quote Char"/>
    <w:basedOn w:val="DefaultParagraphFont"/>
    <w:link w:val="Quote"/>
    <w:uiPriority w:val="29"/>
    <w:rsid w:val="00554670"/>
    <w:rPr>
      <w:rFonts w:ascii="Times New Roman" w:eastAsia="Times New Roman" w:hAnsi="Times New Roman" w:cs="Times New Roman"/>
      <w:i/>
      <w:iCs/>
      <w:color w:val="404040" w:themeColor="text1" w:themeTint="BF"/>
      <w:kern w:val="0"/>
      <w:szCs w:val="22"/>
      <w:lang w:val="en-US" w:eastAsia="en-US"/>
      <w14:ligatures w14:val="none"/>
    </w:rPr>
  </w:style>
  <w:style w:type="paragraph" w:styleId="ListParagraph">
    <w:name w:val="List Paragraph"/>
    <w:basedOn w:val="Normal"/>
    <w:uiPriority w:val="34"/>
    <w:qFormat/>
    <w:rsid w:val="00554670"/>
    <w:pPr>
      <w:ind w:left="720"/>
      <w:contextualSpacing/>
    </w:pPr>
  </w:style>
  <w:style w:type="character" w:styleId="IntenseEmphasis">
    <w:name w:val="Intense Emphasis"/>
    <w:basedOn w:val="DefaultParagraphFont"/>
    <w:uiPriority w:val="21"/>
    <w:qFormat/>
    <w:rsid w:val="00554670"/>
    <w:rPr>
      <w:i/>
      <w:iCs/>
      <w:color w:val="0F4761" w:themeColor="accent1" w:themeShade="BF"/>
    </w:rPr>
  </w:style>
  <w:style w:type="paragraph" w:styleId="IntenseQuote">
    <w:name w:val="Intense Quote"/>
    <w:basedOn w:val="Normal"/>
    <w:next w:val="Normal"/>
    <w:link w:val="IntenseQuoteChar"/>
    <w:uiPriority w:val="30"/>
    <w:qFormat/>
    <w:rsid w:val="005546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670"/>
    <w:rPr>
      <w:rFonts w:ascii="Times New Roman" w:eastAsia="Times New Roman" w:hAnsi="Times New Roman" w:cs="Times New Roman"/>
      <w:i/>
      <w:iCs/>
      <w:color w:val="0F4761" w:themeColor="accent1" w:themeShade="BF"/>
      <w:kern w:val="0"/>
      <w:szCs w:val="22"/>
      <w:lang w:val="en-US" w:eastAsia="en-US"/>
      <w14:ligatures w14:val="none"/>
    </w:rPr>
  </w:style>
  <w:style w:type="character" w:styleId="IntenseReference">
    <w:name w:val="Intense Reference"/>
    <w:basedOn w:val="DefaultParagraphFont"/>
    <w:uiPriority w:val="32"/>
    <w:qFormat/>
    <w:rsid w:val="00554670"/>
    <w:rPr>
      <w:b/>
      <w:bCs/>
      <w:smallCaps/>
      <w:color w:val="0F4761" w:themeColor="accent1" w:themeShade="BF"/>
      <w:spacing w:val="5"/>
    </w:rPr>
  </w:style>
  <w:style w:type="paragraph" w:styleId="Caption">
    <w:name w:val="caption"/>
    <w:basedOn w:val="Normal"/>
    <w:next w:val="Normal"/>
    <w:autoRedefine/>
    <w:uiPriority w:val="35"/>
    <w:unhideWhenUsed/>
    <w:qFormat/>
    <w:rsid w:val="00516FBC"/>
    <w:pPr>
      <w:spacing w:after="240" w:line="240" w:lineRule="auto"/>
    </w:pPr>
    <w:rPr>
      <w:rFonts w:eastAsia="Times New Roman"/>
      <w:b/>
      <w:bCs/>
      <w:szCs w:val="24"/>
    </w:rPr>
  </w:style>
  <w:style w:type="table" w:styleId="TableGrid">
    <w:name w:val="Table Grid"/>
    <w:basedOn w:val="TableNormal"/>
    <w:uiPriority w:val="39"/>
    <w:qFormat/>
    <w:rsid w:val="00554670"/>
    <w:pPr>
      <w:spacing w:after="0" w:line="240" w:lineRule="auto"/>
    </w:pPr>
    <w:rPr>
      <w:rFonts w:eastAsiaTheme="minorHAnsi"/>
      <w:kern w:val="0"/>
      <w:sz w:val="20"/>
      <w:szCs w:val="2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4670"/>
    <w:pPr>
      <w:spacing w:after="0" w:line="240" w:lineRule="auto"/>
    </w:pPr>
    <w:rPr>
      <w:kern w:val="0"/>
      <w:sz w:val="22"/>
      <w:szCs w:val="22"/>
      <w:lang w:val="en-US" w:eastAsia="en-US"/>
      <w14:ligatures w14:val="none"/>
    </w:rPr>
  </w:style>
  <w:style w:type="paragraph" w:styleId="Footer">
    <w:name w:val="footer"/>
    <w:basedOn w:val="Normal"/>
    <w:link w:val="FooterChar"/>
    <w:uiPriority w:val="99"/>
    <w:unhideWhenUsed/>
    <w:rsid w:val="00554670"/>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554670"/>
    <w:rPr>
      <w:rFonts w:ascii="Times New Roman" w:eastAsiaTheme="minorHAnsi" w:hAnsi="Times New Roman"/>
      <w:kern w:val="0"/>
      <w:szCs w:val="22"/>
      <w:lang w:val="en-US" w:eastAsia="en-US"/>
      <w14:ligatures w14:val="none"/>
    </w:rPr>
  </w:style>
  <w:style w:type="paragraph" w:styleId="Header">
    <w:name w:val="header"/>
    <w:basedOn w:val="Normal"/>
    <w:link w:val="HeaderChar"/>
    <w:uiPriority w:val="99"/>
    <w:unhideWhenUsed/>
    <w:rsid w:val="00554670"/>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554670"/>
    <w:rPr>
      <w:rFonts w:ascii="Times New Roman" w:eastAsiaTheme="minorHAnsi" w:hAnsi="Times New Roman"/>
      <w:kern w:val="0"/>
      <w:szCs w:val="22"/>
      <w:lang w:val="en-US" w:eastAsia="en-US"/>
      <w14:ligatures w14:val="none"/>
    </w:rPr>
  </w:style>
  <w:style w:type="character" w:styleId="Hyperlink">
    <w:name w:val="Hyperlink"/>
    <w:basedOn w:val="DefaultParagraphFont"/>
    <w:uiPriority w:val="99"/>
    <w:unhideWhenUsed/>
    <w:rsid w:val="00554670"/>
    <w:rPr>
      <w:color w:val="0000FF"/>
      <w:u w:val="single"/>
    </w:rPr>
  </w:style>
  <w:style w:type="paragraph" w:styleId="TOC1">
    <w:name w:val="toc 1"/>
    <w:basedOn w:val="Normal"/>
    <w:next w:val="Normal"/>
    <w:autoRedefine/>
    <w:uiPriority w:val="39"/>
    <w:unhideWhenUsed/>
    <w:qFormat/>
    <w:rsid w:val="00554670"/>
    <w:pPr>
      <w:tabs>
        <w:tab w:val="right" w:leader="dot" w:pos="9350"/>
      </w:tabs>
      <w:spacing w:after="100"/>
    </w:pPr>
    <w:rPr>
      <w:b/>
      <w:bCs/>
      <w:shd w:val="clear" w:color="auto" w:fill="FFFFFF"/>
      <w:lang w:val="pl-PL"/>
    </w:rPr>
  </w:style>
  <w:style w:type="paragraph" w:styleId="TOC2">
    <w:name w:val="toc 2"/>
    <w:basedOn w:val="Normal"/>
    <w:next w:val="Normal"/>
    <w:autoRedefine/>
    <w:uiPriority w:val="39"/>
    <w:unhideWhenUsed/>
    <w:rsid w:val="00554670"/>
    <w:pPr>
      <w:spacing w:after="100"/>
      <w:ind w:left="240"/>
    </w:pPr>
  </w:style>
  <w:style w:type="paragraph" w:styleId="TOC3">
    <w:name w:val="toc 3"/>
    <w:basedOn w:val="Normal"/>
    <w:next w:val="Normal"/>
    <w:autoRedefine/>
    <w:uiPriority w:val="39"/>
    <w:unhideWhenUsed/>
    <w:rsid w:val="00554670"/>
    <w:pPr>
      <w:spacing w:after="100"/>
      <w:ind w:left="480"/>
    </w:pPr>
  </w:style>
  <w:style w:type="paragraph" w:customStyle="1" w:styleId="msonormal0">
    <w:name w:val="msonormal"/>
    <w:basedOn w:val="Normal"/>
    <w:uiPriority w:val="99"/>
    <w:rsid w:val="00554670"/>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qFormat/>
    <w:rsid w:val="00554670"/>
  </w:style>
  <w:style w:type="paragraph" w:customStyle="1" w:styleId="TOCHeading1">
    <w:name w:val="TOC Heading1"/>
    <w:basedOn w:val="Heading1"/>
    <w:next w:val="Normal"/>
    <w:uiPriority w:val="39"/>
    <w:unhideWhenUsed/>
    <w:qFormat/>
    <w:rsid w:val="00554670"/>
    <w:pPr>
      <w:spacing w:before="240" w:after="0"/>
      <w:jc w:val="left"/>
      <w:outlineLvl w:val="9"/>
    </w:pPr>
    <w:rPr>
      <w:rFonts w:asciiTheme="majorHAnsi" w:hAnsiTheme="majorHAnsi"/>
      <w:b w:val="0"/>
      <w:color w:val="0F4761" w:themeColor="accent1" w:themeShade="BF"/>
      <w:sz w:val="32"/>
      <w:szCs w:val="32"/>
      <w:shd w:val="clear" w:color="auto" w:fill="FFFFFF"/>
      <w:lang w:val="zh-CN" w:eastAsia="zh-CN"/>
    </w:rPr>
  </w:style>
  <w:style w:type="character" w:customStyle="1" w:styleId="UnresolvedMention1">
    <w:name w:val="Unresolved Mention1"/>
    <w:basedOn w:val="DefaultParagraphFont"/>
    <w:uiPriority w:val="99"/>
    <w:unhideWhenUsed/>
    <w:rsid w:val="00554670"/>
    <w:rPr>
      <w:color w:val="605E5C"/>
      <w:shd w:val="clear" w:color="auto" w:fill="E1DFDD"/>
    </w:rPr>
  </w:style>
  <w:style w:type="paragraph" w:customStyle="1" w:styleId="Heading21">
    <w:name w:val="Heading 21"/>
    <w:basedOn w:val="Normal"/>
    <w:next w:val="Normal"/>
    <w:uiPriority w:val="9"/>
    <w:qFormat/>
    <w:rsid w:val="00554670"/>
    <w:pPr>
      <w:keepNext/>
      <w:keepLines/>
      <w:spacing w:after="0" w:line="480" w:lineRule="auto"/>
      <w:outlineLvl w:val="1"/>
    </w:pPr>
    <w:rPr>
      <w:rFonts w:eastAsia="Times New Roman" w:cs="Times New Roman"/>
      <w:b/>
      <w:bCs/>
      <w:szCs w:val="26"/>
    </w:rPr>
  </w:style>
  <w:style w:type="paragraph" w:customStyle="1" w:styleId="Heading41">
    <w:name w:val="Heading 41"/>
    <w:basedOn w:val="Normal"/>
    <w:next w:val="Normal"/>
    <w:uiPriority w:val="9"/>
    <w:qFormat/>
    <w:rsid w:val="00554670"/>
    <w:pPr>
      <w:keepNext/>
      <w:keepLines/>
      <w:spacing w:before="40" w:after="0" w:line="253" w:lineRule="auto"/>
      <w:outlineLvl w:val="3"/>
    </w:pPr>
    <w:rPr>
      <w:rFonts w:ascii="Calibri Light" w:eastAsia="Times New Roman" w:hAnsi="Calibri Light" w:cs="Times New Roman"/>
      <w:i/>
      <w:iCs/>
      <w:color w:val="2F5496"/>
    </w:rPr>
  </w:style>
  <w:style w:type="paragraph" w:customStyle="1" w:styleId="Heading51">
    <w:name w:val="Heading 51"/>
    <w:basedOn w:val="Normal"/>
    <w:next w:val="Normal"/>
    <w:uiPriority w:val="9"/>
    <w:qFormat/>
    <w:rsid w:val="00554670"/>
    <w:pPr>
      <w:keepNext/>
      <w:keepLines/>
      <w:spacing w:before="40" w:after="0" w:line="256" w:lineRule="auto"/>
      <w:outlineLvl w:val="4"/>
    </w:pPr>
    <w:rPr>
      <w:rFonts w:ascii="Calibri Light" w:eastAsia="Times New Roman" w:hAnsi="Calibri Light" w:cs="Times New Roman"/>
      <w:color w:val="2F5496"/>
    </w:rPr>
  </w:style>
  <w:style w:type="paragraph" w:styleId="TOCHeading">
    <w:name w:val="TOC Heading"/>
    <w:basedOn w:val="Heading1"/>
    <w:next w:val="Normal"/>
    <w:uiPriority w:val="39"/>
    <w:qFormat/>
    <w:rsid w:val="00554670"/>
    <w:pPr>
      <w:spacing w:before="240" w:after="240"/>
      <w:jc w:val="center"/>
      <w:outlineLvl w:val="9"/>
    </w:pPr>
    <w:rPr>
      <w:rFonts w:eastAsia="SimSun" w:cs="SimSun"/>
      <w:b w:val="0"/>
      <w:szCs w:val="32"/>
    </w:rPr>
  </w:style>
  <w:style w:type="character" w:customStyle="1" w:styleId="Hyperlink1">
    <w:name w:val="Hyperlink1"/>
    <w:basedOn w:val="DefaultParagraphFont"/>
    <w:uiPriority w:val="99"/>
    <w:rsid w:val="00554670"/>
    <w:rPr>
      <w:color w:val="0563C1"/>
      <w:u w:val="single"/>
    </w:rPr>
  </w:style>
  <w:style w:type="paragraph" w:styleId="FootnoteText">
    <w:name w:val="footnote text"/>
    <w:basedOn w:val="Normal"/>
    <w:link w:val="FootnoteTextChar"/>
    <w:uiPriority w:val="99"/>
    <w:rsid w:val="00554670"/>
    <w:pPr>
      <w:spacing w:after="0" w:line="240" w:lineRule="auto"/>
    </w:pPr>
    <w:rPr>
      <w:rFonts w:eastAsia="Calibri" w:cs="SimSun"/>
      <w:sz w:val="20"/>
      <w:szCs w:val="20"/>
    </w:rPr>
  </w:style>
  <w:style w:type="character" w:customStyle="1" w:styleId="FootnoteTextChar">
    <w:name w:val="Footnote Text Char"/>
    <w:basedOn w:val="DefaultParagraphFont"/>
    <w:link w:val="FootnoteText"/>
    <w:uiPriority w:val="99"/>
    <w:rsid w:val="00554670"/>
    <w:rPr>
      <w:rFonts w:ascii="Times New Roman" w:eastAsia="Calibri" w:hAnsi="Times New Roman" w:cs="SimSun"/>
      <w:kern w:val="0"/>
      <w:sz w:val="20"/>
      <w:szCs w:val="20"/>
      <w:lang w:val="en-US" w:eastAsia="en-US"/>
      <w14:ligatures w14:val="none"/>
    </w:rPr>
  </w:style>
  <w:style w:type="character" w:styleId="FootnoteReference">
    <w:name w:val="footnote reference"/>
    <w:basedOn w:val="DefaultParagraphFont"/>
    <w:uiPriority w:val="99"/>
    <w:rsid w:val="00554670"/>
    <w:rPr>
      <w:vertAlign w:val="superscript"/>
    </w:rPr>
  </w:style>
  <w:style w:type="character" w:customStyle="1" w:styleId="a">
    <w:name w:val="_"/>
    <w:basedOn w:val="DefaultParagraphFont"/>
    <w:rsid w:val="00554670"/>
  </w:style>
  <w:style w:type="character" w:customStyle="1" w:styleId="reference-accessdate">
    <w:name w:val="reference-accessdate"/>
    <w:basedOn w:val="DefaultParagraphFont"/>
    <w:rsid w:val="00554670"/>
  </w:style>
  <w:style w:type="character" w:customStyle="1" w:styleId="nowrap">
    <w:name w:val="nowrap"/>
    <w:basedOn w:val="DefaultParagraphFont"/>
    <w:rsid w:val="00554670"/>
  </w:style>
  <w:style w:type="paragraph" w:customStyle="1" w:styleId="NoSpacing1">
    <w:name w:val="No Spacing1"/>
    <w:next w:val="NoSpacing"/>
    <w:uiPriority w:val="1"/>
    <w:qFormat/>
    <w:rsid w:val="00554670"/>
    <w:pPr>
      <w:spacing w:after="0" w:line="240" w:lineRule="auto"/>
    </w:pPr>
    <w:rPr>
      <w:rFonts w:ascii="Calibri" w:eastAsia="Times New Roman" w:hAnsi="Calibri" w:cs="Times New Roman"/>
      <w:kern w:val="0"/>
      <w:sz w:val="22"/>
      <w:szCs w:val="22"/>
      <w:lang w:val="en-US" w:eastAsia="en-US"/>
      <w14:ligatures w14:val="none"/>
    </w:rPr>
  </w:style>
  <w:style w:type="character" w:styleId="CommentReference">
    <w:name w:val="annotation reference"/>
    <w:basedOn w:val="DefaultParagraphFont"/>
    <w:uiPriority w:val="99"/>
    <w:rsid w:val="00554670"/>
    <w:rPr>
      <w:sz w:val="16"/>
      <w:szCs w:val="16"/>
    </w:rPr>
  </w:style>
  <w:style w:type="paragraph" w:styleId="CommentText">
    <w:name w:val="annotation text"/>
    <w:basedOn w:val="Normal"/>
    <w:link w:val="CommentTextChar"/>
    <w:uiPriority w:val="99"/>
    <w:rsid w:val="00554670"/>
    <w:pPr>
      <w:spacing w:line="240" w:lineRule="auto"/>
    </w:pPr>
    <w:rPr>
      <w:rFonts w:eastAsia="Calibri" w:cs="SimSun"/>
      <w:sz w:val="20"/>
      <w:szCs w:val="20"/>
    </w:rPr>
  </w:style>
  <w:style w:type="character" w:customStyle="1" w:styleId="CommentTextChar">
    <w:name w:val="Comment Text Char"/>
    <w:basedOn w:val="DefaultParagraphFont"/>
    <w:link w:val="CommentText"/>
    <w:uiPriority w:val="99"/>
    <w:rsid w:val="00554670"/>
    <w:rPr>
      <w:rFonts w:ascii="Times New Roman" w:eastAsia="Calibri" w:hAnsi="Times New Roman" w:cs="SimSun"/>
      <w:kern w:val="0"/>
      <w:sz w:val="20"/>
      <w:szCs w:val="20"/>
      <w:lang w:val="en-US" w:eastAsia="en-US"/>
      <w14:ligatures w14:val="none"/>
    </w:rPr>
  </w:style>
  <w:style w:type="paragraph" w:styleId="CommentSubject">
    <w:name w:val="annotation subject"/>
    <w:basedOn w:val="CommentText"/>
    <w:next w:val="CommentText"/>
    <w:link w:val="CommentSubjectChar"/>
    <w:uiPriority w:val="99"/>
    <w:rsid w:val="00554670"/>
    <w:rPr>
      <w:b/>
      <w:bCs/>
    </w:rPr>
  </w:style>
  <w:style w:type="character" w:customStyle="1" w:styleId="CommentSubjectChar">
    <w:name w:val="Comment Subject Char"/>
    <w:basedOn w:val="CommentTextChar"/>
    <w:link w:val="CommentSubject"/>
    <w:uiPriority w:val="99"/>
    <w:rsid w:val="00554670"/>
    <w:rPr>
      <w:rFonts w:ascii="Times New Roman" w:eastAsia="Calibri" w:hAnsi="Times New Roman" w:cs="SimSun"/>
      <w:b/>
      <w:bCs/>
      <w:kern w:val="0"/>
      <w:sz w:val="20"/>
      <w:szCs w:val="20"/>
      <w:lang w:val="en-US" w:eastAsia="en-US"/>
      <w14:ligatures w14:val="none"/>
    </w:rPr>
  </w:style>
  <w:style w:type="paragraph" w:styleId="BalloonText">
    <w:name w:val="Balloon Text"/>
    <w:basedOn w:val="Normal"/>
    <w:link w:val="BalloonTextChar"/>
    <w:uiPriority w:val="99"/>
    <w:rsid w:val="00554670"/>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rsid w:val="00554670"/>
    <w:rPr>
      <w:rFonts w:ascii="Segoe UI" w:eastAsia="Calibri" w:hAnsi="Segoe UI" w:cs="Segoe UI"/>
      <w:kern w:val="0"/>
      <w:sz w:val="18"/>
      <w:szCs w:val="18"/>
      <w:lang w:val="en-US" w:eastAsia="en-US"/>
      <w14:ligatures w14:val="none"/>
    </w:rPr>
  </w:style>
  <w:style w:type="character" w:customStyle="1" w:styleId="citation">
    <w:name w:val="citation"/>
    <w:basedOn w:val="DefaultParagraphFont"/>
    <w:rsid w:val="00554670"/>
  </w:style>
  <w:style w:type="character" w:styleId="HTMLCite">
    <w:name w:val="HTML Cite"/>
    <w:basedOn w:val="DefaultParagraphFont"/>
    <w:uiPriority w:val="99"/>
    <w:rsid w:val="00554670"/>
    <w:rPr>
      <w:i/>
      <w:iCs/>
    </w:rPr>
  </w:style>
  <w:style w:type="character" w:customStyle="1" w:styleId="retrieval">
    <w:name w:val="retrieval"/>
    <w:basedOn w:val="DefaultParagraphFont"/>
    <w:rsid w:val="00554670"/>
  </w:style>
  <w:style w:type="character" w:customStyle="1" w:styleId="UnresolvedMention2">
    <w:name w:val="Unresolved Mention2"/>
    <w:basedOn w:val="DefaultParagraphFont"/>
    <w:uiPriority w:val="99"/>
    <w:rsid w:val="00554670"/>
    <w:rPr>
      <w:color w:val="605E5C"/>
      <w:shd w:val="clear" w:color="auto" w:fill="E1DFDD"/>
    </w:rPr>
  </w:style>
  <w:style w:type="character" w:customStyle="1" w:styleId="FollowedHyperlink1">
    <w:name w:val="FollowedHyperlink1"/>
    <w:basedOn w:val="DefaultParagraphFont"/>
    <w:uiPriority w:val="99"/>
    <w:rsid w:val="00554670"/>
    <w:rPr>
      <w:color w:val="954F72"/>
      <w:u w:val="single"/>
    </w:rPr>
  </w:style>
  <w:style w:type="paragraph" w:styleId="NormalWeb">
    <w:name w:val="Normal (Web)"/>
    <w:basedOn w:val="Normal"/>
    <w:uiPriority w:val="99"/>
    <w:rsid w:val="00554670"/>
    <w:pPr>
      <w:spacing w:before="100" w:beforeAutospacing="1" w:after="100" w:afterAutospacing="1" w:line="240" w:lineRule="auto"/>
    </w:pPr>
    <w:rPr>
      <w:rFonts w:eastAsia="Times New Roman" w:cs="Times New Roman"/>
      <w:szCs w:val="24"/>
    </w:rPr>
  </w:style>
  <w:style w:type="character" w:styleId="PlaceholderText">
    <w:name w:val="Placeholder Text"/>
    <w:basedOn w:val="DefaultParagraphFont"/>
    <w:uiPriority w:val="99"/>
    <w:rsid w:val="00554670"/>
    <w:rPr>
      <w:color w:val="808080"/>
    </w:rPr>
  </w:style>
  <w:style w:type="paragraph" w:styleId="TOC4">
    <w:name w:val="toc 4"/>
    <w:basedOn w:val="Normal"/>
    <w:next w:val="Normal"/>
    <w:uiPriority w:val="39"/>
    <w:rsid w:val="00554670"/>
    <w:pPr>
      <w:spacing w:after="100" w:line="253" w:lineRule="auto"/>
      <w:ind w:left="660"/>
    </w:pPr>
    <w:rPr>
      <w:rFonts w:eastAsia="Calibri" w:cs="Times New Roman"/>
    </w:rPr>
  </w:style>
  <w:style w:type="paragraph" w:styleId="TOC5">
    <w:name w:val="toc 5"/>
    <w:basedOn w:val="Normal"/>
    <w:next w:val="Normal"/>
    <w:uiPriority w:val="39"/>
    <w:rsid w:val="00554670"/>
    <w:pPr>
      <w:spacing w:after="100" w:line="256" w:lineRule="auto"/>
      <w:ind w:left="880"/>
    </w:pPr>
    <w:rPr>
      <w:rFonts w:eastAsia="Times New Roman" w:cs="Times New Roman"/>
    </w:rPr>
  </w:style>
  <w:style w:type="paragraph" w:styleId="TOC6">
    <w:name w:val="toc 6"/>
    <w:basedOn w:val="Normal"/>
    <w:next w:val="Normal"/>
    <w:uiPriority w:val="39"/>
    <w:rsid w:val="00554670"/>
    <w:pPr>
      <w:spacing w:after="100" w:line="256" w:lineRule="auto"/>
      <w:ind w:left="1100"/>
    </w:pPr>
    <w:rPr>
      <w:rFonts w:eastAsia="Times New Roman" w:cs="Times New Roman"/>
    </w:rPr>
  </w:style>
  <w:style w:type="paragraph" w:styleId="TOC7">
    <w:name w:val="toc 7"/>
    <w:basedOn w:val="Normal"/>
    <w:next w:val="Normal"/>
    <w:uiPriority w:val="39"/>
    <w:rsid w:val="00554670"/>
    <w:pPr>
      <w:spacing w:after="100" w:line="256" w:lineRule="auto"/>
      <w:ind w:left="1320"/>
    </w:pPr>
    <w:rPr>
      <w:rFonts w:eastAsia="Times New Roman" w:cs="Times New Roman"/>
    </w:rPr>
  </w:style>
  <w:style w:type="paragraph" w:styleId="TOC8">
    <w:name w:val="toc 8"/>
    <w:basedOn w:val="Normal"/>
    <w:next w:val="Normal"/>
    <w:uiPriority w:val="39"/>
    <w:rsid w:val="00554670"/>
    <w:pPr>
      <w:spacing w:after="100" w:line="256" w:lineRule="auto"/>
      <w:ind w:left="1540"/>
    </w:pPr>
    <w:rPr>
      <w:rFonts w:eastAsia="Times New Roman" w:cs="Times New Roman"/>
    </w:rPr>
  </w:style>
  <w:style w:type="paragraph" w:styleId="TOC9">
    <w:name w:val="toc 9"/>
    <w:basedOn w:val="Normal"/>
    <w:next w:val="Normal"/>
    <w:uiPriority w:val="39"/>
    <w:rsid w:val="00554670"/>
    <w:pPr>
      <w:spacing w:after="100" w:line="256" w:lineRule="auto"/>
      <w:ind w:left="1760"/>
    </w:pPr>
    <w:rPr>
      <w:rFonts w:eastAsia="Times New Roman" w:cs="Times New Roman"/>
    </w:rPr>
  </w:style>
  <w:style w:type="paragraph" w:styleId="BodyText">
    <w:name w:val="Body Text"/>
    <w:basedOn w:val="Normal"/>
    <w:link w:val="BodyTextChar"/>
    <w:uiPriority w:val="1"/>
    <w:qFormat/>
    <w:rsid w:val="00554670"/>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554670"/>
    <w:rPr>
      <w:rFonts w:ascii="Times New Roman" w:eastAsia="Times New Roman" w:hAnsi="Times New Roman" w:cs="Times New Roman"/>
      <w:kern w:val="0"/>
      <w:lang w:val="en-US" w:eastAsia="en-US"/>
      <w14:ligatures w14:val="none"/>
    </w:rPr>
  </w:style>
  <w:style w:type="paragraph" w:styleId="Bibliography">
    <w:name w:val="Bibliography"/>
    <w:basedOn w:val="Normal"/>
    <w:next w:val="Normal"/>
    <w:uiPriority w:val="37"/>
    <w:rsid w:val="00554670"/>
    <w:pPr>
      <w:spacing w:after="200" w:line="276" w:lineRule="auto"/>
    </w:pPr>
    <w:rPr>
      <w:rFonts w:eastAsia="Times New Roman" w:cs="Times New Roman"/>
    </w:rPr>
  </w:style>
  <w:style w:type="paragraph" w:customStyle="1" w:styleId="DecimalAligned">
    <w:name w:val="Decimal Aligned"/>
    <w:basedOn w:val="Normal"/>
    <w:uiPriority w:val="40"/>
    <w:qFormat/>
    <w:rsid w:val="00554670"/>
    <w:pPr>
      <w:tabs>
        <w:tab w:val="decimal" w:pos="360"/>
      </w:tabs>
      <w:spacing w:after="200" w:line="276" w:lineRule="auto"/>
    </w:pPr>
    <w:rPr>
      <w:rFonts w:eastAsia="Times New Roman" w:cs="Times New Roman"/>
    </w:rPr>
  </w:style>
  <w:style w:type="paragraph" w:customStyle="1" w:styleId="Default">
    <w:name w:val="Default"/>
    <w:uiPriority w:val="99"/>
    <w:rsid w:val="00554670"/>
    <w:pPr>
      <w:autoSpaceDE w:val="0"/>
      <w:autoSpaceDN w:val="0"/>
      <w:adjustRightInd w:val="0"/>
      <w:spacing w:after="0" w:line="240" w:lineRule="auto"/>
    </w:pPr>
    <w:rPr>
      <w:rFonts w:ascii="Times New Roman" w:eastAsia="Times New Roman" w:hAnsi="Times New Roman" w:cs="Times New Roman"/>
      <w:color w:val="000000"/>
      <w:kern w:val="0"/>
      <w:lang w:val="en-US" w:eastAsia="en-US"/>
      <w14:ligatures w14:val="none"/>
    </w:rPr>
  </w:style>
  <w:style w:type="paragraph" w:customStyle="1" w:styleId="referencescopy1">
    <w:name w:val="referencescopy1"/>
    <w:basedOn w:val="Normal"/>
    <w:uiPriority w:val="99"/>
    <w:rsid w:val="00554670"/>
    <w:pPr>
      <w:spacing w:before="100" w:beforeAutospacing="1" w:after="100" w:afterAutospacing="1" w:line="240" w:lineRule="auto"/>
    </w:pPr>
    <w:rPr>
      <w:rFonts w:eastAsia="Times New Roman" w:cs="Times New Roman"/>
      <w:szCs w:val="24"/>
    </w:rPr>
  </w:style>
  <w:style w:type="paragraph" w:customStyle="1" w:styleId="referencescopy2">
    <w:name w:val="referencescopy2"/>
    <w:basedOn w:val="Normal"/>
    <w:uiPriority w:val="99"/>
    <w:rsid w:val="00554670"/>
    <w:pPr>
      <w:spacing w:before="100" w:beforeAutospacing="1" w:after="100" w:afterAutospacing="1" w:line="240" w:lineRule="auto"/>
    </w:pPr>
    <w:rPr>
      <w:rFonts w:eastAsia="Times New Roman" w:cs="Times New Roman"/>
      <w:szCs w:val="24"/>
    </w:rPr>
  </w:style>
  <w:style w:type="paragraph" w:customStyle="1" w:styleId="post-meta">
    <w:name w:val="post-meta"/>
    <w:basedOn w:val="Normal"/>
    <w:uiPriority w:val="99"/>
    <w:rsid w:val="00554670"/>
    <w:pPr>
      <w:spacing w:before="100" w:beforeAutospacing="1" w:after="100" w:afterAutospacing="1" w:line="240" w:lineRule="auto"/>
    </w:pPr>
    <w:rPr>
      <w:rFonts w:eastAsia="Times New Roman" w:cs="Times New Roman"/>
      <w:szCs w:val="24"/>
    </w:rPr>
  </w:style>
  <w:style w:type="paragraph" w:customStyle="1" w:styleId="TableParagraph">
    <w:name w:val="Table Paragraph"/>
    <w:basedOn w:val="Normal"/>
    <w:uiPriority w:val="1"/>
    <w:qFormat/>
    <w:rsid w:val="00554670"/>
    <w:pPr>
      <w:widowControl w:val="0"/>
      <w:autoSpaceDE w:val="0"/>
      <w:autoSpaceDN w:val="0"/>
      <w:spacing w:before="42" w:after="0" w:line="240" w:lineRule="auto"/>
    </w:pPr>
    <w:rPr>
      <w:rFonts w:eastAsia="Times New Roman" w:cs="Times New Roman"/>
      <w:sz w:val="22"/>
    </w:rPr>
  </w:style>
  <w:style w:type="character" w:customStyle="1" w:styleId="SubtleEmphasis1">
    <w:name w:val="Subtle Emphasis1"/>
    <w:basedOn w:val="DefaultParagraphFont"/>
    <w:uiPriority w:val="19"/>
    <w:qFormat/>
    <w:rsid w:val="00554670"/>
    <w:rPr>
      <w:i/>
      <w:iCs/>
      <w:color w:val="404040"/>
    </w:rPr>
  </w:style>
  <w:style w:type="character" w:customStyle="1" w:styleId="UnresolvedMention21">
    <w:name w:val="Unresolved Mention21"/>
    <w:basedOn w:val="DefaultParagraphFont"/>
    <w:uiPriority w:val="99"/>
    <w:rsid w:val="00554670"/>
    <w:rPr>
      <w:color w:val="605E5C"/>
      <w:shd w:val="clear" w:color="auto" w:fill="E1DFDD"/>
    </w:rPr>
  </w:style>
  <w:style w:type="character" w:customStyle="1" w:styleId="BalloonTextChar1">
    <w:name w:val="Balloon Text Char1"/>
    <w:basedOn w:val="DefaultParagraphFont"/>
    <w:uiPriority w:val="99"/>
    <w:rsid w:val="00554670"/>
    <w:rPr>
      <w:rFonts w:ascii="Segoe UI" w:hAnsi="Segoe UI" w:cs="Segoe UI" w:hint="default"/>
      <w:sz w:val="18"/>
      <w:szCs w:val="18"/>
    </w:rPr>
  </w:style>
  <w:style w:type="character" w:customStyle="1" w:styleId="citationref">
    <w:name w:val="citationref"/>
    <w:basedOn w:val="DefaultParagraphFont"/>
    <w:rsid w:val="00554670"/>
  </w:style>
  <w:style w:type="character" w:customStyle="1" w:styleId="mw-headline">
    <w:name w:val="mw-headline"/>
    <w:basedOn w:val="DefaultParagraphFont"/>
    <w:rsid w:val="00554670"/>
  </w:style>
  <w:style w:type="character" w:customStyle="1" w:styleId="nlmarticle-title">
    <w:name w:val="nlm_article-title"/>
    <w:basedOn w:val="DefaultParagraphFont"/>
    <w:rsid w:val="00554670"/>
  </w:style>
  <w:style w:type="character" w:customStyle="1" w:styleId="reference-text">
    <w:name w:val="reference-text"/>
    <w:basedOn w:val="DefaultParagraphFont"/>
    <w:rsid w:val="00554670"/>
  </w:style>
  <w:style w:type="character" w:customStyle="1" w:styleId="nlmyear">
    <w:name w:val="nlm_year"/>
    <w:basedOn w:val="DefaultParagraphFont"/>
    <w:rsid w:val="00554670"/>
  </w:style>
  <w:style w:type="character" w:customStyle="1" w:styleId="nlmpublisher-loc">
    <w:name w:val="nlm_publisher-loc"/>
    <w:basedOn w:val="DefaultParagraphFont"/>
    <w:rsid w:val="00554670"/>
  </w:style>
  <w:style w:type="character" w:customStyle="1" w:styleId="nlmpublisher-name">
    <w:name w:val="nlm_publisher-name"/>
    <w:basedOn w:val="DefaultParagraphFont"/>
    <w:rsid w:val="00554670"/>
  </w:style>
  <w:style w:type="character" w:customStyle="1" w:styleId="CommentSubjectChar1">
    <w:name w:val="Comment Subject Char1"/>
    <w:basedOn w:val="CommentTextChar"/>
    <w:uiPriority w:val="99"/>
    <w:rsid w:val="00554670"/>
    <w:rPr>
      <w:rFonts w:ascii="Times New Roman" w:eastAsia="Calibri" w:hAnsi="Times New Roman" w:cs="SimSun"/>
      <w:kern w:val="0"/>
      <w:sz w:val="20"/>
      <w:szCs w:val="20"/>
      <w:lang w:val="en-US" w:eastAsia="en-US"/>
      <w14:ligatures w14:val="none"/>
    </w:rPr>
  </w:style>
  <w:style w:type="table" w:customStyle="1" w:styleId="TableGrid1">
    <w:name w:val="Table Grid1"/>
    <w:basedOn w:val="TableNormal"/>
    <w:next w:val="TableGrid"/>
    <w:uiPriority w:val="39"/>
    <w:rsid w:val="00554670"/>
    <w:pPr>
      <w:spacing w:after="0" w:line="240" w:lineRule="auto"/>
    </w:pPr>
    <w:rPr>
      <w:rFonts w:ascii="Calibri" w:eastAsia="Calibri" w:hAnsi="Calibri" w:cs="Times New Roman"/>
      <w:kern w:val="0"/>
      <w:sz w:val="22"/>
      <w:szCs w:val="22"/>
      <w:lang w:val="en-US"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next w:val="LightShading-Accent1"/>
    <w:uiPriority w:val="60"/>
    <w:rsid w:val="00554670"/>
    <w:pPr>
      <w:spacing w:after="0" w:line="240" w:lineRule="auto"/>
    </w:pPr>
    <w:rPr>
      <w:rFonts w:ascii="Calibri" w:eastAsia="Times New Roman" w:hAnsi="Calibri" w:cs="Times New Roman"/>
      <w:color w:val="2F5496"/>
      <w:kern w:val="0"/>
      <w:sz w:val="22"/>
      <w:szCs w:val="22"/>
      <w:lang w:val="en-US" w:eastAsia="en-US"/>
      <w14:ligatures w14:val="none"/>
    </w:rPr>
    <w:tblPr>
      <w:tblStyleRowBandSize w:val="1"/>
      <w:tblStyleColBandSize w:val="1"/>
      <w:tblInd w:w="0" w:type="nil"/>
      <w:tblBorders>
        <w:top w:val="single" w:sz="8" w:space="0" w:color="4472C4"/>
        <w:bottom w:val="single" w:sz="8" w:space="0" w:color="4472C4"/>
      </w:tblBorders>
    </w:tblPr>
    <w:tblStylePr w:type="firstRow">
      <w:pPr>
        <w:spacing w:before="0" w:beforeAutospacing="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beforeAutospacing="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MediumShading2-Accent51">
    <w:name w:val="Medium Shading 2 - Accent 51"/>
    <w:basedOn w:val="TableNormal"/>
    <w:next w:val="MediumShading2-Accent5"/>
    <w:uiPriority w:val="64"/>
    <w:rsid w:val="00554670"/>
    <w:pPr>
      <w:spacing w:after="0" w:line="240" w:lineRule="auto"/>
    </w:pPr>
    <w:rPr>
      <w:rFonts w:ascii="Calibri" w:eastAsia="Times New Roman" w:hAnsi="Calibri" w:cs="Times New Roman"/>
      <w:kern w:val="0"/>
      <w:sz w:val="22"/>
      <w:szCs w:val="22"/>
      <w:lang w:val="en-US" w:eastAsia="en-US"/>
      <w14:ligatures w14:val="none"/>
    </w:rPr>
    <w:tblPr>
      <w:tblStyleRowBandSize w:val="1"/>
      <w:tblStyleColBandSize w:val="1"/>
      <w:tblInd w:w="0" w:type="nil"/>
      <w:tblBorders>
        <w:top w:val="single" w:sz="18" w:space="0" w:color="auto"/>
        <w:bottom w:val="single" w:sz="18" w:space="0" w:color="auto"/>
      </w:tblBorders>
    </w:tblPr>
    <w:tblStylePr w:type="firstRow">
      <w:pPr>
        <w:spacing w:before="0" w:beforeAutospacing="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beforeAutospacing="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Strong">
    <w:name w:val="Strong"/>
    <w:basedOn w:val="DefaultParagraphFont"/>
    <w:uiPriority w:val="22"/>
    <w:qFormat/>
    <w:rsid w:val="00554670"/>
    <w:rPr>
      <w:b/>
      <w:bCs/>
    </w:rPr>
  </w:style>
  <w:style w:type="character" w:customStyle="1" w:styleId="Heading2Char1">
    <w:name w:val="Heading 2 Char1"/>
    <w:basedOn w:val="DefaultParagraphFont"/>
    <w:uiPriority w:val="9"/>
    <w:rsid w:val="00554670"/>
    <w:rPr>
      <w:rFonts w:ascii="Calibri Light" w:eastAsia="SimSun" w:hAnsi="Calibri Light" w:cs="SimSun"/>
      <w:color w:val="2F5496"/>
      <w:sz w:val="26"/>
      <w:szCs w:val="26"/>
      <w:lang w:val="en-US"/>
    </w:rPr>
  </w:style>
  <w:style w:type="character" w:styleId="FollowedHyperlink">
    <w:name w:val="FollowedHyperlink"/>
    <w:basedOn w:val="DefaultParagraphFont"/>
    <w:uiPriority w:val="99"/>
    <w:rsid w:val="00554670"/>
    <w:rPr>
      <w:color w:val="954F72"/>
      <w:u w:val="single"/>
    </w:rPr>
  </w:style>
  <w:style w:type="character" w:customStyle="1" w:styleId="Heading5Char1">
    <w:name w:val="Heading 5 Char1"/>
    <w:basedOn w:val="DefaultParagraphFont"/>
    <w:uiPriority w:val="9"/>
    <w:rsid w:val="00554670"/>
    <w:rPr>
      <w:rFonts w:ascii="Calibri Light" w:eastAsia="SimSun" w:hAnsi="Calibri Light" w:cs="SimSun"/>
      <w:color w:val="2F5496"/>
      <w:sz w:val="24"/>
      <w:lang w:val="en-US"/>
    </w:rPr>
  </w:style>
  <w:style w:type="character" w:customStyle="1" w:styleId="Heading4Char1">
    <w:name w:val="Heading 4 Char1"/>
    <w:basedOn w:val="DefaultParagraphFont"/>
    <w:uiPriority w:val="9"/>
    <w:rsid w:val="00554670"/>
    <w:rPr>
      <w:rFonts w:ascii="Calibri Light" w:eastAsia="SimSun" w:hAnsi="Calibri Light" w:cs="SimSun"/>
      <w:i/>
      <w:iCs/>
      <w:color w:val="2F5496"/>
      <w:sz w:val="24"/>
      <w:lang w:val="en-US"/>
    </w:rPr>
  </w:style>
  <w:style w:type="character" w:styleId="SubtleEmphasis">
    <w:name w:val="Subtle Emphasis"/>
    <w:basedOn w:val="DefaultParagraphFont"/>
    <w:uiPriority w:val="19"/>
    <w:qFormat/>
    <w:rsid w:val="00554670"/>
    <w:rPr>
      <w:i/>
      <w:iCs/>
      <w:color w:val="404040"/>
    </w:rPr>
  </w:style>
  <w:style w:type="table" w:styleId="LightShading-Accent1">
    <w:name w:val="Light Shading Accent 1"/>
    <w:basedOn w:val="TableNormal"/>
    <w:uiPriority w:val="60"/>
    <w:rsid w:val="00554670"/>
    <w:pPr>
      <w:spacing w:after="0" w:line="240" w:lineRule="auto"/>
    </w:pPr>
    <w:rPr>
      <w:rFonts w:ascii="Calibri" w:eastAsia="Calibri" w:hAnsi="Calibri" w:cs="Calibri"/>
      <w:color w:val="2F5496"/>
      <w:kern w:val="0"/>
      <w:sz w:val="22"/>
      <w:szCs w:val="22"/>
      <w:lang w:val="en-US" w:eastAsia="en-US"/>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MediumShading2-Accent5">
    <w:name w:val="Medium Shading 2 Accent 5"/>
    <w:basedOn w:val="TableNormal"/>
    <w:uiPriority w:val="64"/>
    <w:rsid w:val="00554670"/>
    <w:pPr>
      <w:spacing w:after="0" w:line="240" w:lineRule="auto"/>
    </w:pPr>
    <w:rPr>
      <w:rFonts w:ascii="Calibri" w:eastAsia="Calibri" w:hAnsi="Calibri" w:cs="Calibri"/>
      <w:kern w:val="0"/>
      <w:sz w:val="22"/>
      <w:szCs w:val="22"/>
      <w:lang w:val="en-US"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UnresolvedMention3">
    <w:name w:val="Unresolved Mention3"/>
    <w:basedOn w:val="DefaultParagraphFont"/>
    <w:uiPriority w:val="99"/>
    <w:rsid w:val="00554670"/>
    <w:rPr>
      <w:color w:val="605E5C"/>
      <w:shd w:val="clear" w:color="auto" w:fill="E1DFDD"/>
    </w:rPr>
  </w:style>
  <w:style w:type="character" w:styleId="Emphasis">
    <w:name w:val="Emphasis"/>
    <w:basedOn w:val="DefaultParagraphFont"/>
    <w:uiPriority w:val="20"/>
    <w:qFormat/>
    <w:rsid w:val="00554670"/>
    <w:rPr>
      <w:i/>
      <w:iCs/>
    </w:rPr>
  </w:style>
  <w:style w:type="paragraph" w:customStyle="1" w:styleId="placeholder">
    <w:name w:val="placeholder"/>
    <w:basedOn w:val="Normal"/>
    <w:rsid w:val="00554670"/>
    <w:pPr>
      <w:spacing w:before="100" w:beforeAutospacing="1" w:after="100" w:afterAutospacing="1" w:line="240" w:lineRule="auto"/>
      <w:jc w:val="left"/>
    </w:pPr>
    <w:rPr>
      <w:rFonts w:eastAsia="Times New Roman" w:cs="Times New Roman"/>
      <w:szCs w:val="24"/>
    </w:rPr>
  </w:style>
  <w:style w:type="paragraph" w:styleId="z-BottomofForm">
    <w:name w:val="HTML Bottom of Form"/>
    <w:basedOn w:val="Normal"/>
    <w:next w:val="Normal"/>
    <w:link w:val="z-BottomofFormChar"/>
    <w:hidden/>
    <w:uiPriority w:val="99"/>
    <w:semiHidden/>
    <w:unhideWhenUsed/>
    <w:rsid w:val="0055467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54670"/>
    <w:rPr>
      <w:rFonts w:ascii="Arial" w:eastAsia="Times New Roman" w:hAnsi="Arial" w:cs="Arial"/>
      <w:vanish/>
      <w:kern w:val="0"/>
      <w:sz w:val="16"/>
      <w:szCs w:val="16"/>
      <w:lang w:val="en-US" w:eastAsia="en-US"/>
      <w14:ligatures w14:val="none"/>
    </w:rPr>
  </w:style>
  <w:style w:type="character" w:styleId="UnresolvedMention">
    <w:name w:val="Unresolved Mention"/>
    <w:basedOn w:val="DefaultParagraphFont"/>
    <w:uiPriority w:val="99"/>
    <w:semiHidden/>
    <w:unhideWhenUsed/>
    <w:rsid w:val="00AF6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9765.vnf7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epaafrica.com/insights/rqxrm4wnamff8oiuncw3sonvb1ll8k?utm" TargetMode="External"/><Relationship Id="rId12" Type="http://schemas.openxmlformats.org/officeDocument/2006/relationships/hyperlink" Target="https://ir-library.ku.ac.ke/server/api/core/bitstreams/b081c04c-6af1-4189-9d9f-5224bf15c387/cont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joeijournal.org/sys/index.php/ajoei/article/view/282" TargetMode="External"/><Relationship Id="rId11" Type="http://schemas.openxmlformats.org/officeDocument/2006/relationships/hyperlink" Target="https://doi.org/10.37284/eajass.8.1.2762" TargetMode="External"/><Relationship Id="rId5" Type="http://schemas.openxmlformats.org/officeDocument/2006/relationships/chart" Target="charts/chart1.xml"/><Relationship Id="rId10" Type="http://schemas.openxmlformats.org/officeDocument/2006/relationships/hyperlink" Target="https://arxiv.org/abs/1705.08082?utm" TargetMode="External"/><Relationship Id="rId4" Type="http://schemas.openxmlformats.org/officeDocument/2006/relationships/webSettings" Target="webSettings.xml"/><Relationship Id="rId9" Type="http://schemas.openxmlformats.org/officeDocument/2006/relationships/hyperlink" Target="https://www.irjp.org/index.php/IRJSEH/article/view/415?utm"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4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A94-4454-A587-5E69D6B0B81E}"/>
              </c:ext>
            </c:extLst>
          </c:dPt>
          <c:dPt>
            <c:idx val="1"/>
            <c:bubble3D val="0"/>
            <c:explosion val="5"/>
            <c:spPr>
              <a:solidFill>
                <a:schemeClr val="accent2">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3A94-4454-A587-5E69D6B0B81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A94-4454-A587-5E69D6B0B81E}"/>
              </c:ext>
            </c:extLst>
          </c:dPt>
          <c:dLbls>
            <c:dLbl>
              <c:idx val="0"/>
              <c:layout>
                <c:manualLayout>
                  <c:x val="6.1337124526100906E-2"/>
                  <c:y val="8.5542432195974041E-3"/>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21401757072032662"/>
                      <c:h val="0.15021028621422322"/>
                    </c:manualLayout>
                  </c15:layout>
                </c:ext>
                <c:ext xmlns:c16="http://schemas.microsoft.com/office/drawing/2014/chart" uri="{C3380CC4-5D6E-409C-BE32-E72D297353CC}">
                  <c16:uniqueId val="{00000001-3A94-4454-A587-5E69D6B0B81E}"/>
                </c:ext>
              </c:extLst>
            </c:dLbl>
            <c:dLbl>
              <c:idx val="1"/>
              <c:layout>
                <c:manualLayout>
                  <c:x val="-0.21296296296296297"/>
                  <c:y val="-0.22619422572178477"/>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22603000145815105"/>
                      <c:h val="0.14444444444444443"/>
                    </c:manualLayout>
                  </c15:layout>
                </c:ext>
                <c:ext xmlns:c16="http://schemas.microsoft.com/office/drawing/2014/chart" uri="{C3380CC4-5D6E-409C-BE32-E72D297353CC}">
                  <c16:uniqueId val="{00000003-3A94-4454-A587-5E69D6B0B81E}"/>
                </c:ext>
              </c:extLst>
            </c:dLbl>
            <c:dLbl>
              <c:idx val="2"/>
              <c:layout>
                <c:manualLayout>
                  <c:x val="-1.6309783468118011E-2"/>
                  <c:y val="-0.2466343901536568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23331105932149088"/>
                      <c:h val="0.12736127325566954"/>
                    </c:manualLayout>
                  </c15:layout>
                </c:ext>
                <c:ext xmlns:c16="http://schemas.microsoft.com/office/drawing/2014/chart" uri="{C3380CC4-5D6E-409C-BE32-E72D297353CC}">
                  <c16:uniqueId val="{00000005-3A94-4454-A587-5E69D6B0B81E}"/>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High Income Family</c:v>
                </c:pt>
                <c:pt idx="1">
                  <c:v>Middle Income Family</c:v>
                </c:pt>
                <c:pt idx="2">
                  <c:v>Low Income Family</c:v>
                </c:pt>
              </c:strCache>
            </c:strRef>
          </c:cat>
          <c:val>
            <c:numRef>
              <c:f>Sheet1!$B$2:$B$4</c:f>
              <c:numCache>
                <c:formatCode>General</c:formatCode>
                <c:ptCount val="3"/>
                <c:pt idx="0">
                  <c:v>26</c:v>
                </c:pt>
                <c:pt idx="1">
                  <c:v>232</c:v>
                </c:pt>
                <c:pt idx="2">
                  <c:v>109</c:v>
                </c:pt>
              </c:numCache>
            </c:numRef>
          </c:val>
          <c:extLst>
            <c:ext xmlns:c16="http://schemas.microsoft.com/office/drawing/2014/chart" uri="{C3380CC4-5D6E-409C-BE32-E72D297353CC}">
              <c16:uniqueId val="{00000006-3A94-4454-A587-5E69D6B0B81E}"/>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1185</TotalTime>
  <Pages>17</Pages>
  <Words>6979</Words>
  <Characters>39784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Okoti</dc:creator>
  <cp:keywords/>
  <dc:description/>
  <cp:lastModifiedBy>David Okoti</cp:lastModifiedBy>
  <cp:revision>26</cp:revision>
  <dcterms:created xsi:type="dcterms:W3CDTF">2026-07-07T10:32:00Z</dcterms:created>
  <dcterms:modified xsi:type="dcterms:W3CDTF">2026-07-08T15:06:00Z</dcterms:modified>
</cp:coreProperties>
</file>