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DE" w:rsidRPr="007C3A4A" w:rsidRDefault="00B74EDE" w:rsidP="00CF04BA">
      <w:pPr>
        <w:spacing w:before="400" w:after="160" w:line="240" w:lineRule="auto"/>
        <w:jc w:val="center"/>
        <w:rPr>
          <w:b/>
          <w:bCs/>
          <w:color w:val="auto"/>
          <w:sz w:val="40"/>
          <w:szCs w:val="40"/>
        </w:rPr>
      </w:pPr>
      <w:bookmarkStart w:id="0" w:name="dr-onego-roseline-manuscript"/>
      <w:bookmarkEnd w:id="0"/>
      <w:r w:rsidRPr="007C3A4A">
        <w:rPr>
          <w:b/>
          <w:bCs/>
          <w:color w:val="auto"/>
          <w:sz w:val="40"/>
          <w:szCs w:val="40"/>
        </w:rPr>
        <w:t>Financial Literacy and Financial Inclusion Among Vulnerable Communities in East Africa: A Mixed-Methods Study</w:t>
      </w:r>
    </w:p>
    <w:p w:rsidR="00B74EDE" w:rsidRPr="007C3A4A" w:rsidRDefault="00B74EDE" w:rsidP="00CF04BA">
      <w:pPr>
        <w:pBdr>
          <w:bottom w:val="single" w:sz="6" w:space="0" w:color="1F3864"/>
        </w:pBdr>
        <w:spacing w:after="240" w:line="240" w:lineRule="auto"/>
        <w:rPr>
          <w:color w:val="auto"/>
        </w:rPr>
      </w:pPr>
      <w:bookmarkStart w:id="1" w:name="_GoBack"/>
      <w:bookmarkEnd w:id="1"/>
    </w:p>
    <w:p w:rsidR="00CA7495" w:rsidRPr="007C3A4A" w:rsidRDefault="007C3A4A" w:rsidP="00CF04BA">
      <w:pPr>
        <w:pStyle w:val="Heading3"/>
        <w:spacing w:line="240" w:lineRule="auto"/>
        <w:rPr>
          <w:rFonts w:ascii="Times New Roman" w:hAnsi="Times New Roman" w:cs="Times New Roman"/>
          <w:color w:val="auto"/>
          <w:sz w:val="24"/>
          <w:szCs w:val="24"/>
        </w:rPr>
      </w:pPr>
      <w:bookmarkStart w:id="2" w:name="abstract"/>
      <w:bookmarkEnd w:id="2"/>
      <w:r w:rsidRPr="007C3A4A">
        <w:rPr>
          <w:rFonts w:ascii="Times New Roman" w:hAnsi="Times New Roman" w:cs="Times New Roman"/>
          <w:color w:val="auto"/>
          <w:sz w:val="24"/>
          <w:szCs w:val="24"/>
        </w:rPr>
        <w:t>Abstract</w:t>
      </w:r>
    </w:p>
    <w:p w:rsidR="00CA7495" w:rsidRPr="007C3A4A" w:rsidRDefault="00407CA0"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Introduction</w:t>
      </w:r>
      <w:r w:rsidR="007C3A4A" w:rsidRPr="007C3A4A">
        <w:rPr>
          <w:rStyle w:val="Strong"/>
          <w:rFonts w:ascii="Times New Roman" w:hAnsi="Times New Roman" w:cs="Times New Roman"/>
          <w:color w:val="auto"/>
        </w:rPr>
        <w:t>:</w:t>
      </w:r>
      <w:r w:rsidR="007C3A4A" w:rsidRPr="007C3A4A">
        <w:rPr>
          <w:rFonts w:ascii="Times New Roman" w:hAnsi="Times New Roman" w:cs="Times New Roman"/>
          <w:color w:val="auto"/>
        </w:rPr>
        <w:t xml:space="preserve"> Financial exclusion continues to be a significant issue in East Africa, hitting women, youth, and rural households the hardest, even with the rapid growth of digital financial services and mobile money. Factors like limited financial knowledge, low trust in institutions, and structural inequalities still hinder meaningful engagement in formal financial systems. </w:t>
      </w:r>
      <w:r w:rsidR="007C3A4A" w:rsidRPr="007C3A4A">
        <w:rPr>
          <w:rStyle w:val="Strong"/>
          <w:rFonts w:ascii="Times New Roman" w:hAnsi="Times New Roman" w:cs="Times New Roman"/>
          <w:color w:val="auto"/>
        </w:rPr>
        <w:t>Methods:</w:t>
      </w:r>
      <w:r w:rsidR="007C3A4A" w:rsidRPr="007C3A4A">
        <w:rPr>
          <w:rFonts w:ascii="Times New Roman" w:hAnsi="Times New Roman" w:cs="Times New Roman"/>
          <w:color w:val="auto"/>
        </w:rPr>
        <w:t xml:space="preserve"> This study used a convergent mixed-methods approach to explore the link between financial literacy and financial inclusion among vulnerable communities in Kenya, Uganda, and Tanzania. Quantitative data were gathered through stratified random household surveys with 847 respondents (response rate = 91.3%) using KoBoToolbox, and 42 in-depth interviews and four focus group discussions were conducted for qualitative insights. The survey tool was adapted from the OECD/INFE (2020) validated financial literacy scales, refined through cognitive interviews, pilot testing (n = 48), and translation/back-translation into four local languages. Data were analyzed using regression modeling, exploratory factor analysis (EFA), and thematic analysis to test four pre-defined hypotheses and to triangulate quantitative and qualitative findings. </w:t>
      </w:r>
      <w:r w:rsidR="007C3A4A" w:rsidRPr="007C3A4A">
        <w:rPr>
          <w:rStyle w:val="Strong"/>
          <w:rFonts w:ascii="Times New Roman" w:hAnsi="Times New Roman" w:cs="Times New Roman"/>
          <w:color w:val="auto"/>
        </w:rPr>
        <w:t>Results:</w:t>
      </w:r>
      <w:r w:rsidR="007C3A4A" w:rsidRPr="007C3A4A">
        <w:rPr>
          <w:rFonts w:ascii="Times New Roman" w:hAnsi="Times New Roman" w:cs="Times New Roman"/>
          <w:color w:val="auto"/>
        </w:rPr>
        <w:t xml:space="preserve"> Findings revealed a positive and significant </w:t>
      </w:r>
      <w:r w:rsidR="00D52DB3" w:rsidRPr="007C3A4A">
        <w:rPr>
          <w:rFonts w:ascii="Times New Roman" w:hAnsi="Times New Roman" w:cs="Times New Roman"/>
          <w:color w:val="auto"/>
        </w:rPr>
        <w:t>effect of financial literacy on</w:t>
      </w:r>
      <w:r w:rsidR="007C3A4A" w:rsidRPr="007C3A4A">
        <w:rPr>
          <w:rFonts w:ascii="Times New Roman" w:hAnsi="Times New Roman" w:cs="Times New Roman"/>
          <w:color w:val="auto"/>
        </w:rPr>
        <w:t xml:space="preserve"> financial inclusion across access (β = 0.38, 95% CI [0.29, 0.47]), usage (β = 0.43, 95% CI [0.34, 0.52]), and quality (β = 0.41, 95% CI [0.31, 0.51]) dimensions (all p &lt; 0.001), supporting H1. Institutional trust (β interaction = 0.17, p = 0.003) and mobile access (β interaction = 0.21, p &lt; 0.001) significantly enhanced this relationship, backing H2 and H3. Gender and rural residence were independently linked to lower levels of financial inclusion, supporting H4. EFA confirmed a two-factor structure for financial attitude and behavior scales. Qualitative findings highlighted four interconnected themes: the confidence–competence gap, gender and social norms, deficits. </w:t>
      </w:r>
      <w:r w:rsidR="007C3A4A" w:rsidRPr="007C3A4A">
        <w:rPr>
          <w:rStyle w:val="Strong"/>
          <w:rFonts w:ascii="Times New Roman" w:hAnsi="Times New Roman" w:cs="Times New Roman"/>
          <w:color w:val="auto"/>
        </w:rPr>
        <w:t>Conclusions:</w:t>
      </w:r>
      <w:r w:rsidR="007C3A4A" w:rsidRPr="007C3A4A">
        <w:rPr>
          <w:rFonts w:ascii="Times New Roman" w:hAnsi="Times New Roman" w:cs="Times New Roman"/>
          <w:color w:val="auto"/>
        </w:rPr>
        <w:t xml:space="preserve"> Financial literacy is positively associated with financial inclusion in East African vulnerable communities, and this association is strengthened by institutional trust and mobile access. Targeted interventions should address gender and rural disparities.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Keywords:</w:t>
      </w:r>
      <w:r w:rsidRPr="007C3A4A">
        <w:rPr>
          <w:rFonts w:ascii="Times New Roman" w:hAnsi="Times New Roman" w:cs="Times New Roman"/>
          <w:color w:val="auto"/>
        </w:rPr>
        <w:t xml:space="preserve"> </w:t>
      </w:r>
      <w:r w:rsidR="00540224" w:rsidRPr="007C3A4A">
        <w:rPr>
          <w:rFonts w:ascii="Times New Roman" w:hAnsi="Times New Roman" w:cs="Times New Roman"/>
          <w:color w:val="auto"/>
        </w:rPr>
        <w:t>F</w:t>
      </w:r>
      <w:r w:rsidRPr="007C3A4A">
        <w:rPr>
          <w:rFonts w:ascii="Times New Roman" w:hAnsi="Times New Roman" w:cs="Times New Roman"/>
          <w:color w:val="auto"/>
        </w:rPr>
        <w:t xml:space="preserve">inancial literacy, </w:t>
      </w:r>
      <w:r w:rsidR="00EA2745" w:rsidRPr="007C3A4A">
        <w:rPr>
          <w:rFonts w:ascii="Times New Roman" w:hAnsi="Times New Roman" w:cs="Times New Roman"/>
          <w:color w:val="auto"/>
        </w:rPr>
        <w:t>Financial i</w:t>
      </w:r>
      <w:r w:rsidR="00540224" w:rsidRPr="007C3A4A">
        <w:rPr>
          <w:rFonts w:ascii="Times New Roman" w:hAnsi="Times New Roman" w:cs="Times New Roman"/>
          <w:color w:val="auto"/>
        </w:rPr>
        <w:t>nclusion, V</w:t>
      </w:r>
      <w:r w:rsidRPr="007C3A4A">
        <w:rPr>
          <w:rFonts w:ascii="Times New Roman" w:hAnsi="Times New Roman" w:cs="Times New Roman"/>
          <w:color w:val="auto"/>
        </w:rPr>
        <w:t>ulne</w:t>
      </w:r>
      <w:r w:rsidR="00540224" w:rsidRPr="007C3A4A">
        <w:rPr>
          <w:rFonts w:ascii="Times New Roman" w:hAnsi="Times New Roman" w:cs="Times New Roman"/>
          <w:color w:val="auto"/>
        </w:rPr>
        <w:t>rable communities, Digital literacy, T</w:t>
      </w:r>
      <w:r w:rsidRPr="007C3A4A">
        <w:rPr>
          <w:rFonts w:ascii="Times New Roman" w:hAnsi="Times New Roman" w:cs="Times New Roman"/>
          <w:color w:val="auto"/>
        </w:rPr>
        <w:t>rust</w:t>
      </w:r>
      <w:r w:rsidR="00EA2745" w:rsidRPr="007C3A4A">
        <w:rPr>
          <w:rFonts w:ascii="Times New Roman" w:hAnsi="Times New Roman" w:cs="Times New Roman"/>
          <w:color w:val="auto"/>
        </w:rPr>
        <w:t>.</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3" w:name="introduction"/>
      <w:bookmarkEnd w:id="3"/>
      <w:r w:rsidRPr="007C3A4A">
        <w:rPr>
          <w:rFonts w:ascii="Times New Roman" w:hAnsi="Times New Roman" w:cs="Times New Roman"/>
          <w:color w:val="auto"/>
          <w:sz w:val="24"/>
          <w:szCs w:val="24"/>
        </w:rPr>
        <w:t>Introduction</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Financial exclusion continues to be a significant issue in East Africa, hitting women, youth, and rural households the hardest, even with the rapid growth of digital financial services and mobile money. Factors like limited financial knowledge, low trust in institutions, and structural inequalities still hinder meaningful engagement in formal financial systems (World Bank, 2014; Demirguc-Kunt et al., 2022; Ozili, 2021). Prior research has established a positive link between financial literacy and financial inclusion at the cross-country level (Grohmann et al., 2018; Lusardi &amp; Mitchell, 2014), but evidence from vulnerable populations in East Africa remains sparse. The present study investigated the association between </w:t>
      </w:r>
      <w:r w:rsidRPr="007C3A4A">
        <w:rPr>
          <w:rFonts w:ascii="Times New Roman" w:hAnsi="Times New Roman" w:cs="Times New Roman"/>
          <w:color w:val="auto"/>
        </w:rPr>
        <w:lastRenderedPageBreak/>
        <w:t>financial literacy and financial inclusion among vulnerable communities in Kenya, Uganda, and Tanzania, examining four pre-registered hypotheses: (H1) financial literacy is positively associated with financial inclusion; (H2) institutional trust enhances the financial literacy–financial inclusion association; (H3) mobile access enhances the financial literacy–financial inclusion association; and (H4) gender and rural residence are independently associated with lower financial inclusion.</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4" w:name="methods"/>
      <w:bookmarkEnd w:id="4"/>
      <w:r w:rsidRPr="007C3A4A">
        <w:rPr>
          <w:rFonts w:ascii="Times New Roman" w:hAnsi="Times New Roman" w:cs="Times New Roman"/>
          <w:color w:val="auto"/>
          <w:sz w:val="24"/>
          <w:szCs w:val="24"/>
        </w:rPr>
        <w:t>Methods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Study design and setting.</w:t>
      </w:r>
      <w:r w:rsidRPr="007C3A4A">
        <w:rPr>
          <w:rFonts w:ascii="Times New Roman" w:hAnsi="Times New Roman" w:cs="Times New Roman"/>
          <w:color w:val="auto"/>
        </w:rPr>
        <w:t xml:space="preserve"> A convergent mixed-methods design was employed (Creswell &amp; Plano Clark, 2018), in which quantitative and qualitative strands were pursued in parallel, analysed independently, and integrated during interpretation. The study was conducted in six sites across three East African countries: Nairobi peri-urban and Kisumu rural (Kenya); Kampala peri-urban and Mbale rural (Uganda); Dar es Salaam peri-urban and Mwanza rural (Tanzania). Data were collected from January to March 2026.</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Sampling and participants.</w:t>
      </w:r>
      <w:r w:rsidRPr="007C3A4A">
        <w:rPr>
          <w:rFonts w:ascii="Times New Roman" w:hAnsi="Times New Roman" w:cs="Times New Roman"/>
          <w:color w:val="auto"/>
        </w:rPr>
        <w:t xml:space="preserve"> The study population comprised all households with at least one adult member (aged 18+) residing within the six sites. Site-level household registers from sub-county local government offices (Kenya, Uganda) and ward offices (Tanzania) served as the sampling frame, covering an estimated 4.2 million households in total across all six sites. Sample size was determined a priori using G*Power 3.1 for multiple regression. Assuming a medium effect size (f² = 0.15), alpha = 0.05, power = 0.80, and 10 predictors, the minimum required sample was n = 118. Adjusted for a design effect of 1.5 (estimated from comparable East African surveys), the requirement rose to n ≈ 177. With six strata (country × site type) and targets of 125–165 per stratum, the design target was n = 900. Accounting for anticipated 10% non-response, 928 households were approached. Within each stratum, households were selected by systematic random sampling with a fixed interval and a random start.</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Quantitative data collection.</w:t>
      </w:r>
      <w:r w:rsidRPr="007C3A4A">
        <w:rPr>
          <w:rFonts w:ascii="Times New Roman" w:hAnsi="Times New Roman" w:cs="Times New Roman"/>
          <w:color w:val="auto"/>
        </w:rPr>
        <w:t xml:space="preserve"> A household survey was administered face-to-face using KoBoToolbox. The survey tool was adapted from the OECD/INFE (2020) validated financial literacy scales, refined through cognitive interviews, pilot testing (n = 48), and translation/back-translation into four local languages.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Qualitative data collection.</w:t>
      </w:r>
      <w:r w:rsidRPr="007C3A4A">
        <w:rPr>
          <w:rFonts w:ascii="Times New Roman" w:hAnsi="Times New Roman" w:cs="Times New Roman"/>
          <w:color w:val="auto"/>
        </w:rPr>
        <w:t xml:space="preserve"> Forty-two in-depth interviews and four focus group discussions were conducted to explore mechanisms and contextual factors underlying financial behaviour.</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Measures.</w:t>
      </w:r>
      <w:r w:rsidRPr="007C3A4A">
        <w:rPr>
          <w:rFonts w:ascii="Times New Roman" w:hAnsi="Times New Roman" w:cs="Times New Roman"/>
          <w:color w:val="auto"/>
        </w:rPr>
        <w:t xml:space="preserve"> Financial literacy was measured as a composite of knowledge (15 items), attitudes (8 items, two-factor structure), and behaviour (10 items, two-factor structure). Financial inclusion was measured across three dimensions: access (3 items), usage (5 items), and quality (4 items). All scales demonstrated acceptable to good reliability (Cronbach’s α ≥ 0.76; McDonald’s ω ≥ 0.78). Covariates included gender, age group, location (rural/urban), income (log), mobile access, education level, and trust in institutions.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Statistical analysis.</w:t>
      </w:r>
      <w:r w:rsidRPr="007C3A4A">
        <w:rPr>
          <w:rFonts w:ascii="Times New Roman" w:hAnsi="Times New Roman" w:cs="Times New Roman"/>
          <w:color w:val="auto"/>
        </w:rPr>
        <w:t xml:space="preserve"> Primary analysis used OLS regression with cluster-robust standard errors. Robustness was assessed using hierarchical linear models (HLM) with random intercepts at the site level. Interaction terms tested moderation by institutional trust and mobile access. Exploratory factor analysis (EFA) was used to confirm the factor structure of attitude and behaviour items. Qualitative data were analysed using thematic analysis (Braun &amp; Clarke, 2006).</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5" w:name="results"/>
      <w:bookmarkEnd w:id="5"/>
      <w:r w:rsidRPr="007C3A4A">
        <w:rPr>
          <w:rFonts w:ascii="Times New Roman" w:hAnsi="Times New Roman" w:cs="Times New Roman"/>
          <w:color w:val="auto"/>
          <w:sz w:val="24"/>
          <w:szCs w:val="24"/>
        </w:rPr>
        <w:lastRenderedPageBreak/>
        <w:t>Results</w:t>
      </w:r>
    </w:p>
    <w:p w:rsidR="00CA7495" w:rsidRPr="007C3A4A" w:rsidRDefault="007C3A4A" w:rsidP="00CF04BA">
      <w:pPr>
        <w:pStyle w:val="Heading4"/>
        <w:spacing w:line="240" w:lineRule="auto"/>
        <w:rPr>
          <w:rFonts w:ascii="Times New Roman" w:hAnsi="Times New Roman" w:cs="Times New Roman"/>
          <w:color w:val="auto"/>
        </w:rPr>
      </w:pPr>
      <w:bookmarkStart w:id="6" w:name="sample-characteristics"/>
      <w:bookmarkEnd w:id="6"/>
      <w:r w:rsidRPr="007C3A4A">
        <w:rPr>
          <w:rFonts w:ascii="Times New Roman" w:hAnsi="Times New Roman" w:cs="Times New Roman"/>
          <w:color w:val="auto"/>
        </w:rPr>
        <w:t>Sample Characteristics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Of the 928 households approached, 847 completed the survey (response rate = 91.3%). The sample was approximately balanced across countries: Kenya (n = 312, 36.8%), Uganda (n = 271, 32.0%), and Tanzania (n = 264, 31.2%). Slightly more than half of respondents were from rural sites (51.8%). Table 1a presents the sample distribution by country, site, and response rate.</w:t>
      </w:r>
    </w:p>
    <w:p w:rsidR="00CA7495" w:rsidRPr="007C3A4A" w:rsidRDefault="007C3A4A" w:rsidP="00CF04BA">
      <w:pPr>
        <w:pStyle w:val="Heading4"/>
        <w:spacing w:line="240" w:lineRule="auto"/>
        <w:rPr>
          <w:rFonts w:ascii="Times New Roman" w:hAnsi="Times New Roman" w:cs="Times New Roman"/>
          <w:color w:val="auto"/>
        </w:rPr>
      </w:pPr>
      <w:bookmarkStart w:id="7" w:name="table-1a-sample-distribution-by-country-"/>
      <w:bookmarkEnd w:id="7"/>
      <w:r w:rsidRPr="007C3A4A">
        <w:rPr>
          <w:rFonts w:ascii="Times New Roman" w:hAnsi="Times New Roman" w:cs="Times New Roman"/>
          <w:color w:val="auto"/>
        </w:rPr>
        <w:t>Table 1a: Sample Distribution by Country, Site, and Response Rate</w:t>
      </w:r>
    </w:p>
    <w:p w:rsidR="00CA7495" w:rsidRPr="007C3A4A" w:rsidRDefault="00CA7495" w:rsidP="00CF04BA">
      <w:pPr>
        <w:spacing w:line="240" w:lineRule="auto"/>
        <w:rPr>
          <w:rFonts w:ascii="Times New Roman" w:hAnsi="Times New Roman" w:cs="Times New Roman"/>
          <w:color w:val="auto"/>
        </w:rPr>
      </w:pPr>
      <w:bookmarkStart w:id="8" w:name="table-1.1"/>
      <w:bookmarkEnd w:id="8"/>
    </w:p>
    <w:tbl>
      <w:tblPr>
        <w:tblStyle w:val="TableGrid"/>
        <w:tblW w:w="9360" w:type="dxa"/>
        <w:tblInd w:w="-95" w:type="dxa"/>
        <w:tblLayout w:type="fixed"/>
        <w:tblLook w:val="0000" w:firstRow="0" w:lastRow="0" w:firstColumn="0" w:lastColumn="0" w:noHBand="0" w:noVBand="0"/>
      </w:tblPr>
      <w:tblGrid>
        <w:gridCol w:w="1260"/>
        <w:gridCol w:w="1350"/>
        <w:gridCol w:w="1260"/>
        <w:gridCol w:w="1620"/>
        <w:gridCol w:w="1350"/>
        <w:gridCol w:w="1350"/>
        <w:gridCol w:w="1170"/>
      </w:tblGrid>
      <w:tr w:rsidR="007C3A4A" w:rsidRPr="007C3A4A" w:rsidTr="005E2057">
        <w:tc>
          <w:tcPr>
            <w:tcW w:w="126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Country</w:t>
            </w:r>
          </w:p>
        </w:tc>
        <w:tc>
          <w:tcPr>
            <w:tcW w:w="135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Site</w:t>
            </w:r>
          </w:p>
        </w:tc>
        <w:tc>
          <w:tcPr>
            <w:tcW w:w="126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Type</w:t>
            </w:r>
          </w:p>
        </w:tc>
        <w:tc>
          <w:tcPr>
            <w:tcW w:w="162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Approached</w:t>
            </w:r>
          </w:p>
        </w:tc>
        <w:tc>
          <w:tcPr>
            <w:tcW w:w="135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Valid (n)</w:t>
            </w:r>
          </w:p>
        </w:tc>
        <w:tc>
          <w:tcPr>
            <w:tcW w:w="135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 of Total</w:t>
            </w:r>
          </w:p>
        </w:tc>
        <w:tc>
          <w:tcPr>
            <w:tcW w:w="117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Response Rate</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Kenya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Nairobi</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Peri-urban</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174</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162</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19.1%</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93.1%</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Kenya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Kisumu</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168</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150</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17.7%</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89.3%</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Uganda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Kampala</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Peri-urban</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152</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139</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16.4%</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91.4%</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Uganda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Mbale</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146</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132</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15.6%</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90.4%</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Tanzania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Dar es Salaam</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Peri-urban</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149</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138</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16.3%</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92.6%</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Tanzania</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Mwanza</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139</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126</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14.9%</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90.6%</w:t>
            </w:r>
          </w:p>
        </w:tc>
      </w:tr>
      <w:tr w:rsidR="007C3A4A" w:rsidRPr="007C3A4A" w:rsidTr="005E2057">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TOTAL</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6 sites</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928</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847</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100%</w:t>
            </w:r>
          </w:p>
        </w:tc>
        <w:tc>
          <w:tcPr>
            <w:tcW w:w="11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91.3%</w:t>
            </w:r>
          </w:p>
        </w:tc>
      </w:tr>
    </w:tbl>
    <w:p w:rsidR="00CA7495" w:rsidRPr="007C3A4A" w:rsidRDefault="007C3A4A" w:rsidP="00CF04BA">
      <w:pPr>
        <w:pStyle w:val="Heading4"/>
        <w:spacing w:line="240" w:lineRule="auto"/>
        <w:rPr>
          <w:rFonts w:ascii="Times New Roman" w:hAnsi="Times New Roman" w:cs="Times New Roman"/>
          <w:color w:val="auto"/>
        </w:rPr>
      </w:pPr>
      <w:bookmarkStart w:id="9" w:name="scale-reliability"/>
      <w:bookmarkEnd w:id="9"/>
      <w:r w:rsidRPr="007C3A4A">
        <w:rPr>
          <w:rFonts w:ascii="Times New Roman" w:hAnsi="Times New Roman" w:cs="Times New Roman"/>
          <w:color w:val="auto"/>
        </w:rPr>
        <w:t>Scale Reliability</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All scales and sub-scales demonstrated acceptable to good internal consistency, with Cronbach’s α ranging from 0.76 (Access) to 0.84 (Inclusion composite) and McDonald’s ω from 0.78 to 0.86 (Table 1b).</w:t>
      </w:r>
    </w:p>
    <w:p w:rsidR="00F005F5" w:rsidRPr="007C3A4A" w:rsidRDefault="00F005F5" w:rsidP="00CF04BA">
      <w:pPr>
        <w:pStyle w:val="BodyText"/>
        <w:spacing w:line="240" w:lineRule="auto"/>
        <w:rPr>
          <w:rFonts w:ascii="Times New Roman" w:hAnsi="Times New Roman" w:cs="Times New Roman"/>
          <w:color w:val="auto"/>
        </w:rPr>
      </w:pPr>
    </w:p>
    <w:p w:rsidR="00F005F5" w:rsidRPr="007C3A4A" w:rsidRDefault="00F005F5" w:rsidP="00CF04BA">
      <w:pPr>
        <w:pStyle w:val="BodyText"/>
        <w:spacing w:line="240" w:lineRule="auto"/>
        <w:rPr>
          <w:rFonts w:ascii="Times New Roman" w:hAnsi="Times New Roman" w:cs="Times New Roman"/>
          <w:color w:val="auto"/>
        </w:rPr>
      </w:pPr>
    </w:p>
    <w:p w:rsidR="00F005F5" w:rsidRPr="007C3A4A" w:rsidRDefault="00F005F5" w:rsidP="00CF04BA">
      <w:pPr>
        <w:pStyle w:val="BodyText"/>
        <w:spacing w:line="240" w:lineRule="auto"/>
        <w:rPr>
          <w:rFonts w:ascii="Times New Roman" w:hAnsi="Times New Roman" w:cs="Times New Roman"/>
          <w:color w:val="auto"/>
        </w:rPr>
      </w:pPr>
    </w:p>
    <w:p w:rsidR="00CA7495" w:rsidRPr="007C3A4A" w:rsidRDefault="007C3A4A" w:rsidP="00CF04BA">
      <w:pPr>
        <w:pStyle w:val="Heading4"/>
        <w:spacing w:line="240" w:lineRule="auto"/>
        <w:rPr>
          <w:rFonts w:ascii="Times New Roman" w:hAnsi="Times New Roman" w:cs="Times New Roman"/>
          <w:color w:val="auto"/>
        </w:rPr>
      </w:pPr>
      <w:bookmarkStart w:id="10" w:name="table-1b-scale-reliability-statistics"/>
      <w:bookmarkEnd w:id="10"/>
      <w:r w:rsidRPr="007C3A4A">
        <w:rPr>
          <w:rFonts w:ascii="Times New Roman" w:hAnsi="Times New Roman" w:cs="Times New Roman"/>
          <w:color w:val="auto"/>
        </w:rPr>
        <w:t>Table 1b: Scale Reliability Statistics</w:t>
      </w:r>
    </w:p>
    <w:p w:rsidR="00CA7495" w:rsidRPr="007C3A4A" w:rsidRDefault="00CA7495" w:rsidP="00CF04BA">
      <w:pPr>
        <w:spacing w:line="240" w:lineRule="auto"/>
        <w:rPr>
          <w:rFonts w:ascii="Times New Roman" w:hAnsi="Times New Roman" w:cs="Times New Roman"/>
          <w:color w:val="auto"/>
        </w:rPr>
      </w:pPr>
      <w:bookmarkStart w:id="11" w:name="table-1.2"/>
      <w:bookmarkEnd w:id="11"/>
    </w:p>
    <w:tbl>
      <w:tblPr>
        <w:tblStyle w:val="TableGrid"/>
        <w:tblW w:w="9265" w:type="dxa"/>
        <w:tblLayout w:type="fixed"/>
        <w:tblLook w:val="0000" w:firstRow="0" w:lastRow="0" w:firstColumn="0" w:lastColumn="0" w:noHBand="0" w:noVBand="0"/>
      </w:tblPr>
      <w:tblGrid>
        <w:gridCol w:w="2451"/>
        <w:gridCol w:w="1324"/>
        <w:gridCol w:w="1620"/>
        <w:gridCol w:w="2070"/>
        <w:gridCol w:w="1800"/>
      </w:tblGrid>
      <w:tr w:rsidR="007C3A4A" w:rsidRPr="007C3A4A" w:rsidTr="005E2057">
        <w:tc>
          <w:tcPr>
            <w:tcW w:w="2451"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Scale / Sub-Scale</w:t>
            </w:r>
          </w:p>
        </w:tc>
        <w:tc>
          <w:tcPr>
            <w:tcW w:w="1324"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Items (n)</w:t>
            </w:r>
          </w:p>
        </w:tc>
        <w:tc>
          <w:tcPr>
            <w:tcW w:w="162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Cronbach’s α</w:t>
            </w:r>
          </w:p>
        </w:tc>
        <w:tc>
          <w:tcPr>
            <w:tcW w:w="207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McDonald’s ω</w:t>
            </w:r>
          </w:p>
        </w:tc>
        <w:tc>
          <w:tcPr>
            <w:tcW w:w="180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Interpretation</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Financial Knowledge</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15</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0.78</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0.80</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Acceptable</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Financial Attitudes (2-factor)</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8</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0.83</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0.85</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Good</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lastRenderedPageBreak/>
              <w:t>Financial Behaviour (2-factor)</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10</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0.80</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Good</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Financial Literacy (composite)</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33</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0.81</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0.83</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Good</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Inclusion — Access</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0.76</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0.78</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Acceptable</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Inclusion — Usage</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0.79</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0.81</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Acceptable</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Inclusion — Quality</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0.82</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0.84</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Good</w:t>
            </w:r>
          </w:p>
        </w:tc>
      </w:tr>
      <w:tr w:rsidR="007C3A4A" w:rsidRPr="007C3A4A" w:rsidTr="005E2057">
        <w:tc>
          <w:tcPr>
            <w:tcW w:w="2451"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Inclusion (composite)</w:t>
            </w:r>
          </w:p>
        </w:tc>
        <w:tc>
          <w:tcPr>
            <w:tcW w:w="1324"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12</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0.84</w:t>
            </w:r>
          </w:p>
        </w:tc>
        <w:tc>
          <w:tcPr>
            <w:tcW w:w="207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0.86</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Good</w:t>
            </w:r>
          </w:p>
        </w:tc>
      </w:tr>
    </w:tbl>
    <w:p w:rsidR="00CA7495" w:rsidRPr="007C3A4A" w:rsidRDefault="007C3A4A" w:rsidP="00CF04BA">
      <w:pPr>
        <w:pStyle w:val="Heading4"/>
        <w:spacing w:line="240" w:lineRule="auto"/>
        <w:rPr>
          <w:rFonts w:ascii="Times New Roman" w:hAnsi="Times New Roman" w:cs="Times New Roman"/>
          <w:color w:val="auto"/>
        </w:rPr>
      </w:pPr>
      <w:bookmarkStart w:id="12" w:name="demographic-profile"/>
      <w:bookmarkEnd w:id="12"/>
      <w:r w:rsidRPr="007C3A4A">
        <w:rPr>
          <w:rFonts w:ascii="Times New Roman" w:hAnsi="Times New Roman" w:cs="Times New Roman"/>
          <w:color w:val="auto"/>
        </w:rPr>
        <w:t>Demographic Profile</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The sample was predominantly female (58.4%) and rural (51.8%). Nearly half (44.9%) were youth aged 18–35. A substantial proportion (43.2%) lived on less than USD 2.15/day. Mobile phone ownership was high overall (80.5%), but lower in Tanzania (74.2%) and Uganda (79.3%) compared to Kenya (87.5%). Education levels varied, with 14.9% having no formal education and 10.9% tertiary education. Table 1c summarises the demographic profile by country.</w:t>
      </w:r>
    </w:p>
    <w:p w:rsidR="00CA7495" w:rsidRPr="007C3A4A" w:rsidRDefault="007C3A4A" w:rsidP="00CF04BA">
      <w:pPr>
        <w:pStyle w:val="Heading4"/>
        <w:spacing w:line="240" w:lineRule="auto"/>
        <w:rPr>
          <w:rFonts w:ascii="Times New Roman" w:hAnsi="Times New Roman" w:cs="Times New Roman"/>
          <w:color w:val="auto"/>
        </w:rPr>
      </w:pPr>
      <w:bookmarkStart w:id="13" w:name="table-1c-demographic-profile-of-responde"/>
      <w:bookmarkEnd w:id="13"/>
      <w:r w:rsidRPr="007C3A4A">
        <w:rPr>
          <w:rFonts w:ascii="Times New Roman" w:hAnsi="Times New Roman" w:cs="Times New Roman"/>
          <w:color w:val="auto"/>
        </w:rPr>
        <w:t>Table 1c: Demographic Profile of Respondents by Country (n = 847)</w:t>
      </w:r>
    </w:p>
    <w:p w:rsidR="00CA7495" w:rsidRPr="007C3A4A" w:rsidRDefault="00CA7495" w:rsidP="00CF04BA">
      <w:pPr>
        <w:spacing w:line="240" w:lineRule="auto"/>
        <w:rPr>
          <w:rFonts w:ascii="Times New Roman" w:hAnsi="Times New Roman" w:cs="Times New Roman"/>
          <w:color w:val="auto"/>
        </w:rPr>
      </w:pPr>
      <w:bookmarkStart w:id="14" w:name="table-1.3"/>
      <w:bookmarkEnd w:id="14"/>
    </w:p>
    <w:tbl>
      <w:tblPr>
        <w:tblStyle w:val="TableGrid"/>
        <w:tblW w:w="9445" w:type="dxa"/>
        <w:tblLayout w:type="fixed"/>
        <w:tblLook w:val="0000" w:firstRow="0" w:lastRow="0" w:firstColumn="0" w:lastColumn="0" w:noHBand="0" w:noVBand="0"/>
      </w:tblPr>
      <w:tblGrid>
        <w:gridCol w:w="1435"/>
        <w:gridCol w:w="1440"/>
        <w:gridCol w:w="1800"/>
        <w:gridCol w:w="1710"/>
        <w:gridCol w:w="1800"/>
        <w:gridCol w:w="1260"/>
      </w:tblGrid>
      <w:tr w:rsidR="007C3A4A" w:rsidRPr="007C3A4A" w:rsidTr="00F005F5">
        <w:tc>
          <w:tcPr>
            <w:tcW w:w="1435"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Variable</w:t>
            </w:r>
          </w:p>
        </w:tc>
        <w:tc>
          <w:tcPr>
            <w:tcW w:w="144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Category</w:t>
            </w:r>
          </w:p>
        </w:tc>
        <w:tc>
          <w:tcPr>
            <w:tcW w:w="180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Kenya n=312 (%)</w:t>
            </w:r>
          </w:p>
        </w:tc>
        <w:tc>
          <w:tcPr>
            <w:tcW w:w="171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Uganda n=271 (%)</w:t>
            </w:r>
          </w:p>
        </w:tc>
        <w:tc>
          <w:tcPr>
            <w:tcW w:w="180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Tanzania n=264 (%)</w:t>
            </w:r>
          </w:p>
        </w:tc>
        <w:tc>
          <w:tcPr>
            <w:tcW w:w="126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Total (%)</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Gender</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Female</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58.7</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61.2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55.3</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58.4</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Gender</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Male</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41.3</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38.8</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44.7</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41.6</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Location</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49.0</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54.2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52.6</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51.8</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Age group</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Youth 18–35</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46.8</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43.6</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44.9</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Age group</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Adult 36–60</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43.5</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41.3</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43.8</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42.8</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Age group</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Elderly 60+</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12.3</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11.9</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12.6</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12.3</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Income</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&lt; USD 2.15/day</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38.5</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47.3</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44.7</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43.2</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Education</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No formal education</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11.2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18.4</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15.9</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14.9</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Education</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Tertiary</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14.3</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8.2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10.1</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10.9</w:t>
            </w:r>
          </w:p>
        </w:tc>
      </w:tr>
      <w:tr w:rsidR="007C3A4A" w:rsidRPr="007C3A4A" w:rsidTr="00F005F5">
        <w:tc>
          <w:tcPr>
            <w:tcW w:w="143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Mobile</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 xml:space="preserve">Owns mobile </w:t>
            </w:r>
            <w:r w:rsidRPr="007C3A4A">
              <w:rPr>
                <w:rFonts w:ascii="Times New Roman" w:hAnsi="Times New Roman" w:cs="Times New Roman"/>
                <w:color w:val="auto"/>
              </w:rPr>
              <w:lastRenderedPageBreak/>
              <w:t>phone</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lastRenderedPageBreak/>
              <w:t>87.5</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79.3</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74.2</w:t>
            </w:r>
          </w:p>
        </w:tc>
        <w:tc>
          <w:tcPr>
            <w:tcW w:w="126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80.5</w:t>
            </w:r>
          </w:p>
        </w:tc>
      </w:tr>
    </w:tbl>
    <w:p w:rsidR="00CA7495" w:rsidRPr="007C3A4A" w:rsidRDefault="007C3A4A" w:rsidP="00CF04BA">
      <w:pPr>
        <w:pStyle w:val="Heading4"/>
        <w:spacing w:line="240" w:lineRule="auto"/>
        <w:rPr>
          <w:rFonts w:ascii="Times New Roman" w:hAnsi="Times New Roman" w:cs="Times New Roman"/>
          <w:color w:val="auto"/>
        </w:rPr>
      </w:pPr>
      <w:bookmarkStart w:id="15" w:name="financial-literacy-levels"/>
      <w:bookmarkEnd w:id="15"/>
      <w:r w:rsidRPr="007C3A4A">
        <w:rPr>
          <w:rFonts w:ascii="Times New Roman" w:hAnsi="Times New Roman" w:cs="Times New Roman"/>
          <w:color w:val="auto"/>
        </w:rPr>
        <w:lastRenderedPageBreak/>
        <w:t>Financial Literacy Levels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The mean composite financial literacy score was 48.3 (SD = 14.7) on a 0–100 scale. Behaviour scores were notably lower (M = 38.7, SD = 16.2) than knowledge (M = 50.6, SD = 15.3) and attitudes (M = 57.3, SD = 13.1). Females, rural residents, and those living below USD 2.15/day scored lower across all domains. Youth (18–35) scored slightly higher than adults on attitudes and behaviour but not on knowledge. Table 2 presents financial literacy scores by domain, country, and key subgroups.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Table 2: Financial Literacy Scores by Domain, Country, and Key Subgroups</w:t>
      </w:r>
    </w:p>
    <w:p w:rsidR="00CA7495" w:rsidRPr="007C3A4A" w:rsidRDefault="00CA7495" w:rsidP="00CF04BA">
      <w:pPr>
        <w:spacing w:line="240" w:lineRule="auto"/>
        <w:rPr>
          <w:rFonts w:ascii="Times New Roman" w:hAnsi="Times New Roman" w:cs="Times New Roman"/>
          <w:color w:val="auto"/>
        </w:rPr>
      </w:pPr>
      <w:bookmarkStart w:id="16" w:name="table-1.4"/>
      <w:bookmarkEnd w:id="16"/>
    </w:p>
    <w:tbl>
      <w:tblPr>
        <w:tblStyle w:val="TableGrid"/>
        <w:tblW w:w="9175" w:type="dxa"/>
        <w:tblLayout w:type="fixed"/>
        <w:tblLook w:val="0000" w:firstRow="0" w:lastRow="0" w:firstColumn="0" w:lastColumn="0" w:noHBand="0" w:noVBand="0"/>
      </w:tblPr>
      <w:tblGrid>
        <w:gridCol w:w="2515"/>
        <w:gridCol w:w="1800"/>
        <w:gridCol w:w="1530"/>
        <w:gridCol w:w="1620"/>
        <w:gridCol w:w="1710"/>
      </w:tblGrid>
      <w:tr w:rsidR="007C3A4A" w:rsidRPr="007C3A4A" w:rsidTr="00290020">
        <w:tc>
          <w:tcPr>
            <w:tcW w:w="2515"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Sub-group</w:t>
            </w:r>
          </w:p>
        </w:tc>
        <w:tc>
          <w:tcPr>
            <w:tcW w:w="180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Knowledge (M, SD)</w:t>
            </w:r>
          </w:p>
        </w:tc>
        <w:tc>
          <w:tcPr>
            <w:tcW w:w="153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Attitudes (M, SD)</w:t>
            </w:r>
          </w:p>
        </w:tc>
        <w:tc>
          <w:tcPr>
            <w:tcW w:w="162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Behaviour (M, SD)</w:t>
            </w:r>
          </w:p>
        </w:tc>
        <w:tc>
          <w:tcPr>
            <w:tcW w:w="171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Composite (M, SD)</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Kenya (n=312)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56.4 (14.2)</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59.8 (12.3)</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42.3 (15.8)</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53.1 (13.9)</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Uganda (n=271)</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45.2 (15.1)</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54.1 (13.8)</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31.4 (16.3)</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43.6 (15.1)</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Tanzania (n=264)</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50.1 (14.8)</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58.0 (13.1)</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42.5 (16.0)</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47.8 (14.4)</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Female (n=495)</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45.3 (13.9)</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53.7 (13.2)</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33.6 (15.4)</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44.2 (13.8)</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Male (n=352)</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57.8 (13.2)</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62.4 (11.8)</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45.3 (15.1)</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53.7 (13.4)</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 (n=438)</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46.2 (14.1)</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54.3 (13.5)</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34.2 (15.7)</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44.9 (13.7)</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Urban (n=409)</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55.3 (14.6)</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60.5 (12.4)</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42.9 (15.9)</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52.4 (14.3)</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Youth 18–35 (n=380)</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49.1 (14.8)</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58.2 (13.1)</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39.4 (15.9)</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48.9 (14.2)</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Income &lt;2.15/day (n=366)</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43.2 (14.3)</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52.1 (13.9)</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30.4 (15.2)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41.9 (14.0)</w:t>
            </w:r>
          </w:p>
        </w:tc>
      </w:tr>
      <w:tr w:rsidR="007C3A4A" w:rsidRPr="007C3A4A" w:rsidTr="00290020">
        <w:tc>
          <w:tcPr>
            <w:tcW w:w="2515"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TOTAL (n=847)</w:t>
            </w:r>
          </w:p>
        </w:tc>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50.6 (15.3)</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57.3 (13.1)</w:t>
            </w:r>
          </w:p>
        </w:tc>
        <w:tc>
          <w:tcPr>
            <w:tcW w:w="162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38.7 (16.2)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48.3 (14.7)</w:t>
            </w:r>
          </w:p>
        </w:tc>
      </w:tr>
    </w:tbl>
    <w:p w:rsidR="00CA7495" w:rsidRPr="007C3A4A" w:rsidRDefault="007C3A4A" w:rsidP="00CF04BA">
      <w:pPr>
        <w:pStyle w:val="Heading4"/>
        <w:spacing w:line="240" w:lineRule="auto"/>
        <w:rPr>
          <w:rFonts w:ascii="Times New Roman" w:hAnsi="Times New Roman" w:cs="Times New Roman"/>
          <w:color w:val="auto"/>
        </w:rPr>
      </w:pPr>
      <w:bookmarkStart w:id="17" w:name="regression-results-financial-literacy-an"/>
      <w:bookmarkEnd w:id="17"/>
      <w:r w:rsidRPr="007C3A4A">
        <w:rPr>
          <w:rFonts w:ascii="Times New Roman" w:hAnsi="Times New Roman" w:cs="Times New Roman"/>
          <w:color w:val="auto"/>
        </w:rPr>
        <w:t>Regression Results: Financial Literacy and Financial Inclusion</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Table 3 shows the primary OLS regression results and HLM robustness checks. Financial literacy was positively and significantly associated with all dimensions of financial inclusion: access (β = 0.38, 95% CI [0.29, 0.47], p &lt; 0.001), usage (β = 0.43, 95% CI [0.34, 0.52], p &lt; 0.001), quality (β = 0.41, 95% CI [0.31, 0.51], p &lt; 0.001), and the composite index (β = 0.43, 95% CI [0.34, 0.52], p &lt; 0.001). These results support H1.</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Institutional trust (β = 0.23, p &lt; 0.001 for composite) and mobile access (β = 0.32, p &lt; 0.001) were independently associated with higher financial inclusion. The interaction terms were significant: Literacy × Trust (β = 0.17, p = 0.003) and Literacy × Mobile (β = 0.21, p &lt; 0.001), supporting H2 and H3. Female gender (β = –0.19, p &lt; 0.001) and rural residence (β = –0.22, p &lt; 0.001) were associated with lower composite inclusion, supporting H4. The HLM results were consistent with OLS estimates (composite β = 0.41, p &lt; 0.001). The models </w:t>
      </w:r>
      <w:r w:rsidRPr="007C3A4A">
        <w:rPr>
          <w:rFonts w:ascii="Times New Roman" w:hAnsi="Times New Roman" w:cs="Times New Roman"/>
          <w:color w:val="auto"/>
        </w:rPr>
        <w:lastRenderedPageBreak/>
        <w:t>explained 39–46% of variance in inclusion dimensions.</w:t>
      </w:r>
    </w:p>
    <w:p w:rsidR="00CA7495" w:rsidRPr="007C3A4A" w:rsidRDefault="007C3A4A" w:rsidP="00CF04BA">
      <w:pPr>
        <w:pStyle w:val="BodyText"/>
        <w:spacing w:line="240" w:lineRule="auto"/>
        <w:rPr>
          <w:rFonts w:ascii="Times New Roman" w:hAnsi="Times New Roman" w:cs="Times New Roman"/>
          <w:color w:val="auto"/>
        </w:rPr>
      </w:pPr>
      <w:r w:rsidRPr="007C3A4A">
        <w:rPr>
          <w:rStyle w:val="Strong"/>
          <w:rFonts w:ascii="Times New Roman" w:hAnsi="Times New Roman" w:cs="Times New Roman"/>
          <w:color w:val="auto"/>
        </w:rPr>
        <w:t>Table 3: Regression Results — Financial Literacy and Financial Inclusion (Primary OLS and HLM Robustness)</w:t>
      </w:r>
    </w:p>
    <w:p w:rsidR="00CA7495" w:rsidRPr="007C3A4A" w:rsidRDefault="00CA7495" w:rsidP="00CF04BA">
      <w:pPr>
        <w:spacing w:line="240" w:lineRule="auto"/>
        <w:rPr>
          <w:rFonts w:ascii="Times New Roman" w:hAnsi="Times New Roman" w:cs="Times New Roman"/>
          <w:color w:val="auto"/>
        </w:rPr>
      </w:pPr>
      <w:bookmarkStart w:id="18" w:name="table-1.5"/>
      <w:bookmarkEnd w:id="18"/>
    </w:p>
    <w:tbl>
      <w:tblPr>
        <w:tblStyle w:val="TableGrid"/>
        <w:tblW w:w="9360" w:type="dxa"/>
        <w:tblInd w:w="-185" w:type="dxa"/>
        <w:tblLayout w:type="fixed"/>
        <w:tblLook w:val="0000" w:firstRow="0" w:lastRow="0" w:firstColumn="0" w:lastColumn="0" w:noHBand="0" w:noVBand="0"/>
      </w:tblPr>
      <w:tblGrid>
        <w:gridCol w:w="1800"/>
        <w:gridCol w:w="1530"/>
        <w:gridCol w:w="1350"/>
        <w:gridCol w:w="1440"/>
        <w:gridCol w:w="1530"/>
        <w:gridCol w:w="1710"/>
      </w:tblGrid>
      <w:tr w:rsidR="007C3A4A" w:rsidRPr="007C3A4A" w:rsidTr="00CF04BA">
        <w:tc>
          <w:tcPr>
            <w:tcW w:w="180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Predictor</w:t>
            </w:r>
          </w:p>
        </w:tc>
        <w:tc>
          <w:tcPr>
            <w:tcW w:w="153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Access β [95% CI]</w:t>
            </w:r>
          </w:p>
        </w:tc>
        <w:tc>
          <w:tcPr>
            <w:tcW w:w="135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Usage β [95% CI]</w:t>
            </w:r>
          </w:p>
        </w:tc>
        <w:tc>
          <w:tcPr>
            <w:tcW w:w="144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Quality β [95% CI]</w:t>
            </w:r>
          </w:p>
        </w:tc>
        <w:tc>
          <w:tcPr>
            <w:tcW w:w="153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Composite β [95% CI]</w:t>
            </w:r>
          </w:p>
        </w:tc>
        <w:tc>
          <w:tcPr>
            <w:tcW w:w="1710" w:type="dxa"/>
          </w:tcPr>
          <w:p w:rsidR="00CA7495" w:rsidRPr="007C3A4A" w:rsidRDefault="007C3A4A" w:rsidP="00CF04BA">
            <w:pPr>
              <w:pStyle w:val="TableHeading"/>
              <w:spacing w:line="240" w:lineRule="auto"/>
              <w:rPr>
                <w:rFonts w:ascii="Times New Roman" w:hAnsi="Times New Roman" w:cs="Times New Roman"/>
                <w:color w:val="auto"/>
              </w:rPr>
            </w:pPr>
            <w:r w:rsidRPr="007C3A4A">
              <w:rPr>
                <w:rFonts w:ascii="Times New Roman" w:hAnsi="Times New Roman" w:cs="Times New Roman"/>
                <w:color w:val="auto"/>
              </w:rPr>
              <w:t>HLM Composite β</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Financial Literacy</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0.38*** [0.29,0.47]</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0.43*** [0.34,0.52]</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0.41*** [0.31,0.51]</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0.43*** [0.34,0.52]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0.41***</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Female (vs. male)</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-0.18*** [-0.24,-0.12]</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-0.21***</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-0.14**</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-0.19***</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-0.18***</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Rural (vs. urban)</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-0.22*** [-0.29,-0.15]</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-0.24***</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-0.19***</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-0.21***</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Income (log)</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0.27*** [0.19,0.35]</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0.29***</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0.31***</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0.29***</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0.28***</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Mobile access</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0.31*** [0.23,0.39]</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0.34***</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0.28***</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0.32***</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0.31***</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Trust in institutions</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0.19*** [0.12,0.26]</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0.23***</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0.26***</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0.23***</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0.22***</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Education level</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0.14*** [0.08,0.20]</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0.16***</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0.13***</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0.14***</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0.13***</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Age</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0.08* [0.01,0.15]</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0.06*</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0.09*</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0.08*</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0.07*</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Literacy × Trust</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0.17** [0.06,0.28]</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0.16**</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Literacy × Mobile</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0.21*** [0.12,0.30]</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0.20***</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R² / ICC (HLM)</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0.41</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0.46</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0.39</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0.44</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ICC=0.09</w:t>
            </w:r>
          </w:p>
        </w:tc>
      </w:tr>
      <w:tr w:rsidR="007C3A4A" w:rsidRPr="007C3A4A" w:rsidTr="00CF04BA">
        <w:tc>
          <w:tcPr>
            <w:tcW w:w="180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F / χ²</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58.4***</w:t>
            </w:r>
          </w:p>
        </w:tc>
        <w:tc>
          <w:tcPr>
            <w:tcW w:w="135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71.2***</w:t>
            </w:r>
          </w:p>
        </w:tc>
        <w:tc>
          <w:tcPr>
            <w:tcW w:w="144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53.7***</w:t>
            </w:r>
          </w:p>
        </w:tc>
        <w:tc>
          <w:tcPr>
            <w:tcW w:w="153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66.1***</w:t>
            </w:r>
          </w:p>
        </w:tc>
        <w:tc>
          <w:tcPr>
            <w:tcW w:w="1710" w:type="dxa"/>
          </w:tcPr>
          <w:p w:rsidR="00CA7495" w:rsidRPr="007C3A4A" w:rsidRDefault="007C3A4A" w:rsidP="00CF04BA">
            <w:pPr>
              <w:pStyle w:val="TableContents"/>
              <w:spacing w:line="240" w:lineRule="auto"/>
              <w:rPr>
                <w:rFonts w:ascii="Times New Roman" w:hAnsi="Times New Roman" w:cs="Times New Roman"/>
                <w:color w:val="auto"/>
              </w:rPr>
            </w:pPr>
            <w:r w:rsidRPr="007C3A4A">
              <w:rPr>
                <w:rFonts w:ascii="Times New Roman" w:hAnsi="Times New Roman" w:cs="Times New Roman"/>
                <w:color w:val="auto"/>
              </w:rPr>
              <w:t>χ²=412.3***</w:t>
            </w:r>
          </w:p>
        </w:tc>
      </w:tr>
    </w:tbl>
    <w:p w:rsidR="00CA7495" w:rsidRPr="007C3A4A" w:rsidRDefault="007C3A4A" w:rsidP="00CF04BA">
      <w:pPr>
        <w:pStyle w:val="Heading4"/>
        <w:spacing w:line="240" w:lineRule="auto"/>
        <w:rPr>
          <w:rFonts w:ascii="Times New Roman" w:hAnsi="Times New Roman" w:cs="Times New Roman"/>
          <w:color w:val="auto"/>
        </w:rPr>
      </w:pPr>
      <w:bookmarkStart w:id="19" w:name="qualitative-findings"/>
      <w:bookmarkEnd w:id="19"/>
      <w:r w:rsidRPr="007C3A4A">
        <w:rPr>
          <w:rFonts w:ascii="Times New Roman" w:hAnsi="Times New Roman" w:cs="Times New Roman"/>
          <w:color w:val="auto"/>
        </w:rPr>
        <w:t>Qualitative Findings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Thematic analysis of the qualitative data (42 interviews, 4 focus groups) revealed four interconnected themes: the confidence–competence gap, gender and social norms, deficits. These themes are not presented in tabular form here due to space constraints but triangulate with the quantitative findings, particularly regarding gendered barriers to financial inclusion.</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20" w:name="discussion"/>
      <w:bookmarkEnd w:id="20"/>
      <w:r w:rsidRPr="007C3A4A">
        <w:rPr>
          <w:rFonts w:ascii="Times New Roman" w:hAnsi="Times New Roman" w:cs="Times New Roman"/>
          <w:color w:val="auto"/>
          <w:sz w:val="24"/>
          <w:szCs w:val="24"/>
        </w:rPr>
        <w:lastRenderedPageBreak/>
        <w:t>Discussion</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This study provides robust evidence of a positive and significant association between financial literacy and financial inclusion among vulnerable communities in Kenya, Uganda, and Tanzania. The association was consistent across the access, usage, and quality dimensions of inclusion, and remained after controlling for socioeconomic characteristics and site-level clustering. The effect of financial literacy was amplified by institutional trust and mobile phone access, suggesting that these factors are important enablers. Conversely, women and rural residents were less financially included even after accounting for </w:t>
      </w:r>
      <w:r w:rsidR="00AA0BF7" w:rsidRPr="007C3A4A">
        <w:rPr>
          <w:rFonts w:ascii="Times New Roman" w:hAnsi="Times New Roman" w:cs="Times New Roman"/>
          <w:color w:val="auto"/>
        </w:rPr>
        <w:t xml:space="preserve">literacy, income, and education </w:t>
      </w:r>
      <w:r w:rsidRPr="007C3A4A">
        <w:rPr>
          <w:rFonts w:ascii="Times New Roman" w:hAnsi="Times New Roman" w:cs="Times New Roman"/>
          <w:color w:val="auto"/>
        </w:rPr>
        <w:t>pointing to persistent structural barriers.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These findings align with cross-country evidence from Sub-Saharan Africa (Grohmann et al., 2018; Zins &amp; Weill, 2016) and underscore the need for tailored interventions. The moderating role of mobile access is consistent with the transformative impact of mobile money in the region (Suri &amp; Jack, 2016), but also highlights that digital access alone may not suffice without financial literacy. The gender gap echoes concerns raised by Kabeer (2001) and Kiptoo &amp; Moronge (2014) regarding women’s access to financial services even when literacy levels are controlled. The qualitative themes of the confidence–competence gap and social norms further illuminate these disparities.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However, the study relied on cross-sectional data, which precludes causal attribution. Self-reported measures may be subject to social desirability bias, and the sample was limited to six purposively selected sites, which may not be fully representative of all vulnerable populations in East Africa. The full discussion as presented in the original thesis was not available for this manuscript; therefore, these interpretations should be considered as summaries of the key patterns observed.</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21" w:name="limitations"/>
      <w:bookmarkEnd w:id="21"/>
      <w:r w:rsidRPr="007C3A4A">
        <w:rPr>
          <w:rFonts w:ascii="Times New Roman" w:hAnsi="Times New Roman" w:cs="Times New Roman"/>
          <w:color w:val="auto"/>
          <w:sz w:val="24"/>
          <w:szCs w:val="24"/>
        </w:rPr>
        <w:t>Limitations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Several limitations should be noted. First, the cross-sectional design cannot establish causal relationships between financial literacy and financial inclusion; the reported associations may be bidirectional or confounded by unobserved factors. Second, the sample was drawn from six purposively selected sites; while stratified to include urban and rural areas, generalisability to other East African settings may be limited. Third, all measures were self-reported, subject to recall and social desirability biases. Fourth, the full qualitative findings were not available in detail for this manuscript, limiting the depth of triangulation. Fifth, the original thesis discussion and conclusion sections were not supplied for this extraction, so the interpretive context may be incomplete. The study’s strengths include a high response rate (91.3%), psychometrically validated instruments adapted from OECD/INFE (2020), and a mixed-methods design that provided complementary insights.</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22" w:name="conclusion-and-recommendations"/>
      <w:bookmarkEnd w:id="22"/>
      <w:r w:rsidRPr="007C3A4A">
        <w:rPr>
          <w:rFonts w:ascii="Times New Roman" w:hAnsi="Times New Roman" w:cs="Times New Roman"/>
          <w:color w:val="auto"/>
          <w:sz w:val="24"/>
          <w:szCs w:val="24"/>
        </w:rPr>
        <w:t>Conclusion and Recommendations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Financial literacy is positively associated with financial inclusion among vulnerable communities in East Africa. This association is strengthened by institutional trust and mobile access, while women and rural residents face additional barriers. Based on the quantitative and qualitative evidence:</w:t>
      </w:r>
    </w:p>
    <w:p w:rsidR="00CA7495" w:rsidRPr="007C3A4A" w:rsidRDefault="007C3A4A" w:rsidP="00CF04BA">
      <w:pPr>
        <w:pStyle w:val="BodyText"/>
        <w:numPr>
          <w:ilvl w:val="0"/>
          <w:numId w:val="1"/>
        </w:numPr>
        <w:tabs>
          <w:tab w:val="left" w:pos="709"/>
        </w:tabs>
        <w:spacing w:line="240" w:lineRule="auto"/>
        <w:rPr>
          <w:rFonts w:ascii="Times New Roman" w:hAnsi="Times New Roman" w:cs="Times New Roman"/>
          <w:color w:val="auto"/>
        </w:rPr>
      </w:pPr>
      <w:r w:rsidRPr="007C3A4A">
        <w:rPr>
          <w:rFonts w:ascii="Times New Roman" w:hAnsi="Times New Roman" w:cs="Times New Roman"/>
          <w:color w:val="auto"/>
        </w:rPr>
        <w:t>Financial literacy programs should be integrated with digital literacy training and trust-building components, particularly targeting women and rural populations.</w:t>
      </w:r>
    </w:p>
    <w:p w:rsidR="00CA7495" w:rsidRPr="007C3A4A" w:rsidRDefault="007C3A4A" w:rsidP="00CF04BA">
      <w:pPr>
        <w:pStyle w:val="BodyText"/>
        <w:numPr>
          <w:ilvl w:val="0"/>
          <w:numId w:val="1"/>
        </w:numPr>
        <w:tabs>
          <w:tab w:val="left" w:pos="709"/>
        </w:tabs>
        <w:spacing w:line="240" w:lineRule="auto"/>
        <w:rPr>
          <w:rFonts w:ascii="Times New Roman" w:hAnsi="Times New Roman" w:cs="Times New Roman"/>
          <w:color w:val="auto"/>
        </w:rPr>
      </w:pPr>
      <w:r w:rsidRPr="007C3A4A">
        <w:rPr>
          <w:rFonts w:ascii="Times New Roman" w:hAnsi="Times New Roman" w:cs="Times New Roman"/>
          <w:color w:val="auto"/>
        </w:rPr>
        <w:lastRenderedPageBreak/>
        <w:t>Mobile network operators and financial institutions should design products that account for low levels of confidence and social norms that may hinder women’s engagement.</w:t>
      </w:r>
    </w:p>
    <w:p w:rsidR="00CA7495" w:rsidRPr="007C3A4A" w:rsidRDefault="007C3A4A" w:rsidP="00CF04BA">
      <w:pPr>
        <w:pStyle w:val="BodyText"/>
        <w:numPr>
          <w:ilvl w:val="0"/>
          <w:numId w:val="1"/>
        </w:numPr>
        <w:tabs>
          <w:tab w:val="left" w:pos="709"/>
        </w:tabs>
        <w:spacing w:line="240" w:lineRule="auto"/>
        <w:rPr>
          <w:rFonts w:ascii="Times New Roman" w:hAnsi="Times New Roman" w:cs="Times New Roman"/>
          <w:color w:val="auto"/>
        </w:rPr>
      </w:pPr>
      <w:r w:rsidRPr="007C3A4A">
        <w:rPr>
          <w:rFonts w:ascii="Times New Roman" w:hAnsi="Times New Roman" w:cs="Times New Roman"/>
          <w:color w:val="auto"/>
        </w:rPr>
        <w:t>Policy makers should address structural inequalities—such as disparities in income, education, and mobile ownership—that independently reduce financial inclusion.</w:t>
      </w:r>
    </w:p>
    <w:p w:rsidR="00CA7495" w:rsidRPr="007C3A4A" w:rsidRDefault="007C3A4A" w:rsidP="00CF04BA">
      <w:pPr>
        <w:pStyle w:val="BodyText"/>
        <w:numPr>
          <w:ilvl w:val="0"/>
          <w:numId w:val="1"/>
        </w:numPr>
        <w:tabs>
          <w:tab w:val="left" w:pos="709"/>
        </w:tabs>
        <w:spacing w:line="240" w:lineRule="auto"/>
        <w:rPr>
          <w:rFonts w:ascii="Times New Roman" w:hAnsi="Times New Roman" w:cs="Times New Roman"/>
          <w:color w:val="auto"/>
        </w:rPr>
      </w:pPr>
      <w:r w:rsidRPr="007C3A4A">
        <w:rPr>
          <w:rFonts w:ascii="Times New Roman" w:hAnsi="Times New Roman" w:cs="Times New Roman"/>
          <w:color w:val="auto"/>
        </w:rPr>
        <w:t>Future research should employ longitudinal designs and expand geographic coverage to confirm these findings and explore causal mechanisms.</w:t>
      </w:r>
    </w:p>
    <w:p w:rsidR="00CA7495" w:rsidRPr="007C3A4A" w:rsidRDefault="007C3A4A" w:rsidP="00CF04BA">
      <w:pPr>
        <w:pStyle w:val="Heading3"/>
        <w:spacing w:line="240" w:lineRule="auto"/>
        <w:rPr>
          <w:rFonts w:ascii="Times New Roman" w:hAnsi="Times New Roman" w:cs="Times New Roman"/>
          <w:color w:val="auto"/>
          <w:sz w:val="24"/>
          <w:szCs w:val="24"/>
        </w:rPr>
      </w:pPr>
      <w:bookmarkStart w:id="23" w:name="references"/>
      <w:bookmarkEnd w:id="23"/>
      <w:r w:rsidRPr="007C3A4A">
        <w:rPr>
          <w:rFonts w:ascii="Times New Roman" w:hAnsi="Times New Roman" w:cs="Times New Roman"/>
          <w:color w:val="auto"/>
          <w:sz w:val="24"/>
          <w:szCs w:val="24"/>
        </w:rPr>
        <w:t>References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Ajzen, I. (1991). The theory of planned behavior. </w:t>
      </w:r>
      <w:r w:rsidRPr="007C3A4A">
        <w:rPr>
          <w:rStyle w:val="Emphasis"/>
          <w:rFonts w:ascii="Times New Roman" w:hAnsi="Times New Roman" w:cs="Times New Roman"/>
          <w:color w:val="auto"/>
        </w:rPr>
        <w:t xml:space="preserve">Organizational Behavior and Human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Decision Processes</w:t>
      </w:r>
      <w:r w:rsidRPr="007C3A4A">
        <w:rPr>
          <w:rFonts w:ascii="Times New Roman" w:hAnsi="Times New Roman" w:cs="Times New Roman"/>
          <w:color w:val="auto"/>
        </w:rPr>
        <w:t xml:space="preserve"> , 50(2), 179–211.</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Atkinson, A., &amp; Messy, F. A. (2012). Measuring financial literacy: Results of the OECD/INFE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pilot study. </w:t>
      </w:r>
      <w:r w:rsidRPr="007C3A4A">
        <w:rPr>
          <w:rStyle w:val="Emphasis"/>
          <w:rFonts w:ascii="Times New Roman" w:hAnsi="Times New Roman" w:cs="Times New Roman"/>
          <w:color w:val="auto"/>
        </w:rPr>
        <w:t>OECD Working Papers on Finance, Insurance and Private Pensions</w:t>
      </w:r>
      <w:r w:rsidRPr="007C3A4A">
        <w:rPr>
          <w:rFonts w:ascii="Times New Roman" w:hAnsi="Times New Roman" w:cs="Times New Roman"/>
          <w:color w:val="auto"/>
        </w:rPr>
        <w:t xml:space="preserve"> , </w:t>
      </w:r>
      <w:r w:rsidR="00687B9D" w:rsidRPr="007C3A4A">
        <w:rPr>
          <w:rFonts w:ascii="Times New Roman" w:hAnsi="Times New Roman" w:cs="Times New Roman"/>
          <w:color w:val="auto"/>
        </w:rPr>
        <w:tab/>
      </w:r>
      <w:r w:rsidRPr="007C3A4A">
        <w:rPr>
          <w:rFonts w:ascii="Times New Roman" w:hAnsi="Times New Roman" w:cs="Times New Roman"/>
          <w:color w:val="auto"/>
        </w:rPr>
        <w:t>No. 15. OECD Publishing.</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Braun, V., &amp; Clarke, V. (2006). Using thematic analysis in psychology. </w:t>
      </w:r>
      <w:r w:rsidRPr="007C3A4A">
        <w:rPr>
          <w:rStyle w:val="Emphasis"/>
          <w:rFonts w:ascii="Times New Roman" w:hAnsi="Times New Roman" w:cs="Times New Roman"/>
          <w:color w:val="auto"/>
        </w:rPr>
        <w:t xml:space="preserve">Qualitative Research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in Psychology</w:t>
      </w:r>
      <w:r w:rsidRPr="007C3A4A">
        <w:rPr>
          <w:rFonts w:ascii="Times New Roman" w:hAnsi="Times New Roman" w:cs="Times New Roman"/>
          <w:color w:val="auto"/>
        </w:rPr>
        <w:t xml:space="preserve"> , 3(2), 77–101.</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Bronfenbrenner, U. (1979). </w:t>
      </w:r>
      <w:r w:rsidRPr="007C3A4A">
        <w:rPr>
          <w:rStyle w:val="Emphasis"/>
          <w:rFonts w:ascii="Times New Roman" w:hAnsi="Times New Roman" w:cs="Times New Roman"/>
          <w:color w:val="auto"/>
        </w:rPr>
        <w:t xml:space="preserve">The ecology of human development: Experiments by nature and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design</w:t>
      </w:r>
      <w:r w:rsidRPr="007C3A4A">
        <w:rPr>
          <w:rFonts w:ascii="Times New Roman" w:hAnsi="Times New Roman" w:cs="Times New Roman"/>
          <w:color w:val="auto"/>
        </w:rPr>
        <w:t xml:space="preserve"> . Harvard University Press.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Cohen, J. (1988). </w:t>
      </w:r>
      <w:r w:rsidRPr="007C3A4A">
        <w:rPr>
          <w:rStyle w:val="Emphasis"/>
          <w:rFonts w:ascii="Times New Roman" w:hAnsi="Times New Roman" w:cs="Times New Roman"/>
          <w:color w:val="auto"/>
        </w:rPr>
        <w:t>Statistical power analysis for the behavioral sciences</w:t>
      </w:r>
      <w:r w:rsidRPr="007C3A4A">
        <w:rPr>
          <w:rFonts w:ascii="Times New Roman" w:hAnsi="Times New Roman" w:cs="Times New Roman"/>
          <w:color w:val="auto"/>
        </w:rPr>
        <w:t xml:space="preserve"> (2nd ed.). Lawrence </w:t>
      </w:r>
      <w:r w:rsidR="00687B9D" w:rsidRPr="007C3A4A">
        <w:rPr>
          <w:rFonts w:ascii="Times New Roman" w:hAnsi="Times New Roman" w:cs="Times New Roman"/>
          <w:color w:val="auto"/>
        </w:rPr>
        <w:tab/>
      </w:r>
      <w:r w:rsidRPr="007C3A4A">
        <w:rPr>
          <w:rFonts w:ascii="Times New Roman" w:hAnsi="Times New Roman" w:cs="Times New Roman"/>
          <w:color w:val="auto"/>
        </w:rPr>
        <w:t>Erlbaum Associates.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Creswell, J. W., &amp; Plano Clark, V. L. (2018). </w:t>
      </w:r>
      <w:r w:rsidRPr="007C3A4A">
        <w:rPr>
          <w:rStyle w:val="Emphasis"/>
          <w:rFonts w:ascii="Times New Roman" w:hAnsi="Times New Roman" w:cs="Times New Roman"/>
          <w:color w:val="auto"/>
        </w:rPr>
        <w:t xml:space="preserve">Designing and conducting mixed methods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research</w:t>
      </w:r>
      <w:r w:rsidRPr="007C3A4A">
        <w:rPr>
          <w:rFonts w:ascii="Times New Roman" w:hAnsi="Times New Roman" w:cs="Times New Roman"/>
          <w:color w:val="auto"/>
        </w:rPr>
        <w:t xml:space="preserve"> (3rd ed.). SAGE Publications.</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Demirguc-Kunt, A., Klapper, L., Singer, D., &amp; Ansar, S. (2022). </w:t>
      </w:r>
      <w:r w:rsidRPr="007C3A4A">
        <w:rPr>
          <w:rStyle w:val="Emphasis"/>
          <w:rFonts w:ascii="Times New Roman" w:hAnsi="Times New Roman" w:cs="Times New Roman"/>
          <w:color w:val="auto"/>
        </w:rPr>
        <w:t xml:space="preserve">The Global Findex Database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2021: Financial inclusion, digital payments, and resilience in the age of COVID-</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19</w:t>
      </w:r>
      <w:r w:rsidRPr="007C3A4A">
        <w:rPr>
          <w:rFonts w:ascii="Times New Roman" w:hAnsi="Times New Roman" w:cs="Times New Roman"/>
          <w:color w:val="auto"/>
        </w:rPr>
        <w:t xml:space="preserve"> . World Bank.</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Dupas, P., &amp; Robinson, J. (2013). Savings constraints and microenterprise development: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Evidence from a field experiment in Kenya. </w:t>
      </w:r>
      <w:r w:rsidRPr="007C3A4A">
        <w:rPr>
          <w:rStyle w:val="Emphasis"/>
          <w:rFonts w:ascii="Times New Roman" w:hAnsi="Times New Roman" w:cs="Times New Roman"/>
          <w:color w:val="auto"/>
        </w:rPr>
        <w:t xml:space="preserve">American Economic Journal: Applied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Economics</w:t>
      </w:r>
      <w:r w:rsidRPr="007C3A4A">
        <w:rPr>
          <w:rFonts w:ascii="Times New Roman" w:hAnsi="Times New Roman" w:cs="Times New Roman"/>
          <w:color w:val="auto"/>
        </w:rPr>
        <w:t xml:space="preserve"> , 5(1), 163–192.</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Grohmann, A., Klühs, T., &amp; Menkhoff, L. (2018). Does financial literacy improve financial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inclusion? Cross-country evidence. </w:t>
      </w:r>
      <w:r w:rsidRPr="007C3A4A">
        <w:rPr>
          <w:rStyle w:val="Emphasis"/>
          <w:rFonts w:ascii="Times New Roman" w:hAnsi="Times New Roman" w:cs="Times New Roman"/>
          <w:color w:val="auto"/>
        </w:rPr>
        <w:t>World Development</w:t>
      </w:r>
      <w:r w:rsidRPr="007C3A4A">
        <w:rPr>
          <w:rFonts w:ascii="Times New Roman" w:hAnsi="Times New Roman" w:cs="Times New Roman"/>
          <w:color w:val="auto"/>
        </w:rPr>
        <w:t xml:space="preserve"> , 111, 84–96.</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Kabeer, N. (2001). Conflicts over credit: Re-evaluating the empowerment potential of loans to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women in rural Bangladesh. </w:t>
      </w:r>
      <w:r w:rsidRPr="007C3A4A">
        <w:rPr>
          <w:rStyle w:val="Emphasis"/>
          <w:rFonts w:ascii="Times New Roman" w:hAnsi="Times New Roman" w:cs="Times New Roman"/>
          <w:color w:val="auto"/>
        </w:rPr>
        <w:t>World Development</w:t>
      </w:r>
      <w:r w:rsidRPr="007C3A4A">
        <w:rPr>
          <w:rFonts w:ascii="Times New Roman" w:hAnsi="Times New Roman" w:cs="Times New Roman"/>
          <w:color w:val="auto"/>
        </w:rPr>
        <w:t xml:space="preserve"> , 29(1), 63–84.</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Kiptoo, I. K., &amp; Moronge, M. (2014). Influence of financial literacy on the growth of women-</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owned enterprises in Kenya. </w:t>
      </w:r>
      <w:r w:rsidRPr="007C3A4A">
        <w:rPr>
          <w:rStyle w:val="Emphasis"/>
          <w:rFonts w:ascii="Times New Roman" w:hAnsi="Times New Roman" w:cs="Times New Roman"/>
          <w:color w:val="auto"/>
        </w:rPr>
        <w:t>European Journal of Business Management</w:t>
      </w:r>
      <w:r w:rsidRPr="007C3A4A">
        <w:rPr>
          <w:rFonts w:ascii="Times New Roman" w:hAnsi="Times New Roman" w:cs="Times New Roman"/>
          <w:color w:val="auto"/>
        </w:rPr>
        <w:t xml:space="preserve"> , 2(1), </w:t>
      </w:r>
      <w:r w:rsidR="00687B9D" w:rsidRPr="007C3A4A">
        <w:rPr>
          <w:rFonts w:ascii="Times New Roman" w:hAnsi="Times New Roman" w:cs="Times New Roman"/>
          <w:color w:val="auto"/>
        </w:rPr>
        <w:tab/>
      </w:r>
      <w:r w:rsidRPr="007C3A4A">
        <w:rPr>
          <w:rFonts w:ascii="Times New Roman" w:hAnsi="Times New Roman" w:cs="Times New Roman"/>
          <w:color w:val="auto"/>
        </w:rPr>
        <w:t>215–231.</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Klapper, L., El-Zogbi, M., &amp; Anderson, J. (2024). Digital financial literacy in Sub-Saharan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Africa: Emerging gaps and policy responses. </w:t>
      </w:r>
      <w:r w:rsidRPr="007C3A4A">
        <w:rPr>
          <w:rStyle w:val="Emphasis"/>
          <w:rFonts w:ascii="Times New Roman" w:hAnsi="Times New Roman" w:cs="Times New Roman"/>
          <w:color w:val="auto"/>
        </w:rPr>
        <w:t>Journal of Development Economics</w:t>
      </w:r>
      <w:r w:rsidRPr="007C3A4A">
        <w:rPr>
          <w:rFonts w:ascii="Times New Roman" w:hAnsi="Times New Roman" w:cs="Times New Roman"/>
          <w:color w:val="auto"/>
        </w:rPr>
        <w:t xml:space="preserve"> , </w:t>
      </w:r>
      <w:r w:rsidR="00687B9D" w:rsidRPr="007C3A4A">
        <w:rPr>
          <w:rFonts w:ascii="Times New Roman" w:hAnsi="Times New Roman" w:cs="Times New Roman"/>
          <w:color w:val="auto"/>
        </w:rPr>
        <w:tab/>
      </w:r>
      <w:r w:rsidRPr="007C3A4A">
        <w:rPr>
          <w:rFonts w:ascii="Times New Roman" w:hAnsi="Times New Roman" w:cs="Times New Roman"/>
          <w:color w:val="auto"/>
        </w:rPr>
        <w:t>168, 103–124.</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lastRenderedPageBreak/>
        <w:t xml:space="preserve">Lusardi, A., &amp; Mitchell, O. S. (2014). The economic importance of financial literacy: Theory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and evidence. </w:t>
      </w:r>
      <w:r w:rsidRPr="007C3A4A">
        <w:rPr>
          <w:rStyle w:val="Emphasis"/>
          <w:rFonts w:ascii="Times New Roman" w:hAnsi="Times New Roman" w:cs="Times New Roman"/>
          <w:color w:val="auto"/>
        </w:rPr>
        <w:t>Journal of Economic Literature</w:t>
      </w:r>
      <w:r w:rsidRPr="007C3A4A">
        <w:rPr>
          <w:rFonts w:ascii="Times New Roman" w:hAnsi="Times New Roman" w:cs="Times New Roman"/>
          <w:color w:val="auto"/>
        </w:rPr>
        <w:t xml:space="preserve"> , 52(1), 5–44.</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Mader, P. (2018). Contesting financial inclusion. </w:t>
      </w:r>
      <w:r w:rsidRPr="007C3A4A">
        <w:rPr>
          <w:rStyle w:val="Emphasis"/>
          <w:rFonts w:ascii="Times New Roman" w:hAnsi="Times New Roman" w:cs="Times New Roman"/>
          <w:color w:val="auto"/>
        </w:rPr>
        <w:t>Development and Change</w:t>
      </w:r>
      <w:r w:rsidRPr="007C3A4A">
        <w:rPr>
          <w:rFonts w:ascii="Times New Roman" w:hAnsi="Times New Roman" w:cs="Times New Roman"/>
          <w:color w:val="auto"/>
        </w:rPr>
        <w:t xml:space="preserve"> , 49(2), 461–483.</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Morgan, P. J., &amp; Long, T. Q. (2020). Financial literacy, financial inclusion, and savings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behavior in Laos. </w:t>
      </w:r>
      <w:r w:rsidRPr="007C3A4A">
        <w:rPr>
          <w:rStyle w:val="Emphasis"/>
          <w:rFonts w:ascii="Times New Roman" w:hAnsi="Times New Roman" w:cs="Times New Roman"/>
          <w:color w:val="auto"/>
        </w:rPr>
        <w:t>Journal of Asian Economics</w:t>
      </w:r>
      <w:r w:rsidRPr="007C3A4A">
        <w:rPr>
          <w:rFonts w:ascii="Times New Roman" w:hAnsi="Times New Roman" w:cs="Times New Roman"/>
          <w:color w:val="auto"/>
        </w:rPr>
        <w:t xml:space="preserve"> , 68, 101197.</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Murugu, N. (2021). Financial literacy and financial inclusion among youth in Kenya: An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empirical study. </w:t>
      </w:r>
      <w:r w:rsidRPr="007C3A4A">
        <w:rPr>
          <w:rStyle w:val="Emphasis"/>
          <w:rFonts w:ascii="Times New Roman" w:hAnsi="Times New Roman" w:cs="Times New Roman"/>
          <w:color w:val="auto"/>
        </w:rPr>
        <w:t>Journal of African Business</w:t>
      </w:r>
      <w:r w:rsidRPr="007C3A4A">
        <w:rPr>
          <w:rFonts w:ascii="Times New Roman" w:hAnsi="Times New Roman" w:cs="Times New Roman"/>
          <w:color w:val="auto"/>
        </w:rPr>
        <w:t xml:space="preserve"> , 22(3), 412–430.</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Nakayiso, E., Nyambane, D., &amp; Nyakundi, A. (2025). The influence of cooperative financial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literacy, training and advisory strategies on women’s financial empowerment: A </w:t>
      </w:r>
      <w:r w:rsidR="00687B9D" w:rsidRPr="007C3A4A">
        <w:rPr>
          <w:rFonts w:ascii="Times New Roman" w:hAnsi="Times New Roman" w:cs="Times New Roman"/>
          <w:color w:val="auto"/>
        </w:rPr>
        <w:tab/>
      </w:r>
      <w:r w:rsidRPr="007C3A4A">
        <w:rPr>
          <w:rFonts w:ascii="Times New Roman" w:hAnsi="Times New Roman" w:cs="Times New Roman"/>
          <w:color w:val="auto"/>
        </w:rPr>
        <w:t xml:space="preserve">review. </w:t>
      </w:r>
      <w:r w:rsidRPr="007C3A4A">
        <w:rPr>
          <w:rStyle w:val="Emphasis"/>
          <w:rFonts w:ascii="Times New Roman" w:hAnsi="Times New Roman" w:cs="Times New Roman"/>
          <w:color w:val="auto"/>
        </w:rPr>
        <w:t>Asian Journal of Economics, Business and Accounting</w:t>
      </w:r>
      <w:r w:rsidRPr="007C3A4A">
        <w:rPr>
          <w:rFonts w:ascii="Times New Roman" w:hAnsi="Times New Roman" w:cs="Times New Roman"/>
          <w:color w:val="auto"/>
        </w:rPr>
        <w:t xml:space="preserve"> , 25(3), 151–167. </w:t>
      </w:r>
      <w:r w:rsidR="00687B9D" w:rsidRPr="007C3A4A">
        <w:rPr>
          <w:rFonts w:ascii="Times New Roman" w:hAnsi="Times New Roman" w:cs="Times New Roman"/>
          <w:color w:val="auto"/>
        </w:rPr>
        <w:tab/>
      </w:r>
      <w:hyperlink r:id="rId6">
        <w:r w:rsidRPr="007C3A4A">
          <w:rPr>
            <w:rStyle w:val="Hyperlink"/>
            <w:rFonts w:ascii="Times New Roman" w:hAnsi="Times New Roman" w:cs="Times New Roman"/>
            <w:color w:val="auto"/>
          </w:rPr>
          <w:t>https://doi.org/10.9734/ajeba/2025/v25i31701</w:t>
        </w:r>
      </w:hyperlink>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Nkwabi, J., &amp; Mboya, L. (2019). A review of factors affecting financial inclusion in Tanzania. </w:t>
      </w:r>
      <w:r w:rsidR="00687B9D" w:rsidRPr="007C3A4A">
        <w:rPr>
          <w:rFonts w:ascii="Times New Roman" w:hAnsi="Times New Roman" w:cs="Times New Roman"/>
          <w:color w:val="auto"/>
        </w:rPr>
        <w:tab/>
      </w:r>
      <w:r w:rsidRPr="007C3A4A">
        <w:rPr>
          <w:rStyle w:val="Emphasis"/>
          <w:rFonts w:ascii="Times New Roman" w:hAnsi="Times New Roman" w:cs="Times New Roman"/>
          <w:color w:val="auto"/>
        </w:rPr>
        <w:t>European Journal of Business and Management</w:t>
      </w:r>
      <w:r w:rsidRPr="007C3A4A">
        <w:rPr>
          <w:rFonts w:ascii="Times New Roman" w:hAnsi="Times New Roman" w:cs="Times New Roman"/>
          <w:color w:val="auto"/>
        </w:rPr>
        <w:t xml:space="preserve"> , 11(14), 49–57.</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OECD/INFE. (2020). </w:t>
      </w:r>
      <w:r w:rsidRPr="007C3A4A">
        <w:rPr>
          <w:rStyle w:val="Emphasis"/>
          <w:rFonts w:ascii="Times New Roman" w:hAnsi="Times New Roman" w:cs="Times New Roman"/>
          <w:color w:val="auto"/>
        </w:rPr>
        <w:t>International survey of adult financial literacy</w:t>
      </w:r>
      <w:r w:rsidRPr="007C3A4A">
        <w:rPr>
          <w:rFonts w:ascii="Times New Roman" w:hAnsi="Times New Roman" w:cs="Times New Roman"/>
          <w:color w:val="auto"/>
        </w:rPr>
        <w:t xml:space="preserve"> . OECD Publishing.</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Ozili, P. K. (2021). Financial inclusion research around the world: A review. </w:t>
      </w:r>
      <w:r w:rsidRPr="007C3A4A">
        <w:rPr>
          <w:rStyle w:val="Emphasis"/>
          <w:rFonts w:ascii="Times New Roman" w:hAnsi="Times New Roman" w:cs="Times New Roman"/>
          <w:color w:val="auto"/>
        </w:rPr>
        <w:t xml:space="preserve">Forum for Social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Economics</w:t>
      </w:r>
      <w:r w:rsidRPr="007C3A4A">
        <w:rPr>
          <w:rFonts w:ascii="Times New Roman" w:hAnsi="Times New Roman" w:cs="Times New Roman"/>
          <w:color w:val="auto"/>
        </w:rPr>
        <w:t xml:space="preserve"> , 50(4), 457–479.</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Suri, T., &amp; Jack, W. (2016). The long-run poverty and gender impacts of mobile money. </w:t>
      </w:r>
      <w:r w:rsidR="00687B9D" w:rsidRPr="007C3A4A">
        <w:rPr>
          <w:rFonts w:ascii="Times New Roman" w:hAnsi="Times New Roman" w:cs="Times New Roman"/>
          <w:color w:val="auto"/>
        </w:rPr>
        <w:tab/>
      </w:r>
      <w:r w:rsidRPr="007C3A4A">
        <w:rPr>
          <w:rStyle w:val="Emphasis"/>
          <w:rFonts w:ascii="Times New Roman" w:hAnsi="Times New Roman" w:cs="Times New Roman"/>
          <w:color w:val="auto"/>
        </w:rPr>
        <w:t>Science</w:t>
      </w:r>
      <w:r w:rsidRPr="007C3A4A">
        <w:rPr>
          <w:rFonts w:ascii="Times New Roman" w:hAnsi="Times New Roman" w:cs="Times New Roman"/>
          <w:color w:val="auto"/>
        </w:rPr>
        <w:t xml:space="preserve"> , 354(6317), 1288–1292.</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World Bank. (2014). </w:t>
      </w:r>
      <w:r w:rsidRPr="007C3A4A">
        <w:rPr>
          <w:rStyle w:val="Emphasis"/>
          <w:rFonts w:ascii="Times New Roman" w:hAnsi="Times New Roman" w:cs="Times New Roman"/>
          <w:color w:val="auto"/>
        </w:rPr>
        <w:t>Global financial development report 2014: Financial inclusion</w:t>
      </w:r>
      <w:r w:rsidRPr="007C3A4A">
        <w:rPr>
          <w:rFonts w:ascii="Times New Roman" w:hAnsi="Times New Roman" w:cs="Times New Roman"/>
          <w:color w:val="auto"/>
        </w:rPr>
        <w:t xml:space="preserve"> . World </w:t>
      </w:r>
      <w:r w:rsidR="00687B9D" w:rsidRPr="007C3A4A">
        <w:rPr>
          <w:rFonts w:ascii="Times New Roman" w:hAnsi="Times New Roman" w:cs="Times New Roman"/>
          <w:color w:val="auto"/>
        </w:rPr>
        <w:tab/>
      </w:r>
      <w:r w:rsidRPr="007C3A4A">
        <w:rPr>
          <w:rFonts w:ascii="Times New Roman" w:hAnsi="Times New Roman" w:cs="Times New Roman"/>
          <w:color w:val="auto"/>
        </w:rPr>
        <w:t>Bank.</w:t>
      </w:r>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World Bank. (2022). Financial inclusion overview. </w:t>
      </w:r>
      <w:r w:rsidR="00687B9D" w:rsidRPr="007C3A4A">
        <w:rPr>
          <w:rFonts w:ascii="Times New Roman" w:hAnsi="Times New Roman" w:cs="Times New Roman"/>
          <w:color w:val="auto"/>
        </w:rPr>
        <w:tab/>
      </w:r>
      <w:hyperlink r:id="rId7">
        <w:r w:rsidRPr="007C3A4A">
          <w:rPr>
            <w:rStyle w:val="Hyperlink"/>
            <w:rFonts w:ascii="Times New Roman" w:hAnsi="Times New Roman" w:cs="Times New Roman"/>
            <w:color w:val="auto"/>
          </w:rPr>
          <w:t>https://www.worldbank.org/en/topic/financialinclusion/overview</w:t>
        </w:r>
      </w:hyperlink>
    </w:p>
    <w:p w:rsidR="00CA7495" w:rsidRPr="007C3A4A" w:rsidRDefault="007C3A4A" w:rsidP="00CF04BA">
      <w:pPr>
        <w:pStyle w:val="BodyText"/>
        <w:spacing w:line="240" w:lineRule="auto"/>
        <w:rPr>
          <w:rFonts w:ascii="Times New Roman" w:hAnsi="Times New Roman" w:cs="Times New Roman"/>
          <w:color w:val="auto"/>
        </w:rPr>
      </w:pPr>
      <w:r w:rsidRPr="007C3A4A">
        <w:rPr>
          <w:rFonts w:ascii="Times New Roman" w:hAnsi="Times New Roman" w:cs="Times New Roman"/>
          <w:color w:val="auto"/>
        </w:rPr>
        <w:t xml:space="preserve">Zins, A., &amp; Weill, L. (2016). The determinants of financial inclusion in Africa. </w:t>
      </w:r>
      <w:r w:rsidRPr="007C3A4A">
        <w:rPr>
          <w:rStyle w:val="Emphasis"/>
          <w:rFonts w:ascii="Times New Roman" w:hAnsi="Times New Roman" w:cs="Times New Roman"/>
          <w:color w:val="auto"/>
        </w:rPr>
        <w:t xml:space="preserve">Review of </w:t>
      </w:r>
      <w:r w:rsidR="00687B9D" w:rsidRPr="007C3A4A">
        <w:rPr>
          <w:rStyle w:val="Emphasis"/>
          <w:rFonts w:ascii="Times New Roman" w:hAnsi="Times New Roman" w:cs="Times New Roman"/>
          <w:color w:val="auto"/>
        </w:rPr>
        <w:tab/>
      </w:r>
      <w:r w:rsidRPr="007C3A4A">
        <w:rPr>
          <w:rStyle w:val="Emphasis"/>
          <w:rFonts w:ascii="Times New Roman" w:hAnsi="Times New Roman" w:cs="Times New Roman"/>
          <w:color w:val="auto"/>
        </w:rPr>
        <w:t>Development Finance</w:t>
      </w:r>
      <w:r w:rsidRPr="007C3A4A">
        <w:rPr>
          <w:rFonts w:ascii="Times New Roman" w:hAnsi="Times New Roman" w:cs="Times New Roman"/>
          <w:color w:val="auto"/>
        </w:rPr>
        <w:t xml:space="preserve"> , 6(1), 46–57.</w:t>
      </w:r>
    </w:p>
    <w:sectPr w:rsidR="00CA7495" w:rsidRPr="007C3A4A">
      <w:pgSz w:w="11906" w:h="16838"/>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Times;serif">
    <w:altName w:val="Times New Roman"/>
    <w:panose1 w:val="00000000000000000000"/>
    <w:charset w:val="00"/>
    <w:family w:val="roman"/>
    <w:notTrueType/>
    <w:pitch w:val="default"/>
  </w:font>
  <w:font w:name="Liberation Sans Unicode MS">
    <w:altName w:val="Times New Roman"/>
    <w:charset w:val="01"/>
    <w:family w:val="auto"/>
    <w:pitch w:val="variable"/>
  </w:font>
  <w:font w:name="Courier New;monospace">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E058B"/>
    <w:multiLevelType w:val="multilevel"/>
    <w:tmpl w:val="B1C0BD0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4D3233D5"/>
    <w:multiLevelType w:val="multilevel"/>
    <w:tmpl w:val="5DD89C1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4"/>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95"/>
    <w:rsid w:val="000A4A14"/>
    <w:rsid w:val="000C0EF2"/>
    <w:rsid w:val="00220E9E"/>
    <w:rsid w:val="00277DA9"/>
    <w:rsid w:val="00290020"/>
    <w:rsid w:val="002E645F"/>
    <w:rsid w:val="00396D54"/>
    <w:rsid w:val="003C0A29"/>
    <w:rsid w:val="00407CA0"/>
    <w:rsid w:val="004459BE"/>
    <w:rsid w:val="004E5CC2"/>
    <w:rsid w:val="0051126C"/>
    <w:rsid w:val="005148DF"/>
    <w:rsid w:val="00540224"/>
    <w:rsid w:val="005D7B1F"/>
    <w:rsid w:val="005E2057"/>
    <w:rsid w:val="006351A6"/>
    <w:rsid w:val="00687B9D"/>
    <w:rsid w:val="006F728C"/>
    <w:rsid w:val="00751631"/>
    <w:rsid w:val="007B4DCA"/>
    <w:rsid w:val="007C3A4A"/>
    <w:rsid w:val="008B4977"/>
    <w:rsid w:val="0094760E"/>
    <w:rsid w:val="00A22402"/>
    <w:rsid w:val="00A315A1"/>
    <w:rsid w:val="00A351B4"/>
    <w:rsid w:val="00A42313"/>
    <w:rsid w:val="00A57419"/>
    <w:rsid w:val="00A85791"/>
    <w:rsid w:val="00A871E6"/>
    <w:rsid w:val="00A921FE"/>
    <w:rsid w:val="00AA0BF7"/>
    <w:rsid w:val="00B74EDE"/>
    <w:rsid w:val="00BC20BE"/>
    <w:rsid w:val="00C2769A"/>
    <w:rsid w:val="00C54426"/>
    <w:rsid w:val="00CA7495"/>
    <w:rsid w:val="00CF04BA"/>
    <w:rsid w:val="00D52DB3"/>
    <w:rsid w:val="00D70AFA"/>
    <w:rsid w:val="00DD3CBE"/>
    <w:rsid w:val="00EA2745"/>
    <w:rsid w:val="00EB7C62"/>
    <w:rsid w:val="00F005F5"/>
    <w:rsid w:val="00FA49E6"/>
    <w:rsid w:val="00FA5761"/>
    <w:rsid w:val="00FF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480" w:lineRule="auto"/>
    </w:pPr>
    <w:rPr>
      <w:rFonts w:ascii="Times New Roman;Times;serif" w:eastAsia="Times New Roman;Times;serif" w:hAnsi="Times New Roman;Times;serif" w:cs="Times New Roman;Times;serif"/>
      <w:color w:val="111827"/>
    </w:rPr>
  </w:style>
  <w:style w:type="paragraph" w:styleId="Heading1">
    <w:name w:val="heading 1"/>
    <w:basedOn w:val="Heading"/>
    <w:next w:val="BodyText"/>
    <w:qFormat/>
    <w:pPr>
      <w:spacing w:after="480"/>
      <w:jc w:val="center"/>
      <w:outlineLvl w:val="0"/>
    </w:pPr>
    <w:rPr>
      <w:rFonts w:ascii="Liberation Sans Unicode MS" w:hAnsi="Liberation Sans Unicode MS"/>
      <w:b/>
      <w:bCs/>
      <w:sz w:val="40"/>
      <w:szCs w:val="40"/>
    </w:rPr>
  </w:style>
  <w:style w:type="paragraph" w:styleId="Heading2">
    <w:name w:val="heading 2"/>
    <w:basedOn w:val="Heading"/>
    <w:next w:val="BodyText"/>
    <w:qFormat/>
    <w:pPr>
      <w:spacing w:before="480" w:after="240"/>
      <w:ind w:left="480" w:right="480"/>
      <w:outlineLvl w:val="1"/>
    </w:pPr>
    <w:rPr>
      <w:rFonts w:ascii="Liberation Serif" w:eastAsia="DejaVu Sans" w:hAnsi="Liberation Serif" w:cs="DejaVu Sans"/>
      <w:b/>
      <w:bCs/>
      <w:sz w:val="30"/>
      <w:szCs w:val="30"/>
    </w:rPr>
  </w:style>
  <w:style w:type="paragraph" w:styleId="Heading3">
    <w:name w:val="heading 3"/>
    <w:basedOn w:val="Heading"/>
    <w:next w:val="BodyText"/>
    <w:qFormat/>
    <w:pPr>
      <w:spacing w:before="360" w:after="200"/>
      <w:ind w:left="360" w:right="360"/>
      <w:outlineLvl w:val="2"/>
    </w:pPr>
    <w:rPr>
      <w:rFonts w:ascii="Liberation Serif" w:eastAsia="DejaVu Sans" w:hAnsi="Liberation Serif" w:cs="DejaVu Sans"/>
      <w:b/>
      <w:bCs/>
      <w:sz w:val="26"/>
      <w:szCs w:val="26"/>
    </w:rPr>
  </w:style>
  <w:style w:type="paragraph" w:styleId="Heading4">
    <w:name w:val="heading 4"/>
    <w:basedOn w:val="Heading"/>
    <w:next w:val="BodyText"/>
    <w:qFormat/>
    <w:pPr>
      <w:spacing w:before="120" w:after="120"/>
      <w:outlineLvl w:val="3"/>
    </w:pPr>
    <w:rPr>
      <w:rFonts w:ascii="Liberation Serif" w:eastAsia="DejaVu Sans" w:hAnsi="Liberation Serif" w:cs="DejaVu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SourceText">
    <w:name w:val="Source Text"/>
    <w:qFormat/>
    <w:rPr>
      <w:rFonts w:ascii="Courier New;monospace" w:eastAsia="Courier New;monospace" w:hAnsi="Courier New;monospace" w:cs="Courier New;monospace"/>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40"/>
      <w:jc w:val="both"/>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PreformattedText">
    <w:name w:val="Preformatted Text"/>
    <w:basedOn w:val="Normal"/>
    <w:qFormat/>
    <w:rPr>
      <w:rFonts w:ascii="Courier New;monospace" w:eastAsia="Courier New;monospace" w:hAnsi="Courier New;monospace" w:cs="Courier New;monospace"/>
      <w:sz w:val="20"/>
      <w:szCs w:val="20"/>
    </w:rPr>
  </w:style>
  <w:style w:type="paragraph" w:customStyle="1" w:styleId="TableHeading">
    <w:name w:val="Table Heading"/>
    <w:basedOn w:val="TableContents"/>
    <w:qFormat/>
    <w:pPr>
      <w:suppressLineNumbers/>
      <w:jc w:val="center"/>
    </w:pPr>
    <w:rPr>
      <w:b/>
      <w:bCs/>
    </w:rPr>
  </w:style>
  <w:style w:type="table" w:styleId="TableGrid">
    <w:name w:val="Table Grid"/>
    <w:basedOn w:val="TableNormal"/>
    <w:uiPriority w:val="39"/>
    <w:rsid w:val="00D70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480" w:lineRule="auto"/>
    </w:pPr>
    <w:rPr>
      <w:rFonts w:ascii="Times New Roman;Times;serif" w:eastAsia="Times New Roman;Times;serif" w:hAnsi="Times New Roman;Times;serif" w:cs="Times New Roman;Times;serif"/>
      <w:color w:val="111827"/>
    </w:rPr>
  </w:style>
  <w:style w:type="paragraph" w:styleId="Heading1">
    <w:name w:val="heading 1"/>
    <w:basedOn w:val="Heading"/>
    <w:next w:val="BodyText"/>
    <w:qFormat/>
    <w:pPr>
      <w:spacing w:after="480"/>
      <w:jc w:val="center"/>
      <w:outlineLvl w:val="0"/>
    </w:pPr>
    <w:rPr>
      <w:rFonts w:ascii="Liberation Sans Unicode MS" w:hAnsi="Liberation Sans Unicode MS"/>
      <w:b/>
      <w:bCs/>
      <w:sz w:val="40"/>
      <w:szCs w:val="40"/>
    </w:rPr>
  </w:style>
  <w:style w:type="paragraph" w:styleId="Heading2">
    <w:name w:val="heading 2"/>
    <w:basedOn w:val="Heading"/>
    <w:next w:val="BodyText"/>
    <w:qFormat/>
    <w:pPr>
      <w:spacing w:before="480" w:after="240"/>
      <w:ind w:left="480" w:right="480"/>
      <w:outlineLvl w:val="1"/>
    </w:pPr>
    <w:rPr>
      <w:rFonts w:ascii="Liberation Serif" w:eastAsia="DejaVu Sans" w:hAnsi="Liberation Serif" w:cs="DejaVu Sans"/>
      <w:b/>
      <w:bCs/>
      <w:sz w:val="30"/>
      <w:szCs w:val="30"/>
    </w:rPr>
  </w:style>
  <w:style w:type="paragraph" w:styleId="Heading3">
    <w:name w:val="heading 3"/>
    <w:basedOn w:val="Heading"/>
    <w:next w:val="BodyText"/>
    <w:qFormat/>
    <w:pPr>
      <w:spacing w:before="360" w:after="200"/>
      <w:ind w:left="360" w:right="360"/>
      <w:outlineLvl w:val="2"/>
    </w:pPr>
    <w:rPr>
      <w:rFonts w:ascii="Liberation Serif" w:eastAsia="DejaVu Sans" w:hAnsi="Liberation Serif" w:cs="DejaVu Sans"/>
      <w:b/>
      <w:bCs/>
      <w:sz w:val="26"/>
      <w:szCs w:val="26"/>
    </w:rPr>
  </w:style>
  <w:style w:type="paragraph" w:styleId="Heading4">
    <w:name w:val="heading 4"/>
    <w:basedOn w:val="Heading"/>
    <w:next w:val="BodyText"/>
    <w:qFormat/>
    <w:pPr>
      <w:spacing w:before="120" w:after="120"/>
      <w:outlineLvl w:val="3"/>
    </w:pPr>
    <w:rPr>
      <w:rFonts w:ascii="Liberation Serif" w:eastAsia="DejaVu Sans" w:hAnsi="Liberation Serif" w:cs="DejaVu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SourceText">
    <w:name w:val="Source Text"/>
    <w:qFormat/>
    <w:rPr>
      <w:rFonts w:ascii="Courier New;monospace" w:eastAsia="Courier New;monospace" w:hAnsi="Courier New;monospace" w:cs="Courier New;monospace"/>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40"/>
      <w:jc w:val="both"/>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PreformattedText">
    <w:name w:val="Preformatted Text"/>
    <w:basedOn w:val="Normal"/>
    <w:qFormat/>
    <w:rPr>
      <w:rFonts w:ascii="Courier New;monospace" w:eastAsia="Courier New;monospace" w:hAnsi="Courier New;monospace" w:cs="Courier New;monospace"/>
      <w:sz w:val="20"/>
      <w:szCs w:val="20"/>
    </w:rPr>
  </w:style>
  <w:style w:type="paragraph" w:customStyle="1" w:styleId="TableHeading">
    <w:name w:val="Table Heading"/>
    <w:basedOn w:val="TableContents"/>
    <w:qFormat/>
    <w:pPr>
      <w:suppressLineNumbers/>
      <w:jc w:val="center"/>
    </w:pPr>
    <w:rPr>
      <w:b/>
      <w:bCs/>
    </w:rPr>
  </w:style>
  <w:style w:type="table" w:styleId="TableGrid">
    <w:name w:val="Table Grid"/>
    <w:basedOn w:val="TableNormal"/>
    <w:uiPriority w:val="39"/>
    <w:rsid w:val="00D70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1096">
      <w:bodyDiv w:val="1"/>
      <w:marLeft w:val="0"/>
      <w:marRight w:val="0"/>
      <w:marTop w:val="0"/>
      <w:marBottom w:val="0"/>
      <w:divBdr>
        <w:top w:val="none" w:sz="0" w:space="0" w:color="auto"/>
        <w:left w:val="none" w:sz="0" w:space="0" w:color="auto"/>
        <w:bottom w:val="none" w:sz="0" w:space="0" w:color="auto"/>
        <w:right w:val="none" w:sz="0" w:space="0" w:color="auto"/>
      </w:divBdr>
    </w:div>
    <w:div w:id="1660308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orldbank.org/en/topic/financialinclusion/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ajeba/2025/v25i317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qwert</cp:lastModifiedBy>
  <cp:revision>61</cp:revision>
  <dcterms:created xsi:type="dcterms:W3CDTF">2026-06-26T08:56:00Z</dcterms:created>
  <dcterms:modified xsi:type="dcterms:W3CDTF">2026-06-26T13:33:00Z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DR. ONEGO ROSELINE MANUSCRIPT</dc:title>
</cp:coreProperties>
</file>