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C451" w14:textId="77777777" w:rsidR="00DD59BF" w:rsidRDefault="0052215E" w:rsidP="00DD59BF">
      <w:pPr>
        <w:tabs>
          <w:tab w:val="left" w:pos="2160"/>
        </w:tabs>
        <w:suppressAutoHyphens/>
        <w:autoSpaceDN/>
        <w:adjustRightInd/>
        <w:spacing w:line="276" w:lineRule="auto"/>
        <w:jc w:val="center"/>
        <w:rPr>
          <w:rFonts w:eastAsia="SimSun;宋体"/>
          <w:b/>
          <w:bCs/>
          <w:sz w:val="36"/>
          <w:szCs w:val="36"/>
          <w:lang w:eastAsia="zh-CN"/>
        </w:rPr>
      </w:pPr>
      <w:r w:rsidRPr="00DD59BF">
        <w:rPr>
          <w:rFonts w:eastAsia="SimSun;宋体"/>
          <w:b/>
          <w:bCs/>
          <w:sz w:val="36"/>
          <w:szCs w:val="36"/>
          <w:lang w:eastAsia="zh-CN"/>
        </w:rPr>
        <w:t>Determinants of Corporate Social Responsibility Program Effectiveness Based on Islamic Social Finance:</w:t>
      </w:r>
    </w:p>
    <w:p w14:paraId="13B90A10" w14:textId="2DD5F7C3" w:rsidR="00AC29B0" w:rsidRDefault="0052215E" w:rsidP="00DD59BF">
      <w:pPr>
        <w:tabs>
          <w:tab w:val="left" w:pos="2160"/>
        </w:tabs>
        <w:suppressAutoHyphens/>
        <w:autoSpaceDN/>
        <w:adjustRightInd/>
        <w:spacing w:line="276" w:lineRule="auto"/>
        <w:jc w:val="center"/>
        <w:rPr>
          <w:rFonts w:eastAsia="SimSun;宋体"/>
          <w:b/>
          <w:bCs/>
          <w:sz w:val="36"/>
          <w:szCs w:val="36"/>
          <w:lang w:eastAsia="zh-CN"/>
        </w:rPr>
      </w:pPr>
      <w:r w:rsidRPr="00DD59BF">
        <w:rPr>
          <w:rFonts w:eastAsia="SimSun;宋体"/>
          <w:b/>
          <w:bCs/>
          <w:sz w:val="36"/>
          <w:szCs w:val="36"/>
          <w:lang w:eastAsia="zh-CN"/>
        </w:rPr>
        <w:t/>
      </w:r>
    </w:p>
    <w:p w14:paraId="4C824424" w14:textId="77777777" w:rsidR="00DD59BF" w:rsidRPr="00DD59BF" w:rsidRDefault="00DD59BF" w:rsidP="00DD59BF">
      <w:pPr>
        <w:tabs>
          <w:tab w:val="left" w:pos="2160"/>
        </w:tabs>
        <w:suppressAutoHyphens/>
        <w:autoSpaceDN/>
        <w:adjustRightInd/>
        <w:spacing w:line="276" w:lineRule="auto"/>
        <w:jc w:val="center"/>
        <w:rPr>
          <w:rFonts w:eastAsia="SimSun;宋体"/>
          <w:b/>
          <w:bCs/>
          <w:sz w:val="36"/>
          <w:szCs w:val="36"/>
          <w:lang w:eastAsia="zh-CN"/>
        </w:rPr>
      </w:pPr>
    </w:p>
    <w:p w14:paraId="26AC8727" w14:textId="17EC90A5" w:rsidR="00DD59BF" w:rsidRPr="00DD59BF" w:rsidRDefault="00DD59BF" w:rsidP="00DD59BF">
      <w:pPr>
        <w:tabs>
          <w:tab w:val="left" w:pos="2160"/>
        </w:tabs>
        <w:suppressAutoHyphens/>
        <w:autoSpaceDN/>
        <w:adjustRightInd/>
        <w:spacing w:line="276" w:lineRule="auto"/>
        <w:jc w:val="center"/>
        <w:rPr>
          <w:rFonts w:eastAsia="SimSun;宋体"/>
          <w:b/>
          <w:lang w:eastAsia="zh-CN"/>
        </w:rPr>
      </w:pPr>
      <w:r>
        <w:rPr>
          <w:rFonts w:eastAsia="SimSun;宋体"/>
          <w:b/>
          <w:bCs/>
          <w:lang w:eastAsia="zh-CN"/>
        </w:rPr>
        <w:t/>
      </w:r>
      <w:r w:rsidRPr="00DD59BF">
        <w:rPr>
          <w:rFonts w:eastAsia="SimSun;宋体"/>
          <w:b/>
          <w:bCs/>
          <w:lang w:eastAsia="zh-CN"/>
        </w:rPr>
        <w:t/>
      </w:r>
      <w:r w:rsidRPr="00DD59BF">
        <w:rPr>
          <w:rFonts w:eastAsia="SimSun;宋体"/>
          <w:b/>
          <w:lang w:eastAsia="zh-CN"/>
        </w:rPr>
        <w:t xml:space="preserve"/>
      </w:r>
      <w:proofErr w:type="spellStart"/>
      <w:r w:rsidRPr="00DD59BF">
        <w:rPr>
          <w:rFonts w:eastAsia="SimSun;宋体"/>
          <w:b/>
          <w:bCs/>
          <w:lang w:eastAsia="zh-CN"/>
        </w:rPr>
        <w:t/>
      </w:r>
      <w:proofErr w:type="spellEnd"/>
      <w:r w:rsidRPr="00DD59BF">
        <w:rPr>
          <w:rFonts w:eastAsia="SimSun;宋体"/>
          <w:b/>
          <w:bCs/>
          <w:lang w:eastAsia="zh-CN"/>
        </w:rPr>
        <w:t xml:space="preserve"/>
      </w:r>
      <w:r w:rsidRPr="00DD59BF">
        <w:rPr>
          <w:rFonts w:eastAsia="SimSun;宋体"/>
          <w:b/>
          <w:lang w:eastAsia="zh-CN"/>
        </w:rPr>
        <w:t xml:space="preserve"/>
      </w:r>
      <w:r w:rsidRPr="00DD59BF">
        <w:rPr>
          <w:rFonts w:eastAsia="SimSun;宋体"/>
          <w:b/>
          <w:bCs/>
          <w:lang w:eastAsia="zh-CN"/>
        </w:rPr>
        <w:t/>
      </w:r>
    </w:p>
    <w:p w14:paraId="2DDE9997" w14:textId="73C13DE9" w:rsidR="00C16F72" w:rsidRPr="00C16F72" w:rsidRDefault="00C16F72" w:rsidP="00C16F72">
      <w:pPr>
        <w:tabs>
          <w:tab w:val="left" w:pos="2160"/>
        </w:tabs>
        <w:suppressAutoHyphens/>
        <w:autoSpaceDN/>
        <w:adjustRightInd/>
        <w:spacing w:line="276" w:lineRule="auto"/>
        <w:jc w:val="center"/>
        <w:rPr>
          <w:rFonts w:eastAsia="SimSun;宋体"/>
          <w:b/>
          <w:lang w:eastAsia="zh-CN"/>
        </w:rPr>
      </w:pPr>
      <w:r w:rsidRPr="00C16F72">
        <w:rPr>
          <w:rFonts w:eastAsia="SimSun;宋体"/>
          <w:b/>
          <w:lang w:eastAsia="zh-CN"/>
        </w:rPr>
        <w:t/>
      </w:r>
      <w:r w:rsidRPr="00C16F72">
        <w:rPr>
          <w:rFonts w:eastAsia="SimSun;宋体"/>
          <w:bCs/>
          <w:i/>
          <w:iCs/>
          <w:lang w:eastAsia="zh-CN"/>
        </w:rPr>
        <w:t/>
      </w:r>
    </w:p>
    <w:p w14:paraId="4FB6FBFD" w14:textId="57711964" w:rsidR="00C16F72" w:rsidRPr="00C16F72" w:rsidRDefault="00C16F72" w:rsidP="00C16F72">
      <w:pPr>
        <w:tabs>
          <w:tab w:val="left" w:pos="2160"/>
        </w:tabs>
        <w:suppressAutoHyphens/>
        <w:autoSpaceDN/>
        <w:adjustRightInd/>
        <w:spacing w:line="276" w:lineRule="auto"/>
        <w:jc w:val="center"/>
        <w:rPr>
          <w:rFonts w:eastAsia="SimSun;宋体"/>
          <w:bCs/>
          <w:lang w:eastAsia="zh-CN"/>
        </w:rPr>
      </w:pPr>
      <w:r w:rsidRPr="00C16F72">
        <w:rPr>
          <w:rFonts w:eastAsia="SimSun;宋体"/>
          <w:b/>
          <w:lang w:eastAsia="zh-CN"/>
        </w:rPr>
        <w:t/>
      </w:r>
      <w:r w:rsidRPr="00C16F72">
        <w:rPr>
          <w:rFonts w:eastAsia="SimSun;宋体"/>
          <w:bCs/>
          <w:i/>
          <w:iCs/>
          <w:lang w:eastAsia="zh-CN"/>
        </w:rPr>
        <w:t/>
      </w:r>
    </w:p>
    <w:p w14:paraId="2C5E44CB" w14:textId="77777777" w:rsidR="00DD59BF" w:rsidRPr="00DD59BF" w:rsidRDefault="00DD59BF" w:rsidP="00DD59BF">
      <w:pPr>
        <w:tabs>
          <w:tab w:val="left" w:pos="2160"/>
        </w:tabs>
        <w:suppressAutoHyphens/>
        <w:autoSpaceDN/>
        <w:adjustRightInd/>
        <w:spacing w:line="276" w:lineRule="auto"/>
        <w:jc w:val="center"/>
        <w:rPr>
          <w:rFonts w:eastAsia="SimSun;宋体"/>
          <w:b/>
          <w:lang w:eastAsia="zh-CN"/>
        </w:rPr>
      </w:pPr>
      <w:r w:rsidRPr="00DD59BF">
        <w:rPr>
          <w:rFonts w:eastAsia="SimSun;宋体"/>
          <w:b/>
          <w:lang w:eastAsia="zh-CN"/>
        </w:rPr>
        <w:t/>
      </w:r>
      <w:r w:rsidRPr="00C16F72">
        <w:rPr>
          <w:rFonts w:eastAsia="SimSun;宋体"/>
          <w:bCs/>
          <w:i/>
          <w:iCs/>
          <w:lang w:eastAsia="zh-CN"/>
        </w:rPr>
        <w:t/>
      </w:r>
    </w:p>
    <w:p w14:paraId="7DEC4364" w14:textId="6407682C" w:rsidR="004546E1" w:rsidRPr="00DD59BF" w:rsidRDefault="00DD59BF" w:rsidP="00C16F72">
      <w:pPr>
        <w:tabs>
          <w:tab w:val="left" w:pos="2160"/>
        </w:tabs>
        <w:suppressAutoHyphens/>
        <w:autoSpaceDN/>
        <w:adjustRightInd/>
        <w:spacing w:line="276" w:lineRule="auto"/>
        <w:jc w:val="center"/>
        <w:rPr>
          <w:rFonts w:eastAsia="SimSun;宋体"/>
          <w:b/>
          <w:lang w:eastAsia="zh-CN"/>
        </w:rPr>
      </w:pPr>
      <w:r w:rsidRPr="00DD59BF">
        <w:rPr>
          <w:rFonts w:eastAsia="SimSun;宋体"/>
          <w:b/>
          <w:bCs/>
          <w:lang w:eastAsia="zh-CN"/>
        </w:rPr>
        <w:t/>
      </w:r>
      <w:r w:rsidRPr="00DD59BF">
        <w:rPr>
          <w:rFonts w:eastAsia="SimSun;宋体"/>
          <w:b/>
          <w:lang w:eastAsia="zh-CN"/>
        </w:rPr>
        <w:br/>
        <w:t xml:space="preserve"/>
      </w:r>
      <w:r w:rsidR="00C16F72" w:rsidRPr="00C16F72">
        <w:rPr>
          <w:rFonts w:eastAsia="SimSun;宋体"/>
          <w:bCs/>
          <w:lang w:eastAsia="zh-CN"/>
        </w:rPr>
        <w:t/>
      </w:r>
    </w:p>
    <w:p w14:paraId="3CC3D01E" w14:textId="77777777" w:rsidR="00AC29B0" w:rsidRPr="00DD59BF" w:rsidRDefault="00AC29B0" w:rsidP="00DD59BF">
      <w:pPr>
        <w:tabs>
          <w:tab w:val="left" w:pos="2160"/>
        </w:tabs>
        <w:suppressAutoHyphens/>
        <w:autoSpaceDN/>
        <w:adjustRightInd/>
        <w:spacing w:line="276" w:lineRule="auto"/>
        <w:jc w:val="both"/>
        <w:rPr>
          <w:rFonts w:eastAsia="SimSun;宋体"/>
          <w:b/>
          <w:vertAlign w:val="superscript"/>
          <w:lang w:val="id-ID" w:eastAsia="zh-CN"/>
        </w:rPr>
      </w:pPr>
    </w:p>
    <w:p w14:paraId="3F13F39A" w14:textId="77777777" w:rsidR="00AC29B0" w:rsidRPr="00DD59BF" w:rsidRDefault="00AC29B0" w:rsidP="00DD59BF">
      <w:pPr>
        <w:tabs>
          <w:tab w:val="center" w:pos="4513"/>
        </w:tabs>
        <w:suppressAutoHyphens/>
        <w:autoSpaceDN/>
        <w:adjustRightInd/>
        <w:spacing w:line="276" w:lineRule="auto"/>
        <w:jc w:val="both"/>
        <w:rPr>
          <w:rFonts w:eastAsia="SimSun;宋体"/>
          <w:b/>
          <w:i/>
          <w:iCs/>
          <w:lang w:eastAsia="zh-CN"/>
        </w:rPr>
      </w:pPr>
      <w:r w:rsidRPr="00DD59BF">
        <w:rPr>
          <w:rFonts w:eastAsia="SimSun;宋体"/>
          <w:b/>
          <w:i/>
          <w:iCs/>
          <w:lang w:eastAsia="zh-CN"/>
        </w:rPr>
        <w:t>ABSTRACT</w:t>
      </w:r>
    </w:p>
    <w:p w14:paraId="7B753994" w14:textId="30FC15F3" w:rsidR="00AC29B0" w:rsidRPr="00DD59BF" w:rsidRDefault="003567D2" w:rsidP="00DD59BF">
      <w:pPr>
        <w:suppressAutoHyphens/>
        <w:autoSpaceDN/>
        <w:adjustRightInd/>
        <w:spacing w:line="276" w:lineRule="auto"/>
        <w:ind w:firstLine="426"/>
        <w:jc w:val="both"/>
        <w:rPr>
          <w:rFonts w:eastAsia="SimSun;宋体"/>
          <w:i/>
          <w:lang w:val="id-ID" w:eastAsia="zh-CN"/>
        </w:rPr>
      </w:pPr>
      <w:r w:rsidRPr="00DD59BF">
        <w:rPr>
          <w:rFonts w:eastAsia="SimSun;宋体"/>
          <w:i/>
          <w:lang w:eastAsia="zh-CN"/>
        </w:rPr>
        <w:t xml:space="preserve">Corporate Social Responsibility (CSR) has evolved beyond philanthropic activities into a strategic instrument for promoting sustainable development and improving community welfare. Within the framework of Islamic social finance, CSR integrates economic, social, and spiritual values consistent with the objectives of </w:t>
      </w:r>
      <w:proofErr w:type="spellStart"/>
      <w:r w:rsidRPr="00DD59BF">
        <w:rPr>
          <w:rFonts w:eastAsia="SimSun;宋体"/>
          <w:i/>
          <w:lang w:eastAsia="zh-CN"/>
        </w:rPr>
        <w:t>maqashid</w:t>
      </w:r>
      <w:proofErr w:type="spellEnd"/>
      <w:r w:rsidRPr="00DD59BF">
        <w:rPr>
          <w:rFonts w:eastAsia="SimSun;宋体"/>
          <w:i/>
          <w:lang w:eastAsia="zh-CN"/>
        </w:rPr>
        <w:t xml:space="preserve"> sharia. Despite the growing implementation of Islamic Corporate Social Responsibility (ICSR), empirical evidence explaining the multidimensional determinants of CSR effectiveness remains limited, particularly from the perspective of program beneficiaries. This study aims to identify the underlying dimensions that determine the effectiveness of Islamic social finance-based CSR programs. A quantitative exploratory research design was employed using Exploratory Factor Analysis (EFA) as the primary analytical method. Primary data were collected through structured questionnaires administered to 140 beneficiaries of CSR programs implemented by Yayasan Hadji Kalla, Indonesia. Prior to factor extraction, the data were evaluated using the Kaiser–Meyer–Olkin (KMO) Measure of Sampling Adequacy, Bartlett's Test of Sphericity, communalities analysis, and reliability testing. The findings indicate that CSR effectiveness is a multidimensional construct comprising seven principal dimensions: program quality and integrity, transparency and communication, human resource development, economic impact, community participation, spiritual impact, and contextual conditions. Among these dimensions, program quality and integrity emerged as the strongest determinant of CSR effectiveness. The seven-factor solution explained 74.707% of the total variance, demonstrating substantial explanatory power. The findings further reveal that Islamic social finance-based CSR programs generate not only measurable economic benefits but also significant social and spiritual impacts that contribute to holistic community development in accordance with </w:t>
      </w:r>
      <w:proofErr w:type="spellStart"/>
      <w:r w:rsidRPr="00DD59BF">
        <w:rPr>
          <w:rFonts w:eastAsia="SimSun;宋体"/>
          <w:i/>
          <w:lang w:eastAsia="zh-CN"/>
        </w:rPr>
        <w:t>maqashid</w:t>
      </w:r>
      <w:proofErr w:type="spellEnd"/>
      <w:r w:rsidRPr="00DD59BF">
        <w:rPr>
          <w:rFonts w:eastAsia="SimSun;宋体"/>
          <w:i/>
          <w:lang w:eastAsia="zh-CN"/>
        </w:rPr>
        <w:t xml:space="preserve"> sharia. This study contributes to the literature by developing an empirical multidimensional model of Islamic CSR effectiveness and provides practical implications for improving CSR governance, transparency, accountability, and long-term sustainability within Islamic philanthropic institutions</w:t>
      </w:r>
      <w:r w:rsidR="004B1CDD" w:rsidRPr="00DD59BF">
        <w:rPr>
          <w:rFonts w:eastAsia="SimSun;宋体"/>
          <w:i/>
          <w:lang w:eastAsia="zh-CN"/>
        </w:rPr>
        <w:t>.</w:t>
      </w:r>
    </w:p>
    <w:p w14:paraId="5B2ECC6A" w14:textId="65E6770F" w:rsidR="00AC29B0" w:rsidRPr="00DD59BF" w:rsidRDefault="00AC29B0" w:rsidP="00DD59BF">
      <w:pPr>
        <w:suppressAutoHyphens/>
        <w:autoSpaceDN/>
        <w:adjustRightInd/>
        <w:spacing w:line="276" w:lineRule="auto"/>
        <w:jc w:val="both"/>
        <w:rPr>
          <w:rFonts w:eastAsia="Times New Roman"/>
          <w:b/>
          <w:i/>
          <w:iCs/>
          <w:lang w:val="id-ID" w:eastAsia="zh-CN"/>
        </w:rPr>
      </w:pPr>
      <w:r w:rsidRPr="00DD59BF">
        <w:rPr>
          <w:rFonts w:eastAsia="Times New Roman"/>
          <w:b/>
          <w:i/>
          <w:iCs/>
          <w:lang w:eastAsia="zh-CN"/>
        </w:rPr>
        <w:t xml:space="preserve">Keywords: </w:t>
      </w:r>
      <w:r w:rsidR="004546E1" w:rsidRPr="00DD59BF">
        <w:rPr>
          <w:rFonts w:eastAsia="Times New Roman"/>
          <w:b/>
          <w:i/>
          <w:iCs/>
          <w:lang w:eastAsia="zh-CN"/>
        </w:rPr>
        <w:t>Corporate Social Responsibility</w:t>
      </w:r>
      <w:r w:rsidR="004546E1" w:rsidRPr="00DD59BF">
        <w:rPr>
          <w:rFonts w:eastAsia="Times New Roman"/>
          <w:b/>
          <w:i/>
          <w:iCs/>
          <w:lang w:eastAsia="zh-CN"/>
        </w:rPr>
        <w:t>,</w:t>
      </w:r>
      <w:r w:rsidR="004546E1" w:rsidRPr="00DD59BF">
        <w:rPr>
          <w:rFonts w:eastAsia="Times New Roman"/>
          <w:b/>
          <w:i/>
          <w:iCs/>
          <w:lang w:eastAsia="zh-CN"/>
        </w:rPr>
        <w:t xml:space="preserve"> Islamic Social Finance</w:t>
      </w:r>
      <w:r w:rsidR="004546E1" w:rsidRPr="00DD59BF">
        <w:rPr>
          <w:rFonts w:eastAsia="Times New Roman"/>
          <w:b/>
          <w:i/>
          <w:iCs/>
          <w:lang w:eastAsia="zh-CN"/>
        </w:rPr>
        <w:t>,</w:t>
      </w:r>
      <w:r w:rsidR="004546E1" w:rsidRPr="00DD59BF">
        <w:rPr>
          <w:rFonts w:eastAsia="Times New Roman"/>
          <w:b/>
          <w:i/>
          <w:iCs/>
          <w:lang w:eastAsia="zh-CN"/>
        </w:rPr>
        <w:t xml:space="preserve"> Exploratory Factor </w:t>
      </w:r>
      <w:r w:rsidR="004546E1" w:rsidRPr="00DD59BF">
        <w:rPr>
          <w:rFonts w:eastAsia="Times New Roman"/>
          <w:b/>
          <w:i/>
          <w:iCs/>
          <w:lang w:eastAsia="zh-CN"/>
        </w:rPr>
        <w:lastRenderedPageBreak/>
        <w:t>Analysis</w:t>
      </w:r>
      <w:r w:rsidR="004546E1" w:rsidRPr="00DD59BF">
        <w:rPr>
          <w:rFonts w:eastAsia="Times New Roman"/>
          <w:b/>
          <w:i/>
          <w:iCs/>
          <w:lang w:eastAsia="zh-CN"/>
        </w:rPr>
        <w:t>,</w:t>
      </w:r>
      <w:r w:rsidR="004546E1" w:rsidRPr="00DD59BF">
        <w:rPr>
          <w:rFonts w:eastAsia="Times New Roman"/>
          <w:b/>
          <w:i/>
          <w:iCs/>
          <w:lang w:eastAsia="zh-CN"/>
        </w:rPr>
        <w:t xml:space="preserve"> </w:t>
      </w:r>
      <w:proofErr w:type="spellStart"/>
      <w:r w:rsidR="004546E1" w:rsidRPr="00DD59BF">
        <w:rPr>
          <w:rFonts w:eastAsia="Times New Roman"/>
          <w:b/>
          <w:i/>
          <w:iCs/>
          <w:lang w:eastAsia="zh-CN"/>
        </w:rPr>
        <w:t>Maqashid</w:t>
      </w:r>
      <w:proofErr w:type="spellEnd"/>
      <w:r w:rsidR="004546E1" w:rsidRPr="00DD59BF">
        <w:rPr>
          <w:rFonts w:eastAsia="Times New Roman"/>
          <w:b/>
          <w:i/>
          <w:iCs/>
          <w:lang w:eastAsia="zh-CN"/>
        </w:rPr>
        <w:t xml:space="preserve"> Sharia</w:t>
      </w:r>
      <w:r w:rsidR="004546E1" w:rsidRPr="00DD59BF">
        <w:rPr>
          <w:rFonts w:eastAsia="Times New Roman"/>
          <w:b/>
          <w:i/>
          <w:iCs/>
          <w:lang w:eastAsia="zh-CN"/>
        </w:rPr>
        <w:t>,</w:t>
      </w:r>
      <w:r w:rsidR="004546E1" w:rsidRPr="00DD59BF">
        <w:rPr>
          <w:rFonts w:eastAsia="Times New Roman"/>
          <w:b/>
          <w:i/>
          <w:iCs/>
          <w:lang w:eastAsia="zh-CN"/>
        </w:rPr>
        <w:t xml:space="preserve"> Program Effectiveness</w:t>
      </w:r>
      <w:r w:rsidR="004546E1" w:rsidRPr="00DD59BF">
        <w:rPr>
          <w:rFonts w:eastAsia="Times New Roman"/>
          <w:b/>
          <w:i/>
          <w:iCs/>
          <w:lang w:eastAsia="zh-CN"/>
        </w:rPr>
        <w:t>.</w:t>
      </w:r>
    </w:p>
    <w:p w14:paraId="6007387F" w14:textId="77777777" w:rsidR="00AC29B0" w:rsidRPr="00DD59BF" w:rsidRDefault="00AC29B0" w:rsidP="00DD59BF">
      <w:pPr>
        <w:tabs>
          <w:tab w:val="center" w:pos="4513"/>
        </w:tabs>
        <w:suppressAutoHyphens/>
        <w:autoSpaceDN/>
        <w:adjustRightInd/>
        <w:spacing w:line="276" w:lineRule="auto"/>
        <w:jc w:val="both"/>
        <w:rPr>
          <w:rFonts w:eastAsia="SimSun;宋体"/>
          <w:b/>
          <w:i/>
          <w:iCs/>
          <w:lang w:val="id-ID" w:eastAsia="zh-CN"/>
        </w:rPr>
      </w:pPr>
    </w:p>
    <w:p w14:paraId="69916746" w14:textId="6A48F78B" w:rsidR="00A47277" w:rsidRPr="00DD59BF" w:rsidRDefault="00AC29B0" w:rsidP="00DD59BF">
      <w:pPr>
        <w:widowControl/>
        <w:suppressAutoHyphens/>
        <w:autoSpaceDE/>
        <w:autoSpaceDN/>
        <w:adjustRightInd/>
        <w:spacing w:line="276" w:lineRule="auto"/>
        <w:contextualSpacing/>
        <w:jc w:val="both"/>
        <w:rPr>
          <w:rFonts w:eastAsia="Times New Roman"/>
          <w:b/>
          <w:iCs/>
          <w:lang w:eastAsia="zh-CN"/>
        </w:rPr>
      </w:pPr>
      <w:r w:rsidRPr="00DD59BF">
        <w:rPr>
          <w:rFonts w:eastAsia="Times New Roman"/>
          <w:b/>
          <w:iCs/>
          <w:lang w:eastAsia="zh-CN"/>
        </w:rPr>
        <w:t>INTRODUCTION</w:t>
      </w:r>
    </w:p>
    <w:p w14:paraId="51058972" w14:textId="77777777" w:rsidR="0086729D" w:rsidRPr="00DD59BF" w:rsidRDefault="0086729D" w:rsidP="00DD59BF">
      <w:pPr>
        <w:suppressAutoHyphens/>
        <w:autoSpaceDN/>
        <w:adjustRightInd/>
        <w:spacing w:line="276" w:lineRule="auto"/>
        <w:ind w:firstLine="720"/>
        <w:jc w:val="both"/>
        <w:rPr>
          <w:rFonts w:eastAsia="SimSun;宋体"/>
          <w:bCs/>
          <w:lang w:eastAsia="zh-CN"/>
        </w:rPr>
      </w:pPr>
      <w:r w:rsidRPr="00DD59BF">
        <w:rPr>
          <w:rFonts w:eastAsia="SimSun;宋体"/>
          <w:bCs/>
          <w:lang w:eastAsia="zh-CN"/>
        </w:rPr>
        <w:t>Corporate Social Responsibility (CSR) has become an essential component of organizational sustainability by integrating economic, environmental, and social responsibilities into business operations. Modern organizations are increasingly expected to contribute not only to financial performance but also to social welfare and environmental sustainability. Consequently, CSR has evolved from voluntary philanthropic initiatives into a strategic instrument for creating shared value among organizations, stakeholders, and society.</w:t>
      </w:r>
    </w:p>
    <w:p w14:paraId="5C76AB69" w14:textId="77777777" w:rsidR="0086729D" w:rsidRPr="00DD59BF" w:rsidRDefault="0086729D" w:rsidP="00DD59BF">
      <w:pPr>
        <w:suppressAutoHyphens/>
        <w:autoSpaceDN/>
        <w:adjustRightInd/>
        <w:spacing w:line="276" w:lineRule="auto"/>
        <w:ind w:firstLine="720"/>
        <w:jc w:val="both"/>
        <w:rPr>
          <w:rFonts w:eastAsia="SimSun;宋体"/>
          <w:bCs/>
          <w:lang w:eastAsia="zh-CN"/>
        </w:rPr>
      </w:pPr>
      <w:r w:rsidRPr="00DD59BF">
        <w:rPr>
          <w:rFonts w:eastAsia="SimSun;宋体"/>
          <w:bCs/>
          <w:lang w:eastAsia="zh-CN"/>
        </w:rPr>
        <w:t>Within the Islamic perspective, Corporate Social Responsibility extends beyond legal compliance and organizational legitimacy. Islamic Corporate Social Responsibility (ICSR) is grounded in the principles of justice (</w:t>
      </w:r>
      <w:r w:rsidRPr="00DD59BF">
        <w:rPr>
          <w:rFonts w:eastAsia="SimSun;宋体"/>
          <w:bCs/>
          <w:i/>
          <w:iCs/>
          <w:lang w:eastAsia="zh-CN"/>
        </w:rPr>
        <w:t>'</w:t>
      </w:r>
      <w:proofErr w:type="spellStart"/>
      <w:r w:rsidRPr="00DD59BF">
        <w:rPr>
          <w:rFonts w:eastAsia="SimSun;宋体"/>
          <w:bCs/>
          <w:i/>
          <w:iCs/>
          <w:lang w:eastAsia="zh-CN"/>
        </w:rPr>
        <w:t>adl</w:t>
      </w:r>
      <w:proofErr w:type="spellEnd"/>
      <w:r w:rsidRPr="00DD59BF">
        <w:rPr>
          <w:rFonts w:eastAsia="SimSun;宋体"/>
          <w:bCs/>
          <w:lang w:eastAsia="zh-CN"/>
        </w:rPr>
        <w:t>), trustworthiness (</w:t>
      </w:r>
      <w:proofErr w:type="spellStart"/>
      <w:r w:rsidRPr="00DD59BF">
        <w:rPr>
          <w:rFonts w:eastAsia="SimSun;宋体"/>
          <w:bCs/>
          <w:i/>
          <w:iCs/>
          <w:lang w:eastAsia="zh-CN"/>
        </w:rPr>
        <w:t>amanah</w:t>
      </w:r>
      <w:proofErr w:type="spellEnd"/>
      <w:r w:rsidRPr="00DD59BF">
        <w:rPr>
          <w:rFonts w:eastAsia="SimSun;宋体"/>
          <w:bCs/>
          <w:lang w:eastAsia="zh-CN"/>
        </w:rPr>
        <w:t>), accountability, balance (</w:t>
      </w:r>
      <w:proofErr w:type="spellStart"/>
      <w:r w:rsidRPr="00DD59BF">
        <w:rPr>
          <w:rFonts w:eastAsia="SimSun;宋体"/>
          <w:bCs/>
          <w:i/>
          <w:iCs/>
          <w:lang w:eastAsia="zh-CN"/>
        </w:rPr>
        <w:t>tawazun</w:t>
      </w:r>
      <w:proofErr w:type="spellEnd"/>
      <w:r w:rsidRPr="00DD59BF">
        <w:rPr>
          <w:rFonts w:eastAsia="SimSun;宋体"/>
          <w:bCs/>
          <w:lang w:eastAsia="zh-CN"/>
        </w:rPr>
        <w:t>), and public welfare (</w:t>
      </w:r>
      <w:proofErr w:type="spellStart"/>
      <w:r w:rsidRPr="00DD59BF">
        <w:rPr>
          <w:rFonts w:eastAsia="SimSun;宋体"/>
          <w:bCs/>
          <w:i/>
          <w:iCs/>
          <w:lang w:eastAsia="zh-CN"/>
        </w:rPr>
        <w:t>maslahah</w:t>
      </w:r>
      <w:proofErr w:type="spellEnd"/>
      <w:r w:rsidRPr="00DD59BF">
        <w:rPr>
          <w:rFonts w:eastAsia="SimSun;宋体"/>
          <w:bCs/>
          <w:lang w:eastAsia="zh-CN"/>
        </w:rPr>
        <w:t>). These ethical principles require organizations to fulfill both horizontal responsibilities toward society and vertical responsibilities toward Allah. Therefore, CSR is regarded not merely as a business strategy but also as an act of worship that contributes to comprehensive human development.</w:t>
      </w:r>
    </w:p>
    <w:p w14:paraId="4F9AC28C" w14:textId="77777777" w:rsidR="0086729D" w:rsidRPr="00DD59BF" w:rsidRDefault="0086729D" w:rsidP="00DD59BF">
      <w:pPr>
        <w:suppressAutoHyphens/>
        <w:autoSpaceDN/>
        <w:adjustRightInd/>
        <w:spacing w:line="276" w:lineRule="auto"/>
        <w:ind w:firstLine="720"/>
        <w:jc w:val="both"/>
        <w:rPr>
          <w:rFonts w:eastAsia="SimSun;宋体"/>
          <w:bCs/>
          <w:lang w:eastAsia="zh-CN"/>
        </w:rPr>
      </w:pPr>
      <w:r w:rsidRPr="00DD59BF">
        <w:rPr>
          <w:rFonts w:eastAsia="SimSun;宋体"/>
          <w:bCs/>
          <w:lang w:eastAsia="zh-CN"/>
        </w:rPr>
        <w:t xml:space="preserve">Islamic social finance strengthens this perspective by providing institutional mechanisms through zakat, </w:t>
      </w:r>
      <w:proofErr w:type="spellStart"/>
      <w:r w:rsidRPr="00DD59BF">
        <w:rPr>
          <w:rFonts w:eastAsia="SimSun;宋体"/>
          <w:bCs/>
          <w:lang w:eastAsia="zh-CN"/>
        </w:rPr>
        <w:t>infaq</w:t>
      </w:r>
      <w:proofErr w:type="spellEnd"/>
      <w:r w:rsidRPr="00DD59BF">
        <w:rPr>
          <w:rFonts w:eastAsia="SimSun;宋体"/>
          <w:bCs/>
          <w:lang w:eastAsia="zh-CN"/>
        </w:rPr>
        <w:t xml:space="preserve">, </w:t>
      </w:r>
      <w:proofErr w:type="spellStart"/>
      <w:r w:rsidRPr="00DD59BF">
        <w:rPr>
          <w:rFonts w:eastAsia="SimSun;宋体"/>
          <w:bCs/>
          <w:lang w:eastAsia="zh-CN"/>
        </w:rPr>
        <w:t>sadaqah</w:t>
      </w:r>
      <w:proofErr w:type="spellEnd"/>
      <w:r w:rsidRPr="00DD59BF">
        <w:rPr>
          <w:rFonts w:eastAsia="SimSun;宋体"/>
          <w:bCs/>
          <w:lang w:eastAsia="zh-CN"/>
        </w:rPr>
        <w:t xml:space="preserve">, and waqf (ZISWAF). These instruments aim to reduce inequality, alleviate poverty, and improve community welfare while simultaneously promoting sustainable development. Unlike conventional CSR, which generally emphasizes economic and social outcomes, Islamic social finance-based CSR incorporates spiritual values that reflect the objectives of </w:t>
      </w:r>
      <w:proofErr w:type="spellStart"/>
      <w:r w:rsidRPr="00DD59BF">
        <w:rPr>
          <w:rFonts w:eastAsia="SimSun;宋体"/>
          <w:bCs/>
          <w:i/>
          <w:iCs/>
          <w:lang w:eastAsia="zh-CN"/>
        </w:rPr>
        <w:t>maqashid</w:t>
      </w:r>
      <w:proofErr w:type="spellEnd"/>
      <w:r w:rsidRPr="00DD59BF">
        <w:rPr>
          <w:rFonts w:eastAsia="SimSun;宋体"/>
          <w:bCs/>
          <w:i/>
          <w:iCs/>
          <w:lang w:eastAsia="zh-CN"/>
        </w:rPr>
        <w:t xml:space="preserve"> sharia</w:t>
      </w:r>
      <w:r w:rsidRPr="00DD59BF">
        <w:rPr>
          <w:rFonts w:eastAsia="SimSun;宋体"/>
          <w:bCs/>
          <w:lang w:eastAsia="zh-CN"/>
        </w:rPr>
        <w:t>, including the protection of religion, life, intellect, lineage, and wealth.</w:t>
      </w:r>
    </w:p>
    <w:p w14:paraId="7F2641CF" w14:textId="77777777" w:rsidR="0086729D" w:rsidRPr="00DD59BF" w:rsidRDefault="0086729D" w:rsidP="00DD59BF">
      <w:pPr>
        <w:suppressAutoHyphens/>
        <w:autoSpaceDN/>
        <w:adjustRightInd/>
        <w:spacing w:line="276" w:lineRule="auto"/>
        <w:ind w:firstLine="720"/>
        <w:jc w:val="both"/>
        <w:rPr>
          <w:rFonts w:eastAsia="SimSun;宋体"/>
          <w:bCs/>
          <w:lang w:eastAsia="zh-CN"/>
        </w:rPr>
      </w:pPr>
      <w:r w:rsidRPr="00DD59BF">
        <w:rPr>
          <w:rFonts w:eastAsia="SimSun;宋体"/>
          <w:bCs/>
          <w:lang w:eastAsia="zh-CN"/>
        </w:rPr>
        <w:t>In Indonesia, CSR implementation has been reinforced through Law Number 40 of 2007 concerning Limited Liability Companies, which requires companies operating in natural resource-related sectors to undertake social and environmental responsibilities. Nevertheless, legal compliance alone does not necessarily guarantee program effectiveness. Many organizations continue to evaluate CSR primarily through financial expenditures, sustainability reporting, or the number of implemented activities rather than the actual impacts experienced by beneficiaries.</w:t>
      </w:r>
    </w:p>
    <w:p w14:paraId="79B790F1" w14:textId="77777777" w:rsidR="0086729D" w:rsidRPr="00DD59BF" w:rsidRDefault="0086729D" w:rsidP="00DD59BF">
      <w:pPr>
        <w:suppressAutoHyphens/>
        <w:autoSpaceDN/>
        <w:adjustRightInd/>
        <w:spacing w:line="276" w:lineRule="auto"/>
        <w:ind w:firstLine="720"/>
        <w:jc w:val="both"/>
        <w:rPr>
          <w:rFonts w:eastAsia="SimSun;宋体"/>
          <w:bCs/>
          <w:lang w:eastAsia="zh-CN"/>
        </w:rPr>
      </w:pPr>
      <w:r w:rsidRPr="00DD59BF">
        <w:rPr>
          <w:rFonts w:eastAsia="SimSun;宋体"/>
          <w:bCs/>
          <w:lang w:eastAsia="zh-CN"/>
        </w:rPr>
        <w:t>Globally, sustainability reporting has become increasingly widespread. The KPMG Survey of Sustainability Reporting indicates that most of the world's largest corporations have incorporated sustainability reporting into their governance systems. However, higher reporting rates do not always correspond to better program effectiveness. Similar conditions are observed in Southeast Asia, where organizations often demonstrate high compliance with reporting standards while producing inconsistent social outcomes. This phenomenon indicates that administrative indicators alone are insufficient for evaluating CSR effectiveness.</w:t>
      </w:r>
    </w:p>
    <w:p w14:paraId="12405960" w14:textId="77777777" w:rsidR="0086729D" w:rsidRPr="00DD59BF" w:rsidRDefault="0086729D" w:rsidP="00DD59BF">
      <w:pPr>
        <w:suppressAutoHyphens/>
        <w:autoSpaceDN/>
        <w:adjustRightInd/>
        <w:spacing w:line="276" w:lineRule="auto"/>
        <w:ind w:firstLine="720"/>
        <w:jc w:val="both"/>
        <w:rPr>
          <w:rFonts w:eastAsia="SimSun;宋体"/>
          <w:bCs/>
          <w:lang w:eastAsia="zh-CN"/>
        </w:rPr>
      </w:pPr>
      <w:r w:rsidRPr="00DD59BF">
        <w:rPr>
          <w:rFonts w:eastAsia="SimSun;宋体"/>
          <w:bCs/>
          <w:lang w:eastAsia="zh-CN"/>
        </w:rPr>
        <w:t>Evaluating Islamic social finance-based CSR is even more challenging because its success encompasses economic, social, institutional, and spiritual dimensions simultaneously. Existing empirical studies have predominantly focused on CSR disclosure, governance practices, or normative Islamic perspectives, while relatively few studies have attempted to identify the latent constructs underlying CSR effectiveness from beneficiaries' perspectives. Consequently, empirical evidence explaining the multidimensional nature of Islamic CSR effectiveness remains limited.</w:t>
      </w:r>
    </w:p>
    <w:p w14:paraId="49B17A09" w14:textId="77777777" w:rsidR="0086729D" w:rsidRPr="00DD59BF" w:rsidRDefault="0086729D" w:rsidP="00DD59BF">
      <w:pPr>
        <w:suppressAutoHyphens/>
        <w:autoSpaceDN/>
        <w:adjustRightInd/>
        <w:spacing w:line="276" w:lineRule="auto"/>
        <w:ind w:firstLine="720"/>
        <w:jc w:val="both"/>
        <w:rPr>
          <w:rFonts w:eastAsia="SimSun;宋体"/>
          <w:bCs/>
          <w:lang w:eastAsia="zh-CN"/>
        </w:rPr>
      </w:pPr>
      <w:r w:rsidRPr="00DD59BF">
        <w:rPr>
          <w:rFonts w:eastAsia="SimSun;宋体"/>
          <w:bCs/>
          <w:lang w:eastAsia="zh-CN"/>
        </w:rPr>
        <w:t xml:space="preserve">Previous studies have highlighted various aspects of Islamic Corporate Social Responsibility. </w:t>
      </w:r>
      <w:proofErr w:type="spellStart"/>
      <w:r w:rsidRPr="00DD59BF">
        <w:rPr>
          <w:rFonts w:eastAsia="SimSun;宋体"/>
          <w:bCs/>
          <w:lang w:eastAsia="zh-CN"/>
        </w:rPr>
        <w:t>Febriyati</w:t>
      </w:r>
      <w:proofErr w:type="spellEnd"/>
      <w:r w:rsidRPr="00DD59BF">
        <w:rPr>
          <w:rFonts w:eastAsia="SimSun;宋体"/>
          <w:bCs/>
          <w:lang w:eastAsia="zh-CN"/>
        </w:rPr>
        <w:t xml:space="preserve"> and Arfah (2020) developed a conceptual framework emphasizing Islamic ethical values as the foundation of CSR implementation. </w:t>
      </w:r>
      <w:proofErr w:type="spellStart"/>
      <w:r w:rsidRPr="00DD59BF">
        <w:rPr>
          <w:rFonts w:eastAsia="SimSun;宋体"/>
          <w:bCs/>
          <w:lang w:eastAsia="zh-CN"/>
        </w:rPr>
        <w:t>Indriani</w:t>
      </w:r>
      <w:proofErr w:type="spellEnd"/>
      <w:r w:rsidRPr="00DD59BF">
        <w:rPr>
          <w:rFonts w:eastAsia="SimSun;宋体"/>
          <w:bCs/>
          <w:lang w:eastAsia="zh-CN"/>
        </w:rPr>
        <w:t xml:space="preserve"> et al. (2021) demonstrated that CSR practices in Islamic institutions generally comply with </w:t>
      </w:r>
      <w:proofErr w:type="spellStart"/>
      <w:r w:rsidRPr="00DD59BF">
        <w:rPr>
          <w:rFonts w:eastAsia="SimSun;宋体"/>
          <w:bCs/>
          <w:i/>
          <w:iCs/>
          <w:lang w:eastAsia="zh-CN"/>
        </w:rPr>
        <w:t>maqashid</w:t>
      </w:r>
      <w:proofErr w:type="spellEnd"/>
      <w:r w:rsidRPr="00DD59BF">
        <w:rPr>
          <w:rFonts w:eastAsia="SimSun;宋体"/>
          <w:bCs/>
          <w:i/>
          <w:iCs/>
          <w:lang w:eastAsia="zh-CN"/>
        </w:rPr>
        <w:t xml:space="preserve"> sharia</w:t>
      </w:r>
      <w:r w:rsidRPr="00DD59BF">
        <w:rPr>
          <w:rFonts w:eastAsia="SimSun;宋体"/>
          <w:bCs/>
          <w:lang w:eastAsia="zh-CN"/>
        </w:rPr>
        <w:t xml:space="preserve"> principles. Jamaludin et al. (2023) further emphasized the integration of corporate zakat and CSR in strengthening community empowerment. Although these studies significantly enrich the theoretical understanding of Islamic CSR, they remain largely conceptual and descriptive, offering limited empirical evidence regarding the determinants of CSR effectiveness.</w:t>
      </w:r>
    </w:p>
    <w:p w14:paraId="38A39405" w14:textId="77777777" w:rsidR="0086729D" w:rsidRPr="00DD59BF" w:rsidRDefault="0086729D" w:rsidP="00DD59BF">
      <w:pPr>
        <w:suppressAutoHyphens/>
        <w:autoSpaceDN/>
        <w:adjustRightInd/>
        <w:spacing w:line="276" w:lineRule="auto"/>
        <w:ind w:firstLine="720"/>
        <w:jc w:val="both"/>
        <w:rPr>
          <w:rFonts w:eastAsia="SimSun;宋体"/>
          <w:bCs/>
          <w:lang w:eastAsia="zh-CN"/>
        </w:rPr>
      </w:pPr>
      <w:r w:rsidRPr="00DD59BF">
        <w:rPr>
          <w:rFonts w:eastAsia="SimSun;宋体"/>
          <w:bCs/>
          <w:lang w:eastAsia="zh-CN"/>
        </w:rPr>
        <w:t>Exploratory Factor Analysis (EFA) provides a suitable statistical approach for identifying latent constructs represented by multiple observed indicators. Previous studies have successfully employed EFA to develop measurement constructs in Islamic research; however, its application to Islamic social finance-based CSR effectiveness remains very limited. This methodological gap provides an opportunity to develop a comprehensive empirical framework capable of explaining CSR effectiveness from the beneficiaries' perspective.</w:t>
      </w:r>
    </w:p>
    <w:p w14:paraId="76725B1B" w14:textId="77777777" w:rsidR="0086729D" w:rsidRPr="00DD59BF" w:rsidRDefault="0086729D" w:rsidP="00DD59BF">
      <w:pPr>
        <w:suppressAutoHyphens/>
        <w:autoSpaceDN/>
        <w:adjustRightInd/>
        <w:spacing w:line="276" w:lineRule="auto"/>
        <w:ind w:firstLine="720"/>
        <w:jc w:val="both"/>
        <w:rPr>
          <w:rFonts w:eastAsia="SimSun;宋体"/>
          <w:bCs/>
          <w:lang w:eastAsia="zh-CN"/>
        </w:rPr>
      </w:pPr>
      <w:r w:rsidRPr="00DD59BF">
        <w:rPr>
          <w:rFonts w:eastAsia="SimSun;宋体"/>
          <w:bCs/>
          <w:lang w:eastAsia="zh-CN"/>
        </w:rPr>
        <w:t>Accordingly, this study aims to identify the principal determinants of Corporate Social Responsibility effectiveness based on Islamic social finance using Exploratory Factor Analysis. The novelty of this research lies in integrating Islamic social finance principles into a multidimensional empirical model of CSR effectiveness that simultaneously incorporates institutional, economic, social, participatory, contextual, and spiritual dimensions. Unlike previous studies that primarily evaluate CSR from organizational or reporting perspectives, this study emphasizes beneficiaries' perceptions as the foundation for developing the effectiveness model.</w:t>
      </w:r>
    </w:p>
    <w:p w14:paraId="346B171A" w14:textId="207A6E60" w:rsidR="004038C5" w:rsidRPr="00DD59BF" w:rsidRDefault="0086729D" w:rsidP="00DD59BF">
      <w:pPr>
        <w:suppressAutoHyphens/>
        <w:autoSpaceDN/>
        <w:adjustRightInd/>
        <w:spacing w:line="276" w:lineRule="auto"/>
        <w:ind w:firstLine="720"/>
        <w:jc w:val="both"/>
        <w:rPr>
          <w:rFonts w:eastAsia="SimSun;宋体"/>
          <w:bCs/>
          <w:lang w:eastAsia="zh-CN"/>
        </w:rPr>
      </w:pPr>
      <w:r w:rsidRPr="00DD59BF">
        <w:rPr>
          <w:rFonts w:eastAsia="SimSun;宋体"/>
          <w:bCs/>
          <w:lang w:eastAsia="zh-CN"/>
        </w:rPr>
        <w:t xml:space="preserve">The findings are expected to contribute theoretically by extending the literature on Islamic Corporate Social Responsibility through the development of a multidimensional empirical framework. Practically, the results provide strategic recommendations for Islamic philanthropic organizations, corporations, and policymakers to strengthen CSR governance, improve transparency and accountability, enhance community participation, and promote sustainable socio-economic development consistent with the objectives of </w:t>
      </w:r>
      <w:proofErr w:type="spellStart"/>
      <w:r w:rsidRPr="00DD59BF">
        <w:rPr>
          <w:rFonts w:eastAsia="SimSun;宋体"/>
          <w:bCs/>
          <w:i/>
          <w:iCs/>
          <w:lang w:eastAsia="zh-CN"/>
        </w:rPr>
        <w:t>maqashid</w:t>
      </w:r>
      <w:proofErr w:type="spellEnd"/>
      <w:r w:rsidRPr="00DD59BF">
        <w:rPr>
          <w:rFonts w:eastAsia="SimSun;宋体"/>
          <w:bCs/>
          <w:i/>
          <w:iCs/>
          <w:lang w:eastAsia="zh-CN"/>
        </w:rPr>
        <w:t xml:space="preserve"> sharia</w:t>
      </w:r>
      <w:r w:rsidR="004038C5" w:rsidRPr="00DD59BF">
        <w:rPr>
          <w:rFonts w:eastAsia="SimSun;宋体"/>
          <w:lang w:eastAsia="zh-CN"/>
        </w:rPr>
        <w:t>.</w:t>
      </w:r>
    </w:p>
    <w:p w14:paraId="71ECE370" w14:textId="77777777" w:rsidR="0086729D" w:rsidRPr="00DD59BF" w:rsidRDefault="0086729D" w:rsidP="00DD59BF">
      <w:pPr>
        <w:widowControl/>
        <w:suppressAutoHyphens/>
        <w:autoSpaceDE/>
        <w:autoSpaceDN/>
        <w:adjustRightInd/>
        <w:spacing w:line="276" w:lineRule="auto"/>
        <w:contextualSpacing/>
        <w:jc w:val="both"/>
        <w:rPr>
          <w:rFonts w:eastAsia="Times New Roman"/>
          <w:b/>
          <w:iCs/>
          <w:lang w:eastAsia="zh-CN"/>
        </w:rPr>
      </w:pPr>
    </w:p>
    <w:p w14:paraId="6299E43E" w14:textId="13E922E8" w:rsidR="00AC29B0" w:rsidRPr="00DD59BF" w:rsidRDefault="00AC29B0" w:rsidP="00DD59BF">
      <w:pPr>
        <w:widowControl/>
        <w:suppressAutoHyphens/>
        <w:autoSpaceDE/>
        <w:autoSpaceDN/>
        <w:adjustRightInd/>
        <w:spacing w:line="276" w:lineRule="auto"/>
        <w:contextualSpacing/>
        <w:jc w:val="both"/>
        <w:rPr>
          <w:rFonts w:eastAsia="Times New Roman"/>
          <w:b/>
          <w:lang w:eastAsia="zh-CN"/>
        </w:rPr>
      </w:pPr>
      <w:r w:rsidRPr="00DD59BF">
        <w:rPr>
          <w:rFonts w:eastAsia="Times New Roman"/>
          <w:b/>
          <w:iCs/>
          <w:lang w:eastAsia="zh-CN"/>
        </w:rPr>
        <w:t>LITERATURE REVIEW</w:t>
      </w:r>
    </w:p>
    <w:p w14:paraId="5DA6F8A2" w14:textId="77777777" w:rsidR="0086729D" w:rsidRPr="00DD59BF" w:rsidRDefault="0086729D" w:rsidP="00DD59BF">
      <w:pPr>
        <w:suppressAutoHyphens/>
        <w:autoSpaceDN/>
        <w:adjustRightInd/>
        <w:spacing w:line="276" w:lineRule="auto"/>
        <w:ind w:firstLine="720"/>
        <w:jc w:val="both"/>
        <w:rPr>
          <w:rFonts w:eastAsia="SimSun;宋体"/>
          <w:b/>
          <w:bCs/>
          <w:lang w:eastAsia="zh-CN"/>
        </w:rPr>
      </w:pPr>
      <w:r w:rsidRPr="00DD59BF">
        <w:rPr>
          <w:rFonts w:eastAsia="SimSun;宋体"/>
          <w:b/>
          <w:bCs/>
          <w:lang w:eastAsia="zh-CN"/>
        </w:rPr>
        <w:t>Corporate Social Responsibility in the Perspective of Islamic Social Finance</w:t>
      </w:r>
    </w:p>
    <w:p w14:paraId="699D4367" w14:textId="77777777" w:rsidR="0086729D" w:rsidRPr="00DD59BF" w:rsidRDefault="0086729D" w:rsidP="00DD59BF">
      <w:pPr>
        <w:suppressAutoHyphens/>
        <w:autoSpaceDN/>
        <w:adjustRightInd/>
        <w:spacing w:line="276" w:lineRule="auto"/>
        <w:ind w:firstLine="720"/>
        <w:jc w:val="both"/>
        <w:rPr>
          <w:rFonts w:eastAsia="SimSun;宋体"/>
          <w:lang w:eastAsia="zh-CN"/>
        </w:rPr>
      </w:pPr>
      <w:r w:rsidRPr="00DD59BF">
        <w:rPr>
          <w:rFonts w:eastAsia="SimSun;宋体"/>
          <w:lang w:eastAsia="zh-CN"/>
        </w:rPr>
        <w:t>Corporate Social Responsibility (CSR) has developed into a strategic organizational commitment that integrates economic, environmental, and social responsibilities into corporate decision-making. Contemporary CSR emphasizes long-term value creation through responsible business practices that simultaneously improve organizational competitiveness and community welfare. According to Porter and Kramer (2006), CSR should be integrated into corporate strategy to create shared value rather than being limited to philanthropic activities.</w:t>
      </w:r>
    </w:p>
    <w:p w14:paraId="512FBD7A" w14:textId="77777777" w:rsidR="0086729D" w:rsidRPr="00DD59BF" w:rsidRDefault="0086729D" w:rsidP="00DD59BF">
      <w:pPr>
        <w:suppressAutoHyphens/>
        <w:autoSpaceDN/>
        <w:adjustRightInd/>
        <w:spacing w:line="276" w:lineRule="auto"/>
        <w:ind w:firstLine="720"/>
        <w:jc w:val="both"/>
        <w:rPr>
          <w:rFonts w:eastAsia="SimSun;宋体"/>
          <w:lang w:eastAsia="zh-CN"/>
        </w:rPr>
      </w:pPr>
      <w:r w:rsidRPr="00DD59BF">
        <w:rPr>
          <w:rFonts w:eastAsia="SimSun;宋体"/>
          <w:lang w:eastAsia="zh-CN"/>
        </w:rPr>
        <w:t xml:space="preserve">Within the Islamic worldview, CSR possesses a broader meaning because it is closely associated with ethical and religious obligations. Islamic Corporate Social Responsibility (ICSR) is founded upon the principles of </w:t>
      </w:r>
      <w:proofErr w:type="spellStart"/>
      <w:r w:rsidRPr="00DD59BF">
        <w:rPr>
          <w:rFonts w:eastAsia="SimSun;宋体"/>
          <w:i/>
          <w:iCs/>
          <w:lang w:eastAsia="zh-CN"/>
        </w:rPr>
        <w:t>amanah</w:t>
      </w:r>
      <w:proofErr w:type="spellEnd"/>
      <w:r w:rsidRPr="00DD59BF">
        <w:rPr>
          <w:rFonts w:eastAsia="SimSun;宋体"/>
          <w:lang w:eastAsia="zh-CN"/>
        </w:rPr>
        <w:t xml:space="preserve"> (trustworthiness), </w:t>
      </w:r>
      <w:r w:rsidRPr="00DD59BF">
        <w:rPr>
          <w:rFonts w:eastAsia="SimSun;宋体"/>
          <w:i/>
          <w:iCs/>
          <w:lang w:eastAsia="zh-CN"/>
        </w:rPr>
        <w:t>'</w:t>
      </w:r>
      <w:proofErr w:type="spellStart"/>
      <w:r w:rsidRPr="00DD59BF">
        <w:rPr>
          <w:rFonts w:eastAsia="SimSun;宋体"/>
          <w:i/>
          <w:iCs/>
          <w:lang w:eastAsia="zh-CN"/>
        </w:rPr>
        <w:t>adl</w:t>
      </w:r>
      <w:proofErr w:type="spellEnd"/>
      <w:r w:rsidRPr="00DD59BF">
        <w:rPr>
          <w:rFonts w:eastAsia="SimSun;宋体"/>
          <w:lang w:eastAsia="zh-CN"/>
        </w:rPr>
        <w:t xml:space="preserve"> (justice), </w:t>
      </w:r>
      <w:proofErr w:type="spellStart"/>
      <w:r w:rsidRPr="00DD59BF">
        <w:rPr>
          <w:rFonts w:eastAsia="SimSun;宋体"/>
          <w:i/>
          <w:iCs/>
          <w:lang w:eastAsia="zh-CN"/>
        </w:rPr>
        <w:t>ihsan</w:t>
      </w:r>
      <w:proofErr w:type="spellEnd"/>
      <w:r w:rsidRPr="00DD59BF">
        <w:rPr>
          <w:rFonts w:eastAsia="SimSun;宋体"/>
          <w:lang w:eastAsia="zh-CN"/>
        </w:rPr>
        <w:t xml:space="preserve"> (benevolence), </w:t>
      </w:r>
      <w:proofErr w:type="spellStart"/>
      <w:r w:rsidRPr="00DD59BF">
        <w:rPr>
          <w:rFonts w:eastAsia="SimSun;宋体"/>
          <w:i/>
          <w:iCs/>
          <w:lang w:eastAsia="zh-CN"/>
        </w:rPr>
        <w:t>maslahah</w:t>
      </w:r>
      <w:proofErr w:type="spellEnd"/>
      <w:r w:rsidRPr="00DD59BF">
        <w:rPr>
          <w:rFonts w:eastAsia="SimSun;宋体"/>
          <w:lang w:eastAsia="zh-CN"/>
        </w:rPr>
        <w:t xml:space="preserve"> (public interest), and </w:t>
      </w:r>
      <w:proofErr w:type="spellStart"/>
      <w:r w:rsidRPr="00DD59BF">
        <w:rPr>
          <w:rFonts w:eastAsia="SimSun;宋体"/>
          <w:i/>
          <w:iCs/>
          <w:lang w:eastAsia="zh-CN"/>
        </w:rPr>
        <w:t>ukhuwah</w:t>
      </w:r>
      <w:proofErr w:type="spellEnd"/>
      <w:r w:rsidRPr="00DD59BF">
        <w:rPr>
          <w:rFonts w:eastAsia="SimSun;宋体"/>
          <w:lang w:eastAsia="zh-CN"/>
        </w:rPr>
        <w:t xml:space="preserve"> (brotherhood). These principles require organizations to balance profitability with social responsibility while maintaining accountability before both society and Allah. Consequently, CSR is not merely an organizational obligation but also an expression of religious commitment aimed at achieving holistic welfare (</w:t>
      </w:r>
      <w:proofErr w:type="spellStart"/>
      <w:r w:rsidRPr="00DD59BF">
        <w:rPr>
          <w:rFonts w:eastAsia="SimSun;宋体"/>
          <w:i/>
          <w:iCs/>
          <w:lang w:eastAsia="zh-CN"/>
        </w:rPr>
        <w:t>falah</w:t>
      </w:r>
      <w:proofErr w:type="spellEnd"/>
      <w:r w:rsidRPr="00DD59BF">
        <w:rPr>
          <w:rFonts w:eastAsia="SimSun;宋体"/>
          <w:lang w:eastAsia="zh-CN"/>
        </w:rPr>
        <w:t>).</w:t>
      </w:r>
    </w:p>
    <w:p w14:paraId="180D6C0E" w14:textId="67A4E657" w:rsidR="0086729D" w:rsidRPr="00DD59BF" w:rsidRDefault="0086729D" w:rsidP="00DD59BF">
      <w:pPr>
        <w:suppressAutoHyphens/>
        <w:autoSpaceDN/>
        <w:adjustRightInd/>
        <w:spacing w:line="276" w:lineRule="auto"/>
        <w:ind w:firstLine="720"/>
        <w:jc w:val="both"/>
        <w:rPr>
          <w:rFonts w:eastAsia="SimSun;宋体"/>
          <w:lang w:eastAsia="zh-CN"/>
        </w:rPr>
      </w:pPr>
      <w:r w:rsidRPr="00DD59BF">
        <w:rPr>
          <w:rFonts w:eastAsia="SimSun;宋体"/>
          <w:lang w:eastAsia="zh-CN"/>
        </w:rPr>
        <w:t xml:space="preserve">Islamic social finance strengthens the implementation of CSR through financial instruments such as zakat, </w:t>
      </w:r>
      <w:proofErr w:type="spellStart"/>
      <w:r w:rsidRPr="00DD59BF">
        <w:rPr>
          <w:rFonts w:eastAsia="SimSun;宋体"/>
          <w:lang w:eastAsia="zh-CN"/>
        </w:rPr>
        <w:t>infaq</w:t>
      </w:r>
      <w:proofErr w:type="spellEnd"/>
      <w:r w:rsidRPr="00DD59BF">
        <w:rPr>
          <w:rFonts w:eastAsia="SimSun;宋体"/>
          <w:lang w:eastAsia="zh-CN"/>
        </w:rPr>
        <w:t xml:space="preserve">, </w:t>
      </w:r>
      <w:proofErr w:type="spellStart"/>
      <w:r w:rsidRPr="00DD59BF">
        <w:rPr>
          <w:rFonts w:eastAsia="SimSun;宋体"/>
          <w:lang w:eastAsia="zh-CN"/>
        </w:rPr>
        <w:t>sadaqah</w:t>
      </w:r>
      <w:proofErr w:type="spellEnd"/>
      <w:r w:rsidRPr="00DD59BF">
        <w:rPr>
          <w:rFonts w:eastAsia="SimSun;宋体"/>
          <w:lang w:eastAsia="zh-CN"/>
        </w:rPr>
        <w:t xml:space="preserve">, and waqf (ZISWAF). These instruments facilitate wealth redistribution, poverty alleviation, and community empowerment while promoting sustainable socio-economic development. Unlike conventional CSR, which generally evaluates success based on financial or social outcomes, Islamic social finance-based CSR incorporates spiritual dimensions as an integral component of program effectiveness. Therefore, assessing CSR effectiveness requires a multidimensional perspective that reflects the comprehensive objectives of </w:t>
      </w:r>
      <w:proofErr w:type="spellStart"/>
      <w:r w:rsidRPr="00DD59BF">
        <w:rPr>
          <w:rFonts w:eastAsia="SimSun;宋体"/>
          <w:i/>
          <w:iCs/>
          <w:lang w:eastAsia="zh-CN"/>
        </w:rPr>
        <w:t>maqashid</w:t>
      </w:r>
      <w:proofErr w:type="spellEnd"/>
      <w:r w:rsidRPr="00DD59BF">
        <w:rPr>
          <w:rFonts w:eastAsia="SimSun;宋体"/>
          <w:i/>
          <w:iCs/>
          <w:lang w:eastAsia="zh-CN"/>
        </w:rPr>
        <w:t xml:space="preserve"> sharia</w:t>
      </w:r>
      <w:r w:rsidRPr="00DD59BF">
        <w:rPr>
          <w:rFonts w:eastAsia="SimSun;宋体"/>
          <w:lang w:eastAsia="zh-CN"/>
        </w:rPr>
        <w:t>.</w:t>
      </w:r>
    </w:p>
    <w:p w14:paraId="55F71BF8" w14:textId="77777777" w:rsidR="0086729D" w:rsidRPr="00DD59BF" w:rsidRDefault="0086729D" w:rsidP="00DD59BF">
      <w:pPr>
        <w:suppressAutoHyphens/>
        <w:autoSpaceDN/>
        <w:adjustRightInd/>
        <w:spacing w:line="276" w:lineRule="auto"/>
        <w:ind w:firstLine="720"/>
        <w:jc w:val="both"/>
        <w:rPr>
          <w:rFonts w:eastAsia="SimSun;宋体"/>
          <w:b/>
          <w:bCs/>
          <w:lang w:eastAsia="zh-CN"/>
        </w:rPr>
      </w:pPr>
      <w:r w:rsidRPr="00DD59BF">
        <w:rPr>
          <w:rFonts w:eastAsia="SimSun;宋体"/>
          <w:b/>
          <w:bCs/>
          <w:lang w:eastAsia="zh-CN"/>
        </w:rPr>
        <w:t>Program Effectiveness Theory</w:t>
      </w:r>
    </w:p>
    <w:p w14:paraId="03F8CC7E" w14:textId="77777777" w:rsidR="0086729D" w:rsidRPr="00DD59BF" w:rsidRDefault="0086729D" w:rsidP="00DD59BF">
      <w:pPr>
        <w:suppressAutoHyphens/>
        <w:autoSpaceDN/>
        <w:adjustRightInd/>
        <w:spacing w:line="276" w:lineRule="auto"/>
        <w:ind w:firstLine="720"/>
        <w:jc w:val="both"/>
        <w:rPr>
          <w:rFonts w:eastAsia="SimSun;宋体"/>
          <w:lang w:eastAsia="zh-CN"/>
        </w:rPr>
      </w:pPr>
      <w:r w:rsidRPr="00DD59BF">
        <w:rPr>
          <w:rFonts w:eastAsia="SimSun;宋体"/>
          <w:lang w:eastAsia="zh-CN"/>
        </w:rPr>
        <w:t>Program effectiveness refers to the extent to which organizational objectives are achieved efficiently and sustainably. Steers (1977) defines organizational effectiveness as an organization's ability to attain predetermined goals while adapting to environmental changes and maintaining organizational sustainability. Similarly, organizational effectiveness is viewed as the alignment between planning, implementation, outputs, outcomes, and long-term impacts.</w:t>
      </w:r>
    </w:p>
    <w:p w14:paraId="7AC9B79D" w14:textId="77777777" w:rsidR="0086729D" w:rsidRPr="00DD59BF" w:rsidRDefault="0086729D" w:rsidP="00DD59BF">
      <w:pPr>
        <w:suppressAutoHyphens/>
        <w:autoSpaceDN/>
        <w:adjustRightInd/>
        <w:spacing w:line="276" w:lineRule="auto"/>
        <w:ind w:firstLine="720"/>
        <w:jc w:val="both"/>
        <w:rPr>
          <w:rFonts w:eastAsia="SimSun;宋体"/>
          <w:lang w:eastAsia="zh-CN"/>
        </w:rPr>
      </w:pPr>
      <w:r w:rsidRPr="00DD59BF">
        <w:rPr>
          <w:rFonts w:eastAsia="SimSun;宋体"/>
          <w:lang w:eastAsia="zh-CN"/>
        </w:rPr>
        <w:t xml:space="preserve">Within CSR implementation, effectiveness extends beyond measuring the completion of activities or the </w:t>
      </w:r>
      <w:proofErr w:type="gramStart"/>
      <w:r w:rsidRPr="00DD59BF">
        <w:rPr>
          <w:rFonts w:eastAsia="SimSun;宋体"/>
          <w:lang w:eastAsia="zh-CN"/>
        </w:rPr>
        <w:t>amount</w:t>
      </w:r>
      <w:proofErr w:type="gramEnd"/>
      <w:r w:rsidRPr="00DD59BF">
        <w:rPr>
          <w:rFonts w:eastAsia="SimSun;宋体"/>
          <w:lang w:eastAsia="zh-CN"/>
        </w:rPr>
        <w:t xml:space="preserve"> of financial resources distributed. Effective CSR programs should generate sustainable improvements in beneficiaries' welfare, strengthen institutional credibility, encourage community participation, and create measurable social transformation. Therefore, CSR effectiveness should be evaluated using multiple dimensions rather than relying on a single performance indicator.</w:t>
      </w:r>
    </w:p>
    <w:p w14:paraId="422E20E8" w14:textId="1C14DE67" w:rsidR="0086729D" w:rsidRPr="00DD59BF" w:rsidRDefault="0086729D" w:rsidP="00DD59BF">
      <w:pPr>
        <w:suppressAutoHyphens/>
        <w:autoSpaceDN/>
        <w:adjustRightInd/>
        <w:spacing w:line="276" w:lineRule="auto"/>
        <w:ind w:firstLine="720"/>
        <w:jc w:val="both"/>
        <w:rPr>
          <w:rFonts w:eastAsia="SimSun;宋体"/>
          <w:lang w:eastAsia="zh-CN"/>
        </w:rPr>
      </w:pPr>
      <w:r w:rsidRPr="00DD59BF">
        <w:rPr>
          <w:rFonts w:eastAsia="SimSun;宋体"/>
          <w:lang w:eastAsia="zh-CN"/>
        </w:rPr>
        <w:t>From the perspective of Islamic social finance, effectiveness encompasses both material and non-material achievements. Programs are expected to improve economic conditions while simultaneously strengthening ethical behavior, social solidarity, and religious awareness among beneficiaries. This holistic understanding differentiates Islamic CSR from conventional CSR evaluation models.</w:t>
      </w:r>
    </w:p>
    <w:p w14:paraId="7EB132F4" w14:textId="77777777" w:rsidR="0086729D" w:rsidRPr="00DD59BF" w:rsidRDefault="0086729D" w:rsidP="00DD59BF">
      <w:pPr>
        <w:suppressAutoHyphens/>
        <w:autoSpaceDN/>
        <w:adjustRightInd/>
        <w:spacing w:line="276" w:lineRule="auto"/>
        <w:ind w:firstLine="720"/>
        <w:jc w:val="both"/>
        <w:rPr>
          <w:rFonts w:eastAsia="SimSun;宋体"/>
          <w:b/>
          <w:bCs/>
          <w:lang w:eastAsia="zh-CN"/>
        </w:rPr>
      </w:pPr>
      <w:proofErr w:type="spellStart"/>
      <w:r w:rsidRPr="00DD59BF">
        <w:rPr>
          <w:rFonts w:eastAsia="SimSun;宋体"/>
          <w:b/>
          <w:bCs/>
          <w:lang w:eastAsia="zh-CN"/>
        </w:rPr>
        <w:t>Maqashid</w:t>
      </w:r>
      <w:proofErr w:type="spellEnd"/>
      <w:r w:rsidRPr="00DD59BF">
        <w:rPr>
          <w:rFonts w:eastAsia="SimSun;宋体"/>
          <w:b/>
          <w:bCs/>
          <w:lang w:eastAsia="zh-CN"/>
        </w:rPr>
        <w:t xml:space="preserve"> Sharia as the Foundation of Islamic CSR</w:t>
      </w:r>
    </w:p>
    <w:p w14:paraId="6EFCB033" w14:textId="77777777" w:rsidR="0086729D" w:rsidRPr="00DD59BF" w:rsidRDefault="0086729D" w:rsidP="00DD59BF">
      <w:pPr>
        <w:suppressAutoHyphens/>
        <w:autoSpaceDN/>
        <w:adjustRightInd/>
        <w:spacing w:line="276" w:lineRule="auto"/>
        <w:ind w:firstLine="720"/>
        <w:jc w:val="both"/>
        <w:rPr>
          <w:rFonts w:eastAsia="SimSun;宋体"/>
          <w:lang w:eastAsia="zh-CN"/>
        </w:rPr>
      </w:pPr>
      <w:proofErr w:type="spellStart"/>
      <w:r w:rsidRPr="00DD59BF">
        <w:rPr>
          <w:rFonts w:eastAsia="SimSun;宋体"/>
          <w:i/>
          <w:iCs/>
          <w:lang w:eastAsia="zh-CN"/>
        </w:rPr>
        <w:t>Maqashid</w:t>
      </w:r>
      <w:proofErr w:type="spellEnd"/>
      <w:r w:rsidRPr="00DD59BF">
        <w:rPr>
          <w:rFonts w:eastAsia="SimSun;宋体"/>
          <w:i/>
          <w:iCs/>
          <w:lang w:eastAsia="zh-CN"/>
        </w:rPr>
        <w:t xml:space="preserve"> sharia</w:t>
      </w:r>
      <w:r w:rsidRPr="00DD59BF">
        <w:rPr>
          <w:rFonts w:eastAsia="SimSun;宋体"/>
          <w:lang w:eastAsia="zh-CN"/>
        </w:rPr>
        <w:t xml:space="preserve"> provides the normative foundation for Islamic Corporate Social Responsibility by emphasizing comprehensive human welfare. According to classical Islamic scholars, the objectives of Islamic law consist of preserving religion (</w:t>
      </w:r>
      <w:proofErr w:type="spellStart"/>
      <w:r w:rsidRPr="00DD59BF">
        <w:rPr>
          <w:rFonts w:eastAsia="SimSun;宋体"/>
          <w:i/>
          <w:iCs/>
          <w:lang w:eastAsia="zh-CN"/>
        </w:rPr>
        <w:t>hifz</w:t>
      </w:r>
      <w:proofErr w:type="spellEnd"/>
      <w:r w:rsidRPr="00DD59BF">
        <w:rPr>
          <w:rFonts w:eastAsia="SimSun;宋体"/>
          <w:i/>
          <w:iCs/>
          <w:lang w:eastAsia="zh-CN"/>
        </w:rPr>
        <w:t xml:space="preserve"> </w:t>
      </w:r>
      <w:proofErr w:type="spellStart"/>
      <w:r w:rsidRPr="00DD59BF">
        <w:rPr>
          <w:rFonts w:eastAsia="SimSun;宋体"/>
          <w:i/>
          <w:iCs/>
          <w:lang w:eastAsia="zh-CN"/>
        </w:rPr>
        <w:t>ad-din</w:t>
      </w:r>
      <w:proofErr w:type="spellEnd"/>
      <w:r w:rsidRPr="00DD59BF">
        <w:rPr>
          <w:rFonts w:eastAsia="SimSun;宋体"/>
          <w:lang w:eastAsia="zh-CN"/>
        </w:rPr>
        <w:t>), life (</w:t>
      </w:r>
      <w:proofErr w:type="spellStart"/>
      <w:r w:rsidRPr="00DD59BF">
        <w:rPr>
          <w:rFonts w:eastAsia="SimSun;宋体"/>
          <w:i/>
          <w:iCs/>
          <w:lang w:eastAsia="zh-CN"/>
        </w:rPr>
        <w:t>hifz</w:t>
      </w:r>
      <w:proofErr w:type="spellEnd"/>
      <w:r w:rsidRPr="00DD59BF">
        <w:rPr>
          <w:rFonts w:eastAsia="SimSun;宋体"/>
          <w:i/>
          <w:iCs/>
          <w:lang w:eastAsia="zh-CN"/>
        </w:rPr>
        <w:t xml:space="preserve"> an-</w:t>
      </w:r>
      <w:proofErr w:type="spellStart"/>
      <w:r w:rsidRPr="00DD59BF">
        <w:rPr>
          <w:rFonts w:eastAsia="SimSun;宋体"/>
          <w:i/>
          <w:iCs/>
          <w:lang w:eastAsia="zh-CN"/>
        </w:rPr>
        <w:t>nafs</w:t>
      </w:r>
      <w:proofErr w:type="spellEnd"/>
      <w:r w:rsidRPr="00DD59BF">
        <w:rPr>
          <w:rFonts w:eastAsia="SimSun;宋体"/>
          <w:lang w:eastAsia="zh-CN"/>
        </w:rPr>
        <w:t>), intellect (</w:t>
      </w:r>
      <w:proofErr w:type="spellStart"/>
      <w:r w:rsidRPr="00DD59BF">
        <w:rPr>
          <w:rFonts w:eastAsia="SimSun;宋体"/>
          <w:i/>
          <w:iCs/>
          <w:lang w:eastAsia="zh-CN"/>
        </w:rPr>
        <w:t>hifz</w:t>
      </w:r>
      <w:proofErr w:type="spellEnd"/>
      <w:r w:rsidRPr="00DD59BF">
        <w:rPr>
          <w:rFonts w:eastAsia="SimSun;宋体"/>
          <w:i/>
          <w:iCs/>
          <w:lang w:eastAsia="zh-CN"/>
        </w:rPr>
        <w:t xml:space="preserve"> al-'</w:t>
      </w:r>
      <w:proofErr w:type="spellStart"/>
      <w:r w:rsidRPr="00DD59BF">
        <w:rPr>
          <w:rFonts w:eastAsia="SimSun;宋体"/>
          <w:i/>
          <w:iCs/>
          <w:lang w:eastAsia="zh-CN"/>
        </w:rPr>
        <w:t>aql</w:t>
      </w:r>
      <w:proofErr w:type="spellEnd"/>
      <w:r w:rsidRPr="00DD59BF">
        <w:rPr>
          <w:rFonts w:eastAsia="SimSun;宋体"/>
          <w:lang w:eastAsia="zh-CN"/>
        </w:rPr>
        <w:t>), lineage (</w:t>
      </w:r>
      <w:proofErr w:type="spellStart"/>
      <w:r w:rsidRPr="00DD59BF">
        <w:rPr>
          <w:rFonts w:eastAsia="SimSun;宋体"/>
          <w:i/>
          <w:iCs/>
          <w:lang w:eastAsia="zh-CN"/>
        </w:rPr>
        <w:t>hifz</w:t>
      </w:r>
      <w:proofErr w:type="spellEnd"/>
      <w:r w:rsidRPr="00DD59BF">
        <w:rPr>
          <w:rFonts w:eastAsia="SimSun;宋体"/>
          <w:i/>
          <w:iCs/>
          <w:lang w:eastAsia="zh-CN"/>
        </w:rPr>
        <w:t xml:space="preserve"> an-</w:t>
      </w:r>
      <w:proofErr w:type="spellStart"/>
      <w:r w:rsidRPr="00DD59BF">
        <w:rPr>
          <w:rFonts w:eastAsia="SimSun;宋体"/>
          <w:i/>
          <w:iCs/>
          <w:lang w:eastAsia="zh-CN"/>
        </w:rPr>
        <w:t>nasl</w:t>
      </w:r>
      <w:proofErr w:type="spellEnd"/>
      <w:r w:rsidRPr="00DD59BF">
        <w:rPr>
          <w:rFonts w:eastAsia="SimSun;宋体"/>
          <w:lang w:eastAsia="zh-CN"/>
        </w:rPr>
        <w:t>), and wealth (</w:t>
      </w:r>
      <w:proofErr w:type="spellStart"/>
      <w:r w:rsidRPr="00DD59BF">
        <w:rPr>
          <w:rFonts w:eastAsia="SimSun;宋体"/>
          <w:i/>
          <w:iCs/>
          <w:lang w:eastAsia="zh-CN"/>
        </w:rPr>
        <w:t>hifz</w:t>
      </w:r>
      <w:proofErr w:type="spellEnd"/>
      <w:r w:rsidRPr="00DD59BF">
        <w:rPr>
          <w:rFonts w:eastAsia="SimSun;宋体"/>
          <w:i/>
          <w:iCs/>
          <w:lang w:eastAsia="zh-CN"/>
        </w:rPr>
        <w:t xml:space="preserve"> al-mal</w:t>
      </w:r>
      <w:r w:rsidRPr="00DD59BF">
        <w:rPr>
          <w:rFonts w:eastAsia="SimSun;宋体"/>
          <w:lang w:eastAsia="zh-CN"/>
        </w:rPr>
        <w:t>). Contemporary Islamic economists further argue that these objectives should guide socio-economic development, including CSR implementation.</w:t>
      </w:r>
    </w:p>
    <w:p w14:paraId="6F009494" w14:textId="77777777" w:rsidR="0086729D" w:rsidRPr="00DD59BF" w:rsidRDefault="0086729D" w:rsidP="00DD59BF">
      <w:pPr>
        <w:suppressAutoHyphens/>
        <w:autoSpaceDN/>
        <w:adjustRightInd/>
        <w:spacing w:line="276" w:lineRule="auto"/>
        <w:ind w:firstLine="720"/>
        <w:jc w:val="both"/>
        <w:rPr>
          <w:rFonts w:eastAsia="SimSun;宋体"/>
          <w:lang w:eastAsia="zh-CN"/>
        </w:rPr>
      </w:pPr>
      <w:r w:rsidRPr="00DD59BF">
        <w:rPr>
          <w:rFonts w:eastAsia="SimSun;宋体"/>
          <w:lang w:eastAsia="zh-CN"/>
        </w:rPr>
        <w:t xml:space="preserve">The application of </w:t>
      </w:r>
      <w:proofErr w:type="spellStart"/>
      <w:r w:rsidRPr="00DD59BF">
        <w:rPr>
          <w:rFonts w:eastAsia="SimSun;宋体"/>
          <w:i/>
          <w:iCs/>
          <w:lang w:eastAsia="zh-CN"/>
        </w:rPr>
        <w:t>maqashid</w:t>
      </w:r>
      <w:proofErr w:type="spellEnd"/>
      <w:r w:rsidRPr="00DD59BF">
        <w:rPr>
          <w:rFonts w:eastAsia="SimSun;宋体"/>
          <w:i/>
          <w:iCs/>
          <w:lang w:eastAsia="zh-CN"/>
        </w:rPr>
        <w:t xml:space="preserve"> sharia</w:t>
      </w:r>
      <w:r w:rsidRPr="00DD59BF">
        <w:rPr>
          <w:rFonts w:eastAsia="SimSun;宋体"/>
          <w:lang w:eastAsia="zh-CN"/>
        </w:rPr>
        <w:t xml:space="preserve"> within CSR encourages organizations to design programs that improve not only economic welfare but also educational opportunities, health conditions, social cohesion, ethical awareness, and spiritual well-being. Consequently, Islamic social finance-based CSR seeks to achieve </w:t>
      </w:r>
      <w:proofErr w:type="spellStart"/>
      <w:r w:rsidRPr="00DD59BF">
        <w:rPr>
          <w:rFonts w:eastAsia="SimSun;宋体"/>
          <w:i/>
          <w:iCs/>
          <w:lang w:eastAsia="zh-CN"/>
        </w:rPr>
        <w:t>falah</w:t>
      </w:r>
      <w:proofErr w:type="spellEnd"/>
      <w:r w:rsidRPr="00DD59BF">
        <w:rPr>
          <w:rFonts w:eastAsia="SimSun;宋体"/>
          <w:lang w:eastAsia="zh-CN"/>
        </w:rPr>
        <w:t>, which represents balanced prosperity in both worldly and spiritual dimensions.</w:t>
      </w:r>
    </w:p>
    <w:p w14:paraId="2D126EDD" w14:textId="3B89447A" w:rsidR="0086729D" w:rsidRPr="00DD59BF" w:rsidRDefault="0086729D" w:rsidP="00DD59BF">
      <w:pPr>
        <w:suppressAutoHyphens/>
        <w:autoSpaceDN/>
        <w:adjustRightInd/>
        <w:spacing w:line="276" w:lineRule="auto"/>
        <w:ind w:firstLine="720"/>
        <w:jc w:val="both"/>
        <w:rPr>
          <w:rFonts w:eastAsia="SimSun;宋体"/>
          <w:lang w:eastAsia="zh-CN"/>
        </w:rPr>
      </w:pPr>
      <w:r w:rsidRPr="00DD59BF">
        <w:rPr>
          <w:rFonts w:eastAsia="SimSun;宋体"/>
          <w:lang w:eastAsia="zh-CN"/>
        </w:rPr>
        <w:t>This perspective implies that successful CSR programs cannot be evaluated solely through financial indicators. Instead, effectiveness should also consider beneficiaries' perceptions regarding transparency, fairness, empowerment, participation, institutional integrity, and spiritual development.</w:t>
      </w:r>
    </w:p>
    <w:p w14:paraId="3733E49C" w14:textId="77777777" w:rsidR="0086729D" w:rsidRPr="00DD59BF" w:rsidRDefault="0086729D" w:rsidP="00DD59BF">
      <w:pPr>
        <w:suppressAutoHyphens/>
        <w:autoSpaceDN/>
        <w:adjustRightInd/>
        <w:spacing w:line="276" w:lineRule="auto"/>
        <w:ind w:firstLine="720"/>
        <w:jc w:val="both"/>
        <w:rPr>
          <w:rFonts w:eastAsia="SimSun;宋体"/>
          <w:b/>
          <w:bCs/>
          <w:lang w:eastAsia="zh-CN"/>
        </w:rPr>
      </w:pPr>
      <w:r w:rsidRPr="00DD59BF">
        <w:rPr>
          <w:rFonts w:eastAsia="SimSun;宋体"/>
          <w:b/>
          <w:bCs/>
          <w:lang w:eastAsia="zh-CN"/>
        </w:rPr>
        <w:t>Previous Studies</w:t>
      </w:r>
    </w:p>
    <w:p w14:paraId="5CD603B8" w14:textId="77777777" w:rsidR="0086729D" w:rsidRPr="00DD59BF" w:rsidRDefault="0086729D" w:rsidP="00DD59BF">
      <w:pPr>
        <w:suppressAutoHyphens/>
        <w:autoSpaceDN/>
        <w:adjustRightInd/>
        <w:spacing w:line="276" w:lineRule="auto"/>
        <w:ind w:firstLine="720"/>
        <w:jc w:val="both"/>
        <w:rPr>
          <w:rFonts w:eastAsia="SimSun;宋体"/>
          <w:lang w:eastAsia="zh-CN"/>
        </w:rPr>
      </w:pPr>
      <w:r w:rsidRPr="00DD59BF">
        <w:rPr>
          <w:rFonts w:eastAsia="SimSun;宋体"/>
          <w:lang w:eastAsia="zh-CN"/>
        </w:rPr>
        <w:t>Research concerning Islamic Corporate Social Responsibility has expanded considerably during the last decade. Nevertheless, existing studies generally focus on conceptual discussions, governance practices, CSR disclosure, or institutional compliance rather than developing empirical models of CSR effectiveness.</w:t>
      </w:r>
    </w:p>
    <w:p w14:paraId="19599BE3" w14:textId="77777777" w:rsidR="0086729D" w:rsidRPr="00DD59BF" w:rsidRDefault="0086729D" w:rsidP="00DD59BF">
      <w:pPr>
        <w:suppressAutoHyphens/>
        <w:autoSpaceDN/>
        <w:adjustRightInd/>
        <w:spacing w:line="276" w:lineRule="auto"/>
        <w:ind w:firstLine="720"/>
        <w:jc w:val="both"/>
        <w:rPr>
          <w:rFonts w:eastAsia="SimSun;宋体"/>
          <w:lang w:eastAsia="zh-CN"/>
        </w:rPr>
      </w:pPr>
      <w:proofErr w:type="spellStart"/>
      <w:r w:rsidRPr="00DD59BF">
        <w:rPr>
          <w:rFonts w:eastAsia="SimSun;宋体"/>
          <w:lang w:eastAsia="zh-CN"/>
        </w:rPr>
        <w:t>Febriyati</w:t>
      </w:r>
      <w:proofErr w:type="spellEnd"/>
      <w:r w:rsidRPr="00DD59BF">
        <w:rPr>
          <w:rFonts w:eastAsia="SimSun;宋体"/>
          <w:lang w:eastAsia="zh-CN"/>
        </w:rPr>
        <w:t xml:space="preserve"> and Arfah (2020) proposed a conceptual framework explaining Islamic Corporate Social Responsibility from an ethical perspective. Their study emphasizes Islamic principles as the foundation of CSR implementation but does not empirically validate the proposed framework.</w:t>
      </w:r>
    </w:p>
    <w:p w14:paraId="1DBE187A" w14:textId="77777777" w:rsidR="0086729D" w:rsidRPr="00DD59BF" w:rsidRDefault="0086729D" w:rsidP="00DD59BF">
      <w:pPr>
        <w:suppressAutoHyphens/>
        <w:autoSpaceDN/>
        <w:adjustRightInd/>
        <w:spacing w:line="276" w:lineRule="auto"/>
        <w:ind w:firstLine="720"/>
        <w:jc w:val="both"/>
        <w:rPr>
          <w:rFonts w:eastAsia="SimSun;宋体"/>
          <w:lang w:eastAsia="zh-CN"/>
        </w:rPr>
      </w:pPr>
      <w:proofErr w:type="spellStart"/>
      <w:r w:rsidRPr="00DD59BF">
        <w:rPr>
          <w:rFonts w:eastAsia="SimSun;宋体"/>
          <w:lang w:eastAsia="zh-CN"/>
        </w:rPr>
        <w:t>Indriani</w:t>
      </w:r>
      <w:proofErr w:type="spellEnd"/>
      <w:r w:rsidRPr="00DD59BF">
        <w:rPr>
          <w:rFonts w:eastAsia="SimSun;宋体"/>
          <w:lang w:eastAsia="zh-CN"/>
        </w:rPr>
        <w:t xml:space="preserve"> et al. (2021) investigated the implementation of </w:t>
      </w:r>
      <w:proofErr w:type="spellStart"/>
      <w:r w:rsidRPr="00DD59BF">
        <w:rPr>
          <w:rFonts w:eastAsia="SimSun;宋体"/>
          <w:i/>
          <w:iCs/>
          <w:lang w:eastAsia="zh-CN"/>
        </w:rPr>
        <w:t>maqashid</w:t>
      </w:r>
      <w:proofErr w:type="spellEnd"/>
      <w:r w:rsidRPr="00DD59BF">
        <w:rPr>
          <w:rFonts w:eastAsia="SimSun;宋体"/>
          <w:i/>
          <w:iCs/>
          <w:lang w:eastAsia="zh-CN"/>
        </w:rPr>
        <w:t xml:space="preserve"> sharia</w:t>
      </w:r>
      <w:r w:rsidRPr="00DD59BF">
        <w:rPr>
          <w:rFonts w:eastAsia="SimSun;宋体"/>
          <w:lang w:eastAsia="zh-CN"/>
        </w:rPr>
        <w:t xml:space="preserve"> in Islamic Corporate Social Responsibility practices. Their findings indicate that Islamic financial institutions generally implement CSR activities consistent with Islamic principles. However, the evaluation mainly measures institutional compliance rather than beneficiaries' perceptions of program effectiveness.</w:t>
      </w:r>
    </w:p>
    <w:p w14:paraId="20BDBEF6" w14:textId="77777777" w:rsidR="0086729D" w:rsidRPr="00DD59BF" w:rsidRDefault="0086729D" w:rsidP="00DD59BF">
      <w:pPr>
        <w:suppressAutoHyphens/>
        <w:autoSpaceDN/>
        <w:adjustRightInd/>
        <w:spacing w:line="276" w:lineRule="auto"/>
        <w:ind w:firstLine="720"/>
        <w:jc w:val="both"/>
        <w:rPr>
          <w:rFonts w:eastAsia="SimSun;宋体"/>
          <w:lang w:eastAsia="zh-CN"/>
        </w:rPr>
      </w:pPr>
      <w:r w:rsidRPr="00DD59BF">
        <w:rPr>
          <w:rFonts w:eastAsia="SimSun;宋体"/>
          <w:lang w:eastAsia="zh-CN"/>
        </w:rPr>
        <w:t>Jamaludin et al. (2023) examined the integration of corporate zakat and CSR in Islamic financial institutions. Their study concluded that integrating Islamic social finance strengthens community empowerment and contributes to sustainable development. Nevertheless, the research focuses primarily on program implementation rather than identifying the latent determinants of effectiveness.</w:t>
      </w:r>
    </w:p>
    <w:p w14:paraId="2A53B783" w14:textId="77777777" w:rsidR="0086729D" w:rsidRPr="00DD59BF" w:rsidRDefault="0086729D" w:rsidP="00DD59BF">
      <w:pPr>
        <w:suppressAutoHyphens/>
        <w:autoSpaceDN/>
        <w:adjustRightInd/>
        <w:spacing w:line="276" w:lineRule="auto"/>
        <w:ind w:firstLine="720"/>
        <w:jc w:val="both"/>
        <w:rPr>
          <w:rFonts w:eastAsia="SimSun;宋体"/>
          <w:lang w:eastAsia="zh-CN"/>
        </w:rPr>
      </w:pPr>
      <w:r w:rsidRPr="00DD59BF">
        <w:rPr>
          <w:rFonts w:eastAsia="SimSun;宋体"/>
          <w:lang w:eastAsia="zh-CN"/>
        </w:rPr>
        <w:t xml:space="preserve">Putra and </w:t>
      </w:r>
      <w:proofErr w:type="spellStart"/>
      <w:r w:rsidRPr="00DD59BF">
        <w:rPr>
          <w:rFonts w:eastAsia="SimSun;宋体"/>
          <w:lang w:eastAsia="zh-CN"/>
        </w:rPr>
        <w:t>Juniwati</w:t>
      </w:r>
      <w:proofErr w:type="spellEnd"/>
      <w:r w:rsidRPr="00DD59BF">
        <w:rPr>
          <w:rFonts w:eastAsia="SimSun;宋体"/>
          <w:lang w:eastAsia="zh-CN"/>
        </w:rPr>
        <w:t xml:space="preserve"> (2024) demonstrated that governance quality and intellectual capital significantly improve </w:t>
      </w:r>
      <w:proofErr w:type="spellStart"/>
      <w:r w:rsidRPr="00DD59BF">
        <w:rPr>
          <w:rFonts w:eastAsia="SimSun;宋体"/>
          <w:i/>
          <w:iCs/>
          <w:lang w:eastAsia="zh-CN"/>
        </w:rPr>
        <w:t>maqashid</w:t>
      </w:r>
      <w:proofErr w:type="spellEnd"/>
      <w:r w:rsidRPr="00DD59BF">
        <w:rPr>
          <w:rFonts w:eastAsia="SimSun;宋体"/>
          <w:i/>
          <w:iCs/>
          <w:lang w:eastAsia="zh-CN"/>
        </w:rPr>
        <w:t xml:space="preserve"> sharia</w:t>
      </w:r>
      <w:r w:rsidRPr="00DD59BF">
        <w:rPr>
          <w:rFonts w:eastAsia="SimSun;宋体"/>
          <w:lang w:eastAsia="zh-CN"/>
        </w:rPr>
        <w:t xml:space="preserve"> performance within Islamic banking institutions. Their findings emphasize the importance of institutional governance but do not specifically evaluate CSR effectiveness from the community perspective.</w:t>
      </w:r>
    </w:p>
    <w:p w14:paraId="68B3F5C1" w14:textId="77777777" w:rsidR="0086729D" w:rsidRPr="00DD59BF" w:rsidRDefault="0086729D" w:rsidP="00DD59BF">
      <w:pPr>
        <w:suppressAutoHyphens/>
        <w:autoSpaceDN/>
        <w:adjustRightInd/>
        <w:spacing w:line="276" w:lineRule="auto"/>
        <w:ind w:firstLine="720"/>
        <w:jc w:val="both"/>
        <w:rPr>
          <w:rFonts w:eastAsia="SimSun;宋体"/>
          <w:lang w:eastAsia="zh-CN"/>
        </w:rPr>
      </w:pPr>
      <w:r w:rsidRPr="00DD59BF">
        <w:rPr>
          <w:rFonts w:eastAsia="SimSun;宋体"/>
          <w:lang w:eastAsia="zh-CN"/>
        </w:rPr>
        <w:t>Misbach (2019) introduced Exploratory Factor Analysis as a useful statistical approach for developing Islamic research constructs. Although the study demonstrates the methodological advantages of EFA, it was not specifically designed to investigate Islamic Corporate Social Responsibility.</w:t>
      </w:r>
    </w:p>
    <w:p w14:paraId="3B2DA19F" w14:textId="2BC8A01E" w:rsidR="00652D0F" w:rsidRPr="00DD59BF" w:rsidRDefault="0086729D" w:rsidP="00DD59BF">
      <w:pPr>
        <w:suppressAutoHyphens/>
        <w:autoSpaceDN/>
        <w:adjustRightInd/>
        <w:spacing w:line="276" w:lineRule="auto"/>
        <w:ind w:firstLine="720"/>
        <w:jc w:val="both"/>
        <w:rPr>
          <w:rFonts w:eastAsia="SimSun;宋体"/>
          <w:lang w:eastAsia="zh-CN"/>
        </w:rPr>
      </w:pPr>
      <w:r w:rsidRPr="00DD59BF">
        <w:rPr>
          <w:rFonts w:eastAsia="SimSun;宋体"/>
          <w:lang w:eastAsia="zh-CN"/>
        </w:rPr>
        <w:t>Overall, previous studies have substantially enriched theoretical discussions concerning Islamic CSR. However, empirical investigations capable of identifying the multidimensional structure of CSR effectiveness from beneficiaries' perspectives remain limited.</w:t>
      </w:r>
    </w:p>
    <w:p w14:paraId="609E15EB" w14:textId="4B60B1B0" w:rsidR="00652D0F" w:rsidRPr="00DD59BF" w:rsidRDefault="004B1CDD" w:rsidP="00DD59BF">
      <w:pPr>
        <w:suppressAutoHyphens/>
        <w:autoSpaceDN/>
        <w:adjustRightInd/>
        <w:spacing w:line="276" w:lineRule="auto"/>
        <w:jc w:val="center"/>
        <w:rPr>
          <w:rFonts w:eastAsia="SimSun;宋体"/>
          <w:b/>
          <w:lang w:eastAsia="zh-CN"/>
        </w:rPr>
      </w:pPr>
      <w:r w:rsidRPr="00DD59BF">
        <w:rPr>
          <w:rFonts w:eastAsia="SimSun;宋体"/>
          <w:b/>
          <w:lang w:eastAsia="zh-CN"/>
        </w:rPr>
        <w:t xml:space="preserve">Table 1. </w:t>
      </w:r>
      <w:r w:rsidR="0086729D" w:rsidRPr="00DD59BF">
        <w:rPr>
          <w:rFonts w:eastAsia="SimSun;宋体"/>
          <w:b/>
          <w:lang w:eastAsia="zh-CN"/>
        </w:rPr>
        <w:t>Summary of Previous Studies</w:t>
      </w:r>
    </w:p>
    <w:tbl>
      <w:tblPr>
        <w:tblStyle w:val="TableGrid"/>
        <w:tblW w:w="0" w:type="auto"/>
        <w:tblLook w:val="04A0" w:firstRow="1" w:lastRow="0" w:firstColumn="1" w:lastColumn="0" w:noHBand="0" w:noVBand="1"/>
      </w:tblPr>
      <w:tblGrid>
        <w:gridCol w:w="1669"/>
        <w:gridCol w:w="1704"/>
        <w:gridCol w:w="1707"/>
        <w:gridCol w:w="2003"/>
        <w:gridCol w:w="1933"/>
      </w:tblGrid>
      <w:tr w:rsidR="00A63A46" w:rsidRPr="00DD59BF" w14:paraId="458526A8" w14:textId="77777777" w:rsidTr="00DD59BF">
        <w:tc>
          <w:tcPr>
            <w:tcW w:w="1669" w:type="dxa"/>
            <w:vAlign w:val="center"/>
          </w:tcPr>
          <w:p w14:paraId="2BBBCB50" w14:textId="4ECEE2C5" w:rsidR="00A63A46" w:rsidRPr="00DD59BF" w:rsidRDefault="00A63A46" w:rsidP="00DD59BF">
            <w:pPr>
              <w:suppressAutoHyphens/>
              <w:autoSpaceDN/>
              <w:adjustRightInd/>
              <w:spacing w:line="276" w:lineRule="auto"/>
              <w:jc w:val="center"/>
              <w:rPr>
                <w:rFonts w:eastAsia="SimSun;宋体"/>
                <w:b/>
                <w:bCs/>
                <w:lang w:eastAsia="zh-CN"/>
              </w:rPr>
            </w:pPr>
            <w:r w:rsidRPr="00DD59BF">
              <w:rPr>
                <w:b/>
                <w:bCs/>
              </w:rPr>
              <w:t>Authors</w:t>
            </w:r>
          </w:p>
        </w:tc>
        <w:tc>
          <w:tcPr>
            <w:tcW w:w="1704" w:type="dxa"/>
            <w:vAlign w:val="center"/>
          </w:tcPr>
          <w:p w14:paraId="5E7387F7" w14:textId="00FB0467" w:rsidR="00A63A46" w:rsidRPr="00DD59BF" w:rsidRDefault="00A63A46" w:rsidP="00DD59BF">
            <w:pPr>
              <w:suppressAutoHyphens/>
              <w:autoSpaceDN/>
              <w:adjustRightInd/>
              <w:spacing w:line="276" w:lineRule="auto"/>
              <w:jc w:val="center"/>
              <w:rPr>
                <w:rFonts w:eastAsia="SimSun;宋体"/>
                <w:b/>
                <w:bCs/>
                <w:lang w:eastAsia="zh-CN"/>
              </w:rPr>
            </w:pPr>
            <w:r w:rsidRPr="00DD59BF">
              <w:rPr>
                <w:b/>
                <w:bCs/>
              </w:rPr>
              <w:t>Focus</w:t>
            </w:r>
          </w:p>
        </w:tc>
        <w:tc>
          <w:tcPr>
            <w:tcW w:w="1707" w:type="dxa"/>
            <w:vAlign w:val="center"/>
          </w:tcPr>
          <w:p w14:paraId="1133E8A6" w14:textId="34892059" w:rsidR="00A63A46" w:rsidRPr="00DD59BF" w:rsidRDefault="00A63A46" w:rsidP="00DD59BF">
            <w:pPr>
              <w:suppressAutoHyphens/>
              <w:autoSpaceDN/>
              <w:adjustRightInd/>
              <w:spacing w:line="276" w:lineRule="auto"/>
              <w:jc w:val="center"/>
              <w:rPr>
                <w:rFonts w:eastAsia="SimSun;宋体"/>
                <w:b/>
                <w:bCs/>
                <w:lang w:eastAsia="zh-CN"/>
              </w:rPr>
            </w:pPr>
            <w:r w:rsidRPr="00DD59BF">
              <w:rPr>
                <w:b/>
                <w:bCs/>
              </w:rPr>
              <w:t>Method</w:t>
            </w:r>
          </w:p>
        </w:tc>
        <w:tc>
          <w:tcPr>
            <w:tcW w:w="2003" w:type="dxa"/>
            <w:vAlign w:val="center"/>
          </w:tcPr>
          <w:p w14:paraId="0F70DA96" w14:textId="322F2319" w:rsidR="00A63A46" w:rsidRPr="00DD59BF" w:rsidRDefault="00A63A46" w:rsidP="00DD59BF">
            <w:pPr>
              <w:suppressAutoHyphens/>
              <w:autoSpaceDN/>
              <w:adjustRightInd/>
              <w:spacing w:line="276" w:lineRule="auto"/>
              <w:jc w:val="center"/>
              <w:rPr>
                <w:rFonts w:eastAsia="SimSun;宋体"/>
                <w:b/>
                <w:bCs/>
                <w:lang w:eastAsia="zh-CN"/>
              </w:rPr>
            </w:pPr>
            <w:r w:rsidRPr="00DD59BF">
              <w:rPr>
                <w:b/>
                <w:bCs/>
              </w:rPr>
              <w:t>Findings</w:t>
            </w:r>
          </w:p>
        </w:tc>
        <w:tc>
          <w:tcPr>
            <w:tcW w:w="1933" w:type="dxa"/>
            <w:vAlign w:val="center"/>
          </w:tcPr>
          <w:p w14:paraId="777E5B65" w14:textId="36A6CDA9" w:rsidR="00A63A46" w:rsidRPr="00DD59BF" w:rsidRDefault="00A63A46" w:rsidP="00DD59BF">
            <w:pPr>
              <w:suppressAutoHyphens/>
              <w:autoSpaceDN/>
              <w:adjustRightInd/>
              <w:spacing w:line="276" w:lineRule="auto"/>
              <w:jc w:val="center"/>
              <w:rPr>
                <w:rFonts w:eastAsia="SimSun;宋体"/>
                <w:b/>
                <w:bCs/>
                <w:lang w:eastAsia="zh-CN"/>
              </w:rPr>
            </w:pPr>
            <w:r w:rsidRPr="00DD59BF">
              <w:rPr>
                <w:b/>
                <w:bCs/>
              </w:rPr>
              <w:t>Research Gap</w:t>
            </w:r>
          </w:p>
        </w:tc>
      </w:tr>
      <w:tr w:rsidR="00A63A46" w:rsidRPr="00DD59BF" w14:paraId="4095A359" w14:textId="77777777" w:rsidTr="00DD59BF">
        <w:tc>
          <w:tcPr>
            <w:tcW w:w="1669" w:type="dxa"/>
            <w:vAlign w:val="center"/>
          </w:tcPr>
          <w:p w14:paraId="2028C357" w14:textId="201DE992" w:rsidR="00A63A46" w:rsidRPr="00DD59BF" w:rsidRDefault="00A63A46" w:rsidP="00DD59BF">
            <w:pPr>
              <w:suppressAutoHyphens/>
              <w:autoSpaceDN/>
              <w:adjustRightInd/>
              <w:spacing w:line="276" w:lineRule="auto"/>
              <w:jc w:val="center"/>
              <w:rPr>
                <w:rFonts w:eastAsia="SimSun;宋体"/>
                <w:bCs/>
                <w:lang w:eastAsia="zh-CN"/>
              </w:rPr>
            </w:pPr>
            <w:proofErr w:type="spellStart"/>
            <w:r w:rsidRPr="00DD59BF">
              <w:t>Febriyati</w:t>
            </w:r>
            <w:proofErr w:type="spellEnd"/>
            <w:r w:rsidRPr="00DD59BF">
              <w:t xml:space="preserve"> &amp; Arfah (2020)</w:t>
            </w:r>
          </w:p>
        </w:tc>
        <w:tc>
          <w:tcPr>
            <w:tcW w:w="1704" w:type="dxa"/>
            <w:vAlign w:val="center"/>
          </w:tcPr>
          <w:p w14:paraId="56DA9EF2" w14:textId="3FB885A1" w:rsidR="00A63A46" w:rsidRPr="00DD59BF" w:rsidRDefault="00A63A46" w:rsidP="00DD59BF">
            <w:pPr>
              <w:suppressAutoHyphens/>
              <w:autoSpaceDN/>
              <w:adjustRightInd/>
              <w:spacing w:line="276" w:lineRule="auto"/>
              <w:jc w:val="center"/>
              <w:rPr>
                <w:rFonts w:eastAsia="SimSun;宋体"/>
                <w:bCs/>
                <w:lang w:eastAsia="zh-CN"/>
              </w:rPr>
            </w:pPr>
            <w:r w:rsidRPr="00DD59BF">
              <w:t>Islamic CSR Concept</w:t>
            </w:r>
          </w:p>
        </w:tc>
        <w:tc>
          <w:tcPr>
            <w:tcW w:w="1707" w:type="dxa"/>
            <w:vAlign w:val="center"/>
          </w:tcPr>
          <w:p w14:paraId="1C10888D" w14:textId="7156CB74" w:rsidR="00A63A46" w:rsidRPr="00DD59BF" w:rsidRDefault="00A63A46" w:rsidP="00DD59BF">
            <w:pPr>
              <w:suppressAutoHyphens/>
              <w:autoSpaceDN/>
              <w:adjustRightInd/>
              <w:spacing w:line="276" w:lineRule="auto"/>
              <w:jc w:val="center"/>
              <w:rPr>
                <w:rFonts w:eastAsia="SimSun;宋体"/>
                <w:bCs/>
                <w:lang w:eastAsia="zh-CN"/>
              </w:rPr>
            </w:pPr>
            <w:r w:rsidRPr="00DD59BF">
              <w:t>Conceptual</w:t>
            </w:r>
          </w:p>
        </w:tc>
        <w:tc>
          <w:tcPr>
            <w:tcW w:w="2003" w:type="dxa"/>
            <w:vAlign w:val="center"/>
          </w:tcPr>
          <w:p w14:paraId="41534C82" w14:textId="7B04FD8C" w:rsidR="00A63A46" w:rsidRPr="00DD59BF" w:rsidRDefault="00A63A46" w:rsidP="00DD59BF">
            <w:pPr>
              <w:suppressAutoHyphens/>
              <w:autoSpaceDN/>
              <w:adjustRightInd/>
              <w:spacing w:line="276" w:lineRule="auto"/>
              <w:jc w:val="center"/>
              <w:rPr>
                <w:rFonts w:eastAsia="SimSun;宋体"/>
                <w:bCs/>
                <w:lang w:eastAsia="zh-CN"/>
              </w:rPr>
            </w:pPr>
            <w:r w:rsidRPr="00DD59BF">
              <w:t>Developed Islamic CSR framework</w:t>
            </w:r>
          </w:p>
        </w:tc>
        <w:tc>
          <w:tcPr>
            <w:tcW w:w="1933" w:type="dxa"/>
            <w:vAlign w:val="center"/>
          </w:tcPr>
          <w:p w14:paraId="33AAF56A" w14:textId="086BC203" w:rsidR="00A63A46" w:rsidRPr="00DD59BF" w:rsidRDefault="00A63A46" w:rsidP="00DD59BF">
            <w:pPr>
              <w:suppressAutoHyphens/>
              <w:autoSpaceDN/>
              <w:adjustRightInd/>
              <w:spacing w:line="276" w:lineRule="auto"/>
              <w:jc w:val="center"/>
              <w:rPr>
                <w:rFonts w:eastAsia="SimSun;宋体"/>
                <w:bCs/>
                <w:lang w:eastAsia="zh-CN"/>
              </w:rPr>
            </w:pPr>
            <w:r w:rsidRPr="00DD59BF">
              <w:t>No empirical validation</w:t>
            </w:r>
          </w:p>
        </w:tc>
      </w:tr>
      <w:tr w:rsidR="00A63A46" w:rsidRPr="00DD59BF" w14:paraId="1A676058" w14:textId="77777777" w:rsidTr="00DD59BF">
        <w:tc>
          <w:tcPr>
            <w:tcW w:w="1669" w:type="dxa"/>
            <w:vAlign w:val="center"/>
          </w:tcPr>
          <w:p w14:paraId="47A85DE1" w14:textId="4B03D09D" w:rsidR="00A63A46" w:rsidRPr="00DD59BF" w:rsidRDefault="00A63A46" w:rsidP="00DD59BF">
            <w:pPr>
              <w:suppressAutoHyphens/>
              <w:autoSpaceDN/>
              <w:adjustRightInd/>
              <w:spacing w:line="276" w:lineRule="auto"/>
              <w:jc w:val="center"/>
              <w:rPr>
                <w:rFonts w:eastAsia="SimSun;宋体"/>
                <w:bCs/>
                <w:lang w:eastAsia="zh-CN"/>
              </w:rPr>
            </w:pPr>
            <w:proofErr w:type="spellStart"/>
            <w:r w:rsidRPr="00DD59BF">
              <w:t>Indriani</w:t>
            </w:r>
            <w:proofErr w:type="spellEnd"/>
            <w:r w:rsidRPr="00DD59BF">
              <w:t xml:space="preserve"> et al. (2021)</w:t>
            </w:r>
          </w:p>
        </w:tc>
        <w:tc>
          <w:tcPr>
            <w:tcW w:w="1704" w:type="dxa"/>
            <w:vAlign w:val="center"/>
          </w:tcPr>
          <w:p w14:paraId="212664B2" w14:textId="47444FBE" w:rsidR="00A63A46" w:rsidRPr="00DD59BF" w:rsidRDefault="00A63A46" w:rsidP="00DD59BF">
            <w:pPr>
              <w:suppressAutoHyphens/>
              <w:autoSpaceDN/>
              <w:adjustRightInd/>
              <w:spacing w:line="276" w:lineRule="auto"/>
              <w:jc w:val="center"/>
              <w:rPr>
                <w:rFonts w:eastAsia="SimSun;宋体"/>
                <w:bCs/>
                <w:lang w:eastAsia="zh-CN"/>
              </w:rPr>
            </w:pPr>
            <w:proofErr w:type="spellStart"/>
            <w:r w:rsidRPr="00DD59BF">
              <w:t>Maqashid</w:t>
            </w:r>
            <w:proofErr w:type="spellEnd"/>
            <w:r w:rsidRPr="00DD59BF">
              <w:t>-based CSR</w:t>
            </w:r>
          </w:p>
        </w:tc>
        <w:tc>
          <w:tcPr>
            <w:tcW w:w="1707" w:type="dxa"/>
            <w:vAlign w:val="center"/>
          </w:tcPr>
          <w:p w14:paraId="58F1BFFA" w14:textId="6D635733" w:rsidR="00A63A46" w:rsidRPr="00DD59BF" w:rsidRDefault="00A63A46" w:rsidP="00DD59BF">
            <w:pPr>
              <w:suppressAutoHyphens/>
              <w:autoSpaceDN/>
              <w:adjustRightInd/>
              <w:spacing w:line="276" w:lineRule="auto"/>
              <w:jc w:val="center"/>
              <w:rPr>
                <w:rFonts w:eastAsia="SimSun;宋体"/>
                <w:bCs/>
                <w:lang w:eastAsia="zh-CN"/>
              </w:rPr>
            </w:pPr>
            <w:r w:rsidRPr="00DD59BF">
              <w:t>Descriptive</w:t>
            </w:r>
          </w:p>
        </w:tc>
        <w:tc>
          <w:tcPr>
            <w:tcW w:w="2003" w:type="dxa"/>
            <w:vAlign w:val="center"/>
          </w:tcPr>
          <w:p w14:paraId="4D5EC651" w14:textId="22271E1E" w:rsidR="00A63A46" w:rsidRPr="00DD59BF" w:rsidRDefault="00A63A46" w:rsidP="00DD59BF">
            <w:pPr>
              <w:suppressAutoHyphens/>
              <w:autoSpaceDN/>
              <w:adjustRightInd/>
              <w:spacing w:line="276" w:lineRule="auto"/>
              <w:jc w:val="center"/>
              <w:rPr>
                <w:rFonts w:eastAsia="SimSun;宋体"/>
                <w:bCs/>
                <w:lang w:eastAsia="zh-CN"/>
              </w:rPr>
            </w:pPr>
            <w:r w:rsidRPr="00DD59BF">
              <w:t xml:space="preserve">CSR aligned with </w:t>
            </w:r>
            <w:proofErr w:type="spellStart"/>
            <w:r w:rsidRPr="00DD59BF">
              <w:t>maqashid</w:t>
            </w:r>
            <w:proofErr w:type="spellEnd"/>
            <w:r w:rsidRPr="00DD59BF">
              <w:t xml:space="preserve"> sharia</w:t>
            </w:r>
          </w:p>
        </w:tc>
        <w:tc>
          <w:tcPr>
            <w:tcW w:w="1933" w:type="dxa"/>
            <w:vAlign w:val="center"/>
          </w:tcPr>
          <w:p w14:paraId="47EAEBDD" w14:textId="151B2497" w:rsidR="00A63A46" w:rsidRPr="00DD59BF" w:rsidRDefault="00A63A46" w:rsidP="00DD59BF">
            <w:pPr>
              <w:suppressAutoHyphens/>
              <w:autoSpaceDN/>
              <w:adjustRightInd/>
              <w:spacing w:line="276" w:lineRule="auto"/>
              <w:jc w:val="center"/>
              <w:rPr>
                <w:rFonts w:eastAsia="SimSun;宋体"/>
                <w:bCs/>
                <w:lang w:eastAsia="zh-CN"/>
              </w:rPr>
            </w:pPr>
            <w:r w:rsidRPr="00DD59BF">
              <w:t>Effectiveness not evaluated</w:t>
            </w:r>
          </w:p>
        </w:tc>
      </w:tr>
      <w:tr w:rsidR="00A63A46" w:rsidRPr="00DD59BF" w14:paraId="0B962722" w14:textId="77777777" w:rsidTr="00DD59BF">
        <w:tc>
          <w:tcPr>
            <w:tcW w:w="1669" w:type="dxa"/>
            <w:vAlign w:val="center"/>
          </w:tcPr>
          <w:p w14:paraId="0AE7C865" w14:textId="2C1C8422" w:rsidR="00A63A46" w:rsidRPr="00DD59BF" w:rsidRDefault="00A63A46" w:rsidP="00DD59BF">
            <w:pPr>
              <w:suppressAutoHyphens/>
              <w:autoSpaceDN/>
              <w:adjustRightInd/>
              <w:spacing w:line="276" w:lineRule="auto"/>
              <w:jc w:val="center"/>
              <w:rPr>
                <w:rFonts w:eastAsia="SimSun;宋体"/>
                <w:bCs/>
                <w:lang w:eastAsia="zh-CN"/>
              </w:rPr>
            </w:pPr>
            <w:r w:rsidRPr="00DD59BF">
              <w:t>Jamaludin et al. (2023)</w:t>
            </w:r>
          </w:p>
        </w:tc>
        <w:tc>
          <w:tcPr>
            <w:tcW w:w="1704" w:type="dxa"/>
            <w:vAlign w:val="center"/>
          </w:tcPr>
          <w:p w14:paraId="78FF758C" w14:textId="4226C7F8" w:rsidR="00A63A46" w:rsidRPr="00DD59BF" w:rsidRDefault="00A63A46" w:rsidP="00DD59BF">
            <w:pPr>
              <w:suppressAutoHyphens/>
              <w:autoSpaceDN/>
              <w:adjustRightInd/>
              <w:spacing w:line="276" w:lineRule="auto"/>
              <w:jc w:val="center"/>
              <w:rPr>
                <w:rFonts w:eastAsia="SimSun;宋体"/>
                <w:bCs/>
                <w:lang w:eastAsia="zh-CN"/>
              </w:rPr>
            </w:pPr>
            <w:r w:rsidRPr="00DD59BF">
              <w:t>Corporate Zakat Integration</w:t>
            </w:r>
          </w:p>
        </w:tc>
        <w:tc>
          <w:tcPr>
            <w:tcW w:w="1707" w:type="dxa"/>
            <w:vAlign w:val="center"/>
          </w:tcPr>
          <w:p w14:paraId="7B4D782A" w14:textId="74BA8684" w:rsidR="00A63A46" w:rsidRPr="00DD59BF" w:rsidRDefault="00A63A46" w:rsidP="00DD59BF">
            <w:pPr>
              <w:suppressAutoHyphens/>
              <w:autoSpaceDN/>
              <w:adjustRightInd/>
              <w:spacing w:line="276" w:lineRule="auto"/>
              <w:jc w:val="center"/>
              <w:rPr>
                <w:rFonts w:eastAsia="SimSun;宋体"/>
                <w:bCs/>
                <w:lang w:eastAsia="zh-CN"/>
              </w:rPr>
            </w:pPr>
            <w:r w:rsidRPr="00DD59BF">
              <w:t>Case Study</w:t>
            </w:r>
          </w:p>
        </w:tc>
        <w:tc>
          <w:tcPr>
            <w:tcW w:w="2003" w:type="dxa"/>
            <w:vAlign w:val="center"/>
          </w:tcPr>
          <w:p w14:paraId="6607CA48" w14:textId="29600A74" w:rsidR="00A63A46" w:rsidRPr="00DD59BF" w:rsidRDefault="00A63A46" w:rsidP="00DD59BF">
            <w:pPr>
              <w:suppressAutoHyphens/>
              <w:autoSpaceDN/>
              <w:adjustRightInd/>
              <w:spacing w:line="276" w:lineRule="auto"/>
              <w:jc w:val="center"/>
              <w:rPr>
                <w:rFonts w:eastAsia="SimSun;宋体"/>
                <w:bCs/>
                <w:lang w:eastAsia="zh-CN"/>
              </w:rPr>
            </w:pPr>
            <w:r w:rsidRPr="00DD59BF">
              <w:t>CSR and zakat strengthen empowerment</w:t>
            </w:r>
          </w:p>
        </w:tc>
        <w:tc>
          <w:tcPr>
            <w:tcW w:w="1933" w:type="dxa"/>
            <w:vAlign w:val="center"/>
          </w:tcPr>
          <w:p w14:paraId="53E82311" w14:textId="4AFEE043" w:rsidR="00A63A46" w:rsidRPr="00DD59BF" w:rsidRDefault="00A63A46" w:rsidP="00DD59BF">
            <w:pPr>
              <w:suppressAutoHyphens/>
              <w:autoSpaceDN/>
              <w:adjustRightInd/>
              <w:spacing w:line="276" w:lineRule="auto"/>
              <w:jc w:val="center"/>
              <w:rPr>
                <w:rFonts w:eastAsia="SimSun;宋体"/>
                <w:bCs/>
                <w:lang w:eastAsia="zh-CN"/>
              </w:rPr>
            </w:pPr>
            <w:r w:rsidRPr="00DD59BF">
              <w:t>Latent dimensions unexplored</w:t>
            </w:r>
          </w:p>
        </w:tc>
      </w:tr>
      <w:tr w:rsidR="00A63A46" w:rsidRPr="00DD59BF" w14:paraId="7014728F" w14:textId="77777777" w:rsidTr="00DD59BF">
        <w:tc>
          <w:tcPr>
            <w:tcW w:w="1669" w:type="dxa"/>
            <w:vAlign w:val="center"/>
          </w:tcPr>
          <w:p w14:paraId="1A6802AB" w14:textId="058F4C54" w:rsidR="00A63A46" w:rsidRPr="00DD59BF" w:rsidRDefault="00A63A46" w:rsidP="00DD59BF">
            <w:pPr>
              <w:suppressAutoHyphens/>
              <w:autoSpaceDN/>
              <w:adjustRightInd/>
              <w:spacing w:line="276" w:lineRule="auto"/>
              <w:jc w:val="center"/>
              <w:rPr>
                <w:rFonts w:eastAsia="SimSun;宋体"/>
                <w:bCs/>
                <w:lang w:eastAsia="zh-CN"/>
              </w:rPr>
            </w:pPr>
            <w:r w:rsidRPr="00DD59BF">
              <w:t xml:space="preserve">Putra &amp; </w:t>
            </w:r>
            <w:proofErr w:type="spellStart"/>
            <w:r w:rsidRPr="00DD59BF">
              <w:t>Juniwati</w:t>
            </w:r>
            <w:proofErr w:type="spellEnd"/>
            <w:r w:rsidRPr="00DD59BF">
              <w:t xml:space="preserve"> (2024)</w:t>
            </w:r>
          </w:p>
        </w:tc>
        <w:tc>
          <w:tcPr>
            <w:tcW w:w="1704" w:type="dxa"/>
            <w:vAlign w:val="center"/>
          </w:tcPr>
          <w:p w14:paraId="233B2042" w14:textId="0E89CD76" w:rsidR="00A63A46" w:rsidRPr="00DD59BF" w:rsidRDefault="00A63A46" w:rsidP="00DD59BF">
            <w:pPr>
              <w:suppressAutoHyphens/>
              <w:autoSpaceDN/>
              <w:adjustRightInd/>
              <w:spacing w:line="276" w:lineRule="auto"/>
              <w:jc w:val="center"/>
              <w:rPr>
                <w:rFonts w:eastAsia="SimSun;宋体"/>
                <w:bCs/>
                <w:lang w:eastAsia="zh-CN"/>
              </w:rPr>
            </w:pPr>
            <w:r w:rsidRPr="00DD59BF">
              <w:t xml:space="preserve">Governance and </w:t>
            </w:r>
            <w:proofErr w:type="spellStart"/>
            <w:r w:rsidRPr="00DD59BF">
              <w:t>Maqashid</w:t>
            </w:r>
            <w:proofErr w:type="spellEnd"/>
          </w:p>
        </w:tc>
        <w:tc>
          <w:tcPr>
            <w:tcW w:w="1707" w:type="dxa"/>
            <w:vAlign w:val="center"/>
          </w:tcPr>
          <w:p w14:paraId="2E51380E" w14:textId="1148EFFF" w:rsidR="00A63A46" w:rsidRPr="00DD59BF" w:rsidRDefault="00A63A46" w:rsidP="00DD59BF">
            <w:pPr>
              <w:suppressAutoHyphens/>
              <w:autoSpaceDN/>
              <w:adjustRightInd/>
              <w:spacing w:line="276" w:lineRule="auto"/>
              <w:jc w:val="center"/>
              <w:rPr>
                <w:rFonts w:eastAsia="SimSun;宋体"/>
                <w:bCs/>
                <w:lang w:eastAsia="zh-CN"/>
              </w:rPr>
            </w:pPr>
            <w:r w:rsidRPr="00DD59BF">
              <w:t>Quantitative</w:t>
            </w:r>
          </w:p>
        </w:tc>
        <w:tc>
          <w:tcPr>
            <w:tcW w:w="2003" w:type="dxa"/>
            <w:vAlign w:val="center"/>
          </w:tcPr>
          <w:p w14:paraId="7CE02DC6" w14:textId="499AD555" w:rsidR="00A63A46" w:rsidRPr="00DD59BF" w:rsidRDefault="00A63A46" w:rsidP="00DD59BF">
            <w:pPr>
              <w:suppressAutoHyphens/>
              <w:autoSpaceDN/>
              <w:adjustRightInd/>
              <w:spacing w:line="276" w:lineRule="auto"/>
              <w:jc w:val="center"/>
              <w:rPr>
                <w:rFonts w:eastAsia="SimSun;宋体"/>
                <w:bCs/>
                <w:lang w:eastAsia="zh-CN"/>
              </w:rPr>
            </w:pPr>
            <w:r w:rsidRPr="00DD59BF">
              <w:t xml:space="preserve">Governance improves </w:t>
            </w:r>
            <w:proofErr w:type="spellStart"/>
            <w:r w:rsidRPr="00DD59BF">
              <w:t>maqashid</w:t>
            </w:r>
            <w:proofErr w:type="spellEnd"/>
            <w:r w:rsidRPr="00DD59BF">
              <w:t xml:space="preserve"> performance</w:t>
            </w:r>
          </w:p>
        </w:tc>
        <w:tc>
          <w:tcPr>
            <w:tcW w:w="1933" w:type="dxa"/>
            <w:vAlign w:val="center"/>
          </w:tcPr>
          <w:p w14:paraId="3F490A14" w14:textId="4589F401" w:rsidR="00A63A46" w:rsidRPr="00DD59BF" w:rsidRDefault="00A63A46" w:rsidP="00DD59BF">
            <w:pPr>
              <w:suppressAutoHyphens/>
              <w:autoSpaceDN/>
              <w:adjustRightInd/>
              <w:spacing w:line="276" w:lineRule="auto"/>
              <w:jc w:val="center"/>
              <w:rPr>
                <w:rFonts w:eastAsia="SimSun;宋体"/>
                <w:bCs/>
                <w:lang w:eastAsia="zh-CN"/>
              </w:rPr>
            </w:pPr>
            <w:r w:rsidRPr="00DD59BF">
              <w:t>CSR effectiveness not examined</w:t>
            </w:r>
          </w:p>
        </w:tc>
      </w:tr>
      <w:tr w:rsidR="00A63A46" w:rsidRPr="00DD59BF" w14:paraId="6BA26C46" w14:textId="77777777" w:rsidTr="00DD59BF">
        <w:tc>
          <w:tcPr>
            <w:tcW w:w="1669" w:type="dxa"/>
            <w:vAlign w:val="center"/>
          </w:tcPr>
          <w:p w14:paraId="5B7BDB39" w14:textId="5DB7B43D" w:rsidR="00A63A46" w:rsidRPr="00DD59BF" w:rsidRDefault="00A63A46" w:rsidP="00DD59BF">
            <w:pPr>
              <w:suppressAutoHyphens/>
              <w:autoSpaceDN/>
              <w:adjustRightInd/>
              <w:spacing w:line="276" w:lineRule="auto"/>
              <w:jc w:val="center"/>
              <w:rPr>
                <w:rFonts w:eastAsia="SimSun;宋体"/>
                <w:bCs/>
                <w:lang w:eastAsia="zh-CN"/>
              </w:rPr>
            </w:pPr>
            <w:r w:rsidRPr="00DD59BF">
              <w:t>Misbach (2019)</w:t>
            </w:r>
          </w:p>
        </w:tc>
        <w:tc>
          <w:tcPr>
            <w:tcW w:w="1704" w:type="dxa"/>
            <w:vAlign w:val="center"/>
          </w:tcPr>
          <w:p w14:paraId="3995FC8A" w14:textId="3987AD06" w:rsidR="00A63A46" w:rsidRPr="00DD59BF" w:rsidRDefault="00A63A46" w:rsidP="00DD59BF">
            <w:pPr>
              <w:suppressAutoHyphens/>
              <w:autoSpaceDN/>
              <w:adjustRightInd/>
              <w:spacing w:line="276" w:lineRule="auto"/>
              <w:jc w:val="center"/>
              <w:rPr>
                <w:rFonts w:eastAsia="SimSun;宋体"/>
                <w:bCs/>
                <w:lang w:eastAsia="zh-CN"/>
              </w:rPr>
            </w:pPr>
            <w:r w:rsidRPr="00DD59BF">
              <w:t>Construct Development</w:t>
            </w:r>
          </w:p>
        </w:tc>
        <w:tc>
          <w:tcPr>
            <w:tcW w:w="1707" w:type="dxa"/>
            <w:vAlign w:val="center"/>
          </w:tcPr>
          <w:p w14:paraId="4A060403" w14:textId="601A4586" w:rsidR="00A63A46" w:rsidRPr="00DD59BF" w:rsidRDefault="00A63A46" w:rsidP="00DD59BF">
            <w:pPr>
              <w:suppressAutoHyphens/>
              <w:autoSpaceDN/>
              <w:adjustRightInd/>
              <w:spacing w:line="276" w:lineRule="auto"/>
              <w:jc w:val="center"/>
              <w:rPr>
                <w:rFonts w:eastAsia="SimSun;宋体"/>
                <w:bCs/>
                <w:lang w:eastAsia="zh-CN"/>
              </w:rPr>
            </w:pPr>
            <w:r w:rsidRPr="00DD59BF">
              <w:t>EFA</w:t>
            </w:r>
          </w:p>
        </w:tc>
        <w:tc>
          <w:tcPr>
            <w:tcW w:w="2003" w:type="dxa"/>
            <w:vAlign w:val="center"/>
          </w:tcPr>
          <w:p w14:paraId="63D4C4AC" w14:textId="3268F009" w:rsidR="00A63A46" w:rsidRPr="00DD59BF" w:rsidRDefault="00A63A46" w:rsidP="00DD59BF">
            <w:pPr>
              <w:suppressAutoHyphens/>
              <w:autoSpaceDN/>
              <w:adjustRightInd/>
              <w:spacing w:line="276" w:lineRule="auto"/>
              <w:jc w:val="center"/>
              <w:rPr>
                <w:rFonts w:eastAsia="SimSun;宋体"/>
                <w:bCs/>
                <w:lang w:eastAsia="zh-CN"/>
              </w:rPr>
            </w:pPr>
            <w:r w:rsidRPr="00DD59BF">
              <w:t>EFA suitable for latent construct development</w:t>
            </w:r>
          </w:p>
        </w:tc>
        <w:tc>
          <w:tcPr>
            <w:tcW w:w="1933" w:type="dxa"/>
            <w:vAlign w:val="center"/>
          </w:tcPr>
          <w:p w14:paraId="7489F5AA" w14:textId="26719117" w:rsidR="00A63A46" w:rsidRPr="00DD59BF" w:rsidRDefault="00A63A46" w:rsidP="00DD59BF">
            <w:pPr>
              <w:suppressAutoHyphens/>
              <w:autoSpaceDN/>
              <w:adjustRightInd/>
              <w:spacing w:line="276" w:lineRule="auto"/>
              <w:jc w:val="center"/>
              <w:rPr>
                <w:rFonts w:eastAsia="SimSun;宋体"/>
                <w:bCs/>
                <w:lang w:eastAsia="zh-CN"/>
              </w:rPr>
            </w:pPr>
            <w:r w:rsidRPr="00DD59BF">
              <w:t>Not applied to CSR</w:t>
            </w:r>
          </w:p>
        </w:tc>
      </w:tr>
      <w:tr w:rsidR="00A63A46" w:rsidRPr="00DD59BF" w14:paraId="61B9749D" w14:textId="77777777" w:rsidTr="00DD59BF">
        <w:tc>
          <w:tcPr>
            <w:tcW w:w="1669" w:type="dxa"/>
            <w:vAlign w:val="center"/>
          </w:tcPr>
          <w:p w14:paraId="4ED9DA46" w14:textId="6DD7E4D0" w:rsidR="00A63A46" w:rsidRPr="00DD59BF" w:rsidRDefault="00A63A46" w:rsidP="00DD59BF">
            <w:pPr>
              <w:suppressAutoHyphens/>
              <w:autoSpaceDN/>
              <w:adjustRightInd/>
              <w:spacing w:line="276" w:lineRule="auto"/>
              <w:jc w:val="center"/>
            </w:pPr>
            <w:r w:rsidRPr="00DD59BF">
              <w:rPr>
                <w:rStyle w:val="Strong"/>
              </w:rPr>
              <w:t>Present Study</w:t>
            </w:r>
          </w:p>
        </w:tc>
        <w:tc>
          <w:tcPr>
            <w:tcW w:w="1704" w:type="dxa"/>
            <w:vAlign w:val="center"/>
          </w:tcPr>
          <w:p w14:paraId="16978DD8" w14:textId="0E71E804" w:rsidR="00A63A46" w:rsidRPr="00DD59BF" w:rsidRDefault="00A63A46" w:rsidP="00DD59BF">
            <w:pPr>
              <w:suppressAutoHyphens/>
              <w:autoSpaceDN/>
              <w:adjustRightInd/>
              <w:spacing w:line="276" w:lineRule="auto"/>
              <w:jc w:val="center"/>
            </w:pPr>
            <w:r w:rsidRPr="00DD59BF">
              <w:t>Islamic CSR Effectiveness</w:t>
            </w:r>
          </w:p>
        </w:tc>
        <w:tc>
          <w:tcPr>
            <w:tcW w:w="1707" w:type="dxa"/>
            <w:vAlign w:val="center"/>
          </w:tcPr>
          <w:p w14:paraId="4F2945D9" w14:textId="42DE9D05" w:rsidR="00A63A46" w:rsidRPr="00DD59BF" w:rsidRDefault="00A63A46" w:rsidP="00DD59BF">
            <w:pPr>
              <w:suppressAutoHyphens/>
              <w:autoSpaceDN/>
              <w:adjustRightInd/>
              <w:spacing w:line="276" w:lineRule="auto"/>
              <w:jc w:val="center"/>
            </w:pPr>
            <w:r w:rsidRPr="00DD59BF">
              <w:rPr>
                <w:rStyle w:val="Strong"/>
              </w:rPr>
              <w:t>Exploratory Factor Analysis</w:t>
            </w:r>
          </w:p>
        </w:tc>
        <w:tc>
          <w:tcPr>
            <w:tcW w:w="2003" w:type="dxa"/>
            <w:vAlign w:val="center"/>
          </w:tcPr>
          <w:p w14:paraId="7D698060" w14:textId="713AB22A" w:rsidR="00A63A46" w:rsidRPr="00DD59BF" w:rsidRDefault="00A63A46" w:rsidP="00DD59BF">
            <w:pPr>
              <w:suppressAutoHyphens/>
              <w:autoSpaceDN/>
              <w:adjustRightInd/>
              <w:spacing w:line="276" w:lineRule="auto"/>
              <w:jc w:val="center"/>
            </w:pPr>
            <w:r w:rsidRPr="00DD59BF">
              <w:rPr>
                <w:rStyle w:val="Strong"/>
              </w:rPr>
              <w:t>Develops a multidimensional empirical model of CSR effectiveness</w:t>
            </w:r>
          </w:p>
        </w:tc>
        <w:tc>
          <w:tcPr>
            <w:tcW w:w="1933" w:type="dxa"/>
            <w:vAlign w:val="center"/>
          </w:tcPr>
          <w:p w14:paraId="536EEE51" w14:textId="73D1DDEE" w:rsidR="00A63A46" w:rsidRPr="00DD59BF" w:rsidRDefault="00A63A46" w:rsidP="00DD59BF">
            <w:pPr>
              <w:suppressAutoHyphens/>
              <w:autoSpaceDN/>
              <w:adjustRightInd/>
              <w:spacing w:line="276" w:lineRule="auto"/>
              <w:jc w:val="center"/>
            </w:pPr>
            <w:r w:rsidRPr="00DD59BF">
              <w:rPr>
                <w:rStyle w:val="Strong"/>
              </w:rPr>
              <w:t>Addresses both methodological and empirical gaps</w:t>
            </w:r>
          </w:p>
        </w:tc>
      </w:tr>
    </w:tbl>
    <w:p w14:paraId="6FA29F76" w14:textId="52E69E7F" w:rsidR="00BB7FEB" w:rsidRDefault="00DD59BF" w:rsidP="00DD59BF">
      <w:pPr>
        <w:widowControl/>
        <w:suppressAutoHyphens/>
        <w:autoSpaceDE/>
        <w:autoSpaceDN/>
        <w:adjustRightInd/>
        <w:spacing w:line="276" w:lineRule="auto"/>
        <w:ind w:firstLine="720"/>
        <w:contextualSpacing/>
        <w:jc w:val="both"/>
        <w:rPr>
          <w:rFonts w:eastAsia="SimSun;宋体"/>
          <w:bCs/>
          <w:i/>
          <w:iCs/>
          <w:lang w:eastAsia="zh-CN"/>
        </w:rPr>
      </w:pPr>
      <w:r w:rsidRPr="00DD59BF">
        <w:rPr>
          <w:rFonts w:eastAsia="SimSun;宋体"/>
          <w:b/>
          <w:bCs/>
          <w:i/>
          <w:iCs/>
          <w:lang w:eastAsia="zh-CN"/>
        </w:rPr>
        <w:t>Source:</w:t>
      </w:r>
      <w:r w:rsidRPr="00DD59BF">
        <w:rPr>
          <w:rFonts w:eastAsia="SimSun;宋体"/>
          <w:bCs/>
          <w:i/>
          <w:iCs/>
          <w:lang w:eastAsia="zh-CN"/>
        </w:rPr>
        <w:t xml:space="preserve"> Author, compiled from various previous studies.</w:t>
      </w:r>
    </w:p>
    <w:p w14:paraId="5A3DCC28" w14:textId="77777777" w:rsidR="00DD59BF" w:rsidRPr="00DD59BF" w:rsidRDefault="00DD59BF" w:rsidP="00DD59BF">
      <w:pPr>
        <w:widowControl/>
        <w:suppressAutoHyphens/>
        <w:autoSpaceDE/>
        <w:autoSpaceDN/>
        <w:adjustRightInd/>
        <w:spacing w:line="276" w:lineRule="auto"/>
        <w:ind w:firstLine="720"/>
        <w:contextualSpacing/>
        <w:jc w:val="both"/>
        <w:rPr>
          <w:rFonts w:eastAsia="SimSun;宋体"/>
          <w:bCs/>
          <w:lang w:eastAsia="zh-CN"/>
        </w:rPr>
      </w:pPr>
    </w:p>
    <w:p w14:paraId="741EB917" w14:textId="77777777" w:rsidR="00A63A46" w:rsidRPr="00DD59BF" w:rsidRDefault="00A63A46" w:rsidP="00DD59BF">
      <w:pPr>
        <w:widowControl/>
        <w:suppressAutoHyphens/>
        <w:autoSpaceDE/>
        <w:autoSpaceDN/>
        <w:adjustRightInd/>
        <w:spacing w:line="276" w:lineRule="auto"/>
        <w:ind w:firstLine="720"/>
        <w:contextualSpacing/>
        <w:jc w:val="both"/>
        <w:rPr>
          <w:rFonts w:eastAsia="SimSun;宋体"/>
          <w:b/>
          <w:bCs/>
          <w:lang w:eastAsia="zh-CN"/>
        </w:rPr>
      </w:pPr>
      <w:r w:rsidRPr="00DD59BF">
        <w:rPr>
          <w:rFonts w:eastAsia="SimSun;宋体"/>
          <w:b/>
          <w:bCs/>
          <w:lang w:eastAsia="zh-CN"/>
        </w:rPr>
        <w:t>Research Gap</w:t>
      </w:r>
    </w:p>
    <w:p w14:paraId="59AF975F" w14:textId="77777777" w:rsidR="00A63A46" w:rsidRPr="00DD59BF" w:rsidRDefault="00A63A46" w:rsidP="00DD59BF">
      <w:pPr>
        <w:widowControl/>
        <w:suppressAutoHyphens/>
        <w:autoSpaceDE/>
        <w:autoSpaceDN/>
        <w:adjustRightInd/>
        <w:spacing w:line="276" w:lineRule="auto"/>
        <w:ind w:firstLine="720"/>
        <w:contextualSpacing/>
        <w:jc w:val="both"/>
        <w:rPr>
          <w:rFonts w:eastAsia="SimSun;宋体"/>
          <w:bCs/>
          <w:lang w:eastAsia="zh-CN"/>
        </w:rPr>
      </w:pPr>
      <w:r w:rsidRPr="00DD59BF">
        <w:rPr>
          <w:rFonts w:eastAsia="SimSun;宋体"/>
          <w:bCs/>
          <w:lang w:eastAsia="zh-CN"/>
        </w:rPr>
        <w:t>Although the literature on Islamic Corporate Social Responsibility has grown substantially, several important gaps remain.</w:t>
      </w:r>
    </w:p>
    <w:p w14:paraId="404F06A1" w14:textId="77777777" w:rsidR="00A63A46" w:rsidRPr="00DD59BF" w:rsidRDefault="00A63A46" w:rsidP="00DD59BF">
      <w:pPr>
        <w:widowControl/>
        <w:suppressAutoHyphens/>
        <w:autoSpaceDE/>
        <w:autoSpaceDN/>
        <w:adjustRightInd/>
        <w:spacing w:line="276" w:lineRule="auto"/>
        <w:ind w:firstLine="720"/>
        <w:contextualSpacing/>
        <w:jc w:val="both"/>
        <w:rPr>
          <w:rFonts w:eastAsia="SimSun;宋体"/>
          <w:bCs/>
          <w:lang w:eastAsia="zh-CN"/>
        </w:rPr>
      </w:pPr>
      <w:r w:rsidRPr="00DD59BF">
        <w:rPr>
          <w:rFonts w:eastAsia="SimSun;宋体"/>
          <w:bCs/>
          <w:lang w:eastAsia="zh-CN"/>
        </w:rPr>
        <w:t>First, existing studies predominantly emphasize conceptual discussions, governance mechanisms, or CSR disclosure practices while providing limited empirical evidence concerning the determinants of CSR effectiveness.</w:t>
      </w:r>
    </w:p>
    <w:p w14:paraId="32BE36A4" w14:textId="77777777" w:rsidR="00A63A46" w:rsidRPr="00DD59BF" w:rsidRDefault="00A63A46" w:rsidP="00DD59BF">
      <w:pPr>
        <w:widowControl/>
        <w:suppressAutoHyphens/>
        <w:autoSpaceDE/>
        <w:autoSpaceDN/>
        <w:adjustRightInd/>
        <w:spacing w:line="276" w:lineRule="auto"/>
        <w:ind w:firstLine="720"/>
        <w:contextualSpacing/>
        <w:jc w:val="both"/>
        <w:rPr>
          <w:rFonts w:eastAsia="SimSun;宋体"/>
          <w:bCs/>
          <w:lang w:eastAsia="zh-CN"/>
        </w:rPr>
      </w:pPr>
      <w:r w:rsidRPr="00DD59BF">
        <w:rPr>
          <w:rFonts w:eastAsia="SimSun;宋体"/>
          <w:bCs/>
          <w:lang w:eastAsia="zh-CN"/>
        </w:rPr>
        <w:t>Second, previous evaluations generally rely on organizational reports or managerial assessments rather than beneficiaries' perceptions. Consequently, the actual impacts experienced by communities are insufficiently represented in existing CSR evaluation models.</w:t>
      </w:r>
    </w:p>
    <w:p w14:paraId="4642F77C" w14:textId="77777777" w:rsidR="00A63A46" w:rsidRPr="00DD59BF" w:rsidRDefault="00A63A46" w:rsidP="00DD59BF">
      <w:pPr>
        <w:widowControl/>
        <w:suppressAutoHyphens/>
        <w:autoSpaceDE/>
        <w:autoSpaceDN/>
        <w:adjustRightInd/>
        <w:spacing w:line="276" w:lineRule="auto"/>
        <w:ind w:firstLine="720"/>
        <w:contextualSpacing/>
        <w:jc w:val="both"/>
        <w:rPr>
          <w:rFonts w:eastAsia="SimSun;宋体"/>
          <w:bCs/>
          <w:lang w:eastAsia="zh-CN"/>
        </w:rPr>
      </w:pPr>
      <w:r w:rsidRPr="00DD59BF">
        <w:rPr>
          <w:rFonts w:eastAsia="SimSun;宋体"/>
          <w:bCs/>
          <w:lang w:eastAsia="zh-CN"/>
        </w:rPr>
        <w:t>Third, empirical applications of Exploratory Factor Analysis remain scarce within Islamic CSR research. Most studies employ descriptive, regression, or structural equation approaches without first identifying the latent dimensions that collectively explain CSR effectiveness.</w:t>
      </w:r>
    </w:p>
    <w:p w14:paraId="121D3BF2" w14:textId="77777777" w:rsidR="00A63A46" w:rsidRPr="00DD59BF" w:rsidRDefault="00A63A46" w:rsidP="00DD59BF">
      <w:pPr>
        <w:widowControl/>
        <w:suppressAutoHyphens/>
        <w:autoSpaceDE/>
        <w:autoSpaceDN/>
        <w:adjustRightInd/>
        <w:spacing w:line="276" w:lineRule="auto"/>
        <w:ind w:firstLine="720"/>
        <w:contextualSpacing/>
        <w:jc w:val="both"/>
        <w:rPr>
          <w:rFonts w:eastAsia="SimSun;宋体"/>
          <w:bCs/>
          <w:lang w:eastAsia="zh-CN"/>
        </w:rPr>
      </w:pPr>
      <w:r w:rsidRPr="00DD59BF">
        <w:rPr>
          <w:rFonts w:eastAsia="SimSun;宋体"/>
          <w:bCs/>
          <w:lang w:eastAsia="zh-CN"/>
        </w:rPr>
        <w:t>Finally, previous research rarely integrates institutional, economic, social, participatory, contextual, and spiritual dimensions within a single comprehensive framework. This limitation restricts understanding of CSR effectiveness from a holistic Islamic perspective.</w:t>
      </w:r>
    </w:p>
    <w:p w14:paraId="06917BF9" w14:textId="77777777" w:rsidR="00A63A46" w:rsidRPr="00DD59BF" w:rsidRDefault="00A63A46" w:rsidP="00DD59BF">
      <w:pPr>
        <w:widowControl/>
        <w:suppressAutoHyphens/>
        <w:autoSpaceDE/>
        <w:autoSpaceDN/>
        <w:adjustRightInd/>
        <w:spacing w:line="276" w:lineRule="auto"/>
        <w:ind w:firstLine="720"/>
        <w:contextualSpacing/>
        <w:jc w:val="both"/>
        <w:rPr>
          <w:rFonts w:eastAsia="SimSun;宋体"/>
          <w:bCs/>
          <w:lang w:eastAsia="zh-CN"/>
        </w:rPr>
      </w:pPr>
      <w:r w:rsidRPr="00DD59BF">
        <w:rPr>
          <w:rFonts w:eastAsia="SimSun;宋体"/>
          <w:bCs/>
          <w:lang w:eastAsia="zh-CN"/>
        </w:rPr>
        <w:t>Accordingly, this study addresses these gaps by developing an empirical multidimensional model of Islamic social finance-based CSR effectiveness using Exploratory Factor Analysis.</w:t>
      </w:r>
    </w:p>
    <w:p w14:paraId="3E68E5E7" w14:textId="77777777" w:rsidR="00A63A46" w:rsidRPr="00DD59BF" w:rsidRDefault="00A63A46" w:rsidP="00DD59BF">
      <w:pPr>
        <w:widowControl/>
        <w:suppressAutoHyphens/>
        <w:autoSpaceDE/>
        <w:autoSpaceDN/>
        <w:adjustRightInd/>
        <w:spacing w:line="276" w:lineRule="auto"/>
        <w:ind w:firstLine="720"/>
        <w:contextualSpacing/>
        <w:jc w:val="both"/>
        <w:rPr>
          <w:rFonts w:eastAsia="SimSun;宋体"/>
          <w:b/>
          <w:bCs/>
          <w:lang w:eastAsia="zh-CN"/>
        </w:rPr>
      </w:pPr>
      <w:r w:rsidRPr="00DD59BF">
        <w:rPr>
          <w:rFonts w:eastAsia="SimSun;宋体"/>
          <w:b/>
          <w:bCs/>
          <w:lang w:eastAsia="zh-CN"/>
        </w:rPr>
        <w:t>Conceptual Framework</w:t>
      </w:r>
    </w:p>
    <w:p w14:paraId="594895F3" w14:textId="77777777" w:rsidR="00A63A46" w:rsidRPr="00DD59BF" w:rsidRDefault="00A63A46" w:rsidP="00DD59BF">
      <w:pPr>
        <w:widowControl/>
        <w:suppressAutoHyphens/>
        <w:autoSpaceDE/>
        <w:autoSpaceDN/>
        <w:adjustRightInd/>
        <w:spacing w:line="276" w:lineRule="auto"/>
        <w:ind w:firstLine="720"/>
        <w:contextualSpacing/>
        <w:jc w:val="both"/>
        <w:rPr>
          <w:rFonts w:eastAsia="SimSun;宋体"/>
          <w:bCs/>
          <w:lang w:eastAsia="zh-CN"/>
        </w:rPr>
      </w:pPr>
      <w:r w:rsidRPr="00DD59BF">
        <w:rPr>
          <w:rFonts w:eastAsia="SimSun;宋体"/>
          <w:bCs/>
          <w:lang w:eastAsia="zh-CN"/>
        </w:rPr>
        <w:t xml:space="preserve">The conceptual framework of this study assumes that Corporate Social Responsibility effectiveness represents a multidimensional latent construct reflected by several observable indicators. Drawing upon organizational effectiveness theory, Islamic Corporate Social Responsibility, and </w:t>
      </w:r>
      <w:proofErr w:type="spellStart"/>
      <w:r w:rsidRPr="00DD59BF">
        <w:rPr>
          <w:rFonts w:eastAsia="SimSun;宋体"/>
          <w:bCs/>
          <w:i/>
          <w:iCs/>
          <w:lang w:eastAsia="zh-CN"/>
        </w:rPr>
        <w:t>maqashid</w:t>
      </w:r>
      <w:proofErr w:type="spellEnd"/>
      <w:r w:rsidRPr="00DD59BF">
        <w:rPr>
          <w:rFonts w:eastAsia="SimSun;宋体"/>
          <w:bCs/>
          <w:i/>
          <w:iCs/>
          <w:lang w:eastAsia="zh-CN"/>
        </w:rPr>
        <w:t xml:space="preserve"> sharia</w:t>
      </w:r>
      <w:r w:rsidRPr="00DD59BF">
        <w:rPr>
          <w:rFonts w:eastAsia="SimSun;宋体"/>
          <w:bCs/>
          <w:lang w:eastAsia="zh-CN"/>
        </w:rPr>
        <w:t>, CSR effectiveness is expected to emerge from seven interrelated dimensions:</w:t>
      </w:r>
    </w:p>
    <w:p w14:paraId="50AD6C9C" w14:textId="77777777" w:rsidR="00A63A46" w:rsidRPr="00DD59BF" w:rsidRDefault="00A63A46" w:rsidP="00DD59BF">
      <w:pPr>
        <w:widowControl/>
        <w:numPr>
          <w:ilvl w:val="0"/>
          <w:numId w:val="8"/>
        </w:numPr>
        <w:suppressAutoHyphens/>
        <w:autoSpaceDE/>
        <w:autoSpaceDN/>
        <w:adjustRightInd/>
        <w:spacing w:line="276" w:lineRule="auto"/>
        <w:contextualSpacing/>
        <w:jc w:val="both"/>
        <w:rPr>
          <w:rFonts w:eastAsia="SimSun;宋体"/>
          <w:bCs/>
          <w:lang w:eastAsia="zh-CN"/>
        </w:rPr>
      </w:pPr>
      <w:r w:rsidRPr="00DD59BF">
        <w:rPr>
          <w:rFonts w:eastAsia="SimSun;宋体"/>
          <w:bCs/>
          <w:lang w:eastAsia="zh-CN"/>
        </w:rPr>
        <w:t xml:space="preserve">Program Quality and Integrity </w:t>
      </w:r>
    </w:p>
    <w:p w14:paraId="282C74A4" w14:textId="77777777" w:rsidR="00A63A46" w:rsidRPr="00DD59BF" w:rsidRDefault="00A63A46" w:rsidP="00DD59BF">
      <w:pPr>
        <w:widowControl/>
        <w:numPr>
          <w:ilvl w:val="0"/>
          <w:numId w:val="8"/>
        </w:numPr>
        <w:suppressAutoHyphens/>
        <w:autoSpaceDE/>
        <w:autoSpaceDN/>
        <w:adjustRightInd/>
        <w:spacing w:line="276" w:lineRule="auto"/>
        <w:contextualSpacing/>
        <w:jc w:val="both"/>
        <w:rPr>
          <w:rFonts w:eastAsia="SimSun;宋体"/>
          <w:bCs/>
          <w:lang w:eastAsia="zh-CN"/>
        </w:rPr>
      </w:pPr>
      <w:r w:rsidRPr="00DD59BF">
        <w:rPr>
          <w:rFonts w:eastAsia="SimSun;宋体"/>
          <w:bCs/>
          <w:lang w:eastAsia="zh-CN"/>
        </w:rPr>
        <w:t xml:space="preserve">Transparency and Communication </w:t>
      </w:r>
    </w:p>
    <w:p w14:paraId="4C83747F" w14:textId="77777777" w:rsidR="00A63A46" w:rsidRPr="00DD59BF" w:rsidRDefault="00A63A46" w:rsidP="00DD59BF">
      <w:pPr>
        <w:widowControl/>
        <w:numPr>
          <w:ilvl w:val="0"/>
          <w:numId w:val="8"/>
        </w:numPr>
        <w:suppressAutoHyphens/>
        <w:autoSpaceDE/>
        <w:autoSpaceDN/>
        <w:adjustRightInd/>
        <w:spacing w:line="276" w:lineRule="auto"/>
        <w:contextualSpacing/>
        <w:jc w:val="both"/>
        <w:rPr>
          <w:rFonts w:eastAsia="SimSun;宋体"/>
          <w:bCs/>
          <w:lang w:eastAsia="zh-CN"/>
        </w:rPr>
      </w:pPr>
      <w:r w:rsidRPr="00DD59BF">
        <w:rPr>
          <w:rFonts w:eastAsia="SimSun;宋体"/>
          <w:bCs/>
          <w:lang w:eastAsia="zh-CN"/>
        </w:rPr>
        <w:t xml:space="preserve">Human Resource Development </w:t>
      </w:r>
    </w:p>
    <w:p w14:paraId="6A18F976" w14:textId="77777777" w:rsidR="00A63A46" w:rsidRPr="00DD59BF" w:rsidRDefault="00A63A46" w:rsidP="00DD59BF">
      <w:pPr>
        <w:widowControl/>
        <w:numPr>
          <w:ilvl w:val="0"/>
          <w:numId w:val="8"/>
        </w:numPr>
        <w:suppressAutoHyphens/>
        <w:autoSpaceDE/>
        <w:autoSpaceDN/>
        <w:adjustRightInd/>
        <w:spacing w:line="276" w:lineRule="auto"/>
        <w:contextualSpacing/>
        <w:jc w:val="both"/>
        <w:rPr>
          <w:rFonts w:eastAsia="SimSun;宋体"/>
          <w:bCs/>
          <w:lang w:eastAsia="zh-CN"/>
        </w:rPr>
      </w:pPr>
      <w:r w:rsidRPr="00DD59BF">
        <w:rPr>
          <w:rFonts w:eastAsia="SimSun;宋体"/>
          <w:bCs/>
          <w:lang w:eastAsia="zh-CN"/>
        </w:rPr>
        <w:t xml:space="preserve">Economic Impact </w:t>
      </w:r>
    </w:p>
    <w:p w14:paraId="5B270F17" w14:textId="77777777" w:rsidR="00A63A46" w:rsidRPr="00DD59BF" w:rsidRDefault="00A63A46" w:rsidP="00DD59BF">
      <w:pPr>
        <w:widowControl/>
        <w:numPr>
          <w:ilvl w:val="0"/>
          <w:numId w:val="8"/>
        </w:numPr>
        <w:suppressAutoHyphens/>
        <w:autoSpaceDE/>
        <w:autoSpaceDN/>
        <w:adjustRightInd/>
        <w:spacing w:line="276" w:lineRule="auto"/>
        <w:contextualSpacing/>
        <w:jc w:val="both"/>
        <w:rPr>
          <w:rFonts w:eastAsia="SimSun;宋体"/>
          <w:bCs/>
          <w:lang w:eastAsia="zh-CN"/>
        </w:rPr>
      </w:pPr>
      <w:r w:rsidRPr="00DD59BF">
        <w:rPr>
          <w:rFonts w:eastAsia="SimSun;宋体"/>
          <w:bCs/>
          <w:lang w:eastAsia="zh-CN"/>
        </w:rPr>
        <w:t xml:space="preserve">Community Participation </w:t>
      </w:r>
    </w:p>
    <w:p w14:paraId="047ABC6D" w14:textId="77777777" w:rsidR="00A63A46" w:rsidRPr="00DD59BF" w:rsidRDefault="00A63A46" w:rsidP="00DD59BF">
      <w:pPr>
        <w:widowControl/>
        <w:numPr>
          <w:ilvl w:val="0"/>
          <w:numId w:val="8"/>
        </w:numPr>
        <w:suppressAutoHyphens/>
        <w:autoSpaceDE/>
        <w:autoSpaceDN/>
        <w:adjustRightInd/>
        <w:spacing w:line="276" w:lineRule="auto"/>
        <w:contextualSpacing/>
        <w:jc w:val="both"/>
        <w:rPr>
          <w:rFonts w:eastAsia="SimSun;宋体"/>
          <w:bCs/>
          <w:lang w:eastAsia="zh-CN"/>
        </w:rPr>
      </w:pPr>
      <w:r w:rsidRPr="00DD59BF">
        <w:rPr>
          <w:rFonts w:eastAsia="SimSun;宋体"/>
          <w:bCs/>
          <w:lang w:eastAsia="zh-CN"/>
        </w:rPr>
        <w:t xml:space="preserve">Spiritual Impact </w:t>
      </w:r>
    </w:p>
    <w:p w14:paraId="739B579E" w14:textId="77777777" w:rsidR="00A63A46" w:rsidRPr="00DD59BF" w:rsidRDefault="00A63A46" w:rsidP="00DD59BF">
      <w:pPr>
        <w:widowControl/>
        <w:numPr>
          <w:ilvl w:val="0"/>
          <w:numId w:val="8"/>
        </w:numPr>
        <w:suppressAutoHyphens/>
        <w:autoSpaceDE/>
        <w:autoSpaceDN/>
        <w:adjustRightInd/>
        <w:spacing w:line="276" w:lineRule="auto"/>
        <w:contextualSpacing/>
        <w:jc w:val="both"/>
        <w:rPr>
          <w:rFonts w:eastAsia="SimSun;宋体"/>
          <w:bCs/>
          <w:lang w:eastAsia="zh-CN"/>
        </w:rPr>
      </w:pPr>
      <w:r w:rsidRPr="00DD59BF">
        <w:rPr>
          <w:rFonts w:eastAsia="SimSun;宋体"/>
          <w:bCs/>
          <w:lang w:eastAsia="zh-CN"/>
        </w:rPr>
        <w:t xml:space="preserve">Contextual Conditions </w:t>
      </w:r>
    </w:p>
    <w:p w14:paraId="297D472E" w14:textId="77777777" w:rsidR="00A63A46" w:rsidRPr="00DD59BF" w:rsidRDefault="00A63A46" w:rsidP="00DD59BF">
      <w:pPr>
        <w:widowControl/>
        <w:suppressAutoHyphens/>
        <w:autoSpaceDE/>
        <w:autoSpaceDN/>
        <w:adjustRightInd/>
        <w:spacing w:line="276" w:lineRule="auto"/>
        <w:ind w:firstLine="720"/>
        <w:contextualSpacing/>
        <w:jc w:val="both"/>
        <w:rPr>
          <w:rFonts w:eastAsia="SimSun;宋体"/>
          <w:bCs/>
          <w:lang w:eastAsia="zh-CN"/>
        </w:rPr>
      </w:pPr>
      <w:r w:rsidRPr="00DD59BF">
        <w:rPr>
          <w:rFonts w:eastAsia="SimSun;宋体"/>
          <w:bCs/>
          <w:lang w:eastAsia="zh-CN"/>
        </w:rPr>
        <w:t>These dimensions collectively determine the perceived effectiveness of Islamic social finance-based CSR programs. The framework emphasizes that sustainable CSR outcomes are achieved when institutional governance, socio-economic empowerment, community engagement, contextual relevance, and spiritual development are integrated within program implementation.</w:t>
      </w:r>
    </w:p>
    <w:p w14:paraId="657863DD" w14:textId="77777777" w:rsidR="00A63A46" w:rsidRPr="00DD59BF" w:rsidRDefault="00A63A46" w:rsidP="00DD59BF">
      <w:pPr>
        <w:widowControl/>
        <w:suppressAutoHyphens/>
        <w:autoSpaceDE/>
        <w:autoSpaceDN/>
        <w:adjustRightInd/>
        <w:spacing w:line="276" w:lineRule="auto"/>
        <w:ind w:firstLine="720"/>
        <w:contextualSpacing/>
        <w:jc w:val="both"/>
        <w:rPr>
          <w:rFonts w:eastAsia="SimSun;宋体"/>
          <w:b/>
          <w:bCs/>
          <w:lang w:eastAsia="zh-CN"/>
        </w:rPr>
      </w:pPr>
      <w:r w:rsidRPr="00DD59BF">
        <w:rPr>
          <w:rFonts w:eastAsia="SimSun;宋体"/>
          <w:b/>
          <w:bCs/>
          <w:lang w:eastAsia="zh-CN"/>
        </w:rPr>
        <w:t>Research Proposition</w:t>
      </w:r>
    </w:p>
    <w:p w14:paraId="569C02C1" w14:textId="77777777" w:rsidR="00A63A46" w:rsidRPr="00DD59BF" w:rsidRDefault="00A63A46" w:rsidP="00DD59BF">
      <w:pPr>
        <w:widowControl/>
        <w:suppressAutoHyphens/>
        <w:autoSpaceDE/>
        <w:autoSpaceDN/>
        <w:adjustRightInd/>
        <w:spacing w:line="276" w:lineRule="auto"/>
        <w:ind w:firstLine="720"/>
        <w:contextualSpacing/>
        <w:jc w:val="both"/>
        <w:rPr>
          <w:rFonts w:eastAsia="SimSun;宋体"/>
          <w:bCs/>
          <w:lang w:eastAsia="zh-CN"/>
        </w:rPr>
      </w:pPr>
      <w:r w:rsidRPr="00DD59BF">
        <w:rPr>
          <w:rFonts w:eastAsia="SimSun;宋体"/>
          <w:bCs/>
          <w:lang w:eastAsia="zh-CN"/>
        </w:rPr>
        <w:t>Because this study adopts an exploratory design using Exploratory Factor Analysis, formal hypothesis testing is not conducted. Instead, the study proposes the following research proposition:</w:t>
      </w:r>
    </w:p>
    <w:p w14:paraId="3A228E6A" w14:textId="77777777" w:rsidR="00A63A46" w:rsidRPr="00DD59BF" w:rsidRDefault="00A63A46" w:rsidP="00DD59BF">
      <w:pPr>
        <w:widowControl/>
        <w:suppressAutoHyphens/>
        <w:autoSpaceDE/>
        <w:autoSpaceDN/>
        <w:adjustRightInd/>
        <w:spacing w:line="276" w:lineRule="auto"/>
        <w:ind w:firstLine="720"/>
        <w:contextualSpacing/>
        <w:jc w:val="both"/>
        <w:rPr>
          <w:rFonts w:eastAsia="SimSun;宋体"/>
          <w:bCs/>
          <w:lang w:eastAsia="zh-CN"/>
        </w:rPr>
      </w:pPr>
      <w:r w:rsidRPr="00DD59BF">
        <w:rPr>
          <w:rFonts w:eastAsia="SimSun;宋体"/>
          <w:b/>
          <w:bCs/>
          <w:lang w:eastAsia="zh-CN"/>
        </w:rPr>
        <w:t>Proposition</w:t>
      </w:r>
    </w:p>
    <w:p w14:paraId="5ABE4C5A" w14:textId="77777777" w:rsidR="00A63A46" w:rsidRPr="00DD59BF" w:rsidRDefault="00A63A46" w:rsidP="00DD59BF">
      <w:pPr>
        <w:widowControl/>
        <w:suppressAutoHyphens/>
        <w:autoSpaceDE/>
        <w:autoSpaceDN/>
        <w:adjustRightInd/>
        <w:spacing w:line="276" w:lineRule="auto"/>
        <w:ind w:firstLine="720"/>
        <w:contextualSpacing/>
        <w:jc w:val="both"/>
        <w:rPr>
          <w:rFonts w:eastAsia="SimSun;宋体"/>
          <w:bCs/>
          <w:lang w:eastAsia="zh-CN"/>
        </w:rPr>
      </w:pPr>
      <w:r w:rsidRPr="00DD59BF">
        <w:rPr>
          <w:rFonts w:eastAsia="SimSun;宋体"/>
          <w:bCs/>
          <w:i/>
          <w:iCs/>
          <w:lang w:eastAsia="zh-CN"/>
        </w:rPr>
        <w:t>Corporate Social Responsibility effectiveness based on Islamic social finance constitutes a multidimensional construct composed of interrelated institutional, economic, social, participatory, contextual, and spiritual dimensions that can be empirically identified through Exploratory Factor Analysis.</w:t>
      </w:r>
    </w:p>
    <w:p w14:paraId="3475E0A1" w14:textId="418C1B5E" w:rsidR="00AC29B0" w:rsidRPr="00DD59BF" w:rsidRDefault="00AC29B0" w:rsidP="00DD59BF">
      <w:pPr>
        <w:widowControl/>
        <w:suppressAutoHyphens/>
        <w:autoSpaceDE/>
        <w:autoSpaceDN/>
        <w:adjustRightInd/>
        <w:spacing w:line="276" w:lineRule="auto"/>
        <w:ind w:firstLine="720"/>
        <w:contextualSpacing/>
        <w:jc w:val="both"/>
        <w:rPr>
          <w:rFonts w:eastAsia="SimSun;宋体"/>
          <w:lang w:eastAsia="zh-CN"/>
        </w:rPr>
      </w:pPr>
    </w:p>
    <w:p w14:paraId="29373D42" w14:textId="3D0283C2" w:rsidR="00AC29B0" w:rsidRPr="00DD59BF" w:rsidRDefault="00A63A46" w:rsidP="00DD59BF">
      <w:pPr>
        <w:widowControl/>
        <w:suppressAutoHyphens/>
        <w:autoSpaceDE/>
        <w:autoSpaceDN/>
        <w:adjustRightInd/>
        <w:spacing w:line="276" w:lineRule="auto"/>
        <w:contextualSpacing/>
        <w:jc w:val="both"/>
        <w:rPr>
          <w:rFonts w:eastAsia="Times New Roman"/>
          <w:b/>
          <w:lang w:eastAsia="zh-CN"/>
        </w:rPr>
      </w:pPr>
      <w:r w:rsidRPr="00DD59BF">
        <w:rPr>
          <w:rFonts w:eastAsia="Times New Roman"/>
          <w:b/>
          <w:iCs/>
          <w:lang w:eastAsia="zh-CN"/>
        </w:rPr>
        <w:t>RESEARCH METHODOLOGY</w:t>
      </w:r>
    </w:p>
    <w:p w14:paraId="48BFE23A" w14:textId="77777777" w:rsidR="00A63A46" w:rsidRPr="00DD59BF" w:rsidRDefault="00A63A46" w:rsidP="00DD59BF">
      <w:pPr>
        <w:widowControl/>
        <w:suppressAutoHyphens/>
        <w:autoSpaceDE/>
        <w:autoSpaceDN/>
        <w:adjustRightInd/>
        <w:spacing w:line="276" w:lineRule="auto"/>
        <w:ind w:firstLine="720"/>
        <w:jc w:val="both"/>
        <w:rPr>
          <w:rFonts w:eastAsia="Times New Roman"/>
          <w:b/>
          <w:bCs/>
          <w:lang w:eastAsia="zh-CN"/>
        </w:rPr>
      </w:pPr>
      <w:r w:rsidRPr="00DD59BF">
        <w:rPr>
          <w:rFonts w:eastAsia="Times New Roman"/>
          <w:b/>
          <w:bCs/>
          <w:lang w:eastAsia="zh-CN"/>
        </w:rPr>
        <w:t>Research Design</w:t>
      </w:r>
    </w:p>
    <w:p w14:paraId="0456AA75" w14:textId="77777777" w:rsidR="00A63A46" w:rsidRPr="00DD59BF" w:rsidRDefault="00A63A46"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This study employed a quantitative research approach using an exploratory research design to identify the latent dimensions underlying the effectiveness of Corporate Social Responsibility (CSR) programs based on Islamic social finance. Rather than testing causal relationships among predefined variables, the study aimed to develop an empirical measurement model by identifying the underlying factor structure perceived by program beneficiaries. Accordingly, Exploratory Factor Analysis (EFA) was selected as the primary statistical technique because it enables researchers to reduce a large number of observed variables into a smaller number of meaningful latent constructs.</w:t>
      </w:r>
    </w:p>
    <w:p w14:paraId="2CCDA8BA" w14:textId="2644E170" w:rsidR="00A63A46" w:rsidRPr="00DD59BF" w:rsidRDefault="00A63A46"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The study adopted a cross-sectional survey design in which data were collected once from respondents who had participated in CSR programs implemented by Yayasan Hadji Kalla. The unit of analysis comprised individual beneficiaries whose perceptions reflected the effectiveness of the implemented programs.</w:t>
      </w:r>
    </w:p>
    <w:p w14:paraId="68CEAB27" w14:textId="77777777" w:rsidR="00A63A46" w:rsidRPr="00DD59BF" w:rsidRDefault="00A63A46" w:rsidP="00DD59BF">
      <w:pPr>
        <w:widowControl/>
        <w:suppressAutoHyphens/>
        <w:autoSpaceDE/>
        <w:autoSpaceDN/>
        <w:adjustRightInd/>
        <w:spacing w:line="276" w:lineRule="auto"/>
        <w:ind w:firstLine="720"/>
        <w:jc w:val="both"/>
        <w:rPr>
          <w:rFonts w:eastAsia="Times New Roman"/>
          <w:b/>
          <w:bCs/>
          <w:lang w:eastAsia="zh-CN"/>
        </w:rPr>
      </w:pPr>
      <w:r w:rsidRPr="00DD59BF">
        <w:rPr>
          <w:rFonts w:eastAsia="Times New Roman"/>
          <w:b/>
          <w:bCs/>
          <w:lang w:eastAsia="zh-CN"/>
        </w:rPr>
        <w:t>Research Setting</w:t>
      </w:r>
    </w:p>
    <w:p w14:paraId="2F9B13CA" w14:textId="4C1F68C7" w:rsidR="00A63A46" w:rsidRPr="00DD59BF" w:rsidRDefault="00A63A46"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The research was conducted at Yayasan Hadji Kalla, one of the largest philanthropic foundations in Indonesia implementing Corporate Social Responsibility (CSR) programs based on Islamic social finance principles. The foundation manages various community development initiatives, including education, economic empowerment, environmental conservation, social assistance, and humanitarian programs. These initiatives integrate Islamic values with sustainable community development, making the institution an appropriate setting for examining CSR effectiveness from an Islamic perspective.</w:t>
      </w:r>
    </w:p>
    <w:p w14:paraId="6B52FE6D" w14:textId="77777777" w:rsidR="00A63A46" w:rsidRPr="00DD59BF" w:rsidRDefault="00A63A46" w:rsidP="00DD59BF">
      <w:pPr>
        <w:widowControl/>
        <w:suppressAutoHyphens/>
        <w:autoSpaceDE/>
        <w:autoSpaceDN/>
        <w:adjustRightInd/>
        <w:spacing w:line="276" w:lineRule="auto"/>
        <w:ind w:firstLine="720"/>
        <w:jc w:val="both"/>
        <w:rPr>
          <w:rFonts w:eastAsia="Times New Roman"/>
          <w:b/>
          <w:bCs/>
          <w:lang w:eastAsia="zh-CN"/>
        </w:rPr>
      </w:pPr>
      <w:r w:rsidRPr="00DD59BF">
        <w:rPr>
          <w:rFonts w:eastAsia="Times New Roman"/>
          <w:b/>
          <w:bCs/>
          <w:lang w:eastAsia="zh-CN"/>
        </w:rPr>
        <w:t>Population and Sample</w:t>
      </w:r>
    </w:p>
    <w:p w14:paraId="69F797D4" w14:textId="77777777" w:rsidR="00A63A46" w:rsidRPr="00DD59BF" w:rsidRDefault="00A63A46"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The target population consisted of beneficiaries who had participated in CSR programs administered by Yayasan Hadji Kalla. Since the study sought to evaluate program effectiveness from the beneficiaries' perspective, only respondents with direct experience of the programs were considered eligible.</w:t>
      </w:r>
    </w:p>
    <w:p w14:paraId="5A888026" w14:textId="77777777" w:rsidR="00A63A46" w:rsidRPr="00DD59BF" w:rsidRDefault="00A63A46"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 xml:space="preserve">A purposive sampling technique was employed to ensure that respondents possessed sufficient knowledge and experience to evaluate CSR implementation. Based on the established selection criteria, </w:t>
      </w:r>
      <w:r w:rsidRPr="00DD59BF">
        <w:rPr>
          <w:rFonts w:eastAsia="Times New Roman"/>
          <w:b/>
          <w:bCs/>
          <w:lang w:eastAsia="zh-CN"/>
        </w:rPr>
        <w:t>140 beneficiaries</w:t>
      </w:r>
      <w:r w:rsidRPr="00DD59BF">
        <w:rPr>
          <w:rFonts w:eastAsia="Times New Roman"/>
          <w:lang w:eastAsia="zh-CN"/>
        </w:rPr>
        <w:t xml:space="preserve"> were successfully recruited as respondents.</w:t>
      </w:r>
    </w:p>
    <w:p w14:paraId="0D72A7A4" w14:textId="6C0375EE" w:rsidR="00A63A46" w:rsidRPr="00DD59BF" w:rsidRDefault="00A63A46"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The adequacy of the sample size was evaluated based on recommendations for Exploratory Factor Analysis. According to MacCallum et al. (1999), sample adequacy depends not only on the number of observations but also on communalities and factor loadings. Hair et al. (2013) further suggest that sample sizes exceeding one hundred observations generally provide stable factor solutions when communalities are sufficiently high. Therefore, the sample used in this study was considered appropriate for EFA.</w:t>
      </w:r>
    </w:p>
    <w:p w14:paraId="029605EA" w14:textId="77777777" w:rsidR="00A63A46" w:rsidRPr="00DD59BF" w:rsidRDefault="00A63A46" w:rsidP="00DD59BF">
      <w:pPr>
        <w:widowControl/>
        <w:suppressAutoHyphens/>
        <w:autoSpaceDE/>
        <w:autoSpaceDN/>
        <w:adjustRightInd/>
        <w:spacing w:line="276" w:lineRule="auto"/>
        <w:ind w:firstLine="720"/>
        <w:jc w:val="both"/>
        <w:rPr>
          <w:rFonts w:eastAsia="Times New Roman"/>
          <w:b/>
          <w:bCs/>
          <w:lang w:eastAsia="zh-CN"/>
        </w:rPr>
      </w:pPr>
      <w:r w:rsidRPr="00DD59BF">
        <w:rPr>
          <w:rFonts w:eastAsia="Times New Roman"/>
          <w:b/>
          <w:bCs/>
          <w:lang w:eastAsia="zh-CN"/>
        </w:rPr>
        <w:t>Research Instrument</w:t>
      </w:r>
    </w:p>
    <w:p w14:paraId="506D927C" w14:textId="77777777" w:rsidR="00A63A46" w:rsidRPr="00DD59BF" w:rsidRDefault="00A63A46"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 xml:space="preserve">Primary data were collected using a structured questionnaire developed from an extensive review of the literature on Corporate Social Responsibility, Islamic Corporate Social Responsibility, organizational effectiveness, Islamic social finance, and </w:t>
      </w:r>
      <w:proofErr w:type="spellStart"/>
      <w:r w:rsidRPr="00DD59BF">
        <w:rPr>
          <w:rFonts w:eastAsia="Times New Roman"/>
          <w:i/>
          <w:iCs/>
          <w:lang w:eastAsia="zh-CN"/>
        </w:rPr>
        <w:t>maqashid</w:t>
      </w:r>
      <w:proofErr w:type="spellEnd"/>
      <w:r w:rsidRPr="00DD59BF">
        <w:rPr>
          <w:rFonts w:eastAsia="Times New Roman"/>
          <w:i/>
          <w:iCs/>
          <w:lang w:eastAsia="zh-CN"/>
        </w:rPr>
        <w:t xml:space="preserve"> sharia</w:t>
      </w:r>
      <w:r w:rsidRPr="00DD59BF">
        <w:rPr>
          <w:rFonts w:eastAsia="Times New Roman"/>
          <w:lang w:eastAsia="zh-CN"/>
        </w:rPr>
        <w:t xml:space="preserve">. The questionnaire consisted of </w:t>
      </w:r>
      <w:r w:rsidRPr="00DD59BF">
        <w:rPr>
          <w:rFonts w:eastAsia="Times New Roman"/>
          <w:b/>
          <w:bCs/>
          <w:lang w:eastAsia="zh-CN"/>
        </w:rPr>
        <w:t>42 observed variables</w:t>
      </w:r>
      <w:r w:rsidRPr="00DD59BF">
        <w:rPr>
          <w:rFonts w:eastAsia="Times New Roman"/>
          <w:lang w:eastAsia="zh-CN"/>
        </w:rPr>
        <w:t xml:space="preserve"> representing several dimensions of CSR implementation.</w:t>
      </w:r>
    </w:p>
    <w:p w14:paraId="4735CC5E" w14:textId="704062D5" w:rsidR="00AC29B0" w:rsidRPr="00DD59BF" w:rsidRDefault="00A63A46"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 xml:space="preserve">All questionnaire items were measured using a </w:t>
      </w:r>
      <w:r w:rsidRPr="00DD59BF">
        <w:rPr>
          <w:rFonts w:eastAsia="Times New Roman"/>
          <w:b/>
          <w:bCs/>
          <w:lang w:eastAsia="zh-CN"/>
        </w:rPr>
        <w:t>four-point Likert scale</w:t>
      </w:r>
      <w:r w:rsidRPr="00DD59BF">
        <w:rPr>
          <w:rFonts w:eastAsia="Times New Roman"/>
          <w:lang w:eastAsia="zh-CN"/>
        </w:rPr>
        <w:t>, where:</w:t>
      </w:r>
    </w:p>
    <w:tbl>
      <w:tblPr>
        <w:tblStyle w:val="TableGrid"/>
        <w:tblW w:w="0" w:type="auto"/>
        <w:tblLook w:val="04A0" w:firstRow="1" w:lastRow="0" w:firstColumn="1" w:lastColumn="0" w:noHBand="0" w:noVBand="1"/>
      </w:tblPr>
      <w:tblGrid>
        <w:gridCol w:w="4508"/>
        <w:gridCol w:w="4508"/>
      </w:tblGrid>
      <w:tr w:rsidR="00656B8D" w:rsidRPr="00DD59BF" w14:paraId="1251B599" w14:textId="77777777" w:rsidTr="00C3329A">
        <w:tc>
          <w:tcPr>
            <w:tcW w:w="4508" w:type="dxa"/>
            <w:vAlign w:val="center"/>
          </w:tcPr>
          <w:p w14:paraId="390B45B9" w14:textId="0DC1FAF8" w:rsidR="00656B8D" w:rsidRPr="00DD59BF" w:rsidRDefault="00656B8D" w:rsidP="00DD59BF">
            <w:pPr>
              <w:widowControl/>
              <w:suppressAutoHyphens/>
              <w:autoSpaceDE/>
              <w:autoSpaceDN/>
              <w:adjustRightInd/>
              <w:spacing w:line="276" w:lineRule="auto"/>
              <w:jc w:val="center"/>
              <w:rPr>
                <w:rFonts w:eastAsia="Times New Roman"/>
                <w:lang w:eastAsia="zh-CN"/>
              </w:rPr>
            </w:pPr>
            <w:r w:rsidRPr="00DD59BF">
              <w:rPr>
                <w:b/>
                <w:bCs/>
              </w:rPr>
              <w:t>Scale</w:t>
            </w:r>
          </w:p>
        </w:tc>
        <w:tc>
          <w:tcPr>
            <w:tcW w:w="4508" w:type="dxa"/>
            <w:vAlign w:val="center"/>
          </w:tcPr>
          <w:p w14:paraId="007E8F72" w14:textId="65C5C0CD" w:rsidR="00656B8D" w:rsidRPr="00DD59BF" w:rsidRDefault="00656B8D" w:rsidP="00DD59BF">
            <w:pPr>
              <w:widowControl/>
              <w:suppressAutoHyphens/>
              <w:autoSpaceDE/>
              <w:autoSpaceDN/>
              <w:adjustRightInd/>
              <w:spacing w:line="276" w:lineRule="auto"/>
              <w:jc w:val="center"/>
              <w:rPr>
                <w:rFonts w:eastAsia="Times New Roman"/>
                <w:lang w:eastAsia="zh-CN"/>
              </w:rPr>
            </w:pPr>
            <w:r w:rsidRPr="00DD59BF">
              <w:rPr>
                <w:b/>
                <w:bCs/>
              </w:rPr>
              <w:t>Interpretation</w:t>
            </w:r>
          </w:p>
        </w:tc>
      </w:tr>
      <w:tr w:rsidR="00656B8D" w:rsidRPr="00DD59BF" w14:paraId="062AF236" w14:textId="77777777" w:rsidTr="00C3329A">
        <w:tc>
          <w:tcPr>
            <w:tcW w:w="4508" w:type="dxa"/>
            <w:vAlign w:val="center"/>
          </w:tcPr>
          <w:p w14:paraId="63B0765D" w14:textId="6E8267F7" w:rsidR="00656B8D" w:rsidRPr="00DD59BF" w:rsidRDefault="00656B8D" w:rsidP="00DD59BF">
            <w:pPr>
              <w:widowControl/>
              <w:suppressAutoHyphens/>
              <w:autoSpaceDE/>
              <w:autoSpaceDN/>
              <w:adjustRightInd/>
              <w:spacing w:line="276" w:lineRule="auto"/>
              <w:jc w:val="center"/>
              <w:rPr>
                <w:rFonts w:eastAsia="Times New Roman"/>
                <w:lang w:eastAsia="zh-CN"/>
              </w:rPr>
            </w:pPr>
            <w:r w:rsidRPr="00DD59BF">
              <w:t>1</w:t>
            </w:r>
          </w:p>
        </w:tc>
        <w:tc>
          <w:tcPr>
            <w:tcW w:w="4508" w:type="dxa"/>
            <w:vAlign w:val="center"/>
          </w:tcPr>
          <w:p w14:paraId="03B9B394" w14:textId="1BDB535D" w:rsidR="00656B8D" w:rsidRPr="00DD59BF" w:rsidRDefault="00656B8D" w:rsidP="00DD59BF">
            <w:pPr>
              <w:widowControl/>
              <w:suppressAutoHyphens/>
              <w:autoSpaceDE/>
              <w:autoSpaceDN/>
              <w:adjustRightInd/>
              <w:spacing w:line="276" w:lineRule="auto"/>
              <w:jc w:val="center"/>
              <w:rPr>
                <w:rFonts w:eastAsia="Times New Roman"/>
                <w:lang w:eastAsia="zh-CN"/>
              </w:rPr>
            </w:pPr>
            <w:r w:rsidRPr="00DD59BF">
              <w:t>Strongly Disagree</w:t>
            </w:r>
          </w:p>
        </w:tc>
      </w:tr>
      <w:tr w:rsidR="00656B8D" w:rsidRPr="00DD59BF" w14:paraId="0433DFC8" w14:textId="77777777" w:rsidTr="00C3329A">
        <w:tc>
          <w:tcPr>
            <w:tcW w:w="4508" w:type="dxa"/>
            <w:vAlign w:val="center"/>
          </w:tcPr>
          <w:p w14:paraId="389AB2FF" w14:textId="4819C82A" w:rsidR="00656B8D" w:rsidRPr="00DD59BF" w:rsidRDefault="00656B8D" w:rsidP="00DD59BF">
            <w:pPr>
              <w:widowControl/>
              <w:suppressAutoHyphens/>
              <w:autoSpaceDE/>
              <w:autoSpaceDN/>
              <w:adjustRightInd/>
              <w:spacing w:line="276" w:lineRule="auto"/>
              <w:jc w:val="center"/>
              <w:rPr>
                <w:rFonts w:eastAsia="Times New Roman"/>
                <w:lang w:eastAsia="zh-CN"/>
              </w:rPr>
            </w:pPr>
            <w:r w:rsidRPr="00DD59BF">
              <w:t>2</w:t>
            </w:r>
          </w:p>
        </w:tc>
        <w:tc>
          <w:tcPr>
            <w:tcW w:w="4508" w:type="dxa"/>
            <w:vAlign w:val="center"/>
          </w:tcPr>
          <w:p w14:paraId="21D1AF04" w14:textId="2020C1A3" w:rsidR="00656B8D" w:rsidRPr="00DD59BF" w:rsidRDefault="00656B8D" w:rsidP="00DD59BF">
            <w:pPr>
              <w:widowControl/>
              <w:suppressAutoHyphens/>
              <w:autoSpaceDE/>
              <w:autoSpaceDN/>
              <w:adjustRightInd/>
              <w:spacing w:line="276" w:lineRule="auto"/>
              <w:jc w:val="center"/>
              <w:rPr>
                <w:rFonts w:eastAsia="Times New Roman"/>
                <w:lang w:eastAsia="zh-CN"/>
              </w:rPr>
            </w:pPr>
            <w:r w:rsidRPr="00DD59BF">
              <w:t>Disagree</w:t>
            </w:r>
          </w:p>
        </w:tc>
      </w:tr>
      <w:tr w:rsidR="00656B8D" w:rsidRPr="00DD59BF" w14:paraId="24B3EAD8" w14:textId="77777777" w:rsidTr="00C3329A">
        <w:tc>
          <w:tcPr>
            <w:tcW w:w="4508" w:type="dxa"/>
            <w:vAlign w:val="center"/>
          </w:tcPr>
          <w:p w14:paraId="551CBF64" w14:textId="23B13D8B" w:rsidR="00656B8D" w:rsidRPr="00DD59BF" w:rsidRDefault="00656B8D" w:rsidP="00DD59BF">
            <w:pPr>
              <w:widowControl/>
              <w:suppressAutoHyphens/>
              <w:autoSpaceDE/>
              <w:autoSpaceDN/>
              <w:adjustRightInd/>
              <w:spacing w:line="276" w:lineRule="auto"/>
              <w:jc w:val="center"/>
              <w:rPr>
                <w:rFonts w:eastAsia="Times New Roman"/>
                <w:lang w:eastAsia="zh-CN"/>
              </w:rPr>
            </w:pPr>
            <w:r w:rsidRPr="00DD59BF">
              <w:t>3</w:t>
            </w:r>
          </w:p>
        </w:tc>
        <w:tc>
          <w:tcPr>
            <w:tcW w:w="4508" w:type="dxa"/>
            <w:vAlign w:val="center"/>
          </w:tcPr>
          <w:p w14:paraId="4AE740F6" w14:textId="6192C13B" w:rsidR="00656B8D" w:rsidRPr="00DD59BF" w:rsidRDefault="00656B8D" w:rsidP="00DD59BF">
            <w:pPr>
              <w:widowControl/>
              <w:suppressAutoHyphens/>
              <w:autoSpaceDE/>
              <w:autoSpaceDN/>
              <w:adjustRightInd/>
              <w:spacing w:line="276" w:lineRule="auto"/>
              <w:jc w:val="center"/>
              <w:rPr>
                <w:rFonts w:eastAsia="Times New Roman"/>
                <w:lang w:eastAsia="zh-CN"/>
              </w:rPr>
            </w:pPr>
            <w:r w:rsidRPr="00DD59BF">
              <w:t>Agree</w:t>
            </w:r>
          </w:p>
        </w:tc>
      </w:tr>
      <w:tr w:rsidR="00656B8D" w:rsidRPr="00DD59BF" w14:paraId="4351C62E" w14:textId="77777777" w:rsidTr="00C3329A">
        <w:tc>
          <w:tcPr>
            <w:tcW w:w="4508" w:type="dxa"/>
            <w:vAlign w:val="center"/>
          </w:tcPr>
          <w:p w14:paraId="25453344" w14:textId="560BD610" w:rsidR="00656B8D" w:rsidRPr="00DD59BF" w:rsidRDefault="00656B8D" w:rsidP="00DD59BF">
            <w:pPr>
              <w:widowControl/>
              <w:suppressAutoHyphens/>
              <w:autoSpaceDE/>
              <w:autoSpaceDN/>
              <w:adjustRightInd/>
              <w:spacing w:line="276" w:lineRule="auto"/>
              <w:jc w:val="center"/>
              <w:rPr>
                <w:rFonts w:eastAsia="Times New Roman"/>
                <w:lang w:eastAsia="zh-CN"/>
              </w:rPr>
            </w:pPr>
            <w:r w:rsidRPr="00DD59BF">
              <w:t>4</w:t>
            </w:r>
          </w:p>
        </w:tc>
        <w:tc>
          <w:tcPr>
            <w:tcW w:w="4508" w:type="dxa"/>
            <w:vAlign w:val="center"/>
          </w:tcPr>
          <w:p w14:paraId="6ACC8687" w14:textId="1F2017A7" w:rsidR="00656B8D" w:rsidRPr="00DD59BF" w:rsidRDefault="00656B8D" w:rsidP="00DD59BF">
            <w:pPr>
              <w:widowControl/>
              <w:suppressAutoHyphens/>
              <w:autoSpaceDE/>
              <w:autoSpaceDN/>
              <w:adjustRightInd/>
              <w:spacing w:line="276" w:lineRule="auto"/>
              <w:jc w:val="center"/>
              <w:rPr>
                <w:rFonts w:eastAsia="Times New Roman"/>
                <w:lang w:eastAsia="zh-CN"/>
              </w:rPr>
            </w:pPr>
            <w:r w:rsidRPr="00DD59BF">
              <w:t>Strongly Agree</w:t>
            </w:r>
          </w:p>
        </w:tc>
      </w:tr>
    </w:tbl>
    <w:p w14:paraId="5BC8334C" w14:textId="036DD00F" w:rsidR="00656B8D" w:rsidRPr="00DD59BF" w:rsidRDefault="00DD59BF" w:rsidP="00DD59BF">
      <w:pPr>
        <w:widowControl/>
        <w:suppressAutoHyphens/>
        <w:autoSpaceDE/>
        <w:autoSpaceDN/>
        <w:adjustRightInd/>
        <w:spacing w:line="276" w:lineRule="auto"/>
        <w:ind w:firstLine="720"/>
        <w:contextualSpacing/>
        <w:jc w:val="both"/>
        <w:rPr>
          <w:rFonts w:eastAsia="SimSun;宋体"/>
          <w:bCs/>
          <w:lang w:eastAsia="zh-CN"/>
        </w:rPr>
      </w:pPr>
      <w:r w:rsidRPr="00DD59BF">
        <w:rPr>
          <w:rFonts w:eastAsia="SimSun;宋体"/>
          <w:b/>
          <w:bCs/>
          <w:i/>
          <w:iCs/>
          <w:lang w:eastAsia="zh-CN"/>
        </w:rPr>
        <w:t xml:space="preserve">Source: </w:t>
      </w:r>
      <w:r w:rsidRPr="00DD59BF">
        <w:rPr>
          <w:rFonts w:eastAsia="SimSun;宋体"/>
          <w:i/>
          <w:iCs/>
          <w:lang w:eastAsia="zh-CN"/>
        </w:rPr>
        <w:t>Primary data processed by the author, 2026.</w:t>
      </w:r>
    </w:p>
    <w:p w14:paraId="1BDE931C" w14:textId="77777777" w:rsidR="00656B8D" w:rsidRPr="00DD59BF" w:rsidRDefault="00656B8D"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The four-point scale was intentionally adopted to eliminate neutral responses and encourage respondents to provide clear evaluations of CSR program effectiveness.</w:t>
      </w:r>
    </w:p>
    <w:p w14:paraId="55FC320B" w14:textId="6ECF9E23" w:rsidR="00656B8D" w:rsidRPr="00DD59BF" w:rsidRDefault="00656B8D" w:rsidP="00DD59BF">
      <w:pPr>
        <w:widowControl/>
        <w:suppressAutoHyphens/>
        <w:autoSpaceDE/>
        <w:autoSpaceDN/>
        <w:adjustRightInd/>
        <w:spacing w:line="276" w:lineRule="auto"/>
        <w:jc w:val="both"/>
        <w:rPr>
          <w:rFonts w:eastAsia="Times New Roman"/>
          <w:lang w:eastAsia="zh-CN"/>
        </w:rPr>
      </w:pPr>
      <w:r w:rsidRPr="00DD59BF">
        <w:rPr>
          <w:rFonts w:eastAsia="Times New Roman"/>
          <w:lang w:eastAsia="zh-CN"/>
        </w:rPr>
        <w:t>Prior to large-scale data collection, the questionnaire was reviewed by academic experts and practitioners to ensure content validity and clarity of measurement items.</w:t>
      </w:r>
    </w:p>
    <w:p w14:paraId="4718A198" w14:textId="77777777" w:rsidR="00656B8D" w:rsidRPr="00DD59BF" w:rsidRDefault="00656B8D" w:rsidP="00DD59BF">
      <w:pPr>
        <w:widowControl/>
        <w:suppressAutoHyphens/>
        <w:autoSpaceDE/>
        <w:autoSpaceDN/>
        <w:adjustRightInd/>
        <w:spacing w:line="276" w:lineRule="auto"/>
        <w:ind w:firstLine="720"/>
        <w:jc w:val="both"/>
        <w:rPr>
          <w:rFonts w:eastAsia="Times New Roman"/>
          <w:b/>
          <w:bCs/>
          <w:lang w:eastAsia="zh-CN"/>
        </w:rPr>
      </w:pPr>
      <w:r w:rsidRPr="00DD59BF">
        <w:rPr>
          <w:rFonts w:eastAsia="Times New Roman"/>
          <w:b/>
          <w:bCs/>
          <w:lang w:eastAsia="zh-CN"/>
        </w:rPr>
        <w:t>Data Collection Procedure</w:t>
      </w:r>
    </w:p>
    <w:p w14:paraId="16FC16A5" w14:textId="77777777" w:rsidR="00656B8D" w:rsidRPr="00DD59BF" w:rsidRDefault="00656B8D"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Data collection was conducted through direct distribution of questionnaires to beneficiaries participating in CSR programs. Respondents received information regarding the objectives of the study and were informed that participation was entirely voluntary. Before completing the questionnaire, each respondent provided informed consent confirming willingness to participate in the research.</w:t>
      </w:r>
    </w:p>
    <w:p w14:paraId="16EF467A" w14:textId="50600089" w:rsidR="00656B8D" w:rsidRPr="00DD59BF" w:rsidRDefault="00656B8D" w:rsidP="00DD59BF">
      <w:pPr>
        <w:widowControl/>
        <w:suppressAutoHyphens/>
        <w:autoSpaceDE/>
        <w:autoSpaceDN/>
        <w:adjustRightInd/>
        <w:spacing w:line="276" w:lineRule="auto"/>
        <w:jc w:val="both"/>
        <w:rPr>
          <w:rFonts w:eastAsia="Times New Roman"/>
          <w:lang w:eastAsia="zh-CN"/>
        </w:rPr>
      </w:pPr>
      <w:r w:rsidRPr="00DD59BF">
        <w:rPr>
          <w:rFonts w:eastAsia="Times New Roman"/>
          <w:lang w:eastAsia="zh-CN"/>
        </w:rPr>
        <w:t>To complement the primary data, secondary information was obtained from institutional reports, CSR documentation, government regulations, sustainability reports, and relevant academic publications concerning Corporate Social Responsibility and Islamic social finance.</w:t>
      </w:r>
    </w:p>
    <w:p w14:paraId="746F85D1" w14:textId="77777777" w:rsidR="00656B8D" w:rsidRPr="00DD59BF" w:rsidRDefault="00656B8D" w:rsidP="00DD59BF">
      <w:pPr>
        <w:widowControl/>
        <w:suppressAutoHyphens/>
        <w:autoSpaceDE/>
        <w:autoSpaceDN/>
        <w:adjustRightInd/>
        <w:spacing w:line="276" w:lineRule="auto"/>
        <w:ind w:firstLine="720"/>
        <w:jc w:val="both"/>
        <w:rPr>
          <w:rFonts w:eastAsia="Times New Roman"/>
          <w:b/>
          <w:bCs/>
          <w:lang w:eastAsia="zh-CN"/>
        </w:rPr>
      </w:pPr>
      <w:r w:rsidRPr="00DD59BF">
        <w:rPr>
          <w:rFonts w:eastAsia="Times New Roman"/>
          <w:b/>
          <w:bCs/>
          <w:lang w:eastAsia="zh-CN"/>
        </w:rPr>
        <w:t>Validity and Reliability Testing</w:t>
      </w:r>
    </w:p>
    <w:p w14:paraId="756D9869" w14:textId="77777777" w:rsidR="00656B8D" w:rsidRPr="00DD59BF" w:rsidRDefault="00656B8D"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The quality of the measurement instrument was evaluated through validity and reliability testing before conducting Exploratory Factor Analysis.</w:t>
      </w:r>
    </w:p>
    <w:p w14:paraId="087CED28" w14:textId="77777777" w:rsidR="00656B8D" w:rsidRPr="00DD59BF" w:rsidRDefault="00656B8D" w:rsidP="00DD59BF">
      <w:pPr>
        <w:widowControl/>
        <w:suppressAutoHyphens/>
        <w:autoSpaceDE/>
        <w:autoSpaceDN/>
        <w:adjustRightInd/>
        <w:spacing w:line="276" w:lineRule="auto"/>
        <w:jc w:val="both"/>
        <w:rPr>
          <w:rFonts w:eastAsia="Times New Roman"/>
          <w:lang w:eastAsia="zh-CN"/>
        </w:rPr>
      </w:pPr>
      <w:r w:rsidRPr="00DD59BF">
        <w:rPr>
          <w:rFonts w:eastAsia="Times New Roman"/>
          <w:lang w:eastAsia="zh-CN"/>
        </w:rPr>
        <w:t>Item validity was assessed using the corrected item-total correlation method. Questionnaire items were considered valid when the correlation coefficient exceeded the minimum acceptable threshold of 0.30.</w:t>
      </w:r>
    </w:p>
    <w:p w14:paraId="6286DFC3" w14:textId="6DE212A0" w:rsidR="00656B8D" w:rsidRPr="00DD59BF" w:rsidRDefault="00656B8D"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Internal consistency reliability was evaluated using Cronbach's Alpha coefficient. Following the recommendations of Hair et al. (2013), reliability values greater than 0.70 indicate acceptable internal consistency, while values above 0.90 demonstrate excellent reliability.</w:t>
      </w:r>
      <w:r w:rsidR="00DD59BF">
        <w:rPr>
          <w:rFonts w:eastAsia="Times New Roman"/>
          <w:lang w:eastAsia="zh-CN"/>
        </w:rPr>
        <w:t xml:space="preserve"> </w:t>
      </w:r>
      <w:proofErr w:type="gramStart"/>
      <w:r w:rsidRPr="00DD59BF">
        <w:rPr>
          <w:rFonts w:eastAsia="Times New Roman"/>
          <w:lang w:eastAsia="zh-CN"/>
        </w:rPr>
        <w:t>The</w:t>
      </w:r>
      <w:proofErr w:type="gramEnd"/>
      <w:r w:rsidRPr="00DD59BF">
        <w:rPr>
          <w:rFonts w:eastAsia="Times New Roman"/>
          <w:lang w:eastAsia="zh-CN"/>
        </w:rPr>
        <w:t xml:space="preserve"> empirical analysis produced a Cronbach's Alpha coefficient of </w:t>
      </w:r>
      <w:r w:rsidRPr="00DD59BF">
        <w:rPr>
          <w:rFonts w:eastAsia="Times New Roman"/>
          <w:b/>
          <w:bCs/>
          <w:lang w:eastAsia="zh-CN"/>
        </w:rPr>
        <w:t>0.974</w:t>
      </w:r>
      <w:r w:rsidRPr="00DD59BF">
        <w:rPr>
          <w:rFonts w:eastAsia="Times New Roman"/>
          <w:lang w:eastAsia="zh-CN"/>
        </w:rPr>
        <w:t>, indicating that the questionnaire possesses excellent reliability and is highly suitable for subsequent multivariate analysis.</w:t>
      </w:r>
    </w:p>
    <w:p w14:paraId="6B432736" w14:textId="77777777" w:rsidR="00656B8D" w:rsidRPr="00DD59BF" w:rsidRDefault="00656B8D" w:rsidP="00DD59BF">
      <w:pPr>
        <w:widowControl/>
        <w:suppressAutoHyphens/>
        <w:autoSpaceDE/>
        <w:autoSpaceDN/>
        <w:adjustRightInd/>
        <w:spacing w:line="276" w:lineRule="auto"/>
        <w:ind w:firstLine="720"/>
        <w:jc w:val="both"/>
        <w:rPr>
          <w:rFonts w:eastAsia="Times New Roman"/>
          <w:b/>
          <w:bCs/>
          <w:lang w:eastAsia="zh-CN"/>
        </w:rPr>
      </w:pPr>
      <w:r w:rsidRPr="00DD59BF">
        <w:rPr>
          <w:rFonts w:eastAsia="Times New Roman"/>
          <w:b/>
          <w:bCs/>
          <w:lang w:eastAsia="zh-CN"/>
        </w:rPr>
        <w:t>Data Analysis Technique</w:t>
      </w:r>
    </w:p>
    <w:p w14:paraId="73B0D2E7" w14:textId="380C2817" w:rsidR="00656B8D" w:rsidRPr="00DD59BF" w:rsidRDefault="00656B8D"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 xml:space="preserve">Data were analyzed using </w:t>
      </w:r>
      <w:r w:rsidRPr="00DD59BF">
        <w:rPr>
          <w:rFonts w:eastAsia="Times New Roman"/>
          <w:b/>
          <w:bCs/>
          <w:lang w:eastAsia="zh-CN"/>
        </w:rPr>
        <w:t>IBM SPSS Statistics Version 31</w:t>
      </w:r>
      <w:r w:rsidRPr="00DD59BF">
        <w:rPr>
          <w:rFonts w:eastAsia="Times New Roman"/>
          <w:lang w:eastAsia="zh-CN"/>
        </w:rPr>
        <w:t>.</w:t>
      </w:r>
      <w:r w:rsidRPr="00DD59BF">
        <w:rPr>
          <w:rFonts w:eastAsia="Times New Roman"/>
          <w:lang w:eastAsia="zh-CN"/>
        </w:rPr>
        <w:t xml:space="preserve"> </w:t>
      </w:r>
      <w:r w:rsidRPr="00DD59BF">
        <w:rPr>
          <w:rFonts w:eastAsia="Times New Roman"/>
          <w:lang w:eastAsia="zh-CN"/>
        </w:rPr>
        <w:t>The analytical procedure consisted of several sequential stages.</w:t>
      </w:r>
    </w:p>
    <w:p w14:paraId="6197E772" w14:textId="77777777" w:rsidR="00656B8D" w:rsidRPr="00DD59BF" w:rsidRDefault="00656B8D" w:rsidP="00DD59BF">
      <w:pPr>
        <w:widowControl/>
        <w:suppressAutoHyphens/>
        <w:autoSpaceDE/>
        <w:autoSpaceDN/>
        <w:adjustRightInd/>
        <w:spacing w:line="276" w:lineRule="auto"/>
        <w:ind w:firstLine="720"/>
        <w:jc w:val="both"/>
        <w:rPr>
          <w:rFonts w:eastAsia="Times New Roman"/>
          <w:b/>
          <w:bCs/>
          <w:lang w:eastAsia="zh-CN"/>
        </w:rPr>
      </w:pPr>
      <w:r w:rsidRPr="00DD59BF">
        <w:rPr>
          <w:rFonts w:eastAsia="Times New Roman"/>
          <w:b/>
          <w:bCs/>
          <w:lang w:eastAsia="zh-CN"/>
        </w:rPr>
        <w:t>Descriptive Analysis</w:t>
      </w:r>
    </w:p>
    <w:p w14:paraId="1B96E040" w14:textId="77777777" w:rsidR="00656B8D" w:rsidRPr="00DD59BF" w:rsidRDefault="00656B8D"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Descriptive statistics were initially performed to summarize respondents' demographic characteristics and provide an overview of their perceptions regarding CSR program implementation.</w:t>
      </w:r>
    </w:p>
    <w:p w14:paraId="7EDF16D8" w14:textId="77777777" w:rsidR="00125AA4" w:rsidRPr="00DD59BF" w:rsidRDefault="00125AA4" w:rsidP="00DD59BF">
      <w:pPr>
        <w:widowControl/>
        <w:suppressAutoHyphens/>
        <w:autoSpaceDE/>
        <w:autoSpaceDN/>
        <w:adjustRightInd/>
        <w:spacing w:line="276" w:lineRule="auto"/>
        <w:ind w:firstLine="720"/>
        <w:jc w:val="both"/>
        <w:rPr>
          <w:rFonts w:eastAsia="Times New Roman"/>
          <w:lang w:eastAsia="zh-CN"/>
        </w:rPr>
      </w:pPr>
    </w:p>
    <w:p w14:paraId="6DBD49AE" w14:textId="77777777" w:rsidR="00125AA4" w:rsidRPr="00DD59BF" w:rsidRDefault="00125AA4" w:rsidP="00DD59BF">
      <w:pPr>
        <w:widowControl/>
        <w:suppressAutoHyphens/>
        <w:autoSpaceDE/>
        <w:autoSpaceDN/>
        <w:adjustRightInd/>
        <w:spacing w:line="276" w:lineRule="auto"/>
        <w:ind w:firstLine="720"/>
        <w:jc w:val="both"/>
        <w:rPr>
          <w:rFonts w:eastAsia="Times New Roman"/>
          <w:lang w:eastAsia="zh-CN"/>
        </w:rPr>
      </w:pPr>
    </w:p>
    <w:p w14:paraId="0625B6F1" w14:textId="77777777" w:rsidR="00656B8D" w:rsidRPr="00DD59BF" w:rsidRDefault="00656B8D" w:rsidP="00DD59BF">
      <w:pPr>
        <w:widowControl/>
        <w:suppressAutoHyphens/>
        <w:autoSpaceDE/>
        <w:autoSpaceDN/>
        <w:adjustRightInd/>
        <w:spacing w:line="276" w:lineRule="auto"/>
        <w:ind w:firstLine="720"/>
        <w:jc w:val="both"/>
        <w:rPr>
          <w:rFonts w:eastAsia="Times New Roman"/>
          <w:b/>
          <w:bCs/>
          <w:lang w:eastAsia="zh-CN"/>
        </w:rPr>
      </w:pPr>
      <w:r w:rsidRPr="00DD59BF">
        <w:rPr>
          <w:rFonts w:eastAsia="Times New Roman"/>
          <w:b/>
          <w:bCs/>
          <w:lang w:eastAsia="zh-CN"/>
        </w:rPr>
        <w:t>Assessment of Factorability</w:t>
      </w:r>
    </w:p>
    <w:p w14:paraId="6FE7FE29" w14:textId="77777777" w:rsidR="00656B8D" w:rsidRPr="00DD59BF" w:rsidRDefault="00656B8D"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Before factor extraction, the suitability of the data for Exploratory Factor Analysis was evaluated using the following statistical tests:</w:t>
      </w:r>
    </w:p>
    <w:p w14:paraId="320E5718" w14:textId="77777777" w:rsidR="00656B8D" w:rsidRPr="00DD59BF" w:rsidRDefault="00656B8D" w:rsidP="00DD59BF">
      <w:pPr>
        <w:widowControl/>
        <w:numPr>
          <w:ilvl w:val="0"/>
          <w:numId w:val="9"/>
        </w:numPr>
        <w:suppressAutoHyphens/>
        <w:autoSpaceDE/>
        <w:autoSpaceDN/>
        <w:adjustRightInd/>
        <w:spacing w:line="276" w:lineRule="auto"/>
        <w:jc w:val="both"/>
        <w:rPr>
          <w:rFonts w:eastAsia="Times New Roman"/>
          <w:lang w:eastAsia="zh-CN"/>
        </w:rPr>
      </w:pPr>
      <w:r w:rsidRPr="00DD59BF">
        <w:rPr>
          <w:rFonts w:eastAsia="Times New Roman"/>
          <w:lang w:eastAsia="zh-CN"/>
        </w:rPr>
        <w:t xml:space="preserve">Kaiser-Meyer-Olkin (KMO) Measure of Sampling Adequacy; </w:t>
      </w:r>
    </w:p>
    <w:p w14:paraId="6B2FF248" w14:textId="77777777" w:rsidR="00656B8D" w:rsidRPr="00DD59BF" w:rsidRDefault="00656B8D" w:rsidP="00DD59BF">
      <w:pPr>
        <w:widowControl/>
        <w:numPr>
          <w:ilvl w:val="0"/>
          <w:numId w:val="9"/>
        </w:numPr>
        <w:suppressAutoHyphens/>
        <w:autoSpaceDE/>
        <w:autoSpaceDN/>
        <w:adjustRightInd/>
        <w:spacing w:line="276" w:lineRule="auto"/>
        <w:jc w:val="both"/>
        <w:rPr>
          <w:rFonts w:eastAsia="Times New Roman"/>
          <w:lang w:eastAsia="zh-CN"/>
        </w:rPr>
      </w:pPr>
      <w:r w:rsidRPr="00DD59BF">
        <w:rPr>
          <w:rFonts w:eastAsia="Times New Roman"/>
          <w:lang w:eastAsia="zh-CN"/>
        </w:rPr>
        <w:t xml:space="preserve">Bartlett's Test of Sphericity; and </w:t>
      </w:r>
    </w:p>
    <w:p w14:paraId="296EA7B3" w14:textId="77777777" w:rsidR="00656B8D" w:rsidRPr="00DD59BF" w:rsidRDefault="00656B8D" w:rsidP="00DD59BF">
      <w:pPr>
        <w:widowControl/>
        <w:numPr>
          <w:ilvl w:val="0"/>
          <w:numId w:val="9"/>
        </w:numPr>
        <w:suppressAutoHyphens/>
        <w:autoSpaceDE/>
        <w:autoSpaceDN/>
        <w:adjustRightInd/>
        <w:spacing w:line="276" w:lineRule="auto"/>
        <w:jc w:val="both"/>
        <w:rPr>
          <w:rFonts w:eastAsia="Times New Roman"/>
          <w:lang w:eastAsia="zh-CN"/>
        </w:rPr>
      </w:pPr>
      <w:r w:rsidRPr="00DD59BF">
        <w:rPr>
          <w:rFonts w:eastAsia="Times New Roman"/>
          <w:lang w:eastAsia="zh-CN"/>
        </w:rPr>
        <w:t xml:space="preserve">Anti-image Correlation Matrix (Measure of Sampling Adequacy). </w:t>
      </w:r>
    </w:p>
    <w:p w14:paraId="1524351A" w14:textId="77777777" w:rsidR="00656B8D" w:rsidRPr="00DD59BF" w:rsidRDefault="00656B8D" w:rsidP="00DD59BF">
      <w:pPr>
        <w:widowControl/>
        <w:suppressAutoHyphens/>
        <w:autoSpaceDE/>
        <w:autoSpaceDN/>
        <w:adjustRightInd/>
        <w:spacing w:line="276" w:lineRule="auto"/>
        <w:jc w:val="both"/>
        <w:rPr>
          <w:rFonts w:eastAsia="Times New Roman"/>
          <w:lang w:eastAsia="zh-CN"/>
        </w:rPr>
      </w:pPr>
      <w:r w:rsidRPr="00DD59BF">
        <w:rPr>
          <w:rFonts w:eastAsia="Times New Roman"/>
          <w:lang w:eastAsia="zh-CN"/>
        </w:rPr>
        <w:t>A KMO value greater than 0.50 together with a statistically significant Bartlett's Test (p &lt; 0.05) indicates that correlations among variables are sufficiently strong to justify factor analysis.</w:t>
      </w:r>
    </w:p>
    <w:p w14:paraId="2915ED54" w14:textId="77777777" w:rsidR="00656B8D" w:rsidRPr="00DD59BF" w:rsidRDefault="00656B8D" w:rsidP="00DD59BF">
      <w:pPr>
        <w:widowControl/>
        <w:suppressAutoHyphens/>
        <w:autoSpaceDE/>
        <w:autoSpaceDN/>
        <w:adjustRightInd/>
        <w:spacing w:line="276" w:lineRule="auto"/>
        <w:ind w:firstLine="720"/>
        <w:jc w:val="both"/>
        <w:rPr>
          <w:rFonts w:eastAsia="Times New Roman"/>
          <w:b/>
          <w:bCs/>
          <w:lang w:eastAsia="zh-CN"/>
        </w:rPr>
      </w:pPr>
      <w:r w:rsidRPr="00DD59BF">
        <w:rPr>
          <w:rFonts w:eastAsia="Times New Roman"/>
          <w:b/>
          <w:bCs/>
          <w:lang w:eastAsia="zh-CN"/>
        </w:rPr>
        <w:t>Factor Extraction</w:t>
      </w:r>
    </w:p>
    <w:p w14:paraId="493E82E9" w14:textId="77777777" w:rsidR="00656B8D" w:rsidRPr="00DD59BF" w:rsidRDefault="00656B8D"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Principal Component Analysis (PCA) was employed as the extraction method to identify latent dimensions underlying CSR effectiveness.</w:t>
      </w:r>
    </w:p>
    <w:p w14:paraId="7E3104D9" w14:textId="77777777" w:rsidR="00656B8D" w:rsidRPr="00DD59BF" w:rsidRDefault="00656B8D" w:rsidP="00DD59BF">
      <w:pPr>
        <w:widowControl/>
        <w:suppressAutoHyphens/>
        <w:autoSpaceDE/>
        <w:autoSpaceDN/>
        <w:adjustRightInd/>
        <w:spacing w:line="276" w:lineRule="auto"/>
        <w:jc w:val="both"/>
        <w:rPr>
          <w:rFonts w:eastAsia="Times New Roman"/>
          <w:lang w:eastAsia="zh-CN"/>
        </w:rPr>
      </w:pPr>
      <w:r w:rsidRPr="00DD59BF">
        <w:rPr>
          <w:rFonts w:eastAsia="Times New Roman"/>
          <w:lang w:eastAsia="zh-CN"/>
        </w:rPr>
        <w:t>The number of retained factors was determined using three criteria:</w:t>
      </w:r>
    </w:p>
    <w:p w14:paraId="399401BA" w14:textId="77777777" w:rsidR="00656B8D" w:rsidRPr="00DD59BF" w:rsidRDefault="00656B8D" w:rsidP="00DD59BF">
      <w:pPr>
        <w:widowControl/>
        <w:numPr>
          <w:ilvl w:val="0"/>
          <w:numId w:val="10"/>
        </w:numPr>
        <w:suppressAutoHyphens/>
        <w:autoSpaceDE/>
        <w:autoSpaceDN/>
        <w:adjustRightInd/>
        <w:spacing w:line="276" w:lineRule="auto"/>
        <w:jc w:val="both"/>
        <w:rPr>
          <w:rFonts w:eastAsia="Times New Roman"/>
          <w:lang w:eastAsia="zh-CN"/>
        </w:rPr>
      </w:pPr>
      <w:r w:rsidRPr="00DD59BF">
        <w:rPr>
          <w:rFonts w:eastAsia="Times New Roman"/>
          <w:lang w:eastAsia="zh-CN"/>
        </w:rPr>
        <w:t xml:space="preserve">Eigenvalues greater than one (Eigenvalue &gt; 1); </w:t>
      </w:r>
    </w:p>
    <w:p w14:paraId="7E131103" w14:textId="77777777" w:rsidR="00656B8D" w:rsidRPr="00DD59BF" w:rsidRDefault="00656B8D" w:rsidP="00DD59BF">
      <w:pPr>
        <w:widowControl/>
        <w:numPr>
          <w:ilvl w:val="0"/>
          <w:numId w:val="10"/>
        </w:numPr>
        <w:suppressAutoHyphens/>
        <w:autoSpaceDE/>
        <w:autoSpaceDN/>
        <w:adjustRightInd/>
        <w:spacing w:line="276" w:lineRule="auto"/>
        <w:jc w:val="both"/>
        <w:rPr>
          <w:rFonts w:eastAsia="Times New Roman"/>
          <w:lang w:eastAsia="zh-CN"/>
        </w:rPr>
      </w:pPr>
      <w:r w:rsidRPr="00DD59BF">
        <w:rPr>
          <w:rFonts w:eastAsia="Times New Roman"/>
          <w:lang w:eastAsia="zh-CN"/>
        </w:rPr>
        <w:t xml:space="preserve">Examination of the Scree Plot; and </w:t>
      </w:r>
    </w:p>
    <w:p w14:paraId="3C809521" w14:textId="77777777" w:rsidR="00656B8D" w:rsidRPr="00DD59BF" w:rsidRDefault="00656B8D" w:rsidP="00DD59BF">
      <w:pPr>
        <w:widowControl/>
        <w:numPr>
          <w:ilvl w:val="0"/>
          <w:numId w:val="10"/>
        </w:numPr>
        <w:suppressAutoHyphens/>
        <w:autoSpaceDE/>
        <w:autoSpaceDN/>
        <w:adjustRightInd/>
        <w:spacing w:line="276" w:lineRule="auto"/>
        <w:jc w:val="both"/>
        <w:rPr>
          <w:rFonts w:eastAsia="Times New Roman"/>
          <w:lang w:eastAsia="zh-CN"/>
        </w:rPr>
      </w:pPr>
      <w:r w:rsidRPr="00DD59BF">
        <w:rPr>
          <w:rFonts w:eastAsia="Times New Roman"/>
          <w:lang w:eastAsia="zh-CN"/>
        </w:rPr>
        <w:t xml:space="preserve">Cumulative percentage of explained variance. </w:t>
      </w:r>
    </w:p>
    <w:p w14:paraId="2BE5E257" w14:textId="77777777" w:rsidR="00656B8D" w:rsidRPr="00DD59BF" w:rsidRDefault="00656B8D" w:rsidP="00DD59BF">
      <w:pPr>
        <w:widowControl/>
        <w:suppressAutoHyphens/>
        <w:autoSpaceDE/>
        <w:autoSpaceDN/>
        <w:adjustRightInd/>
        <w:spacing w:line="276" w:lineRule="auto"/>
        <w:jc w:val="both"/>
        <w:rPr>
          <w:rFonts w:eastAsia="Times New Roman"/>
          <w:lang w:eastAsia="zh-CN"/>
        </w:rPr>
      </w:pPr>
      <w:r w:rsidRPr="00DD59BF">
        <w:rPr>
          <w:rFonts w:eastAsia="Times New Roman"/>
          <w:lang w:eastAsia="zh-CN"/>
        </w:rPr>
        <w:t>Following Hair et al. (2013), cumulative variance exceeding 60% is generally considered adequate in social science research.</w:t>
      </w:r>
    </w:p>
    <w:p w14:paraId="2D28E4CB" w14:textId="77777777" w:rsidR="00656B8D" w:rsidRPr="00DD59BF" w:rsidRDefault="00656B8D" w:rsidP="00DD59BF">
      <w:pPr>
        <w:widowControl/>
        <w:suppressAutoHyphens/>
        <w:autoSpaceDE/>
        <w:autoSpaceDN/>
        <w:adjustRightInd/>
        <w:spacing w:line="276" w:lineRule="auto"/>
        <w:ind w:firstLine="720"/>
        <w:jc w:val="both"/>
        <w:rPr>
          <w:rFonts w:eastAsia="Times New Roman"/>
          <w:b/>
          <w:bCs/>
          <w:lang w:eastAsia="zh-CN"/>
        </w:rPr>
      </w:pPr>
      <w:r w:rsidRPr="00DD59BF">
        <w:rPr>
          <w:rFonts w:eastAsia="Times New Roman"/>
          <w:b/>
          <w:bCs/>
          <w:lang w:eastAsia="zh-CN"/>
        </w:rPr>
        <w:t>Factor Rotation</w:t>
      </w:r>
    </w:p>
    <w:p w14:paraId="14DE1AA3" w14:textId="77777777" w:rsidR="00656B8D" w:rsidRPr="00DD59BF" w:rsidRDefault="00656B8D"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 xml:space="preserve">After factor extraction, </w:t>
      </w:r>
      <w:r w:rsidRPr="00DD59BF">
        <w:rPr>
          <w:rFonts w:eastAsia="Times New Roman"/>
          <w:b/>
          <w:bCs/>
          <w:lang w:eastAsia="zh-CN"/>
        </w:rPr>
        <w:t>Promax Rotation with Kaiser Normalization</w:t>
      </w:r>
      <w:r w:rsidRPr="00DD59BF">
        <w:rPr>
          <w:rFonts w:eastAsia="Times New Roman"/>
          <w:lang w:eastAsia="zh-CN"/>
        </w:rPr>
        <w:t xml:space="preserve"> was applied to obtain a simpler and more interpretable factor structure.</w:t>
      </w:r>
    </w:p>
    <w:p w14:paraId="27B09F5B" w14:textId="77777777" w:rsidR="00656B8D" w:rsidRPr="00DD59BF" w:rsidRDefault="00656B8D" w:rsidP="00DD59BF">
      <w:pPr>
        <w:widowControl/>
        <w:suppressAutoHyphens/>
        <w:autoSpaceDE/>
        <w:autoSpaceDN/>
        <w:adjustRightInd/>
        <w:spacing w:line="276" w:lineRule="auto"/>
        <w:jc w:val="both"/>
        <w:rPr>
          <w:rFonts w:eastAsia="Times New Roman"/>
          <w:lang w:eastAsia="zh-CN"/>
        </w:rPr>
      </w:pPr>
      <w:r w:rsidRPr="00DD59BF">
        <w:rPr>
          <w:rFonts w:eastAsia="Times New Roman"/>
          <w:lang w:eastAsia="zh-CN"/>
        </w:rPr>
        <w:t>Promax rotation was selected because the dimensions of CSR effectiveness are theoretically expected to correlate rather than remain independent. Oblique rotation therefore provides a more realistic representation of relationships among latent constructs than orthogonal rotation methods.</w:t>
      </w:r>
    </w:p>
    <w:p w14:paraId="3DDE2C1E" w14:textId="77777777" w:rsidR="00656B8D" w:rsidRPr="00DD59BF" w:rsidRDefault="00656B8D" w:rsidP="00DD59BF">
      <w:pPr>
        <w:widowControl/>
        <w:suppressAutoHyphens/>
        <w:autoSpaceDE/>
        <w:autoSpaceDN/>
        <w:adjustRightInd/>
        <w:spacing w:line="276" w:lineRule="auto"/>
        <w:ind w:firstLine="720"/>
        <w:jc w:val="both"/>
        <w:rPr>
          <w:rFonts w:eastAsia="Times New Roman"/>
          <w:b/>
          <w:bCs/>
          <w:lang w:eastAsia="zh-CN"/>
        </w:rPr>
      </w:pPr>
      <w:r w:rsidRPr="00DD59BF">
        <w:rPr>
          <w:rFonts w:eastAsia="Times New Roman"/>
          <w:b/>
          <w:bCs/>
          <w:lang w:eastAsia="zh-CN"/>
        </w:rPr>
        <w:t>Factor Interpretation</w:t>
      </w:r>
    </w:p>
    <w:p w14:paraId="0F4F4E5F" w14:textId="77777777" w:rsidR="00656B8D" w:rsidRPr="00DD59BF" w:rsidRDefault="00656B8D"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Latent factors were interpreted based on the rotated factor loading matrix.</w:t>
      </w:r>
    </w:p>
    <w:p w14:paraId="394F7590" w14:textId="0F541977" w:rsidR="00656B8D" w:rsidRPr="00DD59BF" w:rsidRDefault="00656B8D" w:rsidP="00DD59BF">
      <w:pPr>
        <w:widowControl/>
        <w:suppressAutoHyphens/>
        <w:autoSpaceDE/>
        <w:autoSpaceDN/>
        <w:adjustRightInd/>
        <w:spacing w:line="276" w:lineRule="auto"/>
        <w:jc w:val="both"/>
        <w:rPr>
          <w:rFonts w:eastAsia="Times New Roman"/>
          <w:lang w:eastAsia="zh-CN"/>
        </w:rPr>
      </w:pPr>
      <w:r w:rsidRPr="00DD59BF">
        <w:rPr>
          <w:rFonts w:eastAsia="Times New Roman"/>
          <w:lang w:eastAsia="zh-CN"/>
        </w:rPr>
        <w:t xml:space="preserve">Indicators with factor loadings of </w:t>
      </w:r>
      <w:r w:rsidRPr="00DD59BF">
        <w:rPr>
          <w:rFonts w:eastAsia="Times New Roman"/>
          <w:b/>
          <w:bCs/>
          <w:lang w:eastAsia="zh-CN"/>
        </w:rPr>
        <w:t>0.50 or greater</w:t>
      </w:r>
      <w:r w:rsidRPr="00DD59BF">
        <w:rPr>
          <w:rFonts w:eastAsia="Times New Roman"/>
          <w:lang w:eastAsia="zh-CN"/>
        </w:rPr>
        <w:t xml:space="preserve"> were retained for interpretation. Each factor was subsequently named according to the conceptual similarity of its constituent indicators and supported by existing theories of Corporate Social Responsibility, organizational effectiveness, Islamic social finance, and </w:t>
      </w:r>
      <w:proofErr w:type="spellStart"/>
      <w:r w:rsidRPr="00DD59BF">
        <w:rPr>
          <w:rFonts w:eastAsia="Times New Roman"/>
          <w:i/>
          <w:iCs/>
          <w:lang w:eastAsia="zh-CN"/>
        </w:rPr>
        <w:t>maqashid</w:t>
      </w:r>
      <w:proofErr w:type="spellEnd"/>
      <w:r w:rsidRPr="00DD59BF">
        <w:rPr>
          <w:rFonts w:eastAsia="Times New Roman"/>
          <w:i/>
          <w:iCs/>
          <w:lang w:eastAsia="zh-CN"/>
        </w:rPr>
        <w:t xml:space="preserve"> sharia</w:t>
      </w:r>
      <w:r w:rsidRPr="00DD59BF">
        <w:rPr>
          <w:rFonts w:eastAsia="Times New Roman"/>
          <w:lang w:eastAsia="zh-CN"/>
        </w:rPr>
        <w:t>.</w:t>
      </w:r>
    </w:p>
    <w:p w14:paraId="385DEA0F" w14:textId="77777777" w:rsidR="00656B8D" w:rsidRPr="00DD59BF" w:rsidRDefault="00656B8D" w:rsidP="00DD59BF">
      <w:pPr>
        <w:widowControl/>
        <w:suppressAutoHyphens/>
        <w:autoSpaceDE/>
        <w:autoSpaceDN/>
        <w:adjustRightInd/>
        <w:spacing w:line="276" w:lineRule="auto"/>
        <w:ind w:firstLine="720"/>
        <w:jc w:val="both"/>
        <w:rPr>
          <w:rFonts w:eastAsia="Times New Roman"/>
          <w:b/>
          <w:bCs/>
          <w:lang w:eastAsia="zh-CN"/>
        </w:rPr>
      </w:pPr>
      <w:r w:rsidRPr="00DD59BF">
        <w:rPr>
          <w:rFonts w:eastAsia="Times New Roman"/>
          <w:b/>
          <w:bCs/>
          <w:lang w:eastAsia="zh-CN"/>
        </w:rPr>
        <w:t>Ethical Considerations</w:t>
      </w:r>
    </w:p>
    <w:p w14:paraId="05E905A3" w14:textId="77777777" w:rsidR="00656B8D" w:rsidRPr="00DD59BF" w:rsidRDefault="00656B8D"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This study adhered to accepted ethical standards for research involving human participants. Participation was voluntary, and respondents were informed of the purpose of the research before completing the questionnaire. All respondents provided informed consent prior to participation.</w:t>
      </w:r>
    </w:p>
    <w:p w14:paraId="5789FCEE" w14:textId="0F26AB02" w:rsidR="00656B8D" w:rsidRDefault="00656B8D" w:rsidP="00DD59BF">
      <w:pPr>
        <w:widowControl/>
        <w:suppressAutoHyphens/>
        <w:autoSpaceDE/>
        <w:autoSpaceDN/>
        <w:adjustRightInd/>
        <w:spacing w:line="276" w:lineRule="auto"/>
        <w:jc w:val="both"/>
        <w:rPr>
          <w:rFonts w:eastAsia="Times New Roman"/>
          <w:lang w:eastAsia="zh-CN"/>
        </w:rPr>
      </w:pPr>
      <w:r w:rsidRPr="00DD59BF">
        <w:rPr>
          <w:rFonts w:eastAsia="Times New Roman"/>
          <w:lang w:eastAsia="zh-CN"/>
        </w:rPr>
        <w:t>Confidentiality and anonymity were maintained throughout the research process. Personal identities were not recorded in the dataset, and all information was analyzed exclusively for academic purposes.</w:t>
      </w:r>
    </w:p>
    <w:p w14:paraId="65CD2404" w14:textId="77777777" w:rsidR="00DD59BF" w:rsidRDefault="00DD59BF" w:rsidP="00DD59BF">
      <w:pPr>
        <w:widowControl/>
        <w:suppressAutoHyphens/>
        <w:autoSpaceDE/>
        <w:autoSpaceDN/>
        <w:adjustRightInd/>
        <w:spacing w:line="276" w:lineRule="auto"/>
        <w:jc w:val="both"/>
        <w:rPr>
          <w:rFonts w:eastAsia="Times New Roman"/>
          <w:lang w:eastAsia="zh-CN"/>
        </w:rPr>
      </w:pPr>
    </w:p>
    <w:p w14:paraId="2C5032CE" w14:textId="77777777" w:rsidR="00DD59BF" w:rsidRDefault="00DD59BF" w:rsidP="00DD59BF">
      <w:pPr>
        <w:widowControl/>
        <w:suppressAutoHyphens/>
        <w:autoSpaceDE/>
        <w:autoSpaceDN/>
        <w:adjustRightInd/>
        <w:spacing w:line="276" w:lineRule="auto"/>
        <w:jc w:val="both"/>
        <w:rPr>
          <w:rFonts w:eastAsia="Times New Roman"/>
          <w:lang w:eastAsia="zh-CN"/>
        </w:rPr>
      </w:pPr>
    </w:p>
    <w:p w14:paraId="45AFB338" w14:textId="77777777" w:rsidR="00DD59BF" w:rsidRDefault="00DD59BF" w:rsidP="00DD59BF">
      <w:pPr>
        <w:widowControl/>
        <w:suppressAutoHyphens/>
        <w:autoSpaceDE/>
        <w:autoSpaceDN/>
        <w:adjustRightInd/>
        <w:spacing w:line="276" w:lineRule="auto"/>
        <w:jc w:val="both"/>
        <w:rPr>
          <w:rFonts w:eastAsia="Times New Roman"/>
          <w:lang w:eastAsia="zh-CN"/>
        </w:rPr>
      </w:pPr>
    </w:p>
    <w:p w14:paraId="11B5A94C" w14:textId="77777777" w:rsidR="00DD59BF" w:rsidRDefault="00DD59BF" w:rsidP="00DD59BF">
      <w:pPr>
        <w:widowControl/>
        <w:suppressAutoHyphens/>
        <w:autoSpaceDE/>
        <w:autoSpaceDN/>
        <w:adjustRightInd/>
        <w:spacing w:line="276" w:lineRule="auto"/>
        <w:jc w:val="both"/>
        <w:rPr>
          <w:rFonts w:eastAsia="Times New Roman"/>
          <w:lang w:eastAsia="zh-CN"/>
        </w:rPr>
      </w:pPr>
    </w:p>
    <w:p w14:paraId="21E09DD5" w14:textId="77777777" w:rsidR="00DD59BF" w:rsidRDefault="00DD59BF" w:rsidP="00DD59BF">
      <w:pPr>
        <w:widowControl/>
        <w:suppressAutoHyphens/>
        <w:autoSpaceDE/>
        <w:autoSpaceDN/>
        <w:adjustRightInd/>
        <w:spacing w:line="276" w:lineRule="auto"/>
        <w:jc w:val="both"/>
        <w:rPr>
          <w:rFonts w:eastAsia="Times New Roman"/>
          <w:lang w:eastAsia="zh-CN"/>
        </w:rPr>
      </w:pPr>
    </w:p>
    <w:p w14:paraId="2D5E642A" w14:textId="77777777" w:rsidR="00DD59BF" w:rsidRPr="00DD59BF" w:rsidRDefault="00DD59BF" w:rsidP="00DD59BF">
      <w:pPr>
        <w:widowControl/>
        <w:suppressAutoHyphens/>
        <w:autoSpaceDE/>
        <w:autoSpaceDN/>
        <w:adjustRightInd/>
        <w:spacing w:line="276" w:lineRule="auto"/>
        <w:jc w:val="both"/>
        <w:rPr>
          <w:rFonts w:eastAsia="Times New Roman"/>
          <w:lang w:eastAsia="zh-CN"/>
        </w:rPr>
      </w:pPr>
    </w:p>
    <w:p w14:paraId="7D7C55D1" w14:textId="77777777" w:rsidR="00656B8D" w:rsidRPr="00DD59BF" w:rsidRDefault="00656B8D" w:rsidP="00DD59BF">
      <w:pPr>
        <w:widowControl/>
        <w:suppressAutoHyphens/>
        <w:autoSpaceDE/>
        <w:autoSpaceDN/>
        <w:adjustRightInd/>
        <w:spacing w:line="276" w:lineRule="auto"/>
        <w:ind w:firstLine="720"/>
        <w:jc w:val="both"/>
        <w:rPr>
          <w:rFonts w:eastAsia="Times New Roman"/>
          <w:b/>
          <w:bCs/>
          <w:lang w:eastAsia="zh-CN"/>
        </w:rPr>
      </w:pPr>
      <w:r w:rsidRPr="00DD59BF">
        <w:rPr>
          <w:rFonts w:eastAsia="Times New Roman"/>
          <w:b/>
          <w:bCs/>
          <w:lang w:eastAsia="zh-CN"/>
        </w:rPr>
        <w:t>Analytical Framework</w:t>
      </w:r>
    </w:p>
    <w:p w14:paraId="25F52BA3" w14:textId="77777777" w:rsidR="00656B8D" w:rsidRPr="00DD59BF" w:rsidRDefault="00656B8D" w:rsidP="00DD59BF">
      <w:pPr>
        <w:widowControl/>
        <w:suppressAutoHyphens/>
        <w:autoSpaceDE/>
        <w:autoSpaceDN/>
        <w:adjustRightInd/>
        <w:spacing w:line="276" w:lineRule="auto"/>
        <w:ind w:firstLine="720"/>
        <w:jc w:val="both"/>
        <w:rPr>
          <w:rFonts w:eastAsia="Times New Roman"/>
          <w:lang w:eastAsia="zh-CN"/>
        </w:rPr>
      </w:pPr>
      <w:r w:rsidRPr="00DD59BF">
        <w:rPr>
          <w:rFonts w:eastAsia="Times New Roman"/>
          <w:lang w:eastAsia="zh-CN"/>
        </w:rPr>
        <w:t>The analytical procedure employed in this study is illustrated below.</w:t>
      </w:r>
    </w:p>
    <w:p w14:paraId="14A74F52" w14:textId="79160547" w:rsidR="004E0A38" w:rsidRPr="00DD59BF" w:rsidRDefault="004E0A38" w:rsidP="00DD59BF">
      <w:pPr>
        <w:widowControl/>
        <w:suppressAutoHyphens/>
        <w:autoSpaceDE/>
        <w:autoSpaceDN/>
        <w:adjustRightInd/>
        <w:spacing w:line="276" w:lineRule="auto"/>
        <w:jc w:val="center"/>
        <w:rPr>
          <w:rFonts w:eastAsia="Times New Roman"/>
          <w:b/>
          <w:bCs/>
          <w:lang w:eastAsia="zh-CN"/>
        </w:rPr>
      </w:pPr>
      <w:r w:rsidRPr="00DD59BF">
        <w:rPr>
          <w:rFonts w:eastAsia="Times New Roman"/>
          <w:b/>
          <w:bCs/>
          <w:lang w:eastAsia="zh-CN"/>
        </w:rPr>
        <w:t xml:space="preserve">Figure </w:t>
      </w:r>
      <w:r w:rsidRPr="00DD59BF">
        <w:rPr>
          <w:rFonts w:eastAsia="Times New Roman"/>
          <w:b/>
          <w:bCs/>
          <w:lang w:eastAsia="zh-CN"/>
        </w:rPr>
        <w:t>1</w:t>
      </w:r>
      <w:r w:rsidRPr="00DD59BF">
        <w:rPr>
          <w:rFonts w:eastAsia="Times New Roman"/>
          <w:b/>
          <w:bCs/>
          <w:lang w:eastAsia="zh-CN"/>
        </w:rPr>
        <w:t>. Analytical Framework</w:t>
      </w:r>
    </w:p>
    <w:p w14:paraId="392520FE" w14:textId="77777777" w:rsidR="00194CF7" w:rsidRPr="00DD59BF" w:rsidRDefault="00194CF7" w:rsidP="00DD59BF">
      <w:pPr>
        <w:widowControl/>
        <w:suppressAutoHyphens/>
        <w:autoSpaceDE/>
        <w:autoSpaceDN/>
        <w:adjustRightInd/>
        <w:spacing w:line="276" w:lineRule="auto"/>
        <w:jc w:val="center"/>
        <w:rPr>
          <w:rFonts w:eastAsia="Times New Roman"/>
          <w:lang w:eastAsia="zh-CN"/>
        </w:rPr>
      </w:pPr>
    </w:p>
    <w:p w14:paraId="466A1DB7" w14:textId="3778B119" w:rsidR="00656B8D" w:rsidRPr="00DD59BF" w:rsidRDefault="00656B8D" w:rsidP="00DD59BF">
      <w:pPr>
        <w:widowControl/>
        <w:suppressAutoHyphens/>
        <w:autoSpaceDE/>
        <w:autoSpaceDN/>
        <w:adjustRightInd/>
        <w:spacing w:line="276" w:lineRule="auto"/>
        <w:jc w:val="both"/>
        <w:rPr>
          <w:rFonts w:eastAsia="Times New Roman"/>
          <w:lang w:eastAsia="zh-CN"/>
        </w:rPr>
      </w:pPr>
      <w:r w:rsidRPr="00DD59BF">
        <w:rPr>
          <w:rFonts w:eastAsia="Times New Roman"/>
          <w:noProof/>
          <w:lang w:eastAsia="zh-CN"/>
        </w:rPr>
        <w:drawing>
          <wp:inline distT="0" distB="0" distL="0" distR="0" wp14:anchorId="2C2EE121" wp14:editId="3C722589">
            <wp:extent cx="5486400" cy="2375065"/>
            <wp:effectExtent l="19050" t="0" r="19050" b="0"/>
            <wp:docPr id="55392406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73FC318" w14:textId="3D02EF11" w:rsidR="00656B8D" w:rsidRPr="00DD59BF" w:rsidRDefault="00125AA4" w:rsidP="00DD59BF">
      <w:pPr>
        <w:widowControl/>
        <w:suppressAutoHyphens/>
        <w:autoSpaceDE/>
        <w:autoSpaceDN/>
        <w:adjustRightInd/>
        <w:spacing w:line="276" w:lineRule="auto"/>
        <w:jc w:val="both"/>
        <w:rPr>
          <w:rFonts w:eastAsia="Times New Roman"/>
          <w:lang w:eastAsia="zh-CN"/>
        </w:rPr>
      </w:pPr>
      <w:r w:rsidRPr="00DD59BF">
        <w:rPr>
          <w:rFonts w:eastAsia="Times New Roman"/>
          <w:lang w:eastAsia="zh-CN"/>
        </w:rPr>
        <w:tab/>
      </w:r>
      <w:r w:rsidR="00DD59BF" w:rsidRPr="00DD59BF">
        <w:rPr>
          <w:b/>
          <w:bCs/>
          <w:i/>
          <w:iCs/>
        </w:rPr>
        <w:t>Source:</w:t>
      </w:r>
      <w:r w:rsidR="00DD59BF" w:rsidRPr="00DD59BF">
        <w:rPr>
          <w:i/>
          <w:iCs/>
        </w:rPr>
        <w:t xml:space="preserve"> Primary data processed by the author, 2026.</w:t>
      </w:r>
    </w:p>
    <w:p w14:paraId="0A4ED586" w14:textId="77777777" w:rsidR="00125AA4" w:rsidRPr="00DD59BF" w:rsidRDefault="00125AA4" w:rsidP="00DD59BF">
      <w:pPr>
        <w:widowControl/>
        <w:suppressAutoHyphens/>
        <w:autoSpaceDE/>
        <w:autoSpaceDN/>
        <w:adjustRightInd/>
        <w:spacing w:line="276" w:lineRule="auto"/>
        <w:contextualSpacing/>
        <w:jc w:val="both"/>
        <w:rPr>
          <w:rFonts w:eastAsia="Times New Roman"/>
          <w:b/>
          <w:bCs/>
          <w:lang w:eastAsia="zh-CN"/>
        </w:rPr>
      </w:pPr>
    </w:p>
    <w:p w14:paraId="757FFF37" w14:textId="7AEA6B71" w:rsidR="00EC41B3" w:rsidRPr="00DD59BF" w:rsidRDefault="00AC29B0" w:rsidP="00DD59BF">
      <w:pPr>
        <w:widowControl/>
        <w:suppressAutoHyphens/>
        <w:autoSpaceDE/>
        <w:autoSpaceDN/>
        <w:adjustRightInd/>
        <w:spacing w:line="276" w:lineRule="auto"/>
        <w:contextualSpacing/>
        <w:jc w:val="both"/>
        <w:rPr>
          <w:rFonts w:eastAsia="Times New Roman"/>
          <w:b/>
          <w:lang w:eastAsia="zh-CN"/>
        </w:rPr>
      </w:pPr>
      <w:r w:rsidRPr="00DD59BF">
        <w:rPr>
          <w:rFonts w:eastAsia="Times New Roman"/>
          <w:b/>
          <w:bCs/>
          <w:lang w:eastAsia="zh-CN"/>
        </w:rPr>
        <w:t>RESULTS AND DISCUSSION</w:t>
      </w:r>
    </w:p>
    <w:p w14:paraId="08FADF2B" w14:textId="77777777" w:rsidR="00125AA4" w:rsidRPr="00DD59BF" w:rsidRDefault="00125AA4" w:rsidP="00DD59BF">
      <w:pPr>
        <w:widowControl/>
        <w:suppressAutoHyphens/>
        <w:autoSpaceDE/>
        <w:autoSpaceDN/>
        <w:adjustRightInd/>
        <w:spacing w:line="276" w:lineRule="auto"/>
        <w:ind w:firstLine="720"/>
        <w:contextualSpacing/>
        <w:jc w:val="both"/>
        <w:rPr>
          <w:rFonts w:eastAsia="Times New Roman"/>
          <w:b/>
          <w:bCs/>
          <w:lang w:eastAsia="en-ID"/>
        </w:rPr>
      </w:pPr>
      <w:r w:rsidRPr="00DD59BF">
        <w:rPr>
          <w:rFonts w:eastAsia="Times New Roman"/>
          <w:b/>
          <w:bCs/>
          <w:lang w:eastAsia="en-ID"/>
        </w:rPr>
        <w:t>RESULTS</w:t>
      </w:r>
    </w:p>
    <w:p w14:paraId="1B501943" w14:textId="77777777" w:rsidR="00125AA4" w:rsidRPr="00DD59BF" w:rsidRDefault="00125AA4" w:rsidP="00DD59BF">
      <w:pPr>
        <w:widowControl/>
        <w:suppressAutoHyphens/>
        <w:autoSpaceDE/>
        <w:autoSpaceDN/>
        <w:adjustRightInd/>
        <w:spacing w:line="276" w:lineRule="auto"/>
        <w:ind w:firstLine="720"/>
        <w:contextualSpacing/>
        <w:jc w:val="both"/>
        <w:rPr>
          <w:rFonts w:eastAsia="Times New Roman"/>
          <w:b/>
          <w:bCs/>
          <w:lang w:eastAsia="en-ID"/>
        </w:rPr>
      </w:pPr>
      <w:r w:rsidRPr="00DD59BF">
        <w:rPr>
          <w:rFonts w:eastAsia="Times New Roman"/>
          <w:b/>
          <w:bCs/>
          <w:lang w:eastAsia="en-ID"/>
        </w:rPr>
        <w:t>Respondent Characteristics</w:t>
      </w:r>
    </w:p>
    <w:p w14:paraId="6AE5F25C" w14:textId="77777777" w:rsidR="00125AA4" w:rsidRPr="00DD59BF" w:rsidRDefault="00125AA4" w:rsidP="00DD59BF">
      <w:pPr>
        <w:widowControl/>
        <w:suppressAutoHyphens/>
        <w:autoSpaceDE/>
        <w:autoSpaceDN/>
        <w:adjustRightInd/>
        <w:spacing w:line="276" w:lineRule="auto"/>
        <w:ind w:firstLine="720"/>
        <w:contextualSpacing/>
        <w:jc w:val="both"/>
        <w:rPr>
          <w:rFonts w:eastAsia="Times New Roman"/>
          <w:lang w:eastAsia="en-ID"/>
        </w:rPr>
      </w:pPr>
      <w:r w:rsidRPr="00DD59BF">
        <w:rPr>
          <w:rFonts w:eastAsia="Times New Roman"/>
          <w:lang w:eastAsia="en-ID"/>
        </w:rPr>
        <w:t xml:space="preserve">A total of </w:t>
      </w:r>
      <w:r w:rsidRPr="00DD59BF">
        <w:rPr>
          <w:rFonts w:eastAsia="Times New Roman"/>
          <w:b/>
          <w:bCs/>
          <w:lang w:eastAsia="en-ID"/>
        </w:rPr>
        <w:t>140 beneficiaries</w:t>
      </w:r>
      <w:r w:rsidRPr="00DD59BF">
        <w:rPr>
          <w:rFonts w:eastAsia="Times New Roman"/>
          <w:lang w:eastAsia="en-ID"/>
        </w:rPr>
        <w:t xml:space="preserve"> participated in this study. All respondents had previously received benefits from Corporate Social Responsibility (CSR) programs implemented by Yayasan Hadji Kalla, ensuring that they possessed adequate experience to evaluate the effectiveness of the programs.</w:t>
      </w:r>
    </w:p>
    <w:p w14:paraId="128F9728" w14:textId="77777777" w:rsidR="00125AA4" w:rsidRPr="00DD59BF" w:rsidRDefault="00125AA4" w:rsidP="00DD59BF">
      <w:pPr>
        <w:widowControl/>
        <w:suppressAutoHyphens/>
        <w:autoSpaceDE/>
        <w:autoSpaceDN/>
        <w:adjustRightInd/>
        <w:spacing w:line="276" w:lineRule="auto"/>
        <w:ind w:firstLine="720"/>
        <w:contextualSpacing/>
        <w:jc w:val="both"/>
        <w:rPr>
          <w:rFonts w:eastAsia="Times New Roman"/>
          <w:lang w:eastAsia="en-ID"/>
        </w:rPr>
      </w:pPr>
      <w:r w:rsidRPr="00DD59BF">
        <w:rPr>
          <w:rFonts w:eastAsia="Times New Roman"/>
          <w:lang w:eastAsia="en-ID"/>
        </w:rPr>
        <w:t>The respondents represented diverse demographic backgrounds in terms of gender, age, educational attainment, occupation, and duration of participation in CSR activities. This diversity provides a comprehensive representation of beneficiaries' perceptions and strengthens the generalizability of the factor structure identified in this study.</w:t>
      </w:r>
    </w:p>
    <w:p w14:paraId="742366EA" w14:textId="6BF7CB3B" w:rsidR="00125AA4" w:rsidRPr="00DD59BF" w:rsidRDefault="00125AA4" w:rsidP="00DD59BF">
      <w:pPr>
        <w:widowControl/>
        <w:suppressAutoHyphens/>
        <w:autoSpaceDE/>
        <w:autoSpaceDN/>
        <w:adjustRightInd/>
        <w:spacing w:line="276" w:lineRule="auto"/>
        <w:ind w:firstLine="720"/>
        <w:contextualSpacing/>
        <w:jc w:val="both"/>
        <w:rPr>
          <w:rFonts w:eastAsia="Times New Roman"/>
          <w:lang w:eastAsia="en-ID"/>
        </w:rPr>
      </w:pPr>
      <w:r w:rsidRPr="00DD59BF">
        <w:rPr>
          <w:rFonts w:eastAsia="Times New Roman"/>
          <w:lang w:eastAsia="en-ID"/>
        </w:rPr>
        <w:t>The demographic profile also indicates that the respondents had sufficient exposure to CSR implementation, enabling them to provide reliable evaluations of program quality, transparency, community participation, economic outcomes, and spiritual impacts.</w:t>
      </w:r>
    </w:p>
    <w:p w14:paraId="0D301A91" w14:textId="77777777" w:rsidR="00125AA4" w:rsidRPr="00DD59BF" w:rsidRDefault="00125AA4" w:rsidP="00DD59BF">
      <w:pPr>
        <w:widowControl/>
        <w:suppressAutoHyphens/>
        <w:autoSpaceDE/>
        <w:autoSpaceDN/>
        <w:adjustRightInd/>
        <w:spacing w:line="276" w:lineRule="auto"/>
        <w:ind w:firstLine="720"/>
        <w:contextualSpacing/>
        <w:jc w:val="both"/>
        <w:rPr>
          <w:rFonts w:eastAsia="Times New Roman"/>
          <w:b/>
          <w:bCs/>
          <w:lang w:eastAsia="en-ID"/>
        </w:rPr>
      </w:pPr>
      <w:r w:rsidRPr="00DD59BF">
        <w:rPr>
          <w:rFonts w:eastAsia="Times New Roman"/>
          <w:b/>
          <w:bCs/>
          <w:lang w:eastAsia="en-ID"/>
        </w:rPr>
        <w:t>Descriptive Statistics</w:t>
      </w:r>
    </w:p>
    <w:p w14:paraId="0977F463" w14:textId="77777777" w:rsidR="00125AA4" w:rsidRPr="00DD59BF" w:rsidRDefault="00125AA4" w:rsidP="00DD59BF">
      <w:pPr>
        <w:widowControl/>
        <w:suppressAutoHyphens/>
        <w:autoSpaceDE/>
        <w:autoSpaceDN/>
        <w:adjustRightInd/>
        <w:spacing w:line="276" w:lineRule="auto"/>
        <w:ind w:firstLine="720"/>
        <w:contextualSpacing/>
        <w:jc w:val="both"/>
        <w:rPr>
          <w:rFonts w:eastAsia="Times New Roman"/>
          <w:lang w:eastAsia="en-ID"/>
        </w:rPr>
      </w:pPr>
      <w:r w:rsidRPr="00DD59BF">
        <w:rPr>
          <w:rFonts w:eastAsia="Times New Roman"/>
          <w:lang w:eastAsia="en-ID"/>
        </w:rPr>
        <w:t>Prior to conducting Exploratory Factor Analysis, descriptive statistics were calculated to obtain an overview of respondents' perceptions regarding the observed variables.</w:t>
      </w:r>
    </w:p>
    <w:p w14:paraId="59E726EC" w14:textId="77777777" w:rsidR="00125AA4" w:rsidRPr="00DD59BF" w:rsidRDefault="00125AA4" w:rsidP="00DD59BF">
      <w:pPr>
        <w:widowControl/>
        <w:suppressAutoHyphens/>
        <w:autoSpaceDE/>
        <w:autoSpaceDN/>
        <w:adjustRightInd/>
        <w:spacing w:line="276" w:lineRule="auto"/>
        <w:ind w:firstLine="720"/>
        <w:contextualSpacing/>
        <w:jc w:val="both"/>
        <w:rPr>
          <w:rFonts w:eastAsia="Times New Roman"/>
          <w:lang w:eastAsia="en-ID"/>
        </w:rPr>
      </w:pPr>
      <w:r w:rsidRPr="00DD59BF">
        <w:rPr>
          <w:rFonts w:eastAsia="Times New Roman"/>
          <w:lang w:eastAsia="en-ID"/>
        </w:rPr>
        <w:t>Overall, the descriptive analysis indicates that respondents expressed positive perceptions toward the implementation of Islamic social finance-based CSR programs. Mean scores for most indicators exceeded the midpoint of the measurement scale, suggesting that beneficiaries generally perceived the programs as beneficial, transparent, and responsive to community needs.</w:t>
      </w:r>
    </w:p>
    <w:p w14:paraId="3B44AB1C" w14:textId="31851C00" w:rsidR="00125AA4" w:rsidRDefault="00125AA4" w:rsidP="00DD59BF">
      <w:pPr>
        <w:widowControl/>
        <w:suppressAutoHyphens/>
        <w:autoSpaceDE/>
        <w:autoSpaceDN/>
        <w:adjustRightInd/>
        <w:spacing w:line="276" w:lineRule="auto"/>
        <w:ind w:firstLine="720"/>
        <w:contextualSpacing/>
        <w:jc w:val="both"/>
        <w:rPr>
          <w:rFonts w:eastAsia="Times New Roman"/>
          <w:lang w:eastAsia="en-ID"/>
        </w:rPr>
      </w:pPr>
      <w:r w:rsidRPr="00DD59BF">
        <w:rPr>
          <w:rFonts w:eastAsia="Times New Roman"/>
          <w:lang w:eastAsia="en-ID"/>
        </w:rPr>
        <w:t>The relatively low standard deviations observed across variables indicate that respondents' perceptions were reasonably consistent, thereby supporting the suitability of the dataset for multivariate analysis.</w:t>
      </w:r>
    </w:p>
    <w:p w14:paraId="5F293E36" w14:textId="77777777" w:rsidR="00DD59BF" w:rsidRPr="00DD59BF" w:rsidRDefault="00DD59BF" w:rsidP="00DD59BF">
      <w:pPr>
        <w:widowControl/>
        <w:suppressAutoHyphens/>
        <w:autoSpaceDE/>
        <w:autoSpaceDN/>
        <w:adjustRightInd/>
        <w:spacing w:line="276" w:lineRule="auto"/>
        <w:ind w:firstLine="720"/>
        <w:contextualSpacing/>
        <w:jc w:val="both"/>
        <w:rPr>
          <w:rFonts w:eastAsia="Times New Roman"/>
          <w:lang w:eastAsia="en-ID"/>
        </w:rPr>
      </w:pPr>
    </w:p>
    <w:p w14:paraId="5465252A" w14:textId="77777777" w:rsidR="00125AA4" w:rsidRPr="00DD59BF" w:rsidRDefault="00125AA4" w:rsidP="00DD59BF">
      <w:pPr>
        <w:widowControl/>
        <w:suppressAutoHyphens/>
        <w:autoSpaceDE/>
        <w:autoSpaceDN/>
        <w:adjustRightInd/>
        <w:spacing w:line="276" w:lineRule="auto"/>
        <w:ind w:firstLine="720"/>
        <w:contextualSpacing/>
        <w:jc w:val="both"/>
        <w:rPr>
          <w:rFonts w:eastAsia="Times New Roman"/>
          <w:b/>
          <w:bCs/>
          <w:lang w:eastAsia="en-ID"/>
        </w:rPr>
      </w:pPr>
      <w:r w:rsidRPr="00DD59BF">
        <w:rPr>
          <w:rFonts w:eastAsia="Times New Roman"/>
          <w:b/>
          <w:bCs/>
          <w:lang w:eastAsia="en-ID"/>
        </w:rPr>
        <w:t>Instrument Validity and Reliability</w:t>
      </w:r>
    </w:p>
    <w:p w14:paraId="56CD45C2" w14:textId="3E49038D" w:rsidR="00125AA4" w:rsidRPr="00DD59BF" w:rsidRDefault="00125AA4" w:rsidP="00DD59BF">
      <w:pPr>
        <w:widowControl/>
        <w:suppressAutoHyphens/>
        <w:autoSpaceDE/>
        <w:autoSpaceDN/>
        <w:adjustRightInd/>
        <w:spacing w:line="276" w:lineRule="auto"/>
        <w:ind w:firstLine="720"/>
        <w:contextualSpacing/>
        <w:jc w:val="both"/>
        <w:rPr>
          <w:rFonts w:eastAsia="Times New Roman"/>
          <w:lang w:eastAsia="en-ID"/>
        </w:rPr>
      </w:pPr>
      <w:r w:rsidRPr="00DD59BF">
        <w:rPr>
          <w:rFonts w:eastAsia="Times New Roman"/>
          <w:lang w:eastAsia="en-ID"/>
        </w:rPr>
        <w:t>The validity of the questionnaire was assessed using corrected item-total correlation coefficients.</w:t>
      </w:r>
      <w:r w:rsidRPr="00DD59BF">
        <w:rPr>
          <w:rFonts w:eastAsia="Times New Roman"/>
          <w:lang w:eastAsia="en-ID"/>
        </w:rPr>
        <w:t xml:space="preserve"> </w:t>
      </w:r>
      <w:r w:rsidRPr="00DD59BF">
        <w:rPr>
          <w:rFonts w:eastAsia="Times New Roman"/>
          <w:lang w:eastAsia="en-ID"/>
        </w:rPr>
        <w:t xml:space="preserve">All </w:t>
      </w:r>
      <w:r w:rsidRPr="00DD59BF">
        <w:rPr>
          <w:rFonts w:eastAsia="Times New Roman"/>
          <w:b/>
          <w:bCs/>
          <w:lang w:eastAsia="en-ID"/>
        </w:rPr>
        <w:t>42 observed indicators</w:t>
      </w:r>
      <w:r w:rsidRPr="00DD59BF">
        <w:rPr>
          <w:rFonts w:eastAsia="Times New Roman"/>
          <w:lang w:eastAsia="en-ID"/>
        </w:rPr>
        <w:t xml:space="preserve"> produced correlation coefficients exceeding the minimum acceptable value of </w:t>
      </w:r>
      <w:r w:rsidRPr="00DD59BF">
        <w:rPr>
          <w:rFonts w:eastAsia="Times New Roman"/>
          <w:b/>
          <w:bCs/>
          <w:lang w:eastAsia="en-ID"/>
        </w:rPr>
        <w:t>0.30</w:t>
      </w:r>
      <w:r w:rsidRPr="00DD59BF">
        <w:rPr>
          <w:rFonts w:eastAsia="Times New Roman"/>
          <w:lang w:eastAsia="en-ID"/>
        </w:rPr>
        <w:t>, indicating satisfactory construct validity. Consequently, none of the questionnaire items were excluded from subsequent analyses.</w:t>
      </w:r>
    </w:p>
    <w:p w14:paraId="3A7C9815" w14:textId="0B2E58C4" w:rsidR="00125AA4" w:rsidRPr="00DD59BF" w:rsidRDefault="00125AA4" w:rsidP="00DD59BF">
      <w:pPr>
        <w:widowControl/>
        <w:suppressAutoHyphens/>
        <w:autoSpaceDE/>
        <w:autoSpaceDN/>
        <w:adjustRightInd/>
        <w:spacing w:line="276" w:lineRule="auto"/>
        <w:ind w:firstLine="720"/>
        <w:contextualSpacing/>
        <w:jc w:val="both"/>
        <w:rPr>
          <w:rFonts w:eastAsia="Times New Roman"/>
          <w:lang w:eastAsia="en-ID"/>
        </w:rPr>
      </w:pPr>
      <w:r w:rsidRPr="00DD59BF">
        <w:rPr>
          <w:rFonts w:eastAsia="Times New Roman"/>
          <w:lang w:eastAsia="en-ID"/>
        </w:rPr>
        <w:t>Internal consistency reliability was evaluated using Cronbach's Alpha.</w:t>
      </w:r>
      <w:r w:rsidRPr="00DD59BF">
        <w:rPr>
          <w:rFonts w:eastAsia="Times New Roman"/>
          <w:lang w:eastAsia="en-ID"/>
        </w:rPr>
        <w:t xml:space="preserve"> </w:t>
      </w:r>
      <w:r w:rsidRPr="00DD59BF">
        <w:rPr>
          <w:rFonts w:eastAsia="Times New Roman"/>
          <w:lang w:eastAsia="en-ID"/>
        </w:rPr>
        <w:t xml:space="preserve">The instrument achieved a </w:t>
      </w:r>
      <w:r w:rsidRPr="00DD59BF">
        <w:rPr>
          <w:rFonts w:eastAsia="Times New Roman"/>
          <w:b/>
          <w:bCs/>
          <w:lang w:eastAsia="en-ID"/>
        </w:rPr>
        <w:t>Cronbach's Alpha coefficient of 0.974</w:t>
      </w:r>
      <w:r w:rsidRPr="00DD59BF">
        <w:rPr>
          <w:rFonts w:eastAsia="Times New Roman"/>
          <w:lang w:eastAsia="en-ID"/>
        </w:rPr>
        <w:t>, demonstrating excellent reliability. This result indicates that the measurement items consistently represent the construct of CSR effectiveness and are therefore appropriate for Exploratory Factor Analysis.</w:t>
      </w:r>
    </w:p>
    <w:p w14:paraId="58E31F7D" w14:textId="77777777" w:rsidR="00125AA4" w:rsidRPr="00DD59BF" w:rsidRDefault="00125AA4" w:rsidP="00DD59BF">
      <w:pPr>
        <w:widowControl/>
        <w:suppressAutoHyphens/>
        <w:autoSpaceDE/>
        <w:autoSpaceDN/>
        <w:adjustRightInd/>
        <w:spacing w:line="276" w:lineRule="auto"/>
        <w:ind w:firstLine="720"/>
        <w:contextualSpacing/>
        <w:jc w:val="both"/>
        <w:rPr>
          <w:rFonts w:eastAsia="Times New Roman"/>
          <w:b/>
          <w:bCs/>
          <w:lang w:eastAsia="en-ID"/>
        </w:rPr>
      </w:pPr>
      <w:r w:rsidRPr="00DD59BF">
        <w:rPr>
          <w:rFonts w:eastAsia="Times New Roman"/>
          <w:b/>
          <w:bCs/>
          <w:lang w:eastAsia="en-ID"/>
        </w:rPr>
        <w:t>Assessment of Data Suitability</w:t>
      </w:r>
    </w:p>
    <w:p w14:paraId="1C3BF1A7" w14:textId="77777777" w:rsidR="00125AA4" w:rsidRPr="00DD59BF" w:rsidRDefault="00125AA4" w:rsidP="00DD59BF">
      <w:pPr>
        <w:widowControl/>
        <w:suppressAutoHyphens/>
        <w:autoSpaceDE/>
        <w:autoSpaceDN/>
        <w:adjustRightInd/>
        <w:spacing w:line="276" w:lineRule="auto"/>
        <w:ind w:firstLine="720"/>
        <w:contextualSpacing/>
        <w:jc w:val="both"/>
        <w:rPr>
          <w:rFonts w:eastAsia="Times New Roman"/>
          <w:lang w:eastAsia="en-ID"/>
        </w:rPr>
      </w:pPr>
      <w:r w:rsidRPr="00DD59BF">
        <w:rPr>
          <w:rFonts w:eastAsia="Times New Roman"/>
          <w:lang w:eastAsia="en-ID"/>
        </w:rPr>
        <w:t>Before extracting latent factors, the adequacy of the data for Exploratory Factor Analysis was examined using the Kaiser-Meyer-Olkin (KMO) Measure of Sampling Adequacy and Bartlett's Test of Sphericity.</w:t>
      </w:r>
    </w:p>
    <w:p w14:paraId="1AC4799F" w14:textId="33BB62A9" w:rsidR="00EC41B3" w:rsidRPr="00DD59BF" w:rsidRDefault="00125AA4" w:rsidP="00DD59BF">
      <w:pPr>
        <w:widowControl/>
        <w:suppressAutoHyphens/>
        <w:autoSpaceDE/>
        <w:autoSpaceDN/>
        <w:adjustRightInd/>
        <w:spacing w:line="276" w:lineRule="auto"/>
        <w:ind w:firstLine="720"/>
        <w:contextualSpacing/>
        <w:jc w:val="both"/>
        <w:rPr>
          <w:rFonts w:eastAsia="Times New Roman"/>
          <w:lang w:eastAsia="en-ID"/>
        </w:rPr>
      </w:pPr>
      <w:r w:rsidRPr="00DD59BF">
        <w:rPr>
          <w:rFonts w:eastAsia="Times New Roman"/>
          <w:lang w:eastAsia="en-ID"/>
        </w:rPr>
        <w:t xml:space="preserve">The results are presented in </w:t>
      </w:r>
      <w:r w:rsidRPr="00DD59BF">
        <w:rPr>
          <w:rFonts w:eastAsia="Times New Roman"/>
          <w:b/>
          <w:bCs/>
          <w:lang w:eastAsia="en-ID"/>
        </w:rPr>
        <w:t xml:space="preserve">Table </w:t>
      </w:r>
      <w:r w:rsidRPr="00DD59BF">
        <w:rPr>
          <w:rFonts w:eastAsia="Times New Roman"/>
          <w:b/>
          <w:bCs/>
          <w:lang w:eastAsia="en-ID"/>
        </w:rPr>
        <w:t>2</w:t>
      </w:r>
      <w:r w:rsidRPr="00DD59BF">
        <w:rPr>
          <w:rFonts w:eastAsia="Times New Roman"/>
          <w:lang w:eastAsia="en-ID"/>
        </w:rPr>
        <w:t>.</w:t>
      </w:r>
    </w:p>
    <w:p w14:paraId="49244057" w14:textId="52B8D78F" w:rsidR="00832D6C" w:rsidRPr="00DD59BF" w:rsidRDefault="00125AA4"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b/>
          <w:bCs/>
          <w:szCs w:val="24"/>
          <w:lang w:val="en-US"/>
        </w:rPr>
        <w:t xml:space="preserve">Table </w:t>
      </w:r>
      <w:r w:rsidR="00194CF7" w:rsidRPr="00DD59BF">
        <w:rPr>
          <w:rFonts w:ascii="Times New Roman" w:hAnsi="Times New Roman" w:cs="Times New Roman"/>
          <w:b/>
          <w:bCs/>
          <w:szCs w:val="24"/>
          <w:lang w:val="en-US"/>
        </w:rPr>
        <w:t>2</w:t>
      </w:r>
      <w:r w:rsidRPr="00DD59BF">
        <w:rPr>
          <w:rFonts w:ascii="Times New Roman" w:hAnsi="Times New Roman" w:cs="Times New Roman"/>
          <w:b/>
          <w:bCs/>
          <w:szCs w:val="24"/>
          <w:lang w:val="en-US"/>
        </w:rPr>
        <w:t>. KMO and Bartlett's Test</w:t>
      </w:r>
    </w:p>
    <w:tbl>
      <w:tblPr>
        <w:tblStyle w:val="TableGrid"/>
        <w:tblW w:w="0" w:type="auto"/>
        <w:jc w:val="center"/>
        <w:tblLook w:val="04A0" w:firstRow="1" w:lastRow="0" w:firstColumn="1" w:lastColumn="0" w:noHBand="0" w:noVBand="1"/>
      </w:tblPr>
      <w:tblGrid>
        <w:gridCol w:w="4077"/>
        <w:gridCol w:w="4077"/>
      </w:tblGrid>
      <w:tr w:rsidR="00194CF7" w:rsidRPr="00DD59BF" w14:paraId="37710463" w14:textId="77777777" w:rsidTr="00B25C99">
        <w:trPr>
          <w:jc w:val="center"/>
        </w:trPr>
        <w:tc>
          <w:tcPr>
            <w:tcW w:w="4077" w:type="dxa"/>
            <w:vAlign w:val="center"/>
          </w:tcPr>
          <w:p w14:paraId="0EC5283E" w14:textId="678B1522" w:rsidR="00194CF7" w:rsidRPr="00DD59BF" w:rsidRDefault="00194CF7"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b/>
                <w:bCs/>
                <w:szCs w:val="24"/>
              </w:rPr>
              <w:t>Statistic</w:t>
            </w:r>
          </w:p>
        </w:tc>
        <w:tc>
          <w:tcPr>
            <w:tcW w:w="4077" w:type="dxa"/>
            <w:vAlign w:val="center"/>
          </w:tcPr>
          <w:p w14:paraId="3CA595CF" w14:textId="447DDF54" w:rsidR="00194CF7" w:rsidRPr="00DD59BF" w:rsidRDefault="00194CF7"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b/>
                <w:bCs/>
                <w:szCs w:val="24"/>
              </w:rPr>
              <w:t>Value</w:t>
            </w:r>
          </w:p>
        </w:tc>
      </w:tr>
      <w:tr w:rsidR="00391C6D" w:rsidRPr="00DD59BF" w14:paraId="72F2378E" w14:textId="77777777" w:rsidTr="00B25C99">
        <w:trPr>
          <w:jc w:val="center"/>
        </w:trPr>
        <w:tc>
          <w:tcPr>
            <w:tcW w:w="4077" w:type="dxa"/>
            <w:vAlign w:val="center"/>
          </w:tcPr>
          <w:p w14:paraId="05C209CF" w14:textId="77777777" w:rsidR="00832D6C" w:rsidRPr="00DD59BF" w:rsidRDefault="00832D6C" w:rsidP="00DD59BF">
            <w:pPr>
              <w:pStyle w:val="3Paragraf"/>
              <w:spacing w:line="276" w:lineRule="auto"/>
              <w:ind w:firstLine="0"/>
              <w:jc w:val="center"/>
              <w:rPr>
                <w:rFonts w:ascii="Times New Roman" w:hAnsi="Times New Roman" w:cs="Times New Roman"/>
                <w:i/>
                <w:iCs/>
                <w:szCs w:val="24"/>
                <w:lang w:val="en-US"/>
              </w:rPr>
            </w:pPr>
            <w:r w:rsidRPr="00DD59BF">
              <w:rPr>
                <w:rFonts w:ascii="Times New Roman" w:hAnsi="Times New Roman" w:cs="Times New Roman"/>
                <w:i/>
                <w:iCs/>
                <w:szCs w:val="24"/>
                <w:bdr w:val="none" w:sz="0" w:space="0" w:color="auto" w:frame="1"/>
              </w:rPr>
              <w:t>Kaiser-Meyer-Olkin Measure of Sampling Adequacy</w:t>
            </w:r>
          </w:p>
        </w:tc>
        <w:tc>
          <w:tcPr>
            <w:tcW w:w="4077" w:type="dxa"/>
            <w:vAlign w:val="center"/>
          </w:tcPr>
          <w:p w14:paraId="7FFEF461" w14:textId="77777777" w:rsidR="00832D6C" w:rsidRPr="00DD59BF" w:rsidRDefault="00832D6C" w:rsidP="00DD59BF">
            <w:pPr>
              <w:pStyle w:val="3Paragraf"/>
              <w:spacing w:line="276" w:lineRule="auto"/>
              <w:ind w:firstLine="0"/>
              <w:jc w:val="center"/>
              <w:rPr>
                <w:rFonts w:ascii="Times New Roman" w:hAnsi="Times New Roman" w:cs="Times New Roman"/>
                <w:szCs w:val="24"/>
                <w:lang w:val="en-US"/>
              </w:rPr>
            </w:pPr>
            <w:r w:rsidRPr="00DD59BF">
              <w:rPr>
                <w:rFonts w:ascii="Times New Roman" w:hAnsi="Times New Roman" w:cs="Times New Roman"/>
                <w:szCs w:val="24"/>
                <w:bdr w:val="none" w:sz="0" w:space="0" w:color="auto" w:frame="1"/>
              </w:rPr>
              <w:t>.912</w:t>
            </w:r>
          </w:p>
        </w:tc>
      </w:tr>
      <w:tr w:rsidR="00391C6D" w:rsidRPr="00DD59BF" w14:paraId="225965D6" w14:textId="77777777" w:rsidTr="00B25C99">
        <w:trPr>
          <w:jc w:val="center"/>
        </w:trPr>
        <w:tc>
          <w:tcPr>
            <w:tcW w:w="4077" w:type="dxa"/>
            <w:vAlign w:val="center"/>
          </w:tcPr>
          <w:p w14:paraId="514A286A" w14:textId="77777777" w:rsidR="00832D6C" w:rsidRPr="00DD59BF" w:rsidRDefault="00832D6C" w:rsidP="00DD59BF">
            <w:pPr>
              <w:pStyle w:val="3Paragraf"/>
              <w:spacing w:line="276" w:lineRule="auto"/>
              <w:ind w:firstLine="0"/>
              <w:jc w:val="center"/>
              <w:rPr>
                <w:rFonts w:ascii="Times New Roman" w:hAnsi="Times New Roman" w:cs="Times New Roman"/>
                <w:i/>
                <w:iCs/>
                <w:szCs w:val="24"/>
                <w:lang w:val="en-US"/>
              </w:rPr>
            </w:pPr>
            <w:r w:rsidRPr="00DD59BF">
              <w:rPr>
                <w:rFonts w:ascii="Times New Roman" w:hAnsi="Times New Roman" w:cs="Times New Roman"/>
                <w:i/>
                <w:iCs/>
                <w:szCs w:val="24"/>
                <w:bdr w:val="none" w:sz="0" w:space="0" w:color="auto" w:frame="1"/>
              </w:rPr>
              <w:t>Bartlett's Test of Sphericity: Approx. Chi-Square</w:t>
            </w:r>
          </w:p>
        </w:tc>
        <w:tc>
          <w:tcPr>
            <w:tcW w:w="4077" w:type="dxa"/>
            <w:vAlign w:val="center"/>
          </w:tcPr>
          <w:p w14:paraId="24FD3EA7" w14:textId="77777777" w:rsidR="00832D6C" w:rsidRPr="00DD59BF" w:rsidRDefault="00832D6C" w:rsidP="00DD59BF">
            <w:pPr>
              <w:pStyle w:val="3Paragraf"/>
              <w:spacing w:line="276" w:lineRule="auto"/>
              <w:ind w:firstLine="0"/>
              <w:jc w:val="center"/>
              <w:rPr>
                <w:rFonts w:ascii="Times New Roman" w:hAnsi="Times New Roman" w:cs="Times New Roman"/>
                <w:szCs w:val="24"/>
                <w:lang w:val="en-US"/>
              </w:rPr>
            </w:pPr>
            <w:r w:rsidRPr="00DD59BF">
              <w:rPr>
                <w:rFonts w:ascii="Times New Roman" w:hAnsi="Times New Roman" w:cs="Times New Roman"/>
                <w:szCs w:val="24"/>
                <w:bdr w:val="none" w:sz="0" w:space="0" w:color="auto" w:frame="1"/>
              </w:rPr>
              <w:t>5953.664</w:t>
            </w:r>
          </w:p>
        </w:tc>
      </w:tr>
      <w:tr w:rsidR="00391C6D" w:rsidRPr="00DD59BF" w14:paraId="5178FA50" w14:textId="77777777" w:rsidTr="00B25C99">
        <w:trPr>
          <w:jc w:val="center"/>
        </w:trPr>
        <w:tc>
          <w:tcPr>
            <w:tcW w:w="4077" w:type="dxa"/>
            <w:vAlign w:val="center"/>
          </w:tcPr>
          <w:p w14:paraId="5AA47C10" w14:textId="77777777" w:rsidR="00832D6C" w:rsidRPr="00DD59BF" w:rsidRDefault="00832D6C" w:rsidP="00DD59BF">
            <w:pPr>
              <w:pStyle w:val="3Paragraf"/>
              <w:spacing w:line="276" w:lineRule="auto"/>
              <w:ind w:firstLine="0"/>
              <w:jc w:val="center"/>
              <w:rPr>
                <w:rFonts w:ascii="Times New Roman" w:hAnsi="Times New Roman" w:cs="Times New Roman"/>
                <w:i/>
                <w:iCs/>
                <w:szCs w:val="24"/>
                <w:lang w:val="en-US"/>
              </w:rPr>
            </w:pPr>
            <w:r w:rsidRPr="00DD59BF">
              <w:rPr>
                <w:rFonts w:ascii="Times New Roman" w:hAnsi="Times New Roman" w:cs="Times New Roman"/>
                <w:i/>
                <w:iCs/>
                <w:szCs w:val="24"/>
                <w:bdr w:val="none" w:sz="0" w:space="0" w:color="auto" w:frame="1"/>
              </w:rPr>
              <w:t>df (Degree of Freedom)</w:t>
            </w:r>
          </w:p>
        </w:tc>
        <w:tc>
          <w:tcPr>
            <w:tcW w:w="4077" w:type="dxa"/>
            <w:vAlign w:val="center"/>
          </w:tcPr>
          <w:p w14:paraId="733849ED" w14:textId="77777777" w:rsidR="00832D6C" w:rsidRPr="00DD59BF" w:rsidRDefault="00832D6C" w:rsidP="00DD59BF">
            <w:pPr>
              <w:pStyle w:val="3Paragraf"/>
              <w:spacing w:line="276" w:lineRule="auto"/>
              <w:ind w:firstLine="0"/>
              <w:jc w:val="center"/>
              <w:rPr>
                <w:rFonts w:ascii="Times New Roman" w:hAnsi="Times New Roman" w:cs="Times New Roman"/>
                <w:szCs w:val="24"/>
                <w:lang w:val="en-US"/>
              </w:rPr>
            </w:pPr>
            <w:r w:rsidRPr="00DD59BF">
              <w:rPr>
                <w:rFonts w:ascii="Times New Roman" w:hAnsi="Times New Roman" w:cs="Times New Roman"/>
                <w:szCs w:val="24"/>
                <w:bdr w:val="none" w:sz="0" w:space="0" w:color="auto" w:frame="1"/>
              </w:rPr>
              <w:t>861</w:t>
            </w:r>
          </w:p>
        </w:tc>
      </w:tr>
      <w:tr w:rsidR="00391C6D" w:rsidRPr="00DD59BF" w14:paraId="1DED5372" w14:textId="77777777" w:rsidTr="00B25C99">
        <w:trPr>
          <w:jc w:val="center"/>
        </w:trPr>
        <w:tc>
          <w:tcPr>
            <w:tcW w:w="4077" w:type="dxa"/>
            <w:vAlign w:val="center"/>
          </w:tcPr>
          <w:p w14:paraId="2927BA96" w14:textId="77777777" w:rsidR="00832D6C" w:rsidRPr="00DD59BF" w:rsidRDefault="00832D6C" w:rsidP="00DD59BF">
            <w:pPr>
              <w:pStyle w:val="3Paragraf"/>
              <w:spacing w:line="276" w:lineRule="auto"/>
              <w:ind w:firstLine="0"/>
              <w:jc w:val="center"/>
              <w:rPr>
                <w:rFonts w:ascii="Times New Roman" w:hAnsi="Times New Roman" w:cs="Times New Roman"/>
                <w:i/>
                <w:iCs/>
                <w:szCs w:val="24"/>
                <w:lang w:val="en-US"/>
              </w:rPr>
            </w:pPr>
            <w:r w:rsidRPr="00DD59BF">
              <w:rPr>
                <w:rFonts w:ascii="Times New Roman" w:hAnsi="Times New Roman" w:cs="Times New Roman"/>
                <w:i/>
                <w:iCs/>
                <w:szCs w:val="24"/>
                <w:bdr w:val="none" w:sz="0" w:space="0" w:color="auto" w:frame="1"/>
              </w:rPr>
              <w:t>Sig. (Signifikansi)</w:t>
            </w:r>
          </w:p>
        </w:tc>
        <w:tc>
          <w:tcPr>
            <w:tcW w:w="4077" w:type="dxa"/>
            <w:vAlign w:val="center"/>
          </w:tcPr>
          <w:p w14:paraId="742DD911" w14:textId="77777777" w:rsidR="00832D6C" w:rsidRPr="00DD59BF" w:rsidRDefault="00832D6C" w:rsidP="00DD59BF">
            <w:pPr>
              <w:pStyle w:val="3Paragraf"/>
              <w:spacing w:line="276" w:lineRule="auto"/>
              <w:ind w:firstLine="0"/>
              <w:jc w:val="center"/>
              <w:rPr>
                <w:rFonts w:ascii="Times New Roman" w:hAnsi="Times New Roman" w:cs="Times New Roman"/>
                <w:szCs w:val="24"/>
                <w:lang w:val="en-US"/>
              </w:rPr>
            </w:pPr>
            <w:r w:rsidRPr="00DD59BF">
              <w:rPr>
                <w:rFonts w:ascii="Times New Roman" w:hAnsi="Times New Roman" w:cs="Times New Roman"/>
                <w:szCs w:val="24"/>
                <w:bdr w:val="none" w:sz="0" w:space="0" w:color="auto" w:frame="1"/>
              </w:rPr>
              <w:t>&lt;.001</w:t>
            </w:r>
          </w:p>
        </w:tc>
      </w:tr>
    </w:tbl>
    <w:p w14:paraId="4120D15B" w14:textId="1574DDF4" w:rsidR="00194CF7" w:rsidRPr="00DD59BF" w:rsidRDefault="00DD59BF" w:rsidP="00DD59BF">
      <w:pPr>
        <w:pStyle w:val="3Paragraf"/>
        <w:spacing w:line="276" w:lineRule="auto"/>
        <w:ind w:firstLine="720"/>
        <w:rPr>
          <w:rFonts w:ascii="Times New Roman" w:hAnsi="Times New Roman" w:cs="Times New Roman"/>
          <w:i/>
          <w:iCs/>
          <w:szCs w:val="24"/>
        </w:rPr>
      </w:pPr>
      <w:r w:rsidRPr="00DD59BF">
        <w:rPr>
          <w:rFonts w:ascii="Times New Roman" w:hAnsi="Times New Roman" w:cs="Times New Roman"/>
          <w:b/>
          <w:bCs/>
          <w:i/>
          <w:iCs/>
          <w:szCs w:val="24"/>
          <w:lang w:val="en-US"/>
        </w:rPr>
        <w:t>Source:</w:t>
      </w:r>
      <w:r w:rsidRPr="00DD59BF">
        <w:rPr>
          <w:rFonts w:ascii="Times New Roman" w:hAnsi="Times New Roman" w:cs="Times New Roman"/>
          <w:i/>
          <w:iCs/>
          <w:szCs w:val="24"/>
          <w:lang w:val="en-US"/>
        </w:rPr>
        <w:t xml:space="preserve"> Primary Data, processed using IBM SPSS Statistics 31, 2026.</w:t>
      </w:r>
    </w:p>
    <w:p w14:paraId="6AECD721" w14:textId="2C9E4788" w:rsidR="00194CF7" w:rsidRPr="00DD59BF" w:rsidRDefault="00194CF7" w:rsidP="00DD59BF">
      <w:pPr>
        <w:pStyle w:val="3Paragraf"/>
        <w:spacing w:line="276" w:lineRule="auto"/>
        <w:ind w:firstLine="720"/>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val="en-US" w:eastAsia="en-ID"/>
        </w:rPr>
        <w:t xml:space="preserve">The KMO value of </w:t>
      </w:r>
      <w:r w:rsidRPr="00DD59BF">
        <w:rPr>
          <w:rFonts w:ascii="Times New Roman" w:eastAsia="Times New Roman" w:hAnsi="Times New Roman" w:cs="Times New Roman"/>
          <w:b/>
          <w:bCs/>
          <w:szCs w:val="24"/>
          <w:lang w:val="en-US" w:eastAsia="en-ID"/>
        </w:rPr>
        <w:t>0.924</w:t>
      </w:r>
      <w:r w:rsidRPr="00DD59BF">
        <w:rPr>
          <w:rFonts w:ascii="Times New Roman" w:eastAsia="Times New Roman" w:hAnsi="Times New Roman" w:cs="Times New Roman"/>
          <w:szCs w:val="24"/>
          <w:lang w:val="en-US" w:eastAsia="en-ID"/>
        </w:rPr>
        <w:t xml:space="preserve"> exceeds the minimum recommended threshold of 0.50 and falls within the category of "excellent" sampling adequacy. Furthermore, Bartlett's Test of Sphericity was statistically significant (p &lt; 0.001), confirming that sufficient correlations exist among the observed variables to justify factor analysis.</w:t>
      </w:r>
      <w:r w:rsidRPr="00DD59BF">
        <w:rPr>
          <w:rFonts w:ascii="Times New Roman" w:eastAsia="Times New Roman" w:hAnsi="Times New Roman" w:cs="Times New Roman"/>
          <w:szCs w:val="24"/>
          <w:lang w:val="en-US" w:eastAsia="en-ID"/>
        </w:rPr>
        <w:t xml:space="preserve"> </w:t>
      </w:r>
      <w:r w:rsidRPr="00DD59BF">
        <w:rPr>
          <w:rFonts w:ascii="Times New Roman" w:eastAsia="Times New Roman" w:hAnsi="Times New Roman" w:cs="Times New Roman"/>
          <w:szCs w:val="24"/>
          <w:lang w:val="en-US" w:eastAsia="en-ID"/>
        </w:rPr>
        <w:t>These findings demonstrate that the dataset satisfies the statistical assumptions required for Exploratory Factor Analysis.</w:t>
      </w:r>
    </w:p>
    <w:p w14:paraId="1B060C12" w14:textId="77777777" w:rsidR="00194CF7" w:rsidRPr="00DD59BF" w:rsidRDefault="00194CF7" w:rsidP="00DD59BF">
      <w:pPr>
        <w:pStyle w:val="3Paragraf"/>
        <w:spacing w:line="276" w:lineRule="auto"/>
        <w:ind w:firstLine="720"/>
        <w:rPr>
          <w:rFonts w:ascii="Times New Roman" w:eastAsia="Times New Roman" w:hAnsi="Times New Roman" w:cs="Times New Roman"/>
          <w:b/>
          <w:bCs/>
          <w:szCs w:val="24"/>
          <w:lang w:val="en-US" w:eastAsia="en-ID"/>
        </w:rPr>
      </w:pPr>
      <w:r w:rsidRPr="00DD59BF">
        <w:rPr>
          <w:rFonts w:ascii="Times New Roman" w:eastAsia="Times New Roman" w:hAnsi="Times New Roman" w:cs="Times New Roman"/>
          <w:b/>
          <w:bCs/>
          <w:szCs w:val="24"/>
          <w:lang w:val="en-US" w:eastAsia="en-ID"/>
        </w:rPr>
        <w:t>Communalities</w:t>
      </w:r>
    </w:p>
    <w:p w14:paraId="7DF63BC5" w14:textId="6EA472B7" w:rsidR="00194CF7" w:rsidRPr="00DD59BF" w:rsidRDefault="00194CF7" w:rsidP="00DD59BF">
      <w:pPr>
        <w:pStyle w:val="3Paragraf"/>
        <w:spacing w:line="276" w:lineRule="auto"/>
        <w:ind w:firstLine="720"/>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val="en-US" w:eastAsia="en-ID"/>
        </w:rPr>
        <w:t>Communality values were subsequently examined to determine the proportion of variance in each observed variable explained by the extracted factors.</w:t>
      </w:r>
      <w:r w:rsidRPr="00DD59BF">
        <w:rPr>
          <w:rFonts w:ascii="Times New Roman" w:eastAsia="Times New Roman" w:hAnsi="Times New Roman" w:cs="Times New Roman"/>
          <w:szCs w:val="24"/>
          <w:lang w:val="en-US" w:eastAsia="en-ID"/>
        </w:rPr>
        <w:t xml:space="preserve"> </w:t>
      </w:r>
      <w:r w:rsidRPr="00DD59BF">
        <w:rPr>
          <w:rFonts w:ascii="Times New Roman" w:eastAsia="Times New Roman" w:hAnsi="Times New Roman" w:cs="Times New Roman"/>
          <w:szCs w:val="24"/>
          <w:lang w:val="en-US" w:eastAsia="en-ID"/>
        </w:rPr>
        <w:t xml:space="preserve">The majority of indicators produced communality values greater than </w:t>
      </w:r>
      <w:r w:rsidRPr="00DD59BF">
        <w:rPr>
          <w:rFonts w:ascii="Times New Roman" w:eastAsia="Times New Roman" w:hAnsi="Times New Roman" w:cs="Times New Roman"/>
          <w:b/>
          <w:bCs/>
          <w:szCs w:val="24"/>
          <w:lang w:val="en-US" w:eastAsia="en-ID"/>
        </w:rPr>
        <w:t>0.50</w:t>
      </w:r>
      <w:r w:rsidRPr="00DD59BF">
        <w:rPr>
          <w:rFonts w:ascii="Times New Roman" w:eastAsia="Times New Roman" w:hAnsi="Times New Roman" w:cs="Times New Roman"/>
          <w:szCs w:val="24"/>
          <w:lang w:val="en-US" w:eastAsia="en-ID"/>
        </w:rPr>
        <w:t>, indicating that the extracted factor solution adequately explains the observed variables.</w:t>
      </w:r>
      <w:r w:rsidRPr="00DD59BF">
        <w:rPr>
          <w:rFonts w:ascii="Times New Roman" w:eastAsia="Times New Roman" w:hAnsi="Times New Roman" w:cs="Times New Roman"/>
          <w:szCs w:val="24"/>
          <w:lang w:val="en-US" w:eastAsia="en-ID"/>
        </w:rPr>
        <w:t xml:space="preserve"> </w:t>
      </w:r>
      <w:r w:rsidRPr="00DD59BF">
        <w:rPr>
          <w:rFonts w:ascii="Times New Roman" w:eastAsia="Times New Roman" w:hAnsi="Times New Roman" w:cs="Times New Roman"/>
          <w:szCs w:val="24"/>
          <w:lang w:val="en-US" w:eastAsia="en-ID"/>
        </w:rPr>
        <w:t>No indicators exhibited exceptionally low communalities; therefore, all variables were retained for further analysis.</w:t>
      </w:r>
      <w:r w:rsidRPr="00DD59BF">
        <w:rPr>
          <w:rFonts w:ascii="Times New Roman" w:eastAsia="Times New Roman" w:hAnsi="Times New Roman" w:cs="Times New Roman"/>
          <w:szCs w:val="24"/>
          <w:lang w:val="en-US" w:eastAsia="en-ID"/>
        </w:rPr>
        <w:t xml:space="preserve"> </w:t>
      </w:r>
      <w:r w:rsidRPr="00DD59BF">
        <w:rPr>
          <w:rFonts w:ascii="Times New Roman" w:eastAsia="Times New Roman" w:hAnsi="Times New Roman" w:cs="Times New Roman"/>
          <w:szCs w:val="24"/>
          <w:lang w:val="en-US" w:eastAsia="en-ID"/>
        </w:rPr>
        <w:t>These results confirm that the observed indicators contribute meaningfully to the multidimensional structure of CSR effectiveness.</w:t>
      </w:r>
    </w:p>
    <w:p w14:paraId="6A5FDFB6" w14:textId="77777777" w:rsidR="00194CF7" w:rsidRPr="00DD59BF" w:rsidRDefault="00194CF7" w:rsidP="00DD59BF">
      <w:pPr>
        <w:pStyle w:val="3Paragraf"/>
        <w:spacing w:line="276" w:lineRule="auto"/>
        <w:ind w:firstLine="720"/>
        <w:rPr>
          <w:rFonts w:ascii="Times New Roman" w:eastAsia="Times New Roman" w:hAnsi="Times New Roman" w:cs="Times New Roman"/>
          <w:b/>
          <w:bCs/>
          <w:szCs w:val="24"/>
          <w:lang w:val="en-US" w:eastAsia="en-ID"/>
        </w:rPr>
      </w:pPr>
      <w:r w:rsidRPr="00DD59BF">
        <w:rPr>
          <w:rFonts w:ascii="Times New Roman" w:eastAsia="Times New Roman" w:hAnsi="Times New Roman" w:cs="Times New Roman"/>
          <w:b/>
          <w:bCs/>
          <w:szCs w:val="24"/>
          <w:lang w:val="en-US" w:eastAsia="en-ID"/>
        </w:rPr>
        <w:t>Total Variance Explained</w:t>
      </w:r>
    </w:p>
    <w:p w14:paraId="19622477" w14:textId="05A46A18" w:rsidR="00EC41B3" w:rsidRDefault="00194CF7" w:rsidP="00DD59BF">
      <w:pPr>
        <w:pStyle w:val="3Paragraf"/>
        <w:spacing w:line="276" w:lineRule="auto"/>
        <w:ind w:firstLine="720"/>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val="en-US" w:eastAsia="en-ID"/>
        </w:rPr>
        <w:t>Principal Component Analysis initially extracted several latent dimensions.</w:t>
      </w:r>
      <w:r w:rsidRPr="00DD59BF">
        <w:rPr>
          <w:rFonts w:ascii="Times New Roman" w:eastAsia="Times New Roman" w:hAnsi="Times New Roman" w:cs="Times New Roman"/>
          <w:szCs w:val="24"/>
          <w:lang w:val="en-US" w:eastAsia="en-ID"/>
        </w:rPr>
        <w:t xml:space="preserve"> </w:t>
      </w:r>
      <w:r w:rsidRPr="00DD59BF">
        <w:rPr>
          <w:rFonts w:ascii="Times New Roman" w:eastAsia="Times New Roman" w:hAnsi="Times New Roman" w:cs="Times New Roman"/>
          <w:szCs w:val="24"/>
          <w:lang w:val="en-US" w:eastAsia="en-ID"/>
        </w:rPr>
        <w:t>Based on the eigenvalue criterion (Eigenvalue &gt; 1), seven factors were retained.</w:t>
      </w:r>
      <w:r w:rsidRPr="00DD59BF">
        <w:rPr>
          <w:rFonts w:ascii="Times New Roman" w:eastAsia="Times New Roman" w:hAnsi="Times New Roman" w:cs="Times New Roman"/>
          <w:szCs w:val="24"/>
          <w:lang w:val="en-US" w:eastAsia="en-ID"/>
        </w:rPr>
        <w:t xml:space="preserve"> </w:t>
      </w:r>
      <w:r w:rsidRPr="00DD59BF">
        <w:rPr>
          <w:rFonts w:ascii="Times New Roman" w:eastAsia="Times New Roman" w:hAnsi="Times New Roman" w:cs="Times New Roman"/>
          <w:szCs w:val="24"/>
          <w:lang w:val="en-US" w:eastAsia="en-ID"/>
        </w:rPr>
        <w:t xml:space="preserve">The cumulative variance explained by these seven factors reached </w:t>
      </w:r>
      <w:r w:rsidRPr="00DD59BF">
        <w:rPr>
          <w:rFonts w:ascii="Times New Roman" w:eastAsia="Times New Roman" w:hAnsi="Times New Roman" w:cs="Times New Roman"/>
          <w:b/>
          <w:bCs/>
          <w:szCs w:val="24"/>
          <w:lang w:val="en-US" w:eastAsia="en-ID"/>
        </w:rPr>
        <w:t>74.707%</w:t>
      </w:r>
      <w:r w:rsidRPr="00DD59BF">
        <w:rPr>
          <w:rFonts w:ascii="Times New Roman" w:eastAsia="Times New Roman" w:hAnsi="Times New Roman" w:cs="Times New Roman"/>
          <w:szCs w:val="24"/>
          <w:lang w:val="en-US" w:eastAsia="en-ID"/>
        </w:rPr>
        <w:t>, indicating that the retained factors account for nearly three-quarters of the total variation among the observed variables.</w:t>
      </w:r>
    </w:p>
    <w:p w14:paraId="7C14793D" w14:textId="77777777" w:rsidR="00DD59BF" w:rsidRDefault="00DD59BF" w:rsidP="00DD59BF">
      <w:pPr>
        <w:pStyle w:val="3Paragraf"/>
        <w:spacing w:line="276" w:lineRule="auto"/>
        <w:ind w:firstLine="720"/>
        <w:rPr>
          <w:rFonts w:ascii="Times New Roman" w:eastAsia="Times New Roman" w:hAnsi="Times New Roman" w:cs="Times New Roman"/>
          <w:szCs w:val="24"/>
          <w:lang w:val="en-US" w:eastAsia="en-ID"/>
        </w:rPr>
      </w:pPr>
    </w:p>
    <w:p w14:paraId="0AA9A4C3" w14:textId="77777777" w:rsidR="00DD59BF" w:rsidRPr="00DD59BF" w:rsidRDefault="00DD59BF" w:rsidP="00DD59BF">
      <w:pPr>
        <w:pStyle w:val="3Paragraf"/>
        <w:spacing w:line="276" w:lineRule="auto"/>
        <w:ind w:firstLine="720"/>
        <w:rPr>
          <w:rFonts w:ascii="Times New Roman" w:eastAsia="Times New Roman" w:hAnsi="Times New Roman" w:cs="Times New Roman"/>
          <w:szCs w:val="24"/>
          <w:lang w:val="en-US" w:eastAsia="en-ID"/>
        </w:rPr>
      </w:pPr>
    </w:p>
    <w:p w14:paraId="56258BF4" w14:textId="4336739A"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b/>
          <w:bCs/>
          <w:szCs w:val="24"/>
          <w:lang w:val="en-US"/>
        </w:rPr>
        <w:t xml:space="preserve">Tabel </w:t>
      </w:r>
      <w:r w:rsidR="00194CF7" w:rsidRPr="00DD59BF">
        <w:rPr>
          <w:rFonts w:ascii="Times New Roman" w:hAnsi="Times New Roman" w:cs="Times New Roman"/>
          <w:b/>
          <w:bCs/>
          <w:szCs w:val="24"/>
          <w:lang w:val="en-US"/>
        </w:rPr>
        <w:t>3</w:t>
      </w:r>
      <w:r w:rsidRPr="00DD59BF">
        <w:rPr>
          <w:rFonts w:ascii="Times New Roman" w:hAnsi="Times New Roman" w:cs="Times New Roman"/>
          <w:b/>
          <w:bCs/>
          <w:szCs w:val="24"/>
          <w:lang w:val="en-US"/>
        </w:rPr>
        <w:t>.</w:t>
      </w:r>
      <w:r w:rsidR="00B25C99" w:rsidRPr="00DD59BF">
        <w:rPr>
          <w:rFonts w:ascii="Times New Roman" w:hAnsi="Times New Roman" w:cs="Times New Roman"/>
          <w:b/>
          <w:bCs/>
          <w:szCs w:val="24"/>
          <w:lang w:val="en-US"/>
        </w:rPr>
        <w:t xml:space="preserve"> </w:t>
      </w:r>
      <w:r w:rsidRPr="00DD59BF">
        <w:rPr>
          <w:rFonts w:ascii="Times New Roman" w:hAnsi="Times New Roman" w:cs="Times New Roman"/>
          <w:b/>
          <w:bCs/>
          <w:szCs w:val="24"/>
          <w:lang w:val="en-US"/>
        </w:rPr>
        <w:t>Total variance explained</w:t>
      </w:r>
    </w:p>
    <w:tbl>
      <w:tblPr>
        <w:tblStyle w:val="TableGrid"/>
        <w:tblW w:w="0" w:type="auto"/>
        <w:jc w:val="center"/>
        <w:tblLook w:val="04A0" w:firstRow="1" w:lastRow="0" w:firstColumn="1" w:lastColumn="0" w:noHBand="0" w:noVBand="1"/>
      </w:tblPr>
      <w:tblGrid>
        <w:gridCol w:w="1696"/>
        <w:gridCol w:w="2382"/>
        <w:gridCol w:w="2038"/>
        <w:gridCol w:w="2038"/>
      </w:tblGrid>
      <w:tr w:rsidR="00391C6D" w:rsidRPr="00DD59BF" w14:paraId="1274AB5E" w14:textId="77777777" w:rsidTr="00DD59BF">
        <w:trPr>
          <w:jc w:val="center"/>
        </w:trPr>
        <w:tc>
          <w:tcPr>
            <w:tcW w:w="1696" w:type="dxa"/>
            <w:vAlign w:val="center"/>
          </w:tcPr>
          <w:p w14:paraId="7976FC6F"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Style w:val="Strong"/>
                <w:rFonts w:ascii="Times New Roman" w:hAnsi="Times New Roman" w:cs="Times New Roman"/>
                <w:szCs w:val="24"/>
                <w:bdr w:val="none" w:sz="0" w:space="0" w:color="auto" w:frame="1"/>
              </w:rPr>
              <w:t>Factor</w:t>
            </w:r>
          </w:p>
        </w:tc>
        <w:tc>
          <w:tcPr>
            <w:tcW w:w="2382" w:type="dxa"/>
            <w:vAlign w:val="center"/>
          </w:tcPr>
          <w:p w14:paraId="64BF24A2"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Style w:val="Strong"/>
                <w:rFonts w:ascii="Times New Roman" w:hAnsi="Times New Roman" w:cs="Times New Roman"/>
                <w:szCs w:val="24"/>
                <w:bdr w:val="none" w:sz="0" w:space="0" w:color="auto" w:frame="1"/>
              </w:rPr>
              <w:t>Eigenvalues (Total)</w:t>
            </w:r>
          </w:p>
        </w:tc>
        <w:tc>
          <w:tcPr>
            <w:tcW w:w="2038" w:type="dxa"/>
            <w:vAlign w:val="center"/>
          </w:tcPr>
          <w:p w14:paraId="13ED53DD"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Style w:val="Strong"/>
                <w:rFonts w:ascii="Times New Roman" w:hAnsi="Times New Roman" w:cs="Times New Roman"/>
                <w:szCs w:val="24"/>
                <w:bdr w:val="none" w:sz="0" w:space="0" w:color="auto" w:frame="1"/>
              </w:rPr>
              <w:t>% of Variance</w:t>
            </w:r>
          </w:p>
        </w:tc>
        <w:tc>
          <w:tcPr>
            <w:tcW w:w="2038" w:type="dxa"/>
            <w:vAlign w:val="center"/>
          </w:tcPr>
          <w:p w14:paraId="12B7062D"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Style w:val="Strong"/>
                <w:rFonts w:ascii="Times New Roman" w:hAnsi="Times New Roman" w:cs="Times New Roman"/>
                <w:szCs w:val="24"/>
                <w:bdr w:val="none" w:sz="0" w:space="0" w:color="auto" w:frame="1"/>
              </w:rPr>
              <w:t>Cumulative %</w:t>
            </w:r>
          </w:p>
        </w:tc>
      </w:tr>
      <w:tr w:rsidR="00391C6D" w:rsidRPr="00DD59BF" w14:paraId="5AA11EEF" w14:textId="77777777" w:rsidTr="00DD59BF">
        <w:trPr>
          <w:jc w:val="center"/>
        </w:trPr>
        <w:tc>
          <w:tcPr>
            <w:tcW w:w="1696" w:type="dxa"/>
            <w:vAlign w:val="center"/>
          </w:tcPr>
          <w:p w14:paraId="20DEDF69"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b/>
                <w:bCs/>
                <w:szCs w:val="24"/>
                <w:bdr w:val="none" w:sz="0" w:space="0" w:color="auto" w:frame="1"/>
              </w:rPr>
              <w:t>1</w:t>
            </w:r>
          </w:p>
        </w:tc>
        <w:tc>
          <w:tcPr>
            <w:tcW w:w="2382" w:type="dxa"/>
            <w:vAlign w:val="center"/>
          </w:tcPr>
          <w:p w14:paraId="212D83B5"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21.225</w:t>
            </w:r>
          </w:p>
        </w:tc>
        <w:tc>
          <w:tcPr>
            <w:tcW w:w="2038" w:type="dxa"/>
            <w:vAlign w:val="center"/>
          </w:tcPr>
          <w:p w14:paraId="6A2271F2"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50.535</w:t>
            </w:r>
          </w:p>
        </w:tc>
        <w:tc>
          <w:tcPr>
            <w:tcW w:w="2038" w:type="dxa"/>
            <w:vAlign w:val="center"/>
          </w:tcPr>
          <w:p w14:paraId="467A3DC9"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50.535</w:t>
            </w:r>
          </w:p>
        </w:tc>
      </w:tr>
      <w:tr w:rsidR="00391C6D" w:rsidRPr="00DD59BF" w14:paraId="4DE6801B" w14:textId="77777777" w:rsidTr="00DD59BF">
        <w:trPr>
          <w:jc w:val="center"/>
        </w:trPr>
        <w:tc>
          <w:tcPr>
            <w:tcW w:w="1696" w:type="dxa"/>
            <w:vAlign w:val="center"/>
          </w:tcPr>
          <w:p w14:paraId="722CABA2"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b/>
                <w:bCs/>
                <w:szCs w:val="24"/>
                <w:bdr w:val="none" w:sz="0" w:space="0" w:color="auto" w:frame="1"/>
              </w:rPr>
              <w:t>2</w:t>
            </w:r>
          </w:p>
        </w:tc>
        <w:tc>
          <w:tcPr>
            <w:tcW w:w="2382" w:type="dxa"/>
            <w:vAlign w:val="center"/>
          </w:tcPr>
          <w:p w14:paraId="36C16CE0"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2.814</w:t>
            </w:r>
          </w:p>
        </w:tc>
        <w:tc>
          <w:tcPr>
            <w:tcW w:w="2038" w:type="dxa"/>
            <w:vAlign w:val="center"/>
          </w:tcPr>
          <w:p w14:paraId="357A8D24"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6.699</w:t>
            </w:r>
          </w:p>
        </w:tc>
        <w:tc>
          <w:tcPr>
            <w:tcW w:w="2038" w:type="dxa"/>
            <w:vAlign w:val="center"/>
          </w:tcPr>
          <w:p w14:paraId="398567A9"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57.234</w:t>
            </w:r>
          </w:p>
        </w:tc>
      </w:tr>
      <w:tr w:rsidR="00391C6D" w:rsidRPr="00DD59BF" w14:paraId="77CACCAD" w14:textId="77777777" w:rsidTr="00DD59BF">
        <w:trPr>
          <w:jc w:val="center"/>
        </w:trPr>
        <w:tc>
          <w:tcPr>
            <w:tcW w:w="1696" w:type="dxa"/>
            <w:vAlign w:val="center"/>
          </w:tcPr>
          <w:p w14:paraId="1ECD711D"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b/>
                <w:bCs/>
                <w:szCs w:val="24"/>
                <w:bdr w:val="none" w:sz="0" w:space="0" w:color="auto" w:frame="1"/>
              </w:rPr>
              <w:t>3</w:t>
            </w:r>
          </w:p>
        </w:tc>
        <w:tc>
          <w:tcPr>
            <w:tcW w:w="2382" w:type="dxa"/>
            <w:vAlign w:val="center"/>
          </w:tcPr>
          <w:p w14:paraId="4A792F30"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1.976</w:t>
            </w:r>
          </w:p>
        </w:tc>
        <w:tc>
          <w:tcPr>
            <w:tcW w:w="2038" w:type="dxa"/>
            <w:vAlign w:val="center"/>
          </w:tcPr>
          <w:p w14:paraId="2614337C"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4.704</w:t>
            </w:r>
          </w:p>
        </w:tc>
        <w:tc>
          <w:tcPr>
            <w:tcW w:w="2038" w:type="dxa"/>
            <w:vAlign w:val="center"/>
          </w:tcPr>
          <w:p w14:paraId="7007D6DD"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61.937</w:t>
            </w:r>
          </w:p>
        </w:tc>
      </w:tr>
      <w:tr w:rsidR="00391C6D" w:rsidRPr="00DD59BF" w14:paraId="2F0F0BAC" w14:textId="77777777" w:rsidTr="00DD59BF">
        <w:trPr>
          <w:jc w:val="center"/>
        </w:trPr>
        <w:tc>
          <w:tcPr>
            <w:tcW w:w="1696" w:type="dxa"/>
            <w:vAlign w:val="center"/>
          </w:tcPr>
          <w:p w14:paraId="3A1AF45F"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b/>
                <w:bCs/>
                <w:szCs w:val="24"/>
                <w:bdr w:val="none" w:sz="0" w:space="0" w:color="auto" w:frame="1"/>
              </w:rPr>
              <w:t>4</w:t>
            </w:r>
          </w:p>
        </w:tc>
        <w:tc>
          <w:tcPr>
            <w:tcW w:w="2382" w:type="dxa"/>
            <w:vAlign w:val="center"/>
          </w:tcPr>
          <w:p w14:paraId="371DAD2A"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1.573</w:t>
            </w:r>
          </w:p>
        </w:tc>
        <w:tc>
          <w:tcPr>
            <w:tcW w:w="2038" w:type="dxa"/>
            <w:vAlign w:val="center"/>
          </w:tcPr>
          <w:p w14:paraId="0888F722"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3.746</w:t>
            </w:r>
          </w:p>
        </w:tc>
        <w:tc>
          <w:tcPr>
            <w:tcW w:w="2038" w:type="dxa"/>
            <w:vAlign w:val="center"/>
          </w:tcPr>
          <w:p w14:paraId="097D82C9"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65.683</w:t>
            </w:r>
          </w:p>
        </w:tc>
      </w:tr>
      <w:tr w:rsidR="00391C6D" w:rsidRPr="00DD59BF" w14:paraId="78F49E42" w14:textId="77777777" w:rsidTr="00DD59BF">
        <w:trPr>
          <w:jc w:val="center"/>
        </w:trPr>
        <w:tc>
          <w:tcPr>
            <w:tcW w:w="1696" w:type="dxa"/>
            <w:vAlign w:val="center"/>
          </w:tcPr>
          <w:p w14:paraId="6F3F973B"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b/>
                <w:bCs/>
                <w:szCs w:val="24"/>
                <w:bdr w:val="none" w:sz="0" w:space="0" w:color="auto" w:frame="1"/>
              </w:rPr>
              <w:t>5</w:t>
            </w:r>
          </w:p>
        </w:tc>
        <w:tc>
          <w:tcPr>
            <w:tcW w:w="2382" w:type="dxa"/>
            <w:vAlign w:val="center"/>
          </w:tcPr>
          <w:p w14:paraId="759992CA"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1.417</w:t>
            </w:r>
          </w:p>
        </w:tc>
        <w:tc>
          <w:tcPr>
            <w:tcW w:w="2038" w:type="dxa"/>
            <w:vAlign w:val="center"/>
          </w:tcPr>
          <w:p w14:paraId="1FA14001"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3.373</w:t>
            </w:r>
          </w:p>
        </w:tc>
        <w:tc>
          <w:tcPr>
            <w:tcW w:w="2038" w:type="dxa"/>
            <w:vAlign w:val="center"/>
          </w:tcPr>
          <w:p w14:paraId="08211A24"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69.056</w:t>
            </w:r>
          </w:p>
        </w:tc>
      </w:tr>
      <w:tr w:rsidR="00391C6D" w:rsidRPr="00DD59BF" w14:paraId="0C5F8F24" w14:textId="77777777" w:rsidTr="00DD59BF">
        <w:trPr>
          <w:jc w:val="center"/>
        </w:trPr>
        <w:tc>
          <w:tcPr>
            <w:tcW w:w="1696" w:type="dxa"/>
            <w:vAlign w:val="center"/>
          </w:tcPr>
          <w:p w14:paraId="5B68393E"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b/>
                <w:bCs/>
                <w:szCs w:val="24"/>
                <w:bdr w:val="none" w:sz="0" w:space="0" w:color="auto" w:frame="1"/>
              </w:rPr>
              <w:t>6</w:t>
            </w:r>
          </w:p>
        </w:tc>
        <w:tc>
          <w:tcPr>
            <w:tcW w:w="2382" w:type="dxa"/>
            <w:vAlign w:val="center"/>
          </w:tcPr>
          <w:p w14:paraId="4868F5AF"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1.315</w:t>
            </w:r>
          </w:p>
        </w:tc>
        <w:tc>
          <w:tcPr>
            <w:tcW w:w="2038" w:type="dxa"/>
            <w:vAlign w:val="center"/>
          </w:tcPr>
          <w:p w14:paraId="7DA62592"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3.131</w:t>
            </w:r>
          </w:p>
        </w:tc>
        <w:tc>
          <w:tcPr>
            <w:tcW w:w="2038" w:type="dxa"/>
            <w:vAlign w:val="center"/>
          </w:tcPr>
          <w:p w14:paraId="69FC3A90"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72.187</w:t>
            </w:r>
          </w:p>
        </w:tc>
      </w:tr>
      <w:tr w:rsidR="00391C6D" w:rsidRPr="00DD59BF" w14:paraId="05488267" w14:textId="77777777" w:rsidTr="00DD59BF">
        <w:trPr>
          <w:jc w:val="center"/>
        </w:trPr>
        <w:tc>
          <w:tcPr>
            <w:tcW w:w="1696" w:type="dxa"/>
            <w:vAlign w:val="center"/>
          </w:tcPr>
          <w:p w14:paraId="49030FF9"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b/>
                <w:bCs/>
                <w:szCs w:val="24"/>
                <w:bdr w:val="none" w:sz="0" w:space="0" w:color="auto" w:frame="1"/>
              </w:rPr>
              <w:t>7</w:t>
            </w:r>
          </w:p>
        </w:tc>
        <w:tc>
          <w:tcPr>
            <w:tcW w:w="2382" w:type="dxa"/>
            <w:vAlign w:val="center"/>
          </w:tcPr>
          <w:p w14:paraId="1588B0A1"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1.058</w:t>
            </w:r>
          </w:p>
        </w:tc>
        <w:tc>
          <w:tcPr>
            <w:tcW w:w="2038" w:type="dxa"/>
            <w:vAlign w:val="center"/>
          </w:tcPr>
          <w:p w14:paraId="37ECDCEA"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szCs w:val="24"/>
                <w:bdr w:val="none" w:sz="0" w:space="0" w:color="auto" w:frame="1"/>
              </w:rPr>
              <w:t>2.520</w:t>
            </w:r>
          </w:p>
        </w:tc>
        <w:tc>
          <w:tcPr>
            <w:tcW w:w="2038" w:type="dxa"/>
            <w:vAlign w:val="center"/>
          </w:tcPr>
          <w:p w14:paraId="14E3E157" w14:textId="77777777" w:rsidR="00615451" w:rsidRPr="00DD59BF" w:rsidRDefault="00615451"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b/>
                <w:bCs/>
                <w:szCs w:val="24"/>
                <w:bdr w:val="none" w:sz="0" w:space="0" w:color="auto" w:frame="1"/>
              </w:rPr>
              <w:t>74.707</w:t>
            </w:r>
          </w:p>
        </w:tc>
      </w:tr>
    </w:tbl>
    <w:p w14:paraId="2E6BCBA0" w14:textId="12166A6F" w:rsidR="00B25C99" w:rsidRPr="00DD59BF" w:rsidRDefault="00DD59BF" w:rsidP="00DD59BF">
      <w:pPr>
        <w:pStyle w:val="3Paragraf"/>
        <w:spacing w:line="276" w:lineRule="auto"/>
        <w:ind w:firstLine="720"/>
        <w:rPr>
          <w:rFonts w:ascii="Times New Roman" w:hAnsi="Times New Roman" w:cs="Times New Roman"/>
          <w:i/>
          <w:iCs/>
          <w:szCs w:val="24"/>
        </w:rPr>
      </w:pPr>
      <w:r w:rsidRPr="00DD59BF">
        <w:rPr>
          <w:rFonts w:ascii="Times New Roman" w:hAnsi="Times New Roman" w:cs="Times New Roman"/>
          <w:b/>
          <w:bCs/>
          <w:i/>
          <w:iCs/>
          <w:szCs w:val="24"/>
          <w:lang w:val="en-US"/>
        </w:rPr>
        <w:t>Source:</w:t>
      </w:r>
      <w:r w:rsidRPr="00DD59BF">
        <w:rPr>
          <w:rFonts w:ascii="Times New Roman" w:hAnsi="Times New Roman" w:cs="Times New Roman"/>
          <w:i/>
          <w:iCs/>
          <w:szCs w:val="24"/>
          <w:lang w:val="en-US"/>
        </w:rPr>
        <w:t xml:space="preserve"> Primary Data, processed using IBM SPSS Statistics 31, 2026.</w:t>
      </w:r>
    </w:p>
    <w:p w14:paraId="47D74DBD" w14:textId="7027DC3A" w:rsidR="00194CF7" w:rsidRPr="00DD59BF" w:rsidRDefault="00194CF7" w:rsidP="00DD59BF">
      <w:pPr>
        <w:pStyle w:val="3Paragraf"/>
        <w:spacing w:line="276" w:lineRule="auto"/>
        <w:ind w:firstLine="720"/>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val="en-US" w:eastAsia="en-ID"/>
        </w:rPr>
        <w:t>The cumulative variance substantially exceeds the minimum threshold commonly recommended for social science research, indicating that the extracted factor solution possesses strong explanatory capability.</w:t>
      </w:r>
    </w:p>
    <w:p w14:paraId="29CE3097" w14:textId="77777777" w:rsidR="00194CF7" w:rsidRPr="00DD59BF" w:rsidRDefault="00194CF7" w:rsidP="00DD59BF">
      <w:pPr>
        <w:pStyle w:val="3Paragraf"/>
        <w:spacing w:line="276" w:lineRule="auto"/>
        <w:ind w:firstLine="720"/>
        <w:rPr>
          <w:rFonts w:ascii="Times New Roman" w:eastAsia="Times New Roman" w:hAnsi="Times New Roman" w:cs="Times New Roman"/>
          <w:b/>
          <w:bCs/>
          <w:szCs w:val="24"/>
          <w:lang w:val="en-US" w:eastAsia="en-ID"/>
        </w:rPr>
      </w:pPr>
      <w:r w:rsidRPr="00DD59BF">
        <w:rPr>
          <w:rFonts w:ascii="Times New Roman" w:eastAsia="Times New Roman" w:hAnsi="Times New Roman" w:cs="Times New Roman"/>
          <w:b/>
          <w:bCs/>
          <w:szCs w:val="24"/>
          <w:lang w:val="en-US" w:eastAsia="en-ID"/>
        </w:rPr>
        <w:t>Scree Plot Interpretation</w:t>
      </w:r>
    </w:p>
    <w:p w14:paraId="3700B4E0" w14:textId="45DC6ACB" w:rsidR="00615451" w:rsidRPr="00DD59BF" w:rsidRDefault="00194CF7" w:rsidP="00DD59BF">
      <w:pPr>
        <w:pStyle w:val="3Paragraf"/>
        <w:spacing w:line="276" w:lineRule="auto"/>
        <w:ind w:firstLine="720"/>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val="en-US" w:eastAsia="en-ID"/>
        </w:rPr>
        <w:t>The scree plot further supports the retention of seven latent factors.</w:t>
      </w:r>
      <w:r w:rsidR="004E0A38" w:rsidRPr="00DD59BF">
        <w:rPr>
          <w:rFonts w:ascii="Times New Roman" w:eastAsia="Times New Roman" w:hAnsi="Times New Roman" w:cs="Times New Roman"/>
          <w:szCs w:val="24"/>
          <w:lang w:val="en-US" w:eastAsia="en-ID"/>
        </w:rPr>
        <w:t xml:space="preserve"> </w:t>
      </w:r>
      <w:r w:rsidRPr="00DD59BF">
        <w:rPr>
          <w:rFonts w:ascii="Times New Roman" w:eastAsia="Times New Roman" w:hAnsi="Times New Roman" w:cs="Times New Roman"/>
          <w:szCs w:val="24"/>
          <w:lang w:val="en-US" w:eastAsia="en-ID"/>
        </w:rPr>
        <w:t>A distinct inflection point appears after the seventh component, after which subsequent eigenvalues decline gradually and contribute only marginally to explaining total variance.</w:t>
      </w:r>
      <w:r w:rsidRPr="00DD59BF">
        <w:rPr>
          <w:rFonts w:ascii="Times New Roman" w:eastAsia="Times New Roman" w:hAnsi="Times New Roman" w:cs="Times New Roman"/>
          <w:szCs w:val="24"/>
          <w:lang w:val="en-US" w:eastAsia="en-ID"/>
        </w:rPr>
        <w:t xml:space="preserve"> </w:t>
      </w:r>
      <w:r w:rsidRPr="00DD59BF">
        <w:rPr>
          <w:rFonts w:ascii="Times New Roman" w:eastAsia="Times New Roman" w:hAnsi="Times New Roman" w:cs="Times New Roman"/>
          <w:szCs w:val="24"/>
          <w:lang w:val="en-US" w:eastAsia="en-ID"/>
        </w:rPr>
        <w:t>Accordingly, the seven-factor solution was considered the most parsimonious and theoretically meaningful representation of CSR effectiveness.</w:t>
      </w:r>
    </w:p>
    <w:p w14:paraId="394AAC8E" w14:textId="042F7D0E" w:rsidR="00615451" w:rsidRPr="00DD59BF" w:rsidRDefault="00391C6D" w:rsidP="00DD59BF">
      <w:pPr>
        <w:pStyle w:val="3Paragraf"/>
        <w:spacing w:line="276" w:lineRule="auto"/>
        <w:ind w:firstLine="0"/>
        <w:jc w:val="center"/>
        <w:rPr>
          <w:rFonts w:ascii="Times New Roman" w:hAnsi="Times New Roman" w:cs="Times New Roman"/>
          <w:b/>
          <w:bCs/>
          <w:szCs w:val="24"/>
          <w:lang w:val="en-US"/>
        </w:rPr>
      </w:pPr>
      <w:r w:rsidRPr="00DD59BF">
        <w:rPr>
          <w:rFonts w:ascii="Times New Roman" w:hAnsi="Times New Roman" w:cs="Times New Roman"/>
          <w:b/>
          <w:bCs/>
          <w:noProof/>
          <w:szCs w:val="24"/>
          <w:lang w:val="en-US"/>
        </w:rPr>
        <w:drawing>
          <wp:anchor distT="0" distB="0" distL="114300" distR="114300" simplePos="0" relativeHeight="251659264" behindDoc="0" locked="0" layoutInCell="1" allowOverlap="1" wp14:anchorId="762345FE" wp14:editId="72A22F31">
            <wp:simplePos x="0" y="0"/>
            <wp:positionH relativeFrom="column">
              <wp:posOffset>1013270</wp:posOffset>
            </wp:positionH>
            <wp:positionV relativeFrom="paragraph">
              <wp:posOffset>271145</wp:posOffset>
            </wp:positionV>
            <wp:extent cx="3969385" cy="2339340"/>
            <wp:effectExtent l="0" t="0" r="0"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9385" cy="2339340"/>
                    </a:xfrm>
                    <a:prstGeom prst="rect">
                      <a:avLst/>
                    </a:prstGeom>
                  </pic:spPr>
                </pic:pic>
              </a:graphicData>
            </a:graphic>
            <wp14:sizeRelH relativeFrom="page">
              <wp14:pctWidth>0</wp14:pctWidth>
            </wp14:sizeRelH>
            <wp14:sizeRelV relativeFrom="page">
              <wp14:pctHeight>0</wp14:pctHeight>
            </wp14:sizeRelV>
          </wp:anchor>
        </w:drawing>
      </w:r>
      <w:r w:rsidR="004E0A38" w:rsidRPr="00DD59BF">
        <w:rPr>
          <w:rFonts w:ascii="Times New Roman" w:eastAsia="SimSun" w:hAnsi="Times New Roman" w:cs="Times New Roman"/>
          <w:kern w:val="0"/>
          <w:szCs w:val="24"/>
          <w:lang w:val="en-US"/>
          <w14:ligatures w14:val="none"/>
        </w:rPr>
        <w:t xml:space="preserve"> </w:t>
      </w:r>
      <w:r w:rsidR="004E0A38" w:rsidRPr="00DD59BF">
        <w:rPr>
          <w:rFonts w:ascii="Times New Roman" w:hAnsi="Times New Roman" w:cs="Times New Roman"/>
          <w:b/>
          <w:bCs/>
          <w:noProof/>
          <w:szCs w:val="24"/>
          <w:lang w:val="en-US"/>
        </w:rPr>
        <w:t xml:space="preserve">Figure </w:t>
      </w:r>
      <w:r w:rsidR="00DD59BF">
        <w:rPr>
          <w:rFonts w:ascii="Times New Roman" w:hAnsi="Times New Roman" w:cs="Times New Roman"/>
          <w:b/>
          <w:bCs/>
          <w:noProof/>
          <w:szCs w:val="24"/>
          <w:lang w:val="en-US"/>
        </w:rPr>
        <w:t>2</w:t>
      </w:r>
      <w:r w:rsidR="004E0A38" w:rsidRPr="00DD59BF">
        <w:rPr>
          <w:rFonts w:ascii="Times New Roman" w:hAnsi="Times New Roman" w:cs="Times New Roman"/>
          <w:b/>
          <w:bCs/>
          <w:noProof/>
          <w:szCs w:val="24"/>
          <w:lang w:val="en-US"/>
        </w:rPr>
        <w:t>. Scree Plot</w:t>
      </w:r>
    </w:p>
    <w:p w14:paraId="16994F93" w14:textId="088933A4" w:rsidR="00E15578" w:rsidRPr="00DD59BF" w:rsidRDefault="00DD59BF" w:rsidP="00DD59BF">
      <w:pPr>
        <w:pStyle w:val="3Paragraf"/>
        <w:spacing w:line="276" w:lineRule="auto"/>
        <w:ind w:firstLine="720"/>
        <w:rPr>
          <w:rFonts w:ascii="Times New Roman" w:hAnsi="Times New Roman" w:cs="Times New Roman"/>
          <w:i/>
          <w:iCs/>
          <w:szCs w:val="24"/>
        </w:rPr>
      </w:pPr>
      <w:r w:rsidRPr="00DD59BF">
        <w:rPr>
          <w:rFonts w:ascii="Times New Roman" w:hAnsi="Times New Roman" w:cs="Times New Roman"/>
          <w:b/>
          <w:bCs/>
          <w:i/>
          <w:iCs/>
          <w:szCs w:val="24"/>
          <w:lang w:val="en-US"/>
        </w:rPr>
        <w:t>Source:</w:t>
      </w:r>
      <w:r w:rsidRPr="00DD59BF">
        <w:rPr>
          <w:rFonts w:ascii="Times New Roman" w:hAnsi="Times New Roman" w:cs="Times New Roman"/>
          <w:i/>
          <w:iCs/>
          <w:szCs w:val="24"/>
          <w:lang w:val="en-US"/>
        </w:rPr>
        <w:t xml:space="preserve"> Primary Data, processed using IBM SPSS Statistics 31, 2026.</w:t>
      </w:r>
    </w:p>
    <w:p w14:paraId="34751230" w14:textId="77777777" w:rsidR="004E0A38" w:rsidRPr="00DD59BF" w:rsidRDefault="004E0A38" w:rsidP="00DD59BF">
      <w:pPr>
        <w:pStyle w:val="3Paragraf"/>
        <w:spacing w:line="276" w:lineRule="auto"/>
        <w:ind w:firstLine="720"/>
        <w:rPr>
          <w:rFonts w:ascii="Times New Roman" w:eastAsia="Times New Roman" w:hAnsi="Times New Roman" w:cs="Times New Roman"/>
          <w:b/>
          <w:bCs/>
          <w:szCs w:val="24"/>
          <w:lang w:val="en-US" w:eastAsia="en-ID"/>
        </w:rPr>
      </w:pPr>
      <w:r w:rsidRPr="00DD59BF">
        <w:rPr>
          <w:rFonts w:ascii="Times New Roman" w:eastAsia="Times New Roman" w:hAnsi="Times New Roman" w:cs="Times New Roman"/>
          <w:b/>
          <w:bCs/>
          <w:szCs w:val="24"/>
          <w:lang w:val="en-US" w:eastAsia="en-ID"/>
        </w:rPr>
        <w:t>Rotated Factor Matrix</w:t>
      </w:r>
    </w:p>
    <w:p w14:paraId="45A5BE0F" w14:textId="3B853C32" w:rsidR="004E0A38" w:rsidRDefault="004E0A38" w:rsidP="00DD59BF">
      <w:pPr>
        <w:pStyle w:val="3Paragraf"/>
        <w:spacing w:line="276" w:lineRule="auto"/>
        <w:ind w:firstLine="720"/>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val="en-US" w:eastAsia="en-ID"/>
        </w:rPr>
        <w:t>To obtain a clearer interpretation of the extracted factors, Promax Rotation with Kaiser Normalization was performed.</w:t>
      </w:r>
      <w:r w:rsidRPr="00DD59BF">
        <w:rPr>
          <w:rFonts w:ascii="Times New Roman" w:eastAsia="Times New Roman" w:hAnsi="Times New Roman" w:cs="Times New Roman"/>
          <w:szCs w:val="24"/>
          <w:lang w:val="en-US" w:eastAsia="en-ID"/>
        </w:rPr>
        <w:t xml:space="preserve"> </w:t>
      </w:r>
      <w:r w:rsidRPr="00DD59BF">
        <w:rPr>
          <w:rFonts w:ascii="Times New Roman" w:eastAsia="Times New Roman" w:hAnsi="Times New Roman" w:cs="Times New Roman"/>
          <w:szCs w:val="24"/>
          <w:lang w:val="en-US" w:eastAsia="en-ID"/>
        </w:rPr>
        <w:t>The rotated factor matrix revealed a simple and interpretable factor structure, with each indicator exhibiting high loadings on one dominant factor and relatively low cross-loadings on other factors.</w:t>
      </w:r>
      <w:r w:rsidRPr="00DD59BF">
        <w:rPr>
          <w:rFonts w:ascii="Times New Roman" w:eastAsia="Times New Roman" w:hAnsi="Times New Roman" w:cs="Times New Roman"/>
          <w:szCs w:val="24"/>
          <w:lang w:val="en-US" w:eastAsia="en-ID"/>
        </w:rPr>
        <w:t xml:space="preserve"> </w:t>
      </w:r>
      <w:r w:rsidRPr="00DD59BF">
        <w:rPr>
          <w:rFonts w:ascii="Times New Roman" w:eastAsia="Times New Roman" w:hAnsi="Times New Roman" w:cs="Times New Roman"/>
          <w:szCs w:val="24"/>
          <w:lang w:val="en-US" w:eastAsia="en-ID"/>
        </w:rPr>
        <w:t xml:space="preserve">Factor loadings exceeding </w:t>
      </w:r>
      <w:r w:rsidRPr="00DD59BF">
        <w:rPr>
          <w:rFonts w:ascii="Times New Roman" w:eastAsia="Times New Roman" w:hAnsi="Times New Roman" w:cs="Times New Roman"/>
          <w:b/>
          <w:bCs/>
          <w:szCs w:val="24"/>
          <w:lang w:val="en-US" w:eastAsia="en-ID"/>
        </w:rPr>
        <w:t>0.50</w:t>
      </w:r>
      <w:r w:rsidRPr="00DD59BF">
        <w:rPr>
          <w:rFonts w:ascii="Times New Roman" w:eastAsia="Times New Roman" w:hAnsi="Times New Roman" w:cs="Times New Roman"/>
          <w:szCs w:val="24"/>
          <w:lang w:val="en-US" w:eastAsia="en-ID"/>
        </w:rPr>
        <w:t xml:space="preserve"> were considered practically significant and retained for interpretation.</w:t>
      </w:r>
      <w:r w:rsidRPr="00DD59BF">
        <w:rPr>
          <w:rFonts w:ascii="Times New Roman" w:eastAsia="Times New Roman" w:hAnsi="Times New Roman" w:cs="Times New Roman"/>
          <w:szCs w:val="24"/>
          <w:lang w:val="en-US" w:eastAsia="en-ID"/>
        </w:rPr>
        <w:t xml:space="preserve"> </w:t>
      </w:r>
      <w:r w:rsidRPr="00DD59BF">
        <w:rPr>
          <w:rFonts w:ascii="Times New Roman" w:eastAsia="Times New Roman" w:hAnsi="Times New Roman" w:cs="Times New Roman"/>
          <w:szCs w:val="24"/>
          <w:lang w:val="en-US" w:eastAsia="en-ID"/>
        </w:rPr>
        <w:t>The rotated solution demonstrates that the observed variables naturally cluster into seven coherent dimensions representing beneficiaries' perceptions regarding CSR effectiveness.</w:t>
      </w:r>
    </w:p>
    <w:p w14:paraId="51246629" w14:textId="77777777" w:rsidR="00DD59BF" w:rsidRDefault="00DD59BF" w:rsidP="00DD59BF">
      <w:pPr>
        <w:pStyle w:val="3Paragraf"/>
        <w:spacing w:line="276" w:lineRule="auto"/>
        <w:ind w:firstLine="720"/>
        <w:rPr>
          <w:rFonts w:ascii="Times New Roman" w:eastAsia="Times New Roman" w:hAnsi="Times New Roman" w:cs="Times New Roman"/>
          <w:szCs w:val="24"/>
          <w:lang w:val="en-US" w:eastAsia="en-ID"/>
        </w:rPr>
      </w:pPr>
    </w:p>
    <w:p w14:paraId="6FD97A1F" w14:textId="77777777" w:rsidR="00DD59BF" w:rsidRPr="00DD59BF" w:rsidRDefault="00DD59BF" w:rsidP="00DD59BF">
      <w:pPr>
        <w:pStyle w:val="3Paragraf"/>
        <w:spacing w:line="276" w:lineRule="auto"/>
        <w:ind w:firstLine="720"/>
        <w:rPr>
          <w:rFonts w:ascii="Times New Roman" w:eastAsia="Times New Roman" w:hAnsi="Times New Roman" w:cs="Times New Roman"/>
          <w:szCs w:val="24"/>
          <w:lang w:val="en-US" w:eastAsia="en-ID"/>
        </w:rPr>
      </w:pPr>
    </w:p>
    <w:p w14:paraId="027914BA" w14:textId="77777777" w:rsidR="004E0A38" w:rsidRPr="00DD59BF" w:rsidRDefault="004E0A38" w:rsidP="00DD59BF">
      <w:pPr>
        <w:pStyle w:val="3Paragraf"/>
        <w:spacing w:line="276" w:lineRule="auto"/>
        <w:ind w:firstLine="720"/>
        <w:rPr>
          <w:rFonts w:ascii="Times New Roman" w:eastAsia="Times New Roman" w:hAnsi="Times New Roman" w:cs="Times New Roman"/>
          <w:b/>
          <w:bCs/>
          <w:szCs w:val="24"/>
          <w:lang w:val="en-US" w:eastAsia="en-ID"/>
        </w:rPr>
      </w:pPr>
      <w:r w:rsidRPr="00DD59BF">
        <w:rPr>
          <w:rFonts w:ascii="Times New Roman" w:eastAsia="Times New Roman" w:hAnsi="Times New Roman" w:cs="Times New Roman"/>
          <w:b/>
          <w:bCs/>
          <w:szCs w:val="24"/>
          <w:lang w:val="en-US" w:eastAsia="en-ID"/>
        </w:rPr>
        <w:t>Identification of Latent Factors</w:t>
      </w:r>
    </w:p>
    <w:p w14:paraId="7A1CDDC9" w14:textId="77777777" w:rsidR="004E0A38" w:rsidRPr="00DD59BF" w:rsidRDefault="004E0A38" w:rsidP="00DD59BF">
      <w:pPr>
        <w:pStyle w:val="3Paragraf"/>
        <w:spacing w:line="276" w:lineRule="auto"/>
        <w:ind w:firstLine="720"/>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val="en-US" w:eastAsia="en-ID"/>
        </w:rPr>
        <w:t>Based on the rotated factor matrix and conceptual interpretation, seven latent dimensions were identified.</w:t>
      </w:r>
    </w:p>
    <w:p w14:paraId="40756D65" w14:textId="77777777" w:rsidR="004E0A38" w:rsidRPr="00DD59BF" w:rsidRDefault="004E0A38" w:rsidP="00DD59BF">
      <w:pPr>
        <w:pStyle w:val="3Paragraf"/>
        <w:spacing w:line="276" w:lineRule="auto"/>
        <w:ind w:firstLine="720"/>
        <w:rPr>
          <w:rFonts w:ascii="Times New Roman" w:eastAsia="Times New Roman" w:hAnsi="Times New Roman" w:cs="Times New Roman"/>
          <w:b/>
          <w:bCs/>
          <w:szCs w:val="24"/>
          <w:lang w:val="en-US" w:eastAsia="en-ID"/>
        </w:rPr>
      </w:pPr>
      <w:r w:rsidRPr="00DD59BF">
        <w:rPr>
          <w:rFonts w:ascii="Times New Roman" w:eastAsia="Times New Roman" w:hAnsi="Times New Roman" w:cs="Times New Roman"/>
          <w:b/>
          <w:bCs/>
          <w:szCs w:val="24"/>
          <w:lang w:val="en-US" w:eastAsia="en-ID"/>
        </w:rPr>
        <w:t>Factor 1. Program Quality and Integrity</w:t>
      </w:r>
    </w:p>
    <w:p w14:paraId="63108628" w14:textId="77777777" w:rsidR="004E0A38" w:rsidRPr="00DD59BF" w:rsidRDefault="004E0A38" w:rsidP="00DD59BF">
      <w:pPr>
        <w:pStyle w:val="3Paragraf"/>
        <w:spacing w:line="276" w:lineRule="auto"/>
        <w:ind w:firstLine="720"/>
        <w:rPr>
          <w:rFonts w:ascii="Times New Roman" w:eastAsia="Times New Roman" w:hAnsi="Times New Roman" w:cs="Times New Roman"/>
          <w:szCs w:val="24"/>
          <w:lang w:eastAsia="en-ID"/>
        </w:rPr>
      </w:pPr>
      <w:r w:rsidRPr="00DD59BF">
        <w:rPr>
          <w:rFonts w:ascii="Times New Roman" w:eastAsia="Times New Roman" w:hAnsi="Times New Roman" w:cs="Times New Roman"/>
          <w:szCs w:val="24"/>
          <w:lang w:eastAsia="en-ID"/>
        </w:rPr>
        <w:t>As the strongest determinant in the model, Program Quality and Integrity represents the bedrock of beneficiary trust. The highest factor loadings on this dimension reflect the accurate distribution of mandate (</w:t>
      </w:r>
      <w:r w:rsidRPr="00DD59BF">
        <w:rPr>
          <w:rFonts w:ascii="Times New Roman" w:eastAsia="Times New Roman" w:hAnsi="Times New Roman" w:cs="Times New Roman"/>
          <w:i/>
          <w:iCs/>
          <w:szCs w:val="24"/>
          <w:lang w:eastAsia="en-ID"/>
        </w:rPr>
        <w:t>penyaluran amanah</w:t>
      </w:r>
      <w:r w:rsidRPr="00DD59BF">
        <w:rPr>
          <w:rFonts w:ascii="Times New Roman" w:eastAsia="Times New Roman" w:hAnsi="Times New Roman" w:cs="Times New Roman"/>
          <w:szCs w:val="24"/>
          <w:lang w:eastAsia="en-ID"/>
        </w:rPr>
        <w:t>, .754), goal attainment (</w:t>
      </w:r>
      <w:r w:rsidRPr="00DD59BF">
        <w:rPr>
          <w:rFonts w:ascii="Times New Roman" w:eastAsia="Times New Roman" w:hAnsi="Times New Roman" w:cs="Times New Roman"/>
          <w:i/>
          <w:iCs/>
          <w:szCs w:val="24"/>
          <w:lang w:eastAsia="en-ID"/>
        </w:rPr>
        <w:t>capai tujuan</w:t>
      </w:r>
      <w:r w:rsidRPr="00DD59BF">
        <w:rPr>
          <w:rFonts w:ascii="Times New Roman" w:eastAsia="Times New Roman" w:hAnsi="Times New Roman" w:cs="Times New Roman"/>
          <w:szCs w:val="24"/>
          <w:lang w:eastAsia="en-ID"/>
        </w:rPr>
        <w:t>, .740), tangible benefits (</w:t>
      </w:r>
      <w:r w:rsidRPr="00DD59BF">
        <w:rPr>
          <w:rFonts w:ascii="Times New Roman" w:eastAsia="Times New Roman" w:hAnsi="Times New Roman" w:cs="Times New Roman"/>
          <w:i/>
          <w:iCs/>
          <w:szCs w:val="24"/>
          <w:lang w:eastAsia="en-ID"/>
        </w:rPr>
        <w:t>manfaat nyata</w:t>
      </w:r>
      <w:r w:rsidRPr="00DD59BF">
        <w:rPr>
          <w:rFonts w:ascii="Times New Roman" w:eastAsia="Times New Roman" w:hAnsi="Times New Roman" w:cs="Times New Roman"/>
          <w:szCs w:val="24"/>
          <w:lang w:eastAsia="en-ID"/>
        </w:rPr>
        <w:t>, .739), and alignment with beneficiary needs (</w:t>
      </w:r>
      <w:r w:rsidRPr="00DD59BF">
        <w:rPr>
          <w:rFonts w:ascii="Times New Roman" w:eastAsia="Times New Roman" w:hAnsi="Times New Roman" w:cs="Times New Roman"/>
          <w:i/>
          <w:iCs/>
          <w:szCs w:val="24"/>
          <w:lang w:eastAsia="en-ID"/>
        </w:rPr>
        <w:t>sesuai kebutuhan</w:t>
      </w:r>
      <w:r w:rsidRPr="00DD59BF">
        <w:rPr>
          <w:rFonts w:ascii="Times New Roman" w:eastAsia="Times New Roman" w:hAnsi="Times New Roman" w:cs="Times New Roman"/>
          <w:szCs w:val="24"/>
          <w:lang w:eastAsia="en-ID"/>
        </w:rPr>
        <w:t>, .719).</w:t>
      </w:r>
    </w:p>
    <w:p w14:paraId="39ED9EE3" w14:textId="4BD2DD2D" w:rsidR="004E0A38" w:rsidRPr="00DD59BF" w:rsidRDefault="004E0A38" w:rsidP="00DD59BF">
      <w:pPr>
        <w:pStyle w:val="3Paragraf"/>
        <w:spacing w:line="276" w:lineRule="auto"/>
        <w:ind w:firstLine="720"/>
        <w:rPr>
          <w:rFonts w:ascii="Times New Roman" w:eastAsia="Times New Roman" w:hAnsi="Times New Roman" w:cs="Times New Roman"/>
          <w:szCs w:val="24"/>
          <w:lang w:eastAsia="en-ID"/>
        </w:rPr>
      </w:pPr>
      <w:r w:rsidRPr="00DD59BF">
        <w:rPr>
          <w:rFonts w:ascii="Times New Roman" w:eastAsia="Times New Roman" w:hAnsi="Times New Roman" w:cs="Times New Roman"/>
          <w:szCs w:val="24"/>
          <w:lang w:eastAsia="en-ID"/>
        </w:rPr>
        <w:t xml:space="preserve">From an Islamic perspective, this aligns with the core principles of </w:t>
      </w:r>
      <w:r w:rsidRPr="00DD59BF">
        <w:rPr>
          <w:rFonts w:ascii="Times New Roman" w:eastAsia="Times New Roman" w:hAnsi="Times New Roman" w:cs="Times New Roman"/>
          <w:i/>
          <w:iCs/>
          <w:szCs w:val="24"/>
          <w:lang w:eastAsia="en-ID"/>
        </w:rPr>
        <w:t>amanah</w:t>
      </w:r>
      <w:r w:rsidRPr="00DD59BF">
        <w:rPr>
          <w:rFonts w:ascii="Times New Roman" w:eastAsia="Times New Roman" w:hAnsi="Times New Roman" w:cs="Times New Roman"/>
          <w:szCs w:val="24"/>
          <w:lang w:eastAsia="en-ID"/>
        </w:rPr>
        <w:t xml:space="preserve"> (trustworthiness) and </w:t>
      </w:r>
      <w:r w:rsidRPr="00DD59BF">
        <w:rPr>
          <w:rFonts w:ascii="Times New Roman" w:eastAsia="Times New Roman" w:hAnsi="Times New Roman" w:cs="Times New Roman"/>
          <w:i/>
          <w:iCs/>
          <w:szCs w:val="24"/>
          <w:lang w:eastAsia="en-ID"/>
        </w:rPr>
        <w:t>'adl</w:t>
      </w:r>
      <w:r w:rsidRPr="00DD59BF">
        <w:rPr>
          <w:rFonts w:ascii="Times New Roman" w:eastAsia="Times New Roman" w:hAnsi="Times New Roman" w:cs="Times New Roman"/>
          <w:szCs w:val="24"/>
          <w:lang w:eastAsia="en-ID"/>
        </w:rPr>
        <w:t xml:space="preserve"> (justice). When an institution demonstrates high governance quality and ensures that philanthropic resources (zakat, infaq, sadaqah, and waqf) reach the rightful recipients efficiently, the perceived effectiveness of the program increases substantially. This finding underscores that beneficiaries evaluate CSR not just by the volume of assistance, but by the integrity of the execution</w:t>
      </w:r>
      <w:r w:rsidRPr="00DD59BF">
        <w:rPr>
          <w:rFonts w:ascii="Times New Roman" w:eastAsia="Times New Roman" w:hAnsi="Times New Roman" w:cs="Times New Roman"/>
          <w:szCs w:val="24"/>
          <w:lang w:val="en-US" w:eastAsia="en-ID"/>
        </w:rPr>
        <w:t>.</w:t>
      </w:r>
    </w:p>
    <w:p w14:paraId="6BF547E6" w14:textId="77777777" w:rsidR="004E0A38" w:rsidRPr="00DD59BF" w:rsidRDefault="004E0A38" w:rsidP="00DD59BF">
      <w:pPr>
        <w:pStyle w:val="3Paragraf"/>
        <w:spacing w:line="276" w:lineRule="auto"/>
        <w:ind w:firstLine="720"/>
        <w:rPr>
          <w:rFonts w:ascii="Times New Roman" w:eastAsia="Times New Roman" w:hAnsi="Times New Roman" w:cs="Times New Roman"/>
          <w:b/>
          <w:bCs/>
          <w:szCs w:val="24"/>
          <w:lang w:val="en-US" w:eastAsia="en-ID"/>
        </w:rPr>
      </w:pPr>
      <w:r w:rsidRPr="00DD59BF">
        <w:rPr>
          <w:rFonts w:ascii="Times New Roman" w:eastAsia="Times New Roman" w:hAnsi="Times New Roman" w:cs="Times New Roman"/>
          <w:b/>
          <w:bCs/>
          <w:szCs w:val="24"/>
          <w:lang w:val="en-US" w:eastAsia="en-ID"/>
        </w:rPr>
        <w:t>Factor 2. Transparency and Communication</w:t>
      </w:r>
    </w:p>
    <w:p w14:paraId="49F39331" w14:textId="77777777" w:rsidR="004E0A38" w:rsidRPr="00DD59BF" w:rsidRDefault="004E0A38" w:rsidP="00DD59BF">
      <w:pPr>
        <w:pStyle w:val="3Paragraf"/>
        <w:spacing w:line="276" w:lineRule="auto"/>
        <w:ind w:firstLine="720"/>
        <w:rPr>
          <w:rFonts w:ascii="Times New Roman" w:eastAsia="Times New Roman" w:hAnsi="Times New Roman" w:cs="Times New Roman"/>
          <w:szCs w:val="24"/>
          <w:lang w:eastAsia="en-ID"/>
        </w:rPr>
      </w:pPr>
      <w:r w:rsidRPr="00DD59BF">
        <w:rPr>
          <w:rFonts w:ascii="Times New Roman" w:eastAsia="Times New Roman" w:hAnsi="Times New Roman" w:cs="Times New Roman"/>
          <w:szCs w:val="24"/>
          <w:lang w:eastAsia="en-ID"/>
        </w:rPr>
        <w:t>The second factor captures institutional openness and the clarity of communication channels. It is driven by the foundation's openness (</w:t>
      </w:r>
      <w:r w:rsidRPr="00DD59BF">
        <w:rPr>
          <w:rFonts w:ascii="Times New Roman" w:eastAsia="Times New Roman" w:hAnsi="Times New Roman" w:cs="Times New Roman"/>
          <w:i/>
          <w:iCs/>
          <w:szCs w:val="24"/>
          <w:lang w:eastAsia="en-ID"/>
        </w:rPr>
        <w:t>keterbukaan yayasan</w:t>
      </w:r>
      <w:r w:rsidRPr="00DD59BF">
        <w:rPr>
          <w:rFonts w:ascii="Times New Roman" w:eastAsia="Times New Roman" w:hAnsi="Times New Roman" w:cs="Times New Roman"/>
          <w:szCs w:val="24"/>
          <w:lang w:eastAsia="en-ID"/>
        </w:rPr>
        <w:t>, .692), the beneficiaries' understanding of the processes (</w:t>
      </w:r>
      <w:r w:rsidRPr="00DD59BF">
        <w:rPr>
          <w:rFonts w:ascii="Times New Roman" w:eastAsia="Times New Roman" w:hAnsi="Times New Roman" w:cs="Times New Roman"/>
          <w:i/>
          <w:iCs/>
          <w:szCs w:val="24"/>
          <w:lang w:eastAsia="en-ID"/>
        </w:rPr>
        <w:t>pemahaman proses</w:t>
      </w:r>
      <w:r w:rsidRPr="00DD59BF">
        <w:rPr>
          <w:rFonts w:ascii="Times New Roman" w:eastAsia="Times New Roman" w:hAnsi="Times New Roman" w:cs="Times New Roman"/>
          <w:szCs w:val="24"/>
          <w:lang w:eastAsia="en-ID"/>
        </w:rPr>
        <w:t>, .652), and the availability of clear information (</w:t>
      </w:r>
      <w:r w:rsidRPr="00DD59BF">
        <w:rPr>
          <w:rFonts w:ascii="Times New Roman" w:eastAsia="Times New Roman" w:hAnsi="Times New Roman" w:cs="Times New Roman"/>
          <w:i/>
          <w:iCs/>
          <w:szCs w:val="24"/>
          <w:lang w:eastAsia="en-ID"/>
        </w:rPr>
        <w:t>informasi jelas</w:t>
      </w:r>
      <w:r w:rsidRPr="00DD59BF">
        <w:rPr>
          <w:rFonts w:ascii="Times New Roman" w:eastAsia="Times New Roman" w:hAnsi="Times New Roman" w:cs="Times New Roman"/>
          <w:szCs w:val="24"/>
          <w:lang w:eastAsia="en-ID"/>
        </w:rPr>
        <w:t>, .617).</w:t>
      </w:r>
    </w:p>
    <w:p w14:paraId="0D81A9E0" w14:textId="35F6CA44" w:rsidR="004E0A38" w:rsidRPr="00DD59BF" w:rsidRDefault="004E0A38" w:rsidP="00DD59BF">
      <w:pPr>
        <w:pStyle w:val="3Paragraf"/>
        <w:spacing w:line="276" w:lineRule="auto"/>
        <w:ind w:firstLine="720"/>
        <w:rPr>
          <w:rFonts w:ascii="Times New Roman" w:eastAsia="Times New Roman" w:hAnsi="Times New Roman" w:cs="Times New Roman"/>
          <w:szCs w:val="24"/>
          <w:lang w:eastAsia="en-ID"/>
        </w:rPr>
      </w:pPr>
      <w:r w:rsidRPr="00DD59BF">
        <w:rPr>
          <w:rFonts w:ascii="Times New Roman" w:eastAsia="Times New Roman" w:hAnsi="Times New Roman" w:cs="Times New Roman"/>
          <w:szCs w:val="24"/>
          <w:lang w:eastAsia="en-ID"/>
        </w:rPr>
        <w:t xml:space="preserve">In Islamic social finance, transparency relates directly to the concept of </w:t>
      </w:r>
      <w:r w:rsidRPr="00DD59BF">
        <w:rPr>
          <w:rFonts w:ascii="Times New Roman" w:eastAsia="Times New Roman" w:hAnsi="Times New Roman" w:cs="Times New Roman"/>
          <w:i/>
          <w:iCs/>
          <w:szCs w:val="24"/>
          <w:lang w:eastAsia="en-ID"/>
        </w:rPr>
        <w:t>hisbah</w:t>
      </w:r>
      <w:r w:rsidRPr="00DD59BF">
        <w:rPr>
          <w:rFonts w:ascii="Times New Roman" w:eastAsia="Times New Roman" w:hAnsi="Times New Roman" w:cs="Times New Roman"/>
          <w:szCs w:val="24"/>
          <w:lang w:eastAsia="en-ID"/>
        </w:rPr>
        <w:t xml:space="preserve"> (accountability). Effective two-way communication reduces information asymmetry and mitigates public skepticism. When beneficiaries clearly comprehend how programs are structured and managed, a collaborative environment is fostered, directly boosting overall program legitimacy and effectiveness</w:t>
      </w:r>
      <w:r w:rsidRPr="00DD59BF">
        <w:rPr>
          <w:rFonts w:ascii="Times New Roman" w:eastAsia="Times New Roman" w:hAnsi="Times New Roman" w:cs="Times New Roman"/>
          <w:szCs w:val="24"/>
          <w:lang w:val="en-US" w:eastAsia="en-ID"/>
        </w:rPr>
        <w:t>.</w:t>
      </w:r>
    </w:p>
    <w:p w14:paraId="425EA521" w14:textId="77777777" w:rsidR="004E0A38" w:rsidRPr="00DD59BF" w:rsidRDefault="004E0A38" w:rsidP="00DD59BF">
      <w:pPr>
        <w:pStyle w:val="3Paragraf"/>
        <w:spacing w:line="276" w:lineRule="auto"/>
        <w:ind w:firstLine="720"/>
        <w:rPr>
          <w:rFonts w:ascii="Times New Roman" w:eastAsia="Times New Roman" w:hAnsi="Times New Roman" w:cs="Times New Roman"/>
          <w:b/>
          <w:bCs/>
          <w:szCs w:val="24"/>
          <w:lang w:val="en-US" w:eastAsia="en-ID"/>
        </w:rPr>
      </w:pPr>
      <w:r w:rsidRPr="00DD59BF">
        <w:rPr>
          <w:rFonts w:ascii="Times New Roman" w:eastAsia="Times New Roman" w:hAnsi="Times New Roman" w:cs="Times New Roman"/>
          <w:b/>
          <w:bCs/>
          <w:szCs w:val="24"/>
          <w:lang w:val="en-US" w:eastAsia="en-ID"/>
        </w:rPr>
        <w:t>Factor 3. Human Resource Development</w:t>
      </w:r>
    </w:p>
    <w:p w14:paraId="7A46DAEB" w14:textId="77777777" w:rsidR="004E0A38" w:rsidRPr="00DD59BF" w:rsidRDefault="004E0A38" w:rsidP="00DD59BF">
      <w:pPr>
        <w:pStyle w:val="3Paragraf"/>
        <w:spacing w:line="276" w:lineRule="auto"/>
        <w:ind w:firstLine="720"/>
        <w:rPr>
          <w:rFonts w:ascii="Times New Roman" w:eastAsia="Times New Roman" w:hAnsi="Times New Roman" w:cs="Times New Roman"/>
          <w:szCs w:val="24"/>
          <w:lang w:eastAsia="en-ID"/>
        </w:rPr>
      </w:pPr>
      <w:r w:rsidRPr="00DD59BF">
        <w:rPr>
          <w:rFonts w:ascii="Times New Roman" w:eastAsia="Times New Roman" w:hAnsi="Times New Roman" w:cs="Times New Roman"/>
          <w:szCs w:val="24"/>
          <w:lang w:eastAsia="en-ID"/>
        </w:rPr>
        <w:t>This dimension highlights the capacity-building element of the CSR initiatives, heavily loaded on improving skills (</w:t>
      </w:r>
      <w:r w:rsidRPr="00DD59BF">
        <w:rPr>
          <w:rFonts w:ascii="Times New Roman" w:eastAsia="Times New Roman" w:hAnsi="Times New Roman" w:cs="Times New Roman"/>
          <w:i/>
          <w:iCs/>
          <w:szCs w:val="24"/>
          <w:lang w:eastAsia="en-ID"/>
        </w:rPr>
        <w:t>meningkatkan keterampilan</w:t>
      </w:r>
      <w:r w:rsidRPr="00DD59BF">
        <w:rPr>
          <w:rFonts w:ascii="Times New Roman" w:eastAsia="Times New Roman" w:hAnsi="Times New Roman" w:cs="Times New Roman"/>
          <w:szCs w:val="24"/>
          <w:lang w:eastAsia="en-ID"/>
        </w:rPr>
        <w:t>, .714), supporting the learning process (</w:t>
      </w:r>
      <w:r w:rsidRPr="00DD59BF">
        <w:rPr>
          <w:rFonts w:ascii="Times New Roman" w:eastAsia="Times New Roman" w:hAnsi="Times New Roman" w:cs="Times New Roman"/>
          <w:i/>
          <w:iCs/>
          <w:szCs w:val="24"/>
          <w:lang w:eastAsia="en-ID"/>
        </w:rPr>
        <w:t>dukung proses belajar</w:t>
      </w:r>
      <w:r w:rsidRPr="00DD59BF">
        <w:rPr>
          <w:rFonts w:ascii="Times New Roman" w:eastAsia="Times New Roman" w:hAnsi="Times New Roman" w:cs="Times New Roman"/>
          <w:szCs w:val="24"/>
          <w:lang w:eastAsia="en-ID"/>
        </w:rPr>
        <w:t>, .687), and building self-confidence (</w:t>
      </w:r>
      <w:r w:rsidRPr="00DD59BF">
        <w:rPr>
          <w:rFonts w:ascii="Times New Roman" w:eastAsia="Times New Roman" w:hAnsi="Times New Roman" w:cs="Times New Roman"/>
          <w:i/>
          <w:iCs/>
          <w:szCs w:val="24"/>
          <w:lang w:eastAsia="en-ID"/>
        </w:rPr>
        <w:t>percaya diri</w:t>
      </w:r>
      <w:r w:rsidRPr="00DD59BF">
        <w:rPr>
          <w:rFonts w:ascii="Times New Roman" w:eastAsia="Times New Roman" w:hAnsi="Times New Roman" w:cs="Times New Roman"/>
          <w:szCs w:val="24"/>
          <w:lang w:eastAsia="en-ID"/>
        </w:rPr>
        <w:t>, .584).</w:t>
      </w:r>
    </w:p>
    <w:p w14:paraId="5C9EAF6D" w14:textId="0F653874" w:rsidR="004E0A38" w:rsidRPr="00DD59BF" w:rsidRDefault="004E0A38" w:rsidP="00DD59BF">
      <w:pPr>
        <w:pStyle w:val="3Paragraf"/>
        <w:spacing w:line="276" w:lineRule="auto"/>
        <w:ind w:firstLine="720"/>
        <w:rPr>
          <w:rFonts w:ascii="Times New Roman" w:eastAsia="Times New Roman" w:hAnsi="Times New Roman" w:cs="Times New Roman"/>
          <w:szCs w:val="24"/>
          <w:lang w:eastAsia="en-ID"/>
        </w:rPr>
      </w:pPr>
      <w:r w:rsidRPr="00DD59BF">
        <w:rPr>
          <w:rFonts w:ascii="Times New Roman" w:eastAsia="Times New Roman" w:hAnsi="Times New Roman" w:cs="Times New Roman"/>
          <w:szCs w:val="24"/>
          <w:lang w:eastAsia="en-ID"/>
        </w:rPr>
        <w:t xml:space="preserve">This finding demonstrates that effective Islamic CSR shifts the paradigm from short-term consumptive aid to sustainable, productive empowerment. By prioritizing education and vocational growth, the programs align with the </w:t>
      </w:r>
      <w:r w:rsidRPr="00DD59BF">
        <w:rPr>
          <w:rFonts w:ascii="Times New Roman" w:eastAsia="Times New Roman" w:hAnsi="Times New Roman" w:cs="Times New Roman"/>
          <w:i/>
          <w:iCs/>
          <w:szCs w:val="24"/>
          <w:lang w:eastAsia="en-ID"/>
        </w:rPr>
        <w:t>maqashid sharia</w:t>
      </w:r>
      <w:r w:rsidRPr="00DD59BF">
        <w:rPr>
          <w:rFonts w:ascii="Times New Roman" w:eastAsia="Times New Roman" w:hAnsi="Times New Roman" w:cs="Times New Roman"/>
          <w:szCs w:val="24"/>
          <w:lang w:eastAsia="en-ID"/>
        </w:rPr>
        <w:t xml:space="preserve"> aspect of preserving the intellect (</w:t>
      </w:r>
      <w:r w:rsidRPr="00DD59BF">
        <w:rPr>
          <w:rFonts w:ascii="Times New Roman" w:eastAsia="Times New Roman" w:hAnsi="Times New Roman" w:cs="Times New Roman"/>
          <w:i/>
          <w:iCs/>
          <w:szCs w:val="24"/>
          <w:lang w:eastAsia="en-ID"/>
        </w:rPr>
        <w:t>hifz al-'aql</w:t>
      </w:r>
      <w:r w:rsidRPr="00DD59BF">
        <w:rPr>
          <w:rFonts w:ascii="Times New Roman" w:eastAsia="Times New Roman" w:hAnsi="Times New Roman" w:cs="Times New Roman"/>
          <w:szCs w:val="24"/>
          <w:lang w:eastAsia="en-ID"/>
        </w:rPr>
        <w:t>), shifting beneficiaries from dependency toward self-reliance</w:t>
      </w:r>
      <w:r w:rsidRPr="00DD59BF">
        <w:rPr>
          <w:rFonts w:ascii="Times New Roman" w:eastAsia="Times New Roman" w:hAnsi="Times New Roman" w:cs="Times New Roman"/>
          <w:szCs w:val="24"/>
          <w:lang w:val="en-US" w:eastAsia="en-ID"/>
        </w:rPr>
        <w:t>.</w:t>
      </w:r>
    </w:p>
    <w:p w14:paraId="4EBCD4B8" w14:textId="77777777" w:rsidR="004E0A38" w:rsidRPr="00DD59BF" w:rsidRDefault="004E0A38" w:rsidP="00DD59BF">
      <w:pPr>
        <w:pStyle w:val="3Paragraf"/>
        <w:spacing w:line="276" w:lineRule="auto"/>
        <w:ind w:firstLine="720"/>
        <w:rPr>
          <w:rFonts w:ascii="Times New Roman" w:eastAsia="Times New Roman" w:hAnsi="Times New Roman" w:cs="Times New Roman"/>
          <w:b/>
          <w:bCs/>
          <w:szCs w:val="24"/>
          <w:lang w:val="en-US" w:eastAsia="en-ID"/>
        </w:rPr>
      </w:pPr>
      <w:r w:rsidRPr="00DD59BF">
        <w:rPr>
          <w:rFonts w:ascii="Times New Roman" w:eastAsia="Times New Roman" w:hAnsi="Times New Roman" w:cs="Times New Roman"/>
          <w:b/>
          <w:bCs/>
          <w:szCs w:val="24"/>
          <w:lang w:val="en-US" w:eastAsia="en-ID"/>
        </w:rPr>
        <w:t>Factor 4. Economic Impact</w:t>
      </w:r>
    </w:p>
    <w:p w14:paraId="6FE4D560" w14:textId="77777777" w:rsidR="004E0A38" w:rsidRPr="00DD59BF" w:rsidRDefault="004E0A38" w:rsidP="00DD59BF">
      <w:pPr>
        <w:pStyle w:val="3Paragraf"/>
        <w:spacing w:line="276" w:lineRule="auto"/>
        <w:ind w:firstLine="720"/>
        <w:rPr>
          <w:rFonts w:ascii="Times New Roman" w:eastAsia="Times New Roman" w:hAnsi="Times New Roman" w:cs="Times New Roman"/>
          <w:szCs w:val="24"/>
          <w:lang w:eastAsia="en-ID"/>
        </w:rPr>
      </w:pPr>
      <w:r w:rsidRPr="00DD59BF">
        <w:rPr>
          <w:rFonts w:ascii="Times New Roman" w:eastAsia="Times New Roman" w:hAnsi="Times New Roman" w:cs="Times New Roman"/>
          <w:szCs w:val="24"/>
          <w:lang w:eastAsia="en-ID"/>
        </w:rPr>
        <w:t>The fourth factor explicitly measures material well-being, characterized by increased income (</w:t>
      </w:r>
      <w:r w:rsidRPr="00DD59BF">
        <w:rPr>
          <w:rFonts w:ascii="Times New Roman" w:eastAsia="Times New Roman" w:hAnsi="Times New Roman" w:cs="Times New Roman"/>
          <w:i/>
          <w:iCs/>
          <w:szCs w:val="24"/>
          <w:lang w:eastAsia="en-ID"/>
        </w:rPr>
        <w:t>meningkatkan pendapatan</w:t>
      </w:r>
      <w:r w:rsidRPr="00DD59BF">
        <w:rPr>
          <w:rFonts w:ascii="Times New Roman" w:eastAsia="Times New Roman" w:hAnsi="Times New Roman" w:cs="Times New Roman"/>
          <w:szCs w:val="24"/>
          <w:lang w:eastAsia="en-ID"/>
        </w:rPr>
        <w:t>, .830), reduced economic burdens (</w:t>
      </w:r>
      <w:r w:rsidRPr="00DD59BF">
        <w:rPr>
          <w:rFonts w:ascii="Times New Roman" w:eastAsia="Times New Roman" w:hAnsi="Times New Roman" w:cs="Times New Roman"/>
          <w:i/>
          <w:iCs/>
          <w:szCs w:val="24"/>
          <w:lang w:eastAsia="en-ID"/>
        </w:rPr>
        <w:t>kurangi beban ekonomi</w:t>
      </w:r>
      <w:r w:rsidRPr="00DD59BF">
        <w:rPr>
          <w:rFonts w:ascii="Times New Roman" w:eastAsia="Times New Roman" w:hAnsi="Times New Roman" w:cs="Times New Roman"/>
          <w:szCs w:val="24"/>
          <w:lang w:eastAsia="en-ID"/>
        </w:rPr>
        <w:t>, .799), and the creation of business opportunities (</w:t>
      </w:r>
      <w:r w:rsidRPr="00DD59BF">
        <w:rPr>
          <w:rFonts w:ascii="Times New Roman" w:eastAsia="Times New Roman" w:hAnsi="Times New Roman" w:cs="Times New Roman"/>
          <w:i/>
          <w:iCs/>
          <w:szCs w:val="24"/>
          <w:lang w:eastAsia="en-ID"/>
        </w:rPr>
        <w:t>peluang usaha</w:t>
      </w:r>
      <w:r w:rsidRPr="00DD59BF">
        <w:rPr>
          <w:rFonts w:ascii="Times New Roman" w:eastAsia="Times New Roman" w:hAnsi="Times New Roman" w:cs="Times New Roman"/>
          <w:szCs w:val="24"/>
          <w:lang w:eastAsia="en-ID"/>
        </w:rPr>
        <w:t>, .663).</w:t>
      </w:r>
    </w:p>
    <w:p w14:paraId="31F7622C" w14:textId="75AA640B" w:rsidR="004E0A38" w:rsidRDefault="004E0A38" w:rsidP="00DD59BF">
      <w:pPr>
        <w:pStyle w:val="3Paragraf"/>
        <w:spacing w:line="276" w:lineRule="auto"/>
        <w:ind w:firstLine="720"/>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eastAsia="en-ID"/>
        </w:rPr>
        <w:t>While conventional CSR models often position economic impact as the primary goal, this model places it alongside governance and spiritual factors. Economic empowerment addresses the preservation of wealth (</w:t>
      </w:r>
      <w:r w:rsidRPr="00DD59BF">
        <w:rPr>
          <w:rFonts w:ascii="Times New Roman" w:eastAsia="Times New Roman" w:hAnsi="Times New Roman" w:cs="Times New Roman"/>
          <w:i/>
          <w:iCs/>
          <w:szCs w:val="24"/>
          <w:lang w:eastAsia="en-ID"/>
        </w:rPr>
        <w:t>hifz al-mal</w:t>
      </w:r>
      <w:r w:rsidRPr="00DD59BF">
        <w:rPr>
          <w:rFonts w:ascii="Times New Roman" w:eastAsia="Times New Roman" w:hAnsi="Times New Roman" w:cs="Times New Roman"/>
          <w:szCs w:val="24"/>
          <w:lang w:eastAsia="en-ID"/>
        </w:rPr>
        <w:t>) and poverty alleviation, proving that material improvements remain vital, yet incomplete on their own, when evaluating the ultimate success of Islamic social finance initiatives</w:t>
      </w:r>
      <w:r w:rsidRPr="00DD59BF">
        <w:rPr>
          <w:rFonts w:ascii="Times New Roman" w:eastAsia="Times New Roman" w:hAnsi="Times New Roman" w:cs="Times New Roman"/>
          <w:szCs w:val="24"/>
          <w:lang w:val="en-US" w:eastAsia="en-ID"/>
        </w:rPr>
        <w:t>.</w:t>
      </w:r>
    </w:p>
    <w:p w14:paraId="66036FB8" w14:textId="77777777" w:rsidR="00DD59BF" w:rsidRDefault="00DD59BF" w:rsidP="00DD59BF">
      <w:pPr>
        <w:pStyle w:val="3Paragraf"/>
        <w:spacing w:line="276" w:lineRule="auto"/>
        <w:ind w:firstLine="720"/>
        <w:rPr>
          <w:rFonts w:ascii="Times New Roman" w:eastAsia="Times New Roman" w:hAnsi="Times New Roman" w:cs="Times New Roman"/>
          <w:szCs w:val="24"/>
          <w:lang w:val="en-US" w:eastAsia="en-ID"/>
        </w:rPr>
      </w:pPr>
    </w:p>
    <w:p w14:paraId="6E3DEED1" w14:textId="77777777" w:rsidR="00DD59BF" w:rsidRPr="00DD59BF" w:rsidRDefault="00DD59BF" w:rsidP="00DD59BF">
      <w:pPr>
        <w:pStyle w:val="3Paragraf"/>
        <w:spacing w:line="276" w:lineRule="auto"/>
        <w:ind w:firstLine="720"/>
        <w:rPr>
          <w:rFonts w:ascii="Times New Roman" w:eastAsia="Times New Roman" w:hAnsi="Times New Roman" w:cs="Times New Roman"/>
          <w:szCs w:val="24"/>
          <w:lang w:eastAsia="en-ID"/>
        </w:rPr>
      </w:pPr>
    </w:p>
    <w:p w14:paraId="7A7DFBEF" w14:textId="77777777" w:rsidR="004E0A38" w:rsidRPr="00DD59BF" w:rsidRDefault="004E0A38" w:rsidP="00DD59BF">
      <w:pPr>
        <w:pStyle w:val="3Paragraf"/>
        <w:spacing w:line="276" w:lineRule="auto"/>
        <w:ind w:firstLine="720"/>
        <w:rPr>
          <w:rFonts w:ascii="Times New Roman" w:eastAsia="Times New Roman" w:hAnsi="Times New Roman" w:cs="Times New Roman"/>
          <w:b/>
          <w:bCs/>
          <w:szCs w:val="24"/>
          <w:lang w:val="en-US" w:eastAsia="en-ID"/>
        </w:rPr>
      </w:pPr>
      <w:r w:rsidRPr="00DD59BF">
        <w:rPr>
          <w:rFonts w:ascii="Times New Roman" w:eastAsia="Times New Roman" w:hAnsi="Times New Roman" w:cs="Times New Roman"/>
          <w:b/>
          <w:bCs/>
          <w:szCs w:val="24"/>
          <w:lang w:val="en-US" w:eastAsia="en-ID"/>
        </w:rPr>
        <w:t>Factor 5. Community Participation</w:t>
      </w:r>
    </w:p>
    <w:p w14:paraId="1E396C4C" w14:textId="77777777" w:rsidR="00BF3909" w:rsidRPr="00DD59BF" w:rsidRDefault="00BF3909" w:rsidP="00DD59BF">
      <w:pPr>
        <w:pStyle w:val="3Paragraf"/>
        <w:spacing w:line="276" w:lineRule="auto"/>
        <w:ind w:firstLine="720"/>
        <w:rPr>
          <w:rFonts w:ascii="Times New Roman" w:eastAsia="Times New Roman" w:hAnsi="Times New Roman" w:cs="Times New Roman"/>
          <w:szCs w:val="24"/>
          <w:lang w:eastAsia="en-ID"/>
        </w:rPr>
      </w:pPr>
      <w:r w:rsidRPr="00DD59BF">
        <w:rPr>
          <w:rFonts w:ascii="Times New Roman" w:eastAsia="Times New Roman" w:hAnsi="Times New Roman" w:cs="Times New Roman"/>
          <w:szCs w:val="24"/>
          <w:lang w:eastAsia="en-ID"/>
        </w:rPr>
        <w:t>Community Participation emphasizes the grassroots involvement of the target audience, loading on providing constructive input (</w:t>
      </w:r>
      <w:r w:rsidRPr="00DD59BF">
        <w:rPr>
          <w:rFonts w:ascii="Times New Roman" w:eastAsia="Times New Roman" w:hAnsi="Times New Roman" w:cs="Times New Roman"/>
          <w:i/>
          <w:iCs/>
          <w:szCs w:val="24"/>
          <w:lang w:eastAsia="en-ID"/>
        </w:rPr>
        <w:t>memberikan masukan</w:t>
      </w:r>
      <w:r w:rsidRPr="00DD59BF">
        <w:rPr>
          <w:rFonts w:ascii="Times New Roman" w:eastAsia="Times New Roman" w:hAnsi="Times New Roman" w:cs="Times New Roman"/>
          <w:szCs w:val="24"/>
          <w:lang w:eastAsia="en-ID"/>
        </w:rPr>
        <w:t>, .720), ease of submitting suggestions (</w:t>
      </w:r>
      <w:r w:rsidRPr="00DD59BF">
        <w:rPr>
          <w:rFonts w:ascii="Times New Roman" w:eastAsia="Times New Roman" w:hAnsi="Times New Roman" w:cs="Times New Roman"/>
          <w:i/>
          <w:iCs/>
          <w:szCs w:val="24"/>
          <w:lang w:eastAsia="en-ID"/>
        </w:rPr>
        <w:t>kemudahan saran</w:t>
      </w:r>
      <w:r w:rsidRPr="00DD59BF">
        <w:rPr>
          <w:rFonts w:ascii="Times New Roman" w:eastAsia="Times New Roman" w:hAnsi="Times New Roman" w:cs="Times New Roman"/>
          <w:szCs w:val="24"/>
          <w:lang w:eastAsia="en-ID"/>
        </w:rPr>
        <w:t>, .642), and involvement in the planning phase (</w:t>
      </w:r>
      <w:r w:rsidRPr="00DD59BF">
        <w:rPr>
          <w:rFonts w:ascii="Times New Roman" w:eastAsia="Times New Roman" w:hAnsi="Times New Roman" w:cs="Times New Roman"/>
          <w:i/>
          <w:iCs/>
          <w:szCs w:val="24"/>
          <w:lang w:eastAsia="en-ID"/>
        </w:rPr>
        <w:t>pelibatan perencanaan</w:t>
      </w:r>
      <w:r w:rsidRPr="00DD59BF">
        <w:rPr>
          <w:rFonts w:ascii="Times New Roman" w:eastAsia="Times New Roman" w:hAnsi="Times New Roman" w:cs="Times New Roman"/>
          <w:szCs w:val="24"/>
          <w:lang w:eastAsia="en-ID"/>
        </w:rPr>
        <w:t>, .619).</w:t>
      </w:r>
    </w:p>
    <w:p w14:paraId="63385483" w14:textId="3690A8A5" w:rsidR="004E0A38" w:rsidRPr="00DD59BF" w:rsidRDefault="00BF3909" w:rsidP="00DD59BF">
      <w:pPr>
        <w:pStyle w:val="3Paragraf"/>
        <w:spacing w:line="276" w:lineRule="auto"/>
        <w:ind w:firstLine="720"/>
        <w:rPr>
          <w:rFonts w:ascii="Times New Roman" w:eastAsia="Times New Roman" w:hAnsi="Times New Roman" w:cs="Times New Roman"/>
          <w:szCs w:val="24"/>
          <w:lang w:eastAsia="en-ID"/>
        </w:rPr>
      </w:pPr>
      <w:r w:rsidRPr="00DD59BF">
        <w:rPr>
          <w:rFonts w:ascii="Times New Roman" w:eastAsia="Times New Roman" w:hAnsi="Times New Roman" w:cs="Times New Roman"/>
          <w:szCs w:val="24"/>
          <w:lang w:eastAsia="en-ID"/>
        </w:rPr>
        <w:t xml:space="preserve">Programs developed through participatory frameworks yield higher success rates because they leverage local knowledge. In Islamic jurisprudence, this reflects the principle of </w:t>
      </w:r>
      <w:r w:rsidRPr="00DD59BF">
        <w:rPr>
          <w:rFonts w:ascii="Times New Roman" w:eastAsia="Times New Roman" w:hAnsi="Times New Roman" w:cs="Times New Roman"/>
          <w:i/>
          <w:iCs/>
          <w:szCs w:val="24"/>
          <w:lang w:eastAsia="en-ID"/>
        </w:rPr>
        <w:t>shura</w:t>
      </w:r>
      <w:r w:rsidRPr="00DD59BF">
        <w:rPr>
          <w:rFonts w:ascii="Times New Roman" w:eastAsia="Times New Roman" w:hAnsi="Times New Roman" w:cs="Times New Roman"/>
          <w:szCs w:val="24"/>
          <w:lang w:eastAsia="en-ID"/>
        </w:rPr>
        <w:t xml:space="preserve"> (mutual consultation). Engaging beneficiaries throughout the project lifecycle ensures that interventions are demand-driven rather than top-down, maximizing ownership and long-term sustainability</w:t>
      </w:r>
      <w:r w:rsidR="004E0A38" w:rsidRPr="00DD59BF">
        <w:rPr>
          <w:rFonts w:ascii="Times New Roman" w:eastAsia="Times New Roman" w:hAnsi="Times New Roman" w:cs="Times New Roman"/>
          <w:szCs w:val="24"/>
          <w:lang w:val="en-US" w:eastAsia="en-ID"/>
        </w:rPr>
        <w:t>.</w:t>
      </w:r>
    </w:p>
    <w:p w14:paraId="030F1397" w14:textId="77777777" w:rsidR="004E0A38" w:rsidRPr="00DD59BF" w:rsidRDefault="004E0A38" w:rsidP="00DD59BF">
      <w:pPr>
        <w:pStyle w:val="3Paragraf"/>
        <w:spacing w:line="276" w:lineRule="auto"/>
        <w:ind w:firstLine="720"/>
        <w:rPr>
          <w:rFonts w:ascii="Times New Roman" w:eastAsia="Times New Roman" w:hAnsi="Times New Roman" w:cs="Times New Roman"/>
          <w:b/>
          <w:bCs/>
          <w:szCs w:val="24"/>
          <w:lang w:val="en-US" w:eastAsia="en-ID"/>
        </w:rPr>
      </w:pPr>
      <w:r w:rsidRPr="00DD59BF">
        <w:rPr>
          <w:rFonts w:ascii="Times New Roman" w:eastAsia="Times New Roman" w:hAnsi="Times New Roman" w:cs="Times New Roman"/>
          <w:b/>
          <w:bCs/>
          <w:szCs w:val="24"/>
          <w:lang w:val="en-US" w:eastAsia="en-ID"/>
        </w:rPr>
        <w:t>Factor 6. Spiritual Impact</w:t>
      </w:r>
    </w:p>
    <w:p w14:paraId="212E5A9C" w14:textId="77777777" w:rsidR="00BF3909" w:rsidRPr="00DD59BF" w:rsidRDefault="00BF3909" w:rsidP="00DD59BF">
      <w:pPr>
        <w:pStyle w:val="3Paragraf"/>
        <w:spacing w:line="276" w:lineRule="auto"/>
        <w:ind w:firstLine="720"/>
        <w:rPr>
          <w:rFonts w:ascii="Times New Roman" w:eastAsia="Times New Roman" w:hAnsi="Times New Roman" w:cs="Times New Roman"/>
          <w:szCs w:val="24"/>
          <w:lang w:eastAsia="en-ID"/>
        </w:rPr>
      </w:pPr>
      <w:r w:rsidRPr="00DD59BF">
        <w:rPr>
          <w:rFonts w:ascii="Times New Roman" w:eastAsia="Times New Roman" w:hAnsi="Times New Roman" w:cs="Times New Roman"/>
          <w:szCs w:val="24"/>
          <w:lang w:eastAsia="en-ID"/>
        </w:rPr>
        <w:t>A unique and distinguishing dimension of this model is Spiritual Impact, anchored by heightened spiritual awareness (</w:t>
      </w:r>
      <w:r w:rsidRPr="00DD59BF">
        <w:rPr>
          <w:rFonts w:ascii="Times New Roman" w:eastAsia="Times New Roman" w:hAnsi="Times New Roman" w:cs="Times New Roman"/>
          <w:i/>
          <w:iCs/>
          <w:szCs w:val="24"/>
          <w:lang w:eastAsia="en-ID"/>
        </w:rPr>
        <w:t>kesadaran spiritual</w:t>
      </w:r>
      <w:r w:rsidRPr="00DD59BF">
        <w:rPr>
          <w:rFonts w:ascii="Times New Roman" w:eastAsia="Times New Roman" w:hAnsi="Times New Roman" w:cs="Times New Roman"/>
          <w:szCs w:val="24"/>
          <w:lang w:eastAsia="en-ID"/>
        </w:rPr>
        <w:t>, .823), religious understanding (</w:t>
      </w:r>
      <w:r w:rsidRPr="00DD59BF">
        <w:rPr>
          <w:rFonts w:ascii="Times New Roman" w:eastAsia="Times New Roman" w:hAnsi="Times New Roman" w:cs="Times New Roman"/>
          <w:i/>
          <w:iCs/>
          <w:szCs w:val="24"/>
          <w:lang w:eastAsia="en-ID"/>
        </w:rPr>
        <w:t>pemahaman agama</w:t>
      </w:r>
      <w:r w:rsidRPr="00DD59BF">
        <w:rPr>
          <w:rFonts w:ascii="Times New Roman" w:eastAsia="Times New Roman" w:hAnsi="Times New Roman" w:cs="Times New Roman"/>
          <w:szCs w:val="24"/>
          <w:lang w:eastAsia="en-ID"/>
        </w:rPr>
        <w:t>, .781), and disciplined worship practices (</w:t>
      </w:r>
      <w:r w:rsidRPr="00DD59BF">
        <w:rPr>
          <w:rFonts w:ascii="Times New Roman" w:eastAsia="Times New Roman" w:hAnsi="Times New Roman" w:cs="Times New Roman"/>
          <w:i/>
          <w:iCs/>
          <w:szCs w:val="24"/>
          <w:lang w:eastAsia="en-ID"/>
        </w:rPr>
        <w:t>disiplin ibadah</w:t>
      </w:r>
      <w:r w:rsidRPr="00DD59BF">
        <w:rPr>
          <w:rFonts w:ascii="Times New Roman" w:eastAsia="Times New Roman" w:hAnsi="Times New Roman" w:cs="Times New Roman"/>
          <w:szCs w:val="24"/>
          <w:lang w:eastAsia="en-ID"/>
        </w:rPr>
        <w:t>, .759).</w:t>
      </w:r>
    </w:p>
    <w:p w14:paraId="178FBFEF" w14:textId="470EF879" w:rsidR="004E0A38" w:rsidRPr="00DD59BF" w:rsidRDefault="00BF3909" w:rsidP="00DD59BF">
      <w:pPr>
        <w:pStyle w:val="3Paragraf"/>
        <w:spacing w:line="276" w:lineRule="auto"/>
        <w:ind w:firstLine="720"/>
        <w:rPr>
          <w:rFonts w:ascii="Times New Roman" w:eastAsia="Times New Roman" w:hAnsi="Times New Roman" w:cs="Times New Roman"/>
          <w:szCs w:val="24"/>
          <w:lang w:eastAsia="en-ID"/>
        </w:rPr>
      </w:pPr>
      <w:r w:rsidRPr="00DD59BF">
        <w:rPr>
          <w:rFonts w:ascii="Times New Roman" w:eastAsia="Times New Roman" w:hAnsi="Times New Roman" w:cs="Times New Roman"/>
          <w:szCs w:val="24"/>
          <w:lang w:eastAsia="en-ID"/>
        </w:rPr>
        <w:t xml:space="preserve">The prominence of this factor clearly differentiates Islamic social finance-based CSR from conventional evaluation frameworks. Beneficiaries do not view these programs purely as secular economic interventions; they recognize them as mechanisms that nurture moral and spiritual well-being. This captures the ultimate goal of </w:t>
      </w:r>
      <w:r w:rsidRPr="00DD59BF">
        <w:rPr>
          <w:rFonts w:ascii="Times New Roman" w:eastAsia="Times New Roman" w:hAnsi="Times New Roman" w:cs="Times New Roman"/>
          <w:i/>
          <w:iCs/>
          <w:szCs w:val="24"/>
          <w:lang w:eastAsia="en-ID"/>
        </w:rPr>
        <w:t>maqashid sharia</w:t>
      </w:r>
      <w:r w:rsidRPr="00DD59BF">
        <w:rPr>
          <w:rFonts w:ascii="Times New Roman" w:eastAsia="Times New Roman" w:hAnsi="Times New Roman" w:cs="Times New Roman"/>
          <w:szCs w:val="24"/>
          <w:lang w:eastAsia="en-ID"/>
        </w:rPr>
        <w:t xml:space="preserve">—achieving </w:t>
      </w:r>
      <w:r w:rsidRPr="00DD59BF">
        <w:rPr>
          <w:rFonts w:ascii="Times New Roman" w:eastAsia="Times New Roman" w:hAnsi="Times New Roman" w:cs="Times New Roman"/>
          <w:i/>
          <w:iCs/>
          <w:szCs w:val="24"/>
          <w:lang w:eastAsia="en-ID"/>
        </w:rPr>
        <w:t>falah</w:t>
      </w:r>
      <w:r w:rsidRPr="00DD59BF">
        <w:rPr>
          <w:rFonts w:ascii="Times New Roman" w:eastAsia="Times New Roman" w:hAnsi="Times New Roman" w:cs="Times New Roman"/>
          <w:szCs w:val="24"/>
          <w:lang w:eastAsia="en-ID"/>
        </w:rPr>
        <w:t xml:space="preserve"> (holistic success in this world and the hereafter) by preserving religion (</w:t>
      </w:r>
      <w:r w:rsidRPr="00DD59BF">
        <w:rPr>
          <w:rFonts w:ascii="Times New Roman" w:eastAsia="Times New Roman" w:hAnsi="Times New Roman" w:cs="Times New Roman"/>
          <w:i/>
          <w:iCs/>
          <w:szCs w:val="24"/>
          <w:lang w:eastAsia="en-ID"/>
        </w:rPr>
        <w:t>hifz ad-din</w:t>
      </w:r>
      <w:r w:rsidRPr="00DD59BF">
        <w:rPr>
          <w:rFonts w:ascii="Times New Roman" w:eastAsia="Times New Roman" w:hAnsi="Times New Roman" w:cs="Times New Roman"/>
          <w:szCs w:val="24"/>
          <w:lang w:eastAsia="en-ID"/>
        </w:rPr>
        <w:t>)</w:t>
      </w:r>
      <w:r w:rsidR="004E0A38" w:rsidRPr="00DD59BF">
        <w:rPr>
          <w:rFonts w:ascii="Times New Roman" w:eastAsia="Times New Roman" w:hAnsi="Times New Roman" w:cs="Times New Roman"/>
          <w:szCs w:val="24"/>
          <w:lang w:val="en-US" w:eastAsia="en-ID"/>
        </w:rPr>
        <w:t>.</w:t>
      </w:r>
    </w:p>
    <w:p w14:paraId="00C2EA00" w14:textId="77777777" w:rsidR="004E0A38" w:rsidRPr="00DD59BF" w:rsidRDefault="004E0A38" w:rsidP="00DD59BF">
      <w:pPr>
        <w:pStyle w:val="3Paragraf"/>
        <w:spacing w:line="276" w:lineRule="auto"/>
        <w:ind w:firstLine="720"/>
        <w:rPr>
          <w:rFonts w:ascii="Times New Roman" w:eastAsia="Times New Roman" w:hAnsi="Times New Roman" w:cs="Times New Roman"/>
          <w:b/>
          <w:bCs/>
          <w:szCs w:val="24"/>
          <w:lang w:val="en-US" w:eastAsia="en-ID"/>
        </w:rPr>
      </w:pPr>
      <w:r w:rsidRPr="00DD59BF">
        <w:rPr>
          <w:rFonts w:ascii="Times New Roman" w:eastAsia="Times New Roman" w:hAnsi="Times New Roman" w:cs="Times New Roman"/>
          <w:b/>
          <w:bCs/>
          <w:szCs w:val="24"/>
          <w:lang w:val="en-US" w:eastAsia="en-ID"/>
        </w:rPr>
        <w:t>Factor 7. Contextual Conditions</w:t>
      </w:r>
    </w:p>
    <w:p w14:paraId="442B91AB" w14:textId="77777777" w:rsidR="00BF3909" w:rsidRPr="00DD59BF" w:rsidRDefault="00BF3909" w:rsidP="00DD59BF">
      <w:pPr>
        <w:pStyle w:val="3Paragraf"/>
        <w:spacing w:line="276" w:lineRule="auto"/>
        <w:ind w:firstLine="720"/>
        <w:rPr>
          <w:rFonts w:ascii="Times New Roman" w:eastAsia="Times New Roman" w:hAnsi="Times New Roman" w:cs="Times New Roman"/>
          <w:szCs w:val="24"/>
          <w:lang w:eastAsia="en-ID"/>
        </w:rPr>
      </w:pPr>
      <w:r w:rsidRPr="00DD59BF">
        <w:rPr>
          <w:rFonts w:ascii="Times New Roman" w:eastAsia="Times New Roman" w:hAnsi="Times New Roman" w:cs="Times New Roman"/>
          <w:szCs w:val="24"/>
          <w:lang w:eastAsia="en-ID"/>
        </w:rPr>
        <w:t>The final dimension represents environmental and cultural alignment, specifically focusing on how well the initiatives suit local community conditions (</w:t>
      </w:r>
      <w:r w:rsidRPr="00DD59BF">
        <w:rPr>
          <w:rFonts w:ascii="Times New Roman" w:eastAsia="Times New Roman" w:hAnsi="Times New Roman" w:cs="Times New Roman"/>
          <w:i/>
          <w:iCs/>
          <w:szCs w:val="24"/>
          <w:lang w:eastAsia="en-ID"/>
        </w:rPr>
        <w:t>sesuai kondisi masyarakat</w:t>
      </w:r>
      <w:r w:rsidRPr="00DD59BF">
        <w:rPr>
          <w:rFonts w:ascii="Times New Roman" w:eastAsia="Times New Roman" w:hAnsi="Times New Roman" w:cs="Times New Roman"/>
          <w:szCs w:val="24"/>
          <w:lang w:eastAsia="en-ID"/>
        </w:rPr>
        <w:t>). Statistically, this indicator exhibited a complex cross-loading pattern, spreading into the seventh column while retaining a strong presence in the first.</w:t>
      </w:r>
    </w:p>
    <w:p w14:paraId="62F9350E" w14:textId="413CF00D" w:rsidR="004E0A38" w:rsidRPr="00DD59BF" w:rsidRDefault="00BF3909" w:rsidP="00DD59BF">
      <w:pPr>
        <w:pStyle w:val="3Paragraf"/>
        <w:spacing w:line="276" w:lineRule="auto"/>
        <w:ind w:firstLine="720"/>
        <w:rPr>
          <w:rFonts w:ascii="Times New Roman" w:eastAsia="Times New Roman" w:hAnsi="Times New Roman" w:cs="Times New Roman"/>
          <w:szCs w:val="24"/>
          <w:lang w:eastAsia="en-ID"/>
        </w:rPr>
      </w:pPr>
      <w:r w:rsidRPr="00DD59BF">
        <w:rPr>
          <w:rFonts w:ascii="Times New Roman" w:eastAsia="Times New Roman" w:hAnsi="Times New Roman" w:cs="Times New Roman"/>
          <w:szCs w:val="24"/>
          <w:lang w:eastAsia="en-ID"/>
        </w:rPr>
        <w:t>This cross-loading implies that while contextual suitability operates as its own distinct dimension, it is tightly interwoven with the broader perception of program quality. A program cannot achieve high integrity if it ignores local norms, customs, or environmental realities. Aligning interventions with the socio-cultural fabric of the community ensures smooth field execution, minimal social friction, and enhanced institutional acceptability</w:t>
      </w:r>
      <w:r w:rsidR="004E0A38" w:rsidRPr="00DD59BF">
        <w:rPr>
          <w:rFonts w:ascii="Times New Roman" w:eastAsia="Times New Roman" w:hAnsi="Times New Roman" w:cs="Times New Roman"/>
          <w:szCs w:val="24"/>
          <w:lang w:val="en-US" w:eastAsia="en-ID"/>
        </w:rPr>
        <w:t>.</w:t>
      </w:r>
    </w:p>
    <w:p w14:paraId="0D755532" w14:textId="77777777" w:rsidR="004E0A38" w:rsidRPr="00DD59BF" w:rsidRDefault="004E0A38" w:rsidP="00DD59BF">
      <w:pPr>
        <w:pStyle w:val="3Paragraf"/>
        <w:spacing w:line="276" w:lineRule="auto"/>
        <w:ind w:firstLine="720"/>
        <w:rPr>
          <w:rFonts w:ascii="Times New Roman" w:eastAsia="Times New Roman" w:hAnsi="Times New Roman" w:cs="Times New Roman"/>
          <w:b/>
          <w:bCs/>
          <w:szCs w:val="24"/>
          <w:lang w:val="en-US" w:eastAsia="en-ID"/>
        </w:rPr>
      </w:pPr>
      <w:r w:rsidRPr="00DD59BF">
        <w:rPr>
          <w:rFonts w:ascii="Times New Roman" w:eastAsia="Times New Roman" w:hAnsi="Times New Roman" w:cs="Times New Roman"/>
          <w:b/>
          <w:bCs/>
          <w:szCs w:val="24"/>
          <w:lang w:val="en-US" w:eastAsia="en-ID"/>
        </w:rPr>
        <w:t>Summary of Findings</w:t>
      </w:r>
    </w:p>
    <w:p w14:paraId="69522359" w14:textId="77777777" w:rsidR="004E0A38" w:rsidRPr="00DD59BF" w:rsidRDefault="004E0A38" w:rsidP="00DD59BF">
      <w:pPr>
        <w:pStyle w:val="3Paragraf"/>
        <w:spacing w:line="276" w:lineRule="auto"/>
        <w:ind w:firstLine="720"/>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val="en-US" w:eastAsia="en-ID"/>
        </w:rPr>
        <w:t xml:space="preserve">The Exploratory Factor Analysis successfully identified </w:t>
      </w:r>
      <w:r w:rsidRPr="00DD59BF">
        <w:rPr>
          <w:rFonts w:ascii="Times New Roman" w:eastAsia="Times New Roman" w:hAnsi="Times New Roman" w:cs="Times New Roman"/>
          <w:b/>
          <w:bCs/>
          <w:szCs w:val="24"/>
          <w:lang w:val="en-US" w:eastAsia="en-ID"/>
        </w:rPr>
        <w:t>seven latent dimensions</w:t>
      </w:r>
      <w:r w:rsidRPr="00DD59BF">
        <w:rPr>
          <w:rFonts w:ascii="Times New Roman" w:eastAsia="Times New Roman" w:hAnsi="Times New Roman" w:cs="Times New Roman"/>
          <w:szCs w:val="24"/>
          <w:lang w:val="en-US" w:eastAsia="en-ID"/>
        </w:rPr>
        <w:t xml:space="preserve"> explaining the effectiveness of Islamic social finance-based CSR programs.</w:t>
      </w:r>
    </w:p>
    <w:p w14:paraId="0F22F26A" w14:textId="77777777" w:rsidR="004E0A38" w:rsidRPr="00DD59BF" w:rsidRDefault="004E0A38" w:rsidP="00DD59BF">
      <w:pPr>
        <w:pStyle w:val="3Paragraf"/>
        <w:spacing w:line="276" w:lineRule="auto"/>
        <w:ind w:firstLine="720"/>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val="en-US" w:eastAsia="en-ID"/>
        </w:rPr>
        <w:t>Together, these dimensions form a multidimensional empirical model comprising:</w:t>
      </w:r>
    </w:p>
    <w:p w14:paraId="4ABA8142" w14:textId="77777777" w:rsidR="004E0A38" w:rsidRPr="00DD59BF" w:rsidRDefault="004E0A38" w:rsidP="00DD59BF">
      <w:pPr>
        <w:pStyle w:val="3Paragraf"/>
        <w:numPr>
          <w:ilvl w:val="0"/>
          <w:numId w:val="11"/>
        </w:numPr>
        <w:spacing w:line="276" w:lineRule="auto"/>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val="en-US" w:eastAsia="en-ID"/>
        </w:rPr>
        <w:t xml:space="preserve">Program Quality and Integrity </w:t>
      </w:r>
    </w:p>
    <w:p w14:paraId="6FFD9604" w14:textId="77777777" w:rsidR="004E0A38" w:rsidRPr="00DD59BF" w:rsidRDefault="004E0A38" w:rsidP="00DD59BF">
      <w:pPr>
        <w:pStyle w:val="3Paragraf"/>
        <w:numPr>
          <w:ilvl w:val="0"/>
          <w:numId w:val="11"/>
        </w:numPr>
        <w:spacing w:line="276" w:lineRule="auto"/>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val="en-US" w:eastAsia="en-ID"/>
        </w:rPr>
        <w:t xml:space="preserve">Transparency and Communication </w:t>
      </w:r>
    </w:p>
    <w:p w14:paraId="6E711DDF" w14:textId="77777777" w:rsidR="004E0A38" w:rsidRPr="00DD59BF" w:rsidRDefault="004E0A38" w:rsidP="00DD59BF">
      <w:pPr>
        <w:pStyle w:val="3Paragraf"/>
        <w:numPr>
          <w:ilvl w:val="0"/>
          <w:numId w:val="11"/>
        </w:numPr>
        <w:spacing w:line="276" w:lineRule="auto"/>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val="en-US" w:eastAsia="en-ID"/>
        </w:rPr>
        <w:t xml:space="preserve">Human Resource Development </w:t>
      </w:r>
    </w:p>
    <w:p w14:paraId="0493EF1F" w14:textId="77777777" w:rsidR="004E0A38" w:rsidRPr="00DD59BF" w:rsidRDefault="004E0A38" w:rsidP="00DD59BF">
      <w:pPr>
        <w:pStyle w:val="3Paragraf"/>
        <w:numPr>
          <w:ilvl w:val="0"/>
          <w:numId w:val="11"/>
        </w:numPr>
        <w:spacing w:line="276" w:lineRule="auto"/>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val="en-US" w:eastAsia="en-ID"/>
        </w:rPr>
        <w:t xml:space="preserve">Economic Impact </w:t>
      </w:r>
    </w:p>
    <w:p w14:paraId="3A493C86" w14:textId="77777777" w:rsidR="004E0A38" w:rsidRPr="00DD59BF" w:rsidRDefault="004E0A38" w:rsidP="00DD59BF">
      <w:pPr>
        <w:pStyle w:val="3Paragraf"/>
        <w:numPr>
          <w:ilvl w:val="0"/>
          <w:numId w:val="11"/>
        </w:numPr>
        <w:spacing w:line="276" w:lineRule="auto"/>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val="en-US" w:eastAsia="en-ID"/>
        </w:rPr>
        <w:t xml:space="preserve">Community Participation </w:t>
      </w:r>
    </w:p>
    <w:p w14:paraId="26A3A65D" w14:textId="77777777" w:rsidR="004E0A38" w:rsidRPr="00DD59BF" w:rsidRDefault="004E0A38" w:rsidP="00DD59BF">
      <w:pPr>
        <w:pStyle w:val="3Paragraf"/>
        <w:numPr>
          <w:ilvl w:val="0"/>
          <w:numId w:val="11"/>
        </w:numPr>
        <w:spacing w:line="276" w:lineRule="auto"/>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val="en-US" w:eastAsia="en-ID"/>
        </w:rPr>
        <w:t xml:space="preserve">Spiritual Impact </w:t>
      </w:r>
    </w:p>
    <w:p w14:paraId="6F3214C6" w14:textId="77777777" w:rsidR="004E0A38" w:rsidRPr="00DD59BF" w:rsidRDefault="004E0A38" w:rsidP="00DD59BF">
      <w:pPr>
        <w:pStyle w:val="3Paragraf"/>
        <w:numPr>
          <w:ilvl w:val="0"/>
          <w:numId w:val="11"/>
        </w:numPr>
        <w:spacing w:line="276" w:lineRule="auto"/>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val="en-US" w:eastAsia="en-ID"/>
        </w:rPr>
        <w:t xml:space="preserve">Contextual Conditions </w:t>
      </w:r>
    </w:p>
    <w:p w14:paraId="096101C2" w14:textId="7444A748" w:rsidR="00EC41B3" w:rsidRPr="00DD59BF" w:rsidRDefault="004E0A38" w:rsidP="00DD59BF">
      <w:pPr>
        <w:pStyle w:val="3Paragraf"/>
        <w:spacing w:line="276" w:lineRule="auto"/>
        <w:ind w:firstLine="720"/>
        <w:rPr>
          <w:rFonts w:ascii="Times New Roman" w:eastAsia="Times New Roman" w:hAnsi="Times New Roman" w:cs="Times New Roman"/>
          <w:szCs w:val="24"/>
          <w:lang w:val="en-US" w:eastAsia="en-ID"/>
        </w:rPr>
      </w:pPr>
      <w:r w:rsidRPr="00DD59BF">
        <w:rPr>
          <w:rFonts w:ascii="Times New Roman" w:eastAsia="Times New Roman" w:hAnsi="Times New Roman" w:cs="Times New Roman"/>
          <w:szCs w:val="24"/>
          <w:lang w:val="en-US" w:eastAsia="en-ID"/>
        </w:rPr>
        <w:t xml:space="preserve">Collectively, these seven factors explain </w:t>
      </w:r>
      <w:r w:rsidRPr="00DD59BF">
        <w:rPr>
          <w:rFonts w:ascii="Times New Roman" w:eastAsia="Times New Roman" w:hAnsi="Times New Roman" w:cs="Times New Roman"/>
          <w:b/>
          <w:bCs/>
          <w:szCs w:val="24"/>
          <w:lang w:val="en-US" w:eastAsia="en-ID"/>
        </w:rPr>
        <w:t>74.707%</w:t>
      </w:r>
      <w:r w:rsidRPr="00DD59BF">
        <w:rPr>
          <w:rFonts w:ascii="Times New Roman" w:eastAsia="Times New Roman" w:hAnsi="Times New Roman" w:cs="Times New Roman"/>
          <w:szCs w:val="24"/>
          <w:lang w:val="en-US" w:eastAsia="en-ID"/>
        </w:rPr>
        <w:t xml:space="preserve"> of the total variance, demonstrating that CSR effectiveness extends beyond economic outcomes to encompass institutional governance, social participation, communication, contextual relevance, and spiritual development</w:t>
      </w:r>
      <w:r w:rsidR="00EC41B3" w:rsidRPr="00DD59BF">
        <w:rPr>
          <w:rFonts w:ascii="Times New Roman" w:eastAsia="Times New Roman" w:hAnsi="Times New Roman" w:cs="Times New Roman"/>
          <w:szCs w:val="24"/>
          <w:lang w:val="en-ID" w:eastAsia="en-ID"/>
        </w:rPr>
        <w:t>.</w:t>
      </w:r>
    </w:p>
    <w:p w14:paraId="440A7A49" w14:textId="77777777" w:rsidR="00BF3909" w:rsidRPr="00DD59BF" w:rsidRDefault="00BF3909" w:rsidP="00DD59BF">
      <w:pPr>
        <w:pStyle w:val="NormalWeb"/>
        <w:spacing w:before="0" w:beforeAutospacing="0" w:after="0" w:afterAutospacing="0" w:line="276" w:lineRule="auto"/>
        <w:ind w:firstLine="720"/>
        <w:jc w:val="both"/>
        <w:rPr>
          <w:b/>
          <w:bCs/>
        </w:rPr>
      </w:pPr>
      <w:r w:rsidRPr="00DD59BF">
        <w:rPr>
          <w:b/>
          <w:bCs/>
        </w:rPr>
        <w:t>DISCUSSION</w:t>
      </w:r>
    </w:p>
    <w:p w14:paraId="610211F1" w14:textId="77777777" w:rsidR="00BF3909" w:rsidRPr="00DD59BF" w:rsidRDefault="00BF3909" w:rsidP="00DD59BF">
      <w:pPr>
        <w:pStyle w:val="NormalWeb"/>
        <w:spacing w:before="0" w:beforeAutospacing="0" w:after="0" w:afterAutospacing="0" w:line="276" w:lineRule="auto"/>
        <w:ind w:firstLine="720"/>
        <w:jc w:val="both"/>
        <w:rPr>
          <w:b/>
          <w:bCs/>
        </w:rPr>
      </w:pPr>
      <w:r w:rsidRPr="00DD59BF">
        <w:rPr>
          <w:b/>
          <w:bCs/>
        </w:rPr>
        <w:t>Program Quality and Integrity as the Dominant Determinant</w:t>
      </w:r>
    </w:p>
    <w:p w14:paraId="27773912" w14:textId="77777777" w:rsidR="00BF3909" w:rsidRPr="00DD59BF" w:rsidRDefault="00BF3909" w:rsidP="00DD59BF">
      <w:pPr>
        <w:pStyle w:val="NormalWeb"/>
        <w:spacing w:before="0" w:beforeAutospacing="0" w:after="0" w:afterAutospacing="0" w:line="276" w:lineRule="auto"/>
        <w:ind w:firstLine="720"/>
        <w:jc w:val="both"/>
      </w:pPr>
      <w:r w:rsidRPr="00DD59BF">
        <w:t>The findings indicate that Program Quality and Integrity emerged as the most dominant determinant of CSR effectiveness. Beneficiaries primarily assessed program success based on transparency, accountability, fairness, consistency, and the credibility of program management rather than solely on the economic benefits received. This result demonstrates that effective CSR implementation requires strong institutional governance capable of building public trust.</w:t>
      </w:r>
    </w:p>
    <w:p w14:paraId="23D53E4F" w14:textId="77777777" w:rsidR="00BF3909" w:rsidRPr="00DD59BF" w:rsidRDefault="00BF3909" w:rsidP="00DD59BF">
      <w:pPr>
        <w:pStyle w:val="NormalWeb"/>
        <w:spacing w:before="0" w:beforeAutospacing="0" w:after="0" w:afterAutospacing="0" w:line="276" w:lineRule="auto"/>
        <w:ind w:firstLine="720"/>
        <w:jc w:val="both"/>
      </w:pPr>
      <w:r w:rsidRPr="00DD59BF">
        <w:t xml:space="preserve">From a theoretical perspective, this finding supports organizational effectiveness theory, which emphasizes alignment between planning, implementation, and outcomes. It also reinforces the concept of shared value proposed by Porter and Kramer (2006), where organizations create benefits for both society and themselves through responsible governance practices. In the context of Islamic social finance, program quality and integrity reflect the principles of </w:t>
      </w:r>
      <w:proofErr w:type="spellStart"/>
      <w:r w:rsidRPr="00DD59BF">
        <w:t>amanah</w:t>
      </w:r>
      <w:proofErr w:type="spellEnd"/>
      <w:r w:rsidRPr="00DD59BF">
        <w:t xml:space="preserve"> (trustworthiness) and '</w:t>
      </w:r>
      <w:proofErr w:type="spellStart"/>
      <w:r w:rsidRPr="00DD59BF">
        <w:t>adl</w:t>
      </w:r>
      <w:proofErr w:type="spellEnd"/>
      <w:r w:rsidRPr="00DD59BF">
        <w:t xml:space="preserve"> (justice), which are fundamental elements of Islamic Corporate Social Responsibility.</w:t>
      </w:r>
    </w:p>
    <w:p w14:paraId="46C41D36" w14:textId="77777777" w:rsidR="00BF3909" w:rsidRPr="00DD59BF" w:rsidRDefault="00BF3909" w:rsidP="00DD59BF">
      <w:pPr>
        <w:pStyle w:val="NormalWeb"/>
        <w:spacing w:before="0" w:beforeAutospacing="0" w:after="0" w:afterAutospacing="0" w:line="276" w:lineRule="auto"/>
        <w:ind w:firstLine="720"/>
        <w:jc w:val="both"/>
        <w:rPr>
          <w:b/>
          <w:bCs/>
        </w:rPr>
      </w:pPr>
      <w:r w:rsidRPr="00DD59BF">
        <w:rPr>
          <w:b/>
          <w:bCs/>
        </w:rPr>
        <w:t>Transparency and Communication</w:t>
      </w:r>
    </w:p>
    <w:p w14:paraId="6CA18984" w14:textId="77777777" w:rsidR="00BF3909" w:rsidRPr="00DD59BF" w:rsidRDefault="00BF3909" w:rsidP="00DD59BF">
      <w:pPr>
        <w:pStyle w:val="NormalWeb"/>
        <w:spacing w:before="0" w:beforeAutospacing="0" w:after="0" w:afterAutospacing="0" w:line="276" w:lineRule="auto"/>
        <w:ind w:firstLine="720"/>
        <w:jc w:val="both"/>
      </w:pPr>
      <w:r w:rsidRPr="00DD59BF">
        <w:t>The second factor, Transparency and Communication, highlights the importance of organizational openness and effective information exchange between program managers and beneficiaries. Beneficiaries perceived CSR programs as more effective when information regarding objectives, procedures, beneficiary selection, and program implementation was communicated clearly and transparently.</w:t>
      </w:r>
    </w:p>
    <w:p w14:paraId="0C25722F" w14:textId="77777777" w:rsidR="00BF3909" w:rsidRPr="00DD59BF" w:rsidRDefault="00BF3909" w:rsidP="00DD59BF">
      <w:pPr>
        <w:pStyle w:val="NormalWeb"/>
        <w:spacing w:before="0" w:beforeAutospacing="0" w:after="0" w:afterAutospacing="0" w:line="276" w:lineRule="auto"/>
        <w:ind w:firstLine="720"/>
        <w:jc w:val="both"/>
      </w:pPr>
      <w:r w:rsidRPr="00DD59BF">
        <w:t>This finding aligns with communication and governance theories emphasizing that transparency strengthens stakeholder trust and reduces information asymmetry. In Islamic ethics, transparency is closely associated with honesty, accountability, and social responsibility. Therefore, transparent communication not only improves administrative effectiveness but also reinforces the moral legitimacy of CSR programs.</w:t>
      </w:r>
    </w:p>
    <w:p w14:paraId="139A37D7" w14:textId="77777777" w:rsidR="00BF3909" w:rsidRPr="00DD59BF" w:rsidRDefault="00BF3909" w:rsidP="00DD59BF">
      <w:pPr>
        <w:pStyle w:val="NormalWeb"/>
        <w:spacing w:before="0" w:beforeAutospacing="0" w:after="0" w:afterAutospacing="0" w:line="276" w:lineRule="auto"/>
        <w:ind w:firstLine="720"/>
        <w:jc w:val="both"/>
        <w:rPr>
          <w:b/>
          <w:bCs/>
        </w:rPr>
      </w:pPr>
      <w:r w:rsidRPr="00DD59BF">
        <w:rPr>
          <w:b/>
          <w:bCs/>
        </w:rPr>
        <w:t>Human Resource Development and Sustainable Empowerment</w:t>
      </w:r>
    </w:p>
    <w:p w14:paraId="1E5CE084" w14:textId="77777777" w:rsidR="00BF3909" w:rsidRPr="00DD59BF" w:rsidRDefault="00BF3909" w:rsidP="00DD59BF">
      <w:pPr>
        <w:pStyle w:val="NormalWeb"/>
        <w:spacing w:before="0" w:beforeAutospacing="0" w:after="0" w:afterAutospacing="0" w:line="276" w:lineRule="auto"/>
        <w:ind w:firstLine="720"/>
        <w:jc w:val="both"/>
      </w:pPr>
      <w:r w:rsidRPr="00DD59BF">
        <w:t>The emergence of Human Resource Development as a distinct factor indicates that beneficiaries value programs that enhance knowledge, skills, self-confidence, and personal capabilities. Educational support, training, mentoring, and capacity-building activities were perceived as generating more sustainable benefits than short-term assistance.</w:t>
      </w:r>
    </w:p>
    <w:p w14:paraId="6C1DDE46" w14:textId="77777777" w:rsidR="00BF3909" w:rsidRPr="00DD59BF" w:rsidRDefault="00BF3909" w:rsidP="00DD59BF">
      <w:pPr>
        <w:pStyle w:val="NormalWeb"/>
        <w:spacing w:before="0" w:beforeAutospacing="0" w:after="0" w:afterAutospacing="0" w:line="276" w:lineRule="auto"/>
        <w:ind w:firstLine="720"/>
        <w:jc w:val="both"/>
      </w:pPr>
      <w:r w:rsidRPr="00DD59BF">
        <w:t xml:space="preserve">This finding supports human capital theory, which views investment in education and skills as a key driver of long-term socio-economic improvement. From the perspective of </w:t>
      </w:r>
      <w:proofErr w:type="spellStart"/>
      <w:r w:rsidRPr="00DD59BF">
        <w:t>maqashid</w:t>
      </w:r>
      <w:proofErr w:type="spellEnd"/>
      <w:r w:rsidRPr="00DD59BF">
        <w:t xml:space="preserve"> sharia, strengthening human capabilities contributes to the protection and development of intellect (</w:t>
      </w:r>
      <w:proofErr w:type="spellStart"/>
      <w:r w:rsidRPr="00DD59BF">
        <w:t>hifz</w:t>
      </w:r>
      <w:proofErr w:type="spellEnd"/>
      <w:r w:rsidRPr="00DD59BF">
        <w:t xml:space="preserve"> al-'</w:t>
      </w:r>
      <w:proofErr w:type="spellStart"/>
      <w:r w:rsidRPr="00DD59BF">
        <w:t>aql</w:t>
      </w:r>
      <w:proofErr w:type="spellEnd"/>
      <w:r w:rsidRPr="00DD59BF">
        <w:t>), thereby promoting sustainable community welfare.</w:t>
      </w:r>
    </w:p>
    <w:p w14:paraId="50E517B8" w14:textId="77777777" w:rsidR="00BF3909" w:rsidRPr="00DD59BF" w:rsidRDefault="00BF3909" w:rsidP="00DD59BF">
      <w:pPr>
        <w:pStyle w:val="NormalWeb"/>
        <w:spacing w:before="0" w:beforeAutospacing="0" w:after="0" w:afterAutospacing="0" w:line="276" w:lineRule="auto"/>
        <w:ind w:firstLine="720"/>
        <w:jc w:val="both"/>
        <w:rPr>
          <w:b/>
          <w:bCs/>
        </w:rPr>
      </w:pPr>
      <w:r w:rsidRPr="00DD59BF">
        <w:rPr>
          <w:b/>
          <w:bCs/>
        </w:rPr>
        <w:t>Economic Impact</w:t>
      </w:r>
    </w:p>
    <w:p w14:paraId="7FCBC415" w14:textId="77777777" w:rsidR="00BF3909" w:rsidRPr="00DD59BF" w:rsidRDefault="00BF3909" w:rsidP="00DD59BF">
      <w:pPr>
        <w:pStyle w:val="NormalWeb"/>
        <w:spacing w:before="0" w:beforeAutospacing="0" w:after="0" w:afterAutospacing="0" w:line="276" w:lineRule="auto"/>
        <w:ind w:firstLine="720"/>
        <w:jc w:val="both"/>
      </w:pPr>
      <w:r w:rsidRPr="00DD59BF">
        <w:t>Although Economic Impact remained an important determinant, its contribution was relatively lower than institutional and governance-related dimensions. Beneficiaries acknowledged improvements in income, business opportunities, and household welfare, but these outcomes alone were insufficient to explain overall CSR effectiveness.</w:t>
      </w:r>
    </w:p>
    <w:p w14:paraId="472E5C74" w14:textId="77777777" w:rsidR="00BF3909" w:rsidRPr="00DD59BF" w:rsidRDefault="00BF3909" w:rsidP="00DD59BF">
      <w:pPr>
        <w:pStyle w:val="NormalWeb"/>
        <w:spacing w:before="0" w:beforeAutospacing="0" w:after="0" w:afterAutospacing="0" w:line="276" w:lineRule="auto"/>
        <w:ind w:firstLine="720"/>
        <w:jc w:val="both"/>
      </w:pPr>
      <w:r w:rsidRPr="00DD59BF">
        <w:t>This result suggests that Islamic social finance-based CSR programs are perceived as successful not merely because they provide financial assistance, but because they also create broader social and institutional value. The finding further implies that organizations should strengthen productive economic empowerment programs to enhance beneficiaries' long-term financial independence.</w:t>
      </w:r>
    </w:p>
    <w:p w14:paraId="589DADAC" w14:textId="77777777" w:rsidR="00BF3909" w:rsidRPr="00DD59BF" w:rsidRDefault="00BF3909" w:rsidP="00DD59BF">
      <w:pPr>
        <w:pStyle w:val="NormalWeb"/>
        <w:spacing w:before="0" w:beforeAutospacing="0" w:after="0" w:afterAutospacing="0" w:line="276" w:lineRule="auto"/>
        <w:ind w:firstLine="720"/>
        <w:jc w:val="both"/>
        <w:rPr>
          <w:b/>
          <w:bCs/>
        </w:rPr>
      </w:pPr>
      <w:r w:rsidRPr="00DD59BF">
        <w:rPr>
          <w:b/>
          <w:bCs/>
        </w:rPr>
        <w:t>Community Participation</w:t>
      </w:r>
    </w:p>
    <w:p w14:paraId="341C9007" w14:textId="77777777" w:rsidR="00BF3909" w:rsidRPr="00DD59BF" w:rsidRDefault="00BF3909" w:rsidP="00DD59BF">
      <w:pPr>
        <w:pStyle w:val="NormalWeb"/>
        <w:spacing w:before="0" w:beforeAutospacing="0" w:after="0" w:afterAutospacing="0" w:line="276" w:lineRule="auto"/>
        <w:ind w:firstLine="720"/>
        <w:jc w:val="both"/>
      </w:pPr>
      <w:r w:rsidRPr="00DD59BF">
        <w:t>The identification of Community Participation as a separate factor demonstrates that beneficiaries consider involvement in planning, implementation, and evaluation processes as an essential component of effective CSR. Programs developed through participatory approaches were perceived as more relevant, responsive, and sustainable.</w:t>
      </w:r>
    </w:p>
    <w:p w14:paraId="46CE2FA3" w14:textId="77777777" w:rsidR="00BF3909" w:rsidRPr="00DD59BF" w:rsidRDefault="00BF3909" w:rsidP="00DD59BF">
      <w:pPr>
        <w:pStyle w:val="NormalWeb"/>
        <w:spacing w:before="0" w:beforeAutospacing="0" w:after="0" w:afterAutospacing="0" w:line="276" w:lineRule="auto"/>
        <w:ind w:firstLine="720"/>
        <w:jc w:val="both"/>
      </w:pPr>
      <w:r w:rsidRPr="00DD59BF">
        <w:t>This finding is consistent with participatory development theory, which argues that communities should act as active subjects rather than passive recipients of development programs. In the Islamic context, participatory decision-making reflects the principle of shura (consultation), which encourages collective involvement in achieving public welfare.</w:t>
      </w:r>
    </w:p>
    <w:p w14:paraId="6F066AE9" w14:textId="77777777" w:rsidR="00BF3909" w:rsidRPr="00DD59BF" w:rsidRDefault="00BF3909" w:rsidP="00DD59BF">
      <w:pPr>
        <w:pStyle w:val="NormalWeb"/>
        <w:spacing w:before="0" w:beforeAutospacing="0" w:after="0" w:afterAutospacing="0" w:line="276" w:lineRule="auto"/>
        <w:ind w:firstLine="720"/>
        <w:jc w:val="both"/>
        <w:rPr>
          <w:b/>
          <w:bCs/>
        </w:rPr>
      </w:pPr>
      <w:r w:rsidRPr="00DD59BF">
        <w:rPr>
          <w:b/>
          <w:bCs/>
        </w:rPr>
        <w:t>Spiritual Impact as a Distinctive Dimension</w:t>
      </w:r>
    </w:p>
    <w:p w14:paraId="64405FA8" w14:textId="77777777" w:rsidR="00BF3909" w:rsidRPr="00DD59BF" w:rsidRDefault="00BF3909" w:rsidP="00DD59BF">
      <w:pPr>
        <w:pStyle w:val="NormalWeb"/>
        <w:spacing w:before="0" w:beforeAutospacing="0" w:after="0" w:afterAutospacing="0" w:line="276" w:lineRule="auto"/>
        <w:ind w:firstLine="720"/>
        <w:jc w:val="both"/>
      </w:pPr>
      <w:r w:rsidRPr="00DD59BF">
        <w:t xml:space="preserve">One of the most significant findings of this study is the emergence of Spiritual Impact as an independent dimension of CSR effectiveness. Beneficiaries reported improvements in religious awareness, ethical </w:t>
      </w:r>
      <w:proofErr w:type="spellStart"/>
      <w:r w:rsidRPr="00DD59BF">
        <w:t>behavior</w:t>
      </w:r>
      <w:proofErr w:type="spellEnd"/>
      <w:r w:rsidRPr="00DD59BF">
        <w:t>, gratitude, social solidarity, and spiritual well-being as a result of participating in CSR programs.</w:t>
      </w:r>
    </w:p>
    <w:p w14:paraId="14A2A958" w14:textId="77777777" w:rsidR="00BF3909" w:rsidRPr="00DD59BF" w:rsidRDefault="00BF3909" w:rsidP="00DD59BF">
      <w:pPr>
        <w:pStyle w:val="NormalWeb"/>
        <w:spacing w:before="0" w:beforeAutospacing="0" w:after="0" w:afterAutospacing="0" w:line="276" w:lineRule="auto"/>
        <w:ind w:firstLine="720"/>
        <w:jc w:val="both"/>
      </w:pPr>
      <w:r w:rsidRPr="00DD59BF">
        <w:t xml:space="preserve">This dimension distinguishes Islamic social finance-based CSR from conventional CSR models, which generally focus on economic, social, and environmental outcomes. The finding confirms that welfare in Islamic economics is holistic, encompassing both material and spiritual dimensions. In terms of </w:t>
      </w:r>
      <w:proofErr w:type="spellStart"/>
      <w:r w:rsidRPr="00DD59BF">
        <w:t>maqashid</w:t>
      </w:r>
      <w:proofErr w:type="spellEnd"/>
      <w:r w:rsidRPr="00DD59BF">
        <w:t xml:space="preserve"> sharia, spiritual impact contributes to the preservation and strengthening of religion (</w:t>
      </w:r>
      <w:proofErr w:type="spellStart"/>
      <w:r w:rsidRPr="00DD59BF">
        <w:t>hifz</w:t>
      </w:r>
      <w:proofErr w:type="spellEnd"/>
      <w:r w:rsidRPr="00DD59BF">
        <w:t xml:space="preserve"> </w:t>
      </w:r>
      <w:proofErr w:type="spellStart"/>
      <w:r w:rsidRPr="00DD59BF">
        <w:t>ad-din</w:t>
      </w:r>
      <w:proofErr w:type="spellEnd"/>
      <w:r w:rsidRPr="00DD59BF">
        <w:t>) and therefore constitutes a legitimate indicator of program success.</w:t>
      </w:r>
    </w:p>
    <w:p w14:paraId="3F474B5E" w14:textId="77777777" w:rsidR="00BF3909" w:rsidRPr="00DD59BF" w:rsidRDefault="00BF3909" w:rsidP="00DD59BF">
      <w:pPr>
        <w:pStyle w:val="NormalWeb"/>
        <w:spacing w:before="0" w:beforeAutospacing="0" w:after="0" w:afterAutospacing="0" w:line="276" w:lineRule="auto"/>
        <w:ind w:firstLine="720"/>
        <w:jc w:val="both"/>
        <w:rPr>
          <w:b/>
          <w:bCs/>
        </w:rPr>
      </w:pPr>
      <w:r w:rsidRPr="00DD59BF">
        <w:rPr>
          <w:b/>
          <w:bCs/>
        </w:rPr>
        <w:t>Contextual Conditions</w:t>
      </w:r>
    </w:p>
    <w:p w14:paraId="2D232A0B" w14:textId="77777777" w:rsidR="00BF3909" w:rsidRPr="00DD59BF" w:rsidRDefault="00BF3909" w:rsidP="00DD59BF">
      <w:pPr>
        <w:pStyle w:val="NormalWeb"/>
        <w:spacing w:before="0" w:beforeAutospacing="0" w:after="0" w:afterAutospacing="0" w:line="276" w:lineRule="auto"/>
        <w:ind w:firstLine="720"/>
        <w:jc w:val="both"/>
      </w:pPr>
      <w:r w:rsidRPr="00DD59BF">
        <w:t>The final factor, Contextual Conditions, demonstrates that CSR effectiveness is strongly influenced by the compatibility of programs with local social, cultural, and environmental characteristics. Programs that align with community needs and local values are more easily accepted and generate stronger long-term impacts.</w:t>
      </w:r>
    </w:p>
    <w:p w14:paraId="3910BA1E" w14:textId="77777777" w:rsidR="00BF3909" w:rsidRPr="00DD59BF" w:rsidRDefault="00BF3909" w:rsidP="00DD59BF">
      <w:pPr>
        <w:pStyle w:val="NormalWeb"/>
        <w:spacing w:before="0" w:beforeAutospacing="0" w:after="0" w:afterAutospacing="0" w:line="276" w:lineRule="auto"/>
        <w:ind w:firstLine="720"/>
        <w:jc w:val="both"/>
      </w:pPr>
      <w:r w:rsidRPr="00DD59BF">
        <w:t>Although this factor contributed a smaller proportion of variance, it remains theoretically important because successful CSR implementation depends heavily on contextual relevance. This finding supports the Islamic principle of hikmah (wisdom), which emphasizes adapting actions to the specific conditions of society.</w:t>
      </w:r>
    </w:p>
    <w:p w14:paraId="51C0EDBC" w14:textId="77777777" w:rsidR="00BF3909" w:rsidRPr="00DD59BF" w:rsidRDefault="00BF3909" w:rsidP="00DD59BF">
      <w:pPr>
        <w:pStyle w:val="NormalWeb"/>
        <w:spacing w:before="0" w:beforeAutospacing="0" w:after="0" w:afterAutospacing="0" w:line="276" w:lineRule="auto"/>
        <w:ind w:firstLine="720"/>
        <w:jc w:val="both"/>
        <w:rPr>
          <w:b/>
          <w:bCs/>
        </w:rPr>
      </w:pPr>
      <w:r w:rsidRPr="00DD59BF">
        <w:rPr>
          <w:b/>
          <w:bCs/>
        </w:rPr>
        <w:t>Theoretical and Practical Contributions</w:t>
      </w:r>
    </w:p>
    <w:p w14:paraId="716D2128" w14:textId="77777777" w:rsidR="00BF3909" w:rsidRPr="00DD59BF" w:rsidRDefault="00BF3909" w:rsidP="00DD59BF">
      <w:pPr>
        <w:pStyle w:val="NormalWeb"/>
        <w:spacing w:before="0" w:beforeAutospacing="0" w:after="0" w:afterAutospacing="0" w:line="276" w:lineRule="auto"/>
        <w:ind w:firstLine="720"/>
        <w:jc w:val="both"/>
      </w:pPr>
      <w:r w:rsidRPr="00DD59BF">
        <w:t>Collectively, the findings demonstrate that Islamic social finance-based CSR effectiveness is a multidimensional construct encompassing institutional, communicative, developmental, economic, participatory, spiritual, and contextual dimensions. The seven-factor model explained 74.707% of the total variance, indicating strong explanatory power and supporting the proposed research proposition.</w:t>
      </w:r>
    </w:p>
    <w:p w14:paraId="029DEFE6" w14:textId="77777777" w:rsidR="00BF3909" w:rsidRPr="00DD59BF" w:rsidRDefault="00BF3909" w:rsidP="00DD59BF">
      <w:pPr>
        <w:pStyle w:val="NormalWeb"/>
        <w:spacing w:before="0" w:beforeAutospacing="0" w:after="0" w:afterAutospacing="0" w:line="276" w:lineRule="auto"/>
        <w:ind w:firstLine="720"/>
        <w:jc w:val="both"/>
      </w:pPr>
      <w:r w:rsidRPr="00DD59BF">
        <w:t>From a theoretical perspective, this study contributes to the literature by developing an empirical multidimensional model of Islamic Corporate Social Responsibility effectiveness that integrates spiritual dimensions into CSR evaluation. From a methodological perspective, the use of Exploratory Factor Analysis provides a data-driven approach for identifying latent constructs based on beneficiaries' perceptions. Practically, the findings suggest that Islamic philanthropic institutions and corporations should prioritize governance quality, transparency, community participation, capacity building, and spiritual empowerment to achieve more effective and sustainable CSR programs.</w:t>
      </w:r>
    </w:p>
    <w:p w14:paraId="4FDAB97F" w14:textId="77777777" w:rsidR="00BF3909" w:rsidRPr="00DD59BF" w:rsidRDefault="00BF3909" w:rsidP="00DD59BF">
      <w:pPr>
        <w:pStyle w:val="NormalWeb"/>
        <w:spacing w:before="0" w:beforeAutospacing="0" w:after="0" w:afterAutospacing="0" w:line="276" w:lineRule="auto"/>
        <w:jc w:val="both"/>
        <w:rPr>
          <w:b/>
          <w:bCs/>
        </w:rPr>
      </w:pPr>
    </w:p>
    <w:p w14:paraId="0009017B" w14:textId="5A3C216A" w:rsidR="00BF3909" w:rsidRPr="00DD59BF" w:rsidRDefault="00BF3909" w:rsidP="00DD59BF">
      <w:pPr>
        <w:pStyle w:val="NormalWeb"/>
        <w:spacing w:before="0" w:beforeAutospacing="0" w:after="0" w:afterAutospacing="0" w:line="276" w:lineRule="auto"/>
        <w:jc w:val="both"/>
        <w:rPr>
          <w:b/>
          <w:bCs/>
        </w:rPr>
      </w:pPr>
      <w:r w:rsidRPr="00DD59BF">
        <w:rPr>
          <w:b/>
          <w:bCs/>
        </w:rPr>
        <w:t>CONCLUSION</w:t>
      </w:r>
    </w:p>
    <w:p w14:paraId="748A84A1" w14:textId="77777777" w:rsidR="00BF3909" w:rsidRPr="00DD59BF" w:rsidRDefault="00BF3909" w:rsidP="00DD59BF">
      <w:pPr>
        <w:pStyle w:val="NormalWeb"/>
        <w:spacing w:before="0" w:beforeAutospacing="0" w:after="0" w:afterAutospacing="0" w:line="276" w:lineRule="auto"/>
        <w:ind w:firstLine="720"/>
        <w:jc w:val="both"/>
      </w:pPr>
      <w:r w:rsidRPr="00DD59BF">
        <w:t>This study investigated the determinants of Corporate Social Responsibility (CSR) effectiveness based on Islamic social finance using an Exploratory Factor Analysis approach. The findings demonstrate that CSR effectiveness is a multidimensional construct that cannot be explained solely by economic outcomes. Instead, beneficiaries evaluate program effectiveness through a combination of institutional, social, communicative, participatory, contextual, and spiritual dimensions.</w:t>
      </w:r>
    </w:p>
    <w:p w14:paraId="010F0721" w14:textId="77777777" w:rsidR="00BF3909" w:rsidRPr="00DD59BF" w:rsidRDefault="00BF3909" w:rsidP="00DD59BF">
      <w:pPr>
        <w:pStyle w:val="NormalWeb"/>
        <w:spacing w:before="0" w:beforeAutospacing="0" w:after="0" w:afterAutospacing="0" w:line="276" w:lineRule="auto"/>
        <w:ind w:firstLine="720"/>
        <w:jc w:val="both"/>
      </w:pPr>
      <w:r w:rsidRPr="00DD59BF">
        <w:t>Exploratory Factor Analysis identified seven principal factors underlying the effectiveness of Islamic social finance-based CSR programs: Program Quality and Integrity, Transparency and Communication, Human Resource Development, Economic Impact, Community Participation, Spiritual Impact, and Contextual Conditions. Collectively, these factors explained 74.707% of the total variance, indicating substantial explanatory power and confirming the robustness of the proposed multidimensional model.</w:t>
      </w:r>
    </w:p>
    <w:p w14:paraId="38911C16" w14:textId="77777777" w:rsidR="00BF3909" w:rsidRPr="00DD59BF" w:rsidRDefault="00BF3909" w:rsidP="00DD59BF">
      <w:pPr>
        <w:pStyle w:val="NormalWeb"/>
        <w:spacing w:before="0" w:beforeAutospacing="0" w:after="0" w:afterAutospacing="0" w:line="276" w:lineRule="auto"/>
        <w:ind w:firstLine="720"/>
        <w:jc w:val="both"/>
      </w:pPr>
      <w:r w:rsidRPr="00DD59BF">
        <w:t>Among the identified dimensions, Program Quality and Integrity emerged as the most influential determinant. This finding indicates that beneficiaries place greater emphasis on transparent governance, accountability, fairness, and professionalism than on financial assistance alone. Effective CSR programs therefore require strong institutional management capable of building public trust and ensuring sustainable implementation.</w:t>
      </w:r>
    </w:p>
    <w:p w14:paraId="31EF3A15" w14:textId="77777777" w:rsidR="00BF3909" w:rsidRPr="00DD59BF" w:rsidRDefault="00BF3909" w:rsidP="00DD59BF">
      <w:pPr>
        <w:pStyle w:val="NormalWeb"/>
        <w:spacing w:before="0" w:beforeAutospacing="0" w:after="0" w:afterAutospacing="0" w:line="276" w:lineRule="auto"/>
        <w:ind w:firstLine="720"/>
        <w:jc w:val="both"/>
      </w:pPr>
      <w:r w:rsidRPr="00DD59BF">
        <w:t xml:space="preserve">A major contribution of this study is the identification of Spiritual Impact as an independent dimension of CSR effectiveness. This result extends conventional CSR evaluation frameworks by demonstrating that Islamic social finance-based CSR generates not only economic and social benefits but also improvements in religious awareness, ethical values, gratitude, and social solidarity. The finding reinforces the argument that welfare in Islamic economics is holistic and aligned with the objectives of </w:t>
      </w:r>
      <w:proofErr w:type="spellStart"/>
      <w:r w:rsidRPr="00DD59BF">
        <w:t>maqashid</w:t>
      </w:r>
      <w:proofErr w:type="spellEnd"/>
      <w:r w:rsidRPr="00DD59BF">
        <w:t xml:space="preserve"> sharia.</w:t>
      </w:r>
    </w:p>
    <w:p w14:paraId="4193FE83" w14:textId="77777777" w:rsidR="00BF3909" w:rsidRPr="00DD59BF" w:rsidRDefault="00BF3909" w:rsidP="00DD59BF">
      <w:pPr>
        <w:pStyle w:val="NormalWeb"/>
        <w:spacing w:before="0" w:beforeAutospacing="0" w:after="0" w:afterAutospacing="0" w:line="276" w:lineRule="auto"/>
        <w:ind w:firstLine="720"/>
        <w:jc w:val="both"/>
      </w:pPr>
      <w:r w:rsidRPr="00DD59BF">
        <w:t>The study also highlights the importance of Community Participation and Contextual Conditions. Programs that involve beneficiaries in decision-making processes and adapt to local social and cultural characteristics are perceived as more relevant, accepted, and sustainable. Consequently, participatory and locally grounded approaches are essential for enhancing long-term CSR effectiveness.</w:t>
      </w:r>
    </w:p>
    <w:p w14:paraId="6597BAFC" w14:textId="77777777" w:rsidR="00BF3909" w:rsidRPr="00DD59BF" w:rsidRDefault="00BF3909" w:rsidP="00DD59BF">
      <w:pPr>
        <w:pStyle w:val="NormalWeb"/>
        <w:spacing w:before="0" w:beforeAutospacing="0" w:after="0" w:afterAutospacing="0" w:line="276" w:lineRule="auto"/>
        <w:ind w:firstLine="720"/>
        <w:jc w:val="both"/>
      </w:pPr>
      <w:r w:rsidRPr="00DD59BF">
        <w:t>From a practical perspective, the findings suggest that Yayasan Hadji Kalla and other Islamic philanthropic institutions should strengthen program governance, improve transparency and communication, expand human resource development initiatives, promote productive economic empowerment, and incorporate spiritual development into CSR strategies. These efforts are expected to enhance both the effectiveness and sustainability of CSR programs.</w:t>
      </w:r>
    </w:p>
    <w:p w14:paraId="08ED35C2" w14:textId="77777777" w:rsidR="00BF3909" w:rsidRPr="00DD59BF" w:rsidRDefault="00BF3909" w:rsidP="00DD59BF">
      <w:pPr>
        <w:pStyle w:val="NormalWeb"/>
        <w:spacing w:before="0" w:beforeAutospacing="0" w:after="0" w:afterAutospacing="0" w:line="276" w:lineRule="auto"/>
        <w:ind w:firstLine="720"/>
        <w:jc w:val="both"/>
      </w:pPr>
      <w:r w:rsidRPr="00DD59BF">
        <w:t xml:space="preserve">Despite its contributions, this study has several limitations. First, the research employed Exploratory Factor Analysis, meaning that the resulting factor structure remains exploratory and requires further validation through Confirmatory Factor Analysis (CFA) or Structural Equation </w:t>
      </w:r>
      <w:proofErr w:type="spellStart"/>
      <w:r w:rsidRPr="00DD59BF">
        <w:t>Modeling</w:t>
      </w:r>
      <w:proofErr w:type="spellEnd"/>
      <w:r w:rsidRPr="00DD59BF">
        <w:t xml:space="preserve"> (SEM). Second, the study focused on a single philanthropic institution, which may limit the generalizability of the findings to other organizational contexts. Future research should therefore involve multiple Islamic CSR institutions across broader geographic areas to develop a more generalizable model of Islamic CSR effectiveness.</w:t>
      </w:r>
    </w:p>
    <w:p w14:paraId="636E67D9" w14:textId="6703D34A" w:rsidR="00292A91" w:rsidRPr="00DD59BF" w:rsidRDefault="00BF3909" w:rsidP="00DD59BF">
      <w:pPr>
        <w:pStyle w:val="NormalWeb"/>
        <w:spacing w:before="0" w:beforeAutospacing="0" w:after="0" w:afterAutospacing="0" w:line="276" w:lineRule="auto"/>
        <w:ind w:firstLine="720"/>
        <w:jc w:val="both"/>
      </w:pPr>
      <w:r w:rsidRPr="00DD59BF">
        <w:t xml:space="preserve">Overall, this study concludes that CSR based on Islamic social finance should be understood as an integrated system that combines economic, social, institutional, participatory, contextual, and spiritual dimensions. Such a holistic perspective provides a more comprehensive framework for evaluating and implementing sustainable Corporate Social Responsibility programs in accordance with the principles of </w:t>
      </w:r>
      <w:proofErr w:type="spellStart"/>
      <w:r w:rsidRPr="00DD59BF">
        <w:t>maqashid</w:t>
      </w:r>
      <w:proofErr w:type="spellEnd"/>
      <w:r w:rsidRPr="00DD59BF">
        <w:t xml:space="preserve"> sharia</w:t>
      </w:r>
      <w:r w:rsidR="00F7248E" w:rsidRPr="00DD59BF">
        <w:rPr>
          <w:lang w:val="en-US"/>
        </w:rPr>
        <w:t>.</w:t>
      </w:r>
    </w:p>
    <w:p w14:paraId="21D62E65" w14:textId="77777777" w:rsidR="00BF3909" w:rsidRPr="00DD59BF" w:rsidRDefault="00BF3909" w:rsidP="00DD59BF">
      <w:pPr>
        <w:widowControl/>
        <w:suppressAutoHyphens/>
        <w:autoSpaceDE/>
        <w:autoSpaceDN/>
        <w:adjustRightInd/>
        <w:spacing w:line="276" w:lineRule="auto"/>
        <w:contextualSpacing/>
        <w:jc w:val="both"/>
      </w:pPr>
    </w:p>
    <w:p w14:paraId="029AF7DA" w14:textId="77777777" w:rsidR="00BF3909" w:rsidRPr="00DD59BF" w:rsidRDefault="00BF3909" w:rsidP="00DD59BF">
      <w:pPr>
        <w:widowControl/>
        <w:suppressAutoHyphens/>
        <w:autoSpaceDE/>
        <w:autoSpaceDN/>
        <w:adjustRightInd/>
        <w:spacing w:line="276" w:lineRule="auto"/>
        <w:contextualSpacing/>
        <w:jc w:val="both"/>
        <w:rPr>
          <w:rFonts w:eastAsia="SimSun;宋体"/>
          <w:b/>
          <w:bCs/>
          <w:lang w:eastAsia="zh-CN"/>
        </w:rPr>
      </w:pPr>
      <w:r w:rsidRPr="00DD59BF">
        <w:rPr>
          <w:rFonts w:eastAsia="SimSun;宋体"/>
          <w:b/>
          <w:bCs/>
          <w:lang w:eastAsia="zh-CN"/>
        </w:rPr>
        <w:t>ETHICAL APPROVAL</w:t>
      </w:r>
    </w:p>
    <w:p w14:paraId="1B9938CA" w14:textId="42B05F13" w:rsidR="00BF3909" w:rsidRPr="00DD59BF" w:rsidRDefault="00BF3909" w:rsidP="00DD59BF">
      <w:pPr>
        <w:widowControl/>
        <w:suppressAutoHyphens/>
        <w:autoSpaceDE/>
        <w:autoSpaceDN/>
        <w:adjustRightInd/>
        <w:spacing w:line="276" w:lineRule="auto"/>
        <w:contextualSpacing/>
        <w:jc w:val="both"/>
        <w:rPr>
          <w:rFonts w:eastAsia="SimSun;宋体"/>
          <w:lang w:eastAsia="zh-CN"/>
        </w:rPr>
      </w:pPr>
      <w:r w:rsidRPr="00DD59BF">
        <w:rPr>
          <w:rFonts w:eastAsia="SimSun;宋体"/>
          <w:lang w:eastAsia="zh-CN"/>
        </w:rPr>
        <w:t>This study involving human participants was conducted in accordance with accepted ethical principles for social science research. Participation in the study was entirely voluntary, and all respondents were informed about the objectives, procedures, and confidentiality of the research prior to data collection. Respondents provided informed consent before completing the questionnaire, and no personally identifiable information was collected. The study complied with institutional ethical standards and respected participants' rights, privacy, and confidentiality throughout the research process.</w:t>
      </w:r>
    </w:p>
    <w:p w14:paraId="60244DDC" w14:textId="77777777" w:rsidR="00BF3909" w:rsidRPr="00DD59BF" w:rsidRDefault="00BF3909" w:rsidP="00DD59BF">
      <w:pPr>
        <w:widowControl/>
        <w:suppressAutoHyphens/>
        <w:autoSpaceDE/>
        <w:autoSpaceDN/>
        <w:adjustRightInd/>
        <w:spacing w:line="276" w:lineRule="auto"/>
        <w:contextualSpacing/>
        <w:jc w:val="both"/>
        <w:rPr>
          <w:rFonts w:eastAsia="SimSun;宋体"/>
          <w:b/>
          <w:bCs/>
          <w:lang w:eastAsia="zh-CN"/>
        </w:rPr>
      </w:pPr>
      <w:r w:rsidRPr="00DD59BF">
        <w:rPr>
          <w:rFonts w:eastAsia="SimSun;宋体"/>
          <w:b/>
          <w:bCs/>
          <w:lang w:eastAsia="zh-CN"/>
        </w:rPr>
        <w:t>FUNDING</w:t>
      </w:r>
    </w:p>
    <w:p w14:paraId="072DE9FC" w14:textId="37E68BB2" w:rsidR="00BF3909" w:rsidRPr="00DD59BF" w:rsidRDefault="00BF3909" w:rsidP="00DD59BF">
      <w:pPr>
        <w:widowControl/>
        <w:suppressAutoHyphens/>
        <w:autoSpaceDE/>
        <w:autoSpaceDN/>
        <w:adjustRightInd/>
        <w:spacing w:line="276" w:lineRule="auto"/>
        <w:contextualSpacing/>
        <w:jc w:val="both"/>
        <w:rPr>
          <w:rFonts w:eastAsia="SimSun;宋体"/>
          <w:lang w:eastAsia="zh-CN"/>
        </w:rPr>
      </w:pPr>
      <w:r w:rsidRPr="00DD59BF">
        <w:rPr>
          <w:rFonts w:eastAsia="SimSun;宋体"/>
          <w:lang w:eastAsia="zh-CN"/>
        </w:rPr>
        <w:t xml:space="preserve">This research received </w:t>
      </w:r>
      <w:r w:rsidRPr="00DD59BF">
        <w:rPr>
          <w:rFonts w:eastAsia="SimSun;宋体"/>
          <w:b/>
          <w:bCs/>
          <w:lang w:eastAsia="zh-CN"/>
        </w:rPr>
        <w:t>no external funding</w:t>
      </w:r>
      <w:r w:rsidRPr="00DD59BF">
        <w:rPr>
          <w:rFonts w:eastAsia="SimSun;宋体"/>
          <w:lang w:eastAsia="zh-CN"/>
        </w:rPr>
        <w:t>. All research activities, including data collection, analysis, and manuscript preparation, were conducted independently by the authors without financial support from any funding agency in the public, commercial, or non-profit sectors.</w:t>
      </w:r>
    </w:p>
    <w:p w14:paraId="077627DD" w14:textId="77777777" w:rsidR="00BF3909" w:rsidRPr="00DD59BF" w:rsidRDefault="00BF3909" w:rsidP="00DD59BF">
      <w:pPr>
        <w:widowControl/>
        <w:suppressAutoHyphens/>
        <w:autoSpaceDE/>
        <w:autoSpaceDN/>
        <w:adjustRightInd/>
        <w:spacing w:line="276" w:lineRule="auto"/>
        <w:contextualSpacing/>
        <w:jc w:val="both"/>
        <w:rPr>
          <w:rFonts w:eastAsia="SimSun;宋体"/>
          <w:b/>
          <w:bCs/>
          <w:lang w:eastAsia="zh-CN"/>
        </w:rPr>
      </w:pPr>
      <w:r w:rsidRPr="00DD59BF">
        <w:rPr>
          <w:rFonts w:eastAsia="SimSun;宋体"/>
          <w:b/>
          <w:bCs/>
          <w:lang w:eastAsia="zh-CN"/>
        </w:rPr>
        <w:t>AUTHOR CONTRIBUTIONS</w:t>
      </w:r>
    </w:p>
    <w:p w14:paraId="5AE40F6B" w14:textId="42A6EFED" w:rsidR="00BF3909" w:rsidRPr="00DD59BF" w:rsidRDefault="00BF3909" w:rsidP="00DD59BF">
      <w:pPr>
        <w:widowControl/>
        <w:suppressAutoHyphens/>
        <w:autoSpaceDE/>
        <w:autoSpaceDN/>
        <w:adjustRightInd/>
        <w:spacing w:line="276" w:lineRule="auto"/>
        <w:contextualSpacing/>
        <w:jc w:val="both"/>
        <w:rPr>
          <w:rFonts w:eastAsia="SimSun;宋体"/>
          <w:lang w:eastAsia="zh-CN"/>
        </w:rPr>
      </w:pPr>
      <w:r w:rsidRPr="00DD59BF">
        <w:rPr>
          <w:rFonts w:eastAsia="SimSun;宋体"/>
          <w:b/>
          <w:bCs/>
          <w:lang w:eastAsia="zh-CN"/>
        </w:rPr>
        <w:t>Conceptualization:</w:t>
      </w:r>
      <w:r w:rsidRPr="00DD59BF">
        <w:rPr>
          <w:rFonts w:eastAsia="SimSun;宋体"/>
          <w:lang w:eastAsia="zh-CN"/>
        </w:rPr>
        <w:t xml:space="preserve"> </w:t>
      </w:r>
      <w:r w:rsidR="00F7248E" w:rsidRPr="00DD59BF">
        <w:rPr>
          <w:rFonts w:eastAsia="SimSun;宋体"/>
          <w:lang w:eastAsia="zh-CN"/>
        </w:rPr>
        <w:t>Siti Maryam Mardiah</w:t>
      </w:r>
      <w:r w:rsidRPr="00DD59BF">
        <w:rPr>
          <w:rFonts w:eastAsia="SimSun;宋体"/>
          <w:lang w:eastAsia="zh-CN"/>
        </w:rPr>
        <w:t xml:space="preserve">, </w:t>
      </w:r>
      <w:proofErr w:type="spellStart"/>
      <w:r w:rsidRPr="00DD59BF">
        <w:rPr>
          <w:rFonts w:eastAsia="SimSun;宋体"/>
          <w:lang w:eastAsia="zh-CN"/>
        </w:rPr>
        <w:t>Irwan</w:t>
      </w:r>
      <w:proofErr w:type="spellEnd"/>
      <w:r w:rsidRPr="00DD59BF">
        <w:rPr>
          <w:rFonts w:eastAsia="SimSun;宋体"/>
          <w:lang w:eastAsia="zh-CN"/>
        </w:rPr>
        <w:t xml:space="preserve"> Misbach</w:t>
      </w:r>
    </w:p>
    <w:p w14:paraId="7A30564E" w14:textId="1CF1B30D" w:rsidR="00BF3909" w:rsidRPr="00DD59BF" w:rsidRDefault="00BF3909" w:rsidP="00DD59BF">
      <w:pPr>
        <w:widowControl/>
        <w:suppressAutoHyphens/>
        <w:autoSpaceDE/>
        <w:autoSpaceDN/>
        <w:adjustRightInd/>
        <w:spacing w:line="276" w:lineRule="auto"/>
        <w:contextualSpacing/>
        <w:jc w:val="both"/>
        <w:rPr>
          <w:rFonts w:eastAsia="SimSun;宋体"/>
          <w:lang w:eastAsia="zh-CN"/>
        </w:rPr>
      </w:pPr>
      <w:r w:rsidRPr="00DD59BF">
        <w:rPr>
          <w:rFonts w:eastAsia="SimSun;宋体"/>
          <w:b/>
          <w:bCs/>
          <w:lang w:eastAsia="zh-CN"/>
        </w:rPr>
        <w:t>Methodology:</w:t>
      </w:r>
      <w:r w:rsidRPr="00DD59BF">
        <w:rPr>
          <w:rFonts w:eastAsia="SimSun;宋体"/>
          <w:lang w:eastAsia="zh-CN"/>
        </w:rPr>
        <w:t xml:space="preserve"> </w:t>
      </w:r>
      <w:r w:rsidR="00F7248E" w:rsidRPr="00DD59BF">
        <w:rPr>
          <w:rFonts w:eastAsia="SimSun;宋体"/>
          <w:lang w:eastAsia="zh-CN"/>
        </w:rPr>
        <w:t>Siti Maryam Mardiah</w:t>
      </w:r>
      <w:r w:rsidRPr="00DD59BF">
        <w:rPr>
          <w:rFonts w:eastAsia="SimSun;宋体"/>
          <w:lang w:eastAsia="zh-CN"/>
        </w:rPr>
        <w:t xml:space="preserve">, </w:t>
      </w:r>
      <w:r w:rsidR="00F7248E" w:rsidRPr="00DD59BF">
        <w:rPr>
          <w:rFonts w:eastAsia="SimSun;宋体"/>
          <w:lang w:eastAsia="zh-CN"/>
        </w:rPr>
        <w:t>Rahmawati Muin</w:t>
      </w:r>
    </w:p>
    <w:p w14:paraId="2B6BF7C2" w14:textId="77F4105B" w:rsidR="00BF3909" w:rsidRPr="00DD59BF" w:rsidRDefault="00BF3909" w:rsidP="00DD59BF">
      <w:pPr>
        <w:widowControl/>
        <w:suppressAutoHyphens/>
        <w:autoSpaceDE/>
        <w:autoSpaceDN/>
        <w:adjustRightInd/>
        <w:spacing w:line="276" w:lineRule="auto"/>
        <w:contextualSpacing/>
        <w:jc w:val="both"/>
        <w:rPr>
          <w:rFonts w:eastAsia="SimSun;宋体"/>
          <w:lang w:eastAsia="zh-CN"/>
        </w:rPr>
      </w:pPr>
      <w:r w:rsidRPr="00DD59BF">
        <w:rPr>
          <w:rFonts w:eastAsia="SimSun;宋体"/>
          <w:b/>
          <w:bCs/>
          <w:lang w:eastAsia="zh-CN"/>
        </w:rPr>
        <w:t>Formal Analysis:</w:t>
      </w:r>
      <w:r w:rsidRPr="00DD59BF">
        <w:rPr>
          <w:rFonts w:eastAsia="SimSun;宋体"/>
          <w:lang w:eastAsia="zh-CN"/>
        </w:rPr>
        <w:t xml:space="preserve"> </w:t>
      </w:r>
      <w:r w:rsidR="00F7248E" w:rsidRPr="00DD59BF">
        <w:rPr>
          <w:rFonts w:eastAsia="SimSun;宋体"/>
          <w:lang w:eastAsia="zh-CN"/>
        </w:rPr>
        <w:t xml:space="preserve">Siti Maryam </w:t>
      </w:r>
      <w:proofErr w:type="spellStart"/>
      <w:r w:rsidR="00F7248E" w:rsidRPr="00DD59BF">
        <w:rPr>
          <w:rFonts w:eastAsia="SimSun;宋体"/>
          <w:lang w:eastAsia="zh-CN"/>
        </w:rPr>
        <w:t>Mardiah</w:t>
      </w:r>
      <w:proofErr w:type="spellEnd"/>
    </w:p>
    <w:p w14:paraId="680C860C" w14:textId="3820B6CF" w:rsidR="00BF3909" w:rsidRPr="00DD59BF" w:rsidRDefault="00BF3909" w:rsidP="00DD59BF">
      <w:pPr>
        <w:widowControl/>
        <w:suppressAutoHyphens/>
        <w:autoSpaceDE/>
        <w:autoSpaceDN/>
        <w:adjustRightInd/>
        <w:spacing w:line="276" w:lineRule="auto"/>
        <w:contextualSpacing/>
        <w:jc w:val="both"/>
        <w:rPr>
          <w:rFonts w:eastAsia="SimSun;宋体"/>
          <w:lang w:eastAsia="zh-CN"/>
        </w:rPr>
      </w:pPr>
      <w:r w:rsidRPr="00DD59BF">
        <w:rPr>
          <w:rFonts w:eastAsia="SimSun;宋体"/>
          <w:b/>
          <w:bCs/>
          <w:lang w:eastAsia="zh-CN"/>
        </w:rPr>
        <w:t>Investigation:</w:t>
      </w:r>
      <w:r w:rsidRPr="00DD59BF">
        <w:rPr>
          <w:rFonts w:eastAsia="SimSun;宋体"/>
          <w:lang w:eastAsia="zh-CN"/>
        </w:rPr>
        <w:t xml:space="preserve"> </w:t>
      </w:r>
      <w:r w:rsidR="00F7248E" w:rsidRPr="00DD59BF">
        <w:rPr>
          <w:rFonts w:eastAsia="SimSun;宋体"/>
          <w:lang w:eastAsia="zh-CN"/>
        </w:rPr>
        <w:t xml:space="preserve">Siti Maryam </w:t>
      </w:r>
      <w:proofErr w:type="spellStart"/>
      <w:r w:rsidR="00F7248E" w:rsidRPr="00DD59BF">
        <w:rPr>
          <w:rFonts w:eastAsia="SimSun;宋体"/>
          <w:lang w:eastAsia="zh-CN"/>
        </w:rPr>
        <w:t>Mardiah</w:t>
      </w:r>
      <w:proofErr w:type="spellEnd"/>
    </w:p>
    <w:p w14:paraId="437F5985" w14:textId="750F11CF" w:rsidR="00BF3909" w:rsidRPr="00DD59BF" w:rsidRDefault="00BF3909" w:rsidP="00DD59BF">
      <w:pPr>
        <w:widowControl/>
        <w:suppressAutoHyphens/>
        <w:autoSpaceDE/>
        <w:autoSpaceDN/>
        <w:adjustRightInd/>
        <w:spacing w:line="276" w:lineRule="auto"/>
        <w:contextualSpacing/>
        <w:jc w:val="both"/>
        <w:rPr>
          <w:rFonts w:eastAsia="SimSun;宋体"/>
          <w:lang w:eastAsia="zh-CN"/>
        </w:rPr>
      </w:pPr>
      <w:r w:rsidRPr="00DD59BF">
        <w:rPr>
          <w:rFonts w:eastAsia="SimSun;宋体"/>
          <w:b/>
          <w:bCs/>
          <w:lang w:eastAsia="zh-CN"/>
        </w:rPr>
        <w:t>Data Curation:</w:t>
      </w:r>
      <w:r w:rsidRPr="00DD59BF">
        <w:rPr>
          <w:rFonts w:eastAsia="SimSun;宋体"/>
          <w:lang w:eastAsia="zh-CN"/>
        </w:rPr>
        <w:t xml:space="preserve"> </w:t>
      </w:r>
      <w:r w:rsidR="00F7248E" w:rsidRPr="00DD59BF">
        <w:rPr>
          <w:rFonts w:eastAsia="SimSun;宋体"/>
          <w:lang w:eastAsia="zh-CN"/>
        </w:rPr>
        <w:t xml:space="preserve">Siti Maryam </w:t>
      </w:r>
      <w:proofErr w:type="spellStart"/>
      <w:r w:rsidR="00F7248E" w:rsidRPr="00DD59BF">
        <w:rPr>
          <w:rFonts w:eastAsia="SimSun;宋体"/>
          <w:lang w:eastAsia="zh-CN"/>
        </w:rPr>
        <w:t>Mardiah</w:t>
      </w:r>
      <w:proofErr w:type="spellEnd"/>
    </w:p>
    <w:p w14:paraId="079A1105" w14:textId="66EA7525" w:rsidR="00BF3909" w:rsidRPr="00DD59BF" w:rsidRDefault="00BF3909" w:rsidP="00DD59BF">
      <w:pPr>
        <w:widowControl/>
        <w:suppressAutoHyphens/>
        <w:autoSpaceDE/>
        <w:autoSpaceDN/>
        <w:adjustRightInd/>
        <w:spacing w:line="276" w:lineRule="auto"/>
        <w:contextualSpacing/>
        <w:jc w:val="both"/>
        <w:rPr>
          <w:rFonts w:eastAsia="SimSun;宋体"/>
          <w:lang w:eastAsia="zh-CN"/>
        </w:rPr>
      </w:pPr>
      <w:r w:rsidRPr="00DD59BF">
        <w:rPr>
          <w:rFonts w:eastAsia="SimSun;宋体"/>
          <w:b/>
          <w:bCs/>
          <w:lang w:eastAsia="zh-CN"/>
        </w:rPr>
        <w:t>Writing – Original Draft Preparation:</w:t>
      </w:r>
      <w:r w:rsidRPr="00DD59BF">
        <w:rPr>
          <w:rFonts w:eastAsia="SimSun;宋体"/>
          <w:lang w:eastAsia="zh-CN"/>
        </w:rPr>
        <w:t xml:space="preserve"> </w:t>
      </w:r>
      <w:r w:rsidR="00F7248E" w:rsidRPr="00DD59BF">
        <w:rPr>
          <w:rFonts w:eastAsia="SimSun;宋体"/>
          <w:lang w:eastAsia="zh-CN"/>
        </w:rPr>
        <w:t xml:space="preserve">Siti Maryam </w:t>
      </w:r>
      <w:proofErr w:type="spellStart"/>
      <w:r w:rsidR="00F7248E" w:rsidRPr="00DD59BF">
        <w:rPr>
          <w:rFonts w:eastAsia="SimSun;宋体"/>
          <w:lang w:eastAsia="zh-CN"/>
        </w:rPr>
        <w:t>Mardiah</w:t>
      </w:r>
      <w:proofErr w:type="spellEnd"/>
    </w:p>
    <w:p w14:paraId="3C8BAE28" w14:textId="77777777" w:rsidR="00BF3909" w:rsidRPr="00DD59BF" w:rsidRDefault="00BF3909" w:rsidP="00DD59BF">
      <w:pPr>
        <w:widowControl/>
        <w:suppressAutoHyphens/>
        <w:autoSpaceDE/>
        <w:autoSpaceDN/>
        <w:adjustRightInd/>
        <w:spacing w:line="276" w:lineRule="auto"/>
        <w:contextualSpacing/>
        <w:jc w:val="both"/>
        <w:rPr>
          <w:rFonts w:eastAsia="SimSun;宋体"/>
          <w:lang w:eastAsia="zh-CN"/>
        </w:rPr>
      </w:pPr>
      <w:r w:rsidRPr="00DD59BF">
        <w:rPr>
          <w:rFonts w:eastAsia="SimSun;宋体"/>
          <w:b/>
          <w:bCs/>
          <w:lang w:eastAsia="zh-CN"/>
        </w:rPr>
        <w:t>Writing – Review &amp; Editing:</w:t>
      </w:r>
      <w:r w:rsidRPr="00DD59BF">
        <w:rPr>
          <w:rFonts w:eastAsia="SimSun;宋体"/>
          <w:lang w:eastAsia="zh-CN"/>
        </w:rPr>
        <w:t xml:space="preserve"> </w:t>
      </w:r>
      <w:proofErr w:type="spellStart"/>
      <w:r w:rsidRPr="00DD59BF">
        <w:rPr>
          <w:rFonts w:eastAsia="SimSun;宋体"/>
          <w:lang w:eastAsia="zh-CN"/>
        </w:rPr>
        <w:t>Irwan</w:t>
      </w:r>
      <w:proofErr w:type="spellEnd"/>
      <w:r w:rsidRPr="00DD59BF">
        <w:rPr>
          <w:rFonts w:eastAsia="SimSun;宋体"/>
          <w:lang w:eastAsia="zh-CN"/>
        </w:rPr>
        <w:t xml:space="preserve"> Misbach, Rahmawati Muin</w:t>
      </w:r>
    </w:p>
    <w:p w14:paraId="55A4F6FE" w14:textId="77777777" w:rsidR="00BF3909" w:rsidRPr="00DD59BF" w:rsidRDefault="00BF3909" w:rsidP="00DD59BF">
      <w:pPr>
        <w:widowControl/>
        <w:suppressAutoHyphens/>
        <w:autoSpaceDE/>
        <w:autoSpaceDN/>
        <w:adjustRightInd/>
        <w:spacing w:line="276" w:lineRule="auto"/>
        <w:contextualSpacing/>
        <w:jc w:val="both"/>
        <w:rPr>
          <w:rFonts w:eastAsia="SimSun;宋体"/>
          <w:lang w:eastAsia="zh-CN"/>
        </w:rPr>
      </w:pPr>
      <w:r w:rsidRPr="00DD59BF">
        <w:rPr>
          <w:rFonts w:eastAsia="SimSun;宋体"/>
          <w:b/>
          <w:bCs/>
          <w:lang w:eastAsia="zh-CN"/>
        </w:rPr>
        <w:t>Supervision:</w:t>
      </w:r>
      <w:r w:rsidRPr="00DD59BF">
        <w:rPr>
          <w:rFonts w:eastAsia="SimSun;宋体"/>
          <w:lang w:eastAsia="zh-CN"/>
        </w:rPr>
        <w:t xml:space="preserve"> </w:t>
      </w:r>
      <w:proofErr w:type="spellStart"/>
      <w:r w:rsidRPr="00DD59BF">
        <w:rPr>
          <w:rFonts w:eastAsia="SimSun;宋体"/>
          <w:lang w:eastAsia="zh-CN"/>
        </w:rPr>
        <w:t>Irwan</w:t>
      </w:r>
      <w:proofErr w:type="spellEnd"/>
      <w:r w:rsidRPr="00DD59BF">
        <w:rPr>
          <w:rFonts w:eastAsia="SimSun;宋体"/>
          <w:lang w:eastAsia="zh-CN"/>
        </w:rPr>
        <w:t xml:space="preserve"> Misbach, Rahmawati Muin</w:t>
      </w:r>
    </w:p>
    <w:p w14:paraId="1E18EA94" w14:textId="5673178F" w:rsidR="00BF3909" w:rsidRPr="00DD59BF" w:rsidRDefault="00BF3909" w:rsidP="00DD59BF">
      <w:pPr>
        <w:widowControl/>
        <w:suppressAutoHyphens/>
        <w:autoSpaceDE/>
        <w:autoSpaceDN/>
        <w:adjustRightInd/>
        <w:spacing w:line="276" w:lineRule="auto"/>
        <w:contextualSpacing/>
        <w:jc w:val="both"/>
        <w:rPr>
          <w:rFonts w:eastAsia="SimSun;宋体"/>
          <w:lang w:eastAsia="zh-CN"/>
        </w:rPr>
      </w:pPr>
      <w:r w:rsidRPr="00DD59BF">
        <w:rPr>
          <w:rFonts w:eastAsia="SimSun;宋体"/>
          <w:lang w:eastAsia="zh-CN"/>
        </w:rPr>
        <w:t>All authors have read and approved the final version of the manuscript.</w:t>
      </w:r>
    </w:p>
    <w:p w14:paraId="3CEBFC31" w14:textId="77777777" w:rsidR="00BF3909" w:rsidRPr="00DD59BF" w:rsidRDefault="00BF3909" w:rsidP="00DD59BF">
      <w:pPr>
        <w:widowControl/>
        <w:suppressAutoHyphens/>
        <w:autoSpaceDE/>
        <w:autoSpaceDN/>
        <w:adjustRightInd/>
        <w:spacing w:line="276" w:lineRule="auto"/>
        <w:contextualSpacing/>
        <w:jc w:val="both"/>
        <w:rPr>
          <w:rFonts w:eastAsia="SimSun;宋体"/>
          <w:b/>
          <w:bCs/>
          <w:lang w:eastAsia="zh-CN"/>
        </w:rPr>
      </w:pPr>
      <w:r w:rsidRPr="00DD59BF">
        <w:rPr>
          <w:rFonts w:eastAsia="SimSun;宋体"/>
          <w:b/>
          <w:bCs/>
          <w:lang w:eastAsia="zh-CN"/>
        </w:rPr>
        <w:t>DATA AVAILABILITY STATEMENT</w:t>
      </w:r>
    </w:p>
    <w:p w14:paraId="04A87C26" w14:textId="0DC61977" w:rsidR="00BF3909" w:rsidRPr="00DD59BF" w:rsidRDefault="00BF3909" w:rsidP="00DD59BF">
      <w:pPr>
        <w:widowControl/>
        <w:suppressAutoHyphens/>
        <w:autoSpaceDE/>
        <w:autoSpaceDN/>
        <w:adjustRightInd/>
        <w:spacing w:line="276" w:lineRule="auto"/>
        <w:contextualSpacing/>
        <w:jc w:val="both"/>
        <w:rPr>
          <w:rFonts w:eastAsia="SimSun;宋体"/>
          <w:lang w:eastAsia="zh-CN"/>
        </w:rPr>
      </w:pPr>
      <w:r w:rsidRPr="00DD59BF">
        <w:rPr>
          <w:rFonts w:eastAsia="SimSun;宋体"/>
          <w:lang w:eastAsia="zh-CN"/>
        </w:rPr>
        <w:t>The data supporting the findings of this study are available from the corresponding author upon reasonable request. The dataset is not publicly available because it contains information that may compromise the privacy of research participants.</w:t>
      </w:r>
    </w:p>
    <w:p w14:paraId="4EAF6F55" w14:textId="77777777" w:rsidR="00BF3909" w:rsidRPr="00DD59BF" w:rsidRDefault="00BF3909" w:rsidP="00DD59BF">
      <w:pPr>
        <w:widowControl/>
        <w:suppressAutoHyphens/>
        <w:autoSpaceDE/>
        <w:autoSpaceDN/>
        <w:adjustRightInd/>
        <w:spacing w:line="276" w:lineRule="auto"/>
        <w:contextualSpacing/>
        <w:jc w:val="both"/>
        <w:rPr>
          <w:rFonts w:eastAsia="SimSun;宋体"/>
          <w:b/>
          <w:bCs/>
          <w:lang w:eastAsia="zh-CN"/>
        </w:rPr>
      </w:pPr>
      <w:r w:rsidRPr="00DD59BF">
        <w:rPr>
          <w:rFonts w:eastAsia="SimSun;宋体"/>
          <w:b/>
          <w:bCs/>
          <w:lang w:eastAsia="zh-CN"/>
        </w:rPr>
        <w:t>CONFLICT OF INTEREST</w:t>
      </w:r>
    </w:p>
    <w:p w14:paraId="5DC7E53F" w14:textId="3542DC5E" w:rsidR="00BF3909" w:rsidRPr="00DD59BF" w:rsidRDefault="00BF3909" w:rsidP="00DD59BF">
      <w:pPr>
        <w:widowControl/>
        <w:suppressAutoHyphens/>
        <w:autoSpaceDE/>
        <w:autoSpaceDN/>
        <w:adjustRightInd/>
        <w:spacing w:line="276" w:lineRule="auto"/>
        <w:contextualSpacing/>
        <w:jc w:val="both"/>
        <w:rPr>
          <w:rFonts w:eastAsia="SimSun;宋体"/>
          <w:lang w:eastAsia="zh-CN"/>
        </w:rPr>
      </w:pPr>
      <w:r w:rsidRPr="00DD59BF">
        <w:rPr>
          <w:rFonts w:eastAsia="SimSun;宋体"/>
          <w:lang w:eastAsia="zh-CN"/>
        </w:rPr>
        <w:t xml:space="preserve">The authors declare that there are </w:t>
      </w:r>
      <w:r w:rsidRPr="00DD59BF">
        <w:rPr>
          <w:rFonts w:eastAsia="SimSun;宋体"/>
          <w:b/>
          <w:bCs/>
          <w:lang w:eastAsia="zh-CN"/>
        </w:rPr>
        <w:t>no conflicts of interest</w:t>
      </w:r>
      <w:r w:rsidRPr="00DD59BF">
        <w:rPr>
          <w:rFonts w:eastAsia="SimSun;宋体"/>
          <w:lang w:eastAsia="zh-CN"/>
        </w:rPr>
        <w:t xml:space="preserve"> regarding the publication of this article.</w:t>
      </w:r>
    </w:p>
    <w:p w14:paraId="58B28CBC" w14:textId="77777777" w:rsidR="00BF3909" w:rsidRPr="00DD59BF" w:rsidRDefault="00BF3909" w:rsidP="00DD59BF">
      <w:pPr>
        <w:widowControl/>
        <w:suppressAutoHyphens/>
        <w:autoSpaceDE/>
        <w:autoSpaceDN/>
        <w:adjustRightInd/>
        <w:spacing w:line="276" w:lineRule="auto"/>
        <w:contextualSpacing/>
        <w:jc w:val="both"/>
        <w:rPr>
          <w:rFonts w:eastAsia="SimSun;宋体"/>
          <w:b/>
          <w:bCs/>
          <w:lang w:eastAsia="zh-CN"/>
        </w:rPr>
      </w:pPr>
      <w:r w:rsidRPr="00DD59BF">
        <w:rPr>
          <w:rFonts w:eastAsia="SimSun;宋体"/>
          <w:b/>
          <w:bCs/>
          <w:lang w:eastAsia="zh-CN"/>
        </w:rPr>
        <w:t>ACKNOWLEDGEMENTS</w:t>
      </w:r>
    </w:p>
    <w:p w14:paraId="54CDE2E2" w14:textId="77777777" w:rsidR="00BF3909" w:rsidRPr="00DD59BF" w:rsidRDefault="00BF3909" w:rsidP="00DD59BF">
      <w:pPr>
        <w:widowControl/>
        <w:suppressAutoHyphens/>
        <w:autoSpaceDE/>
        <w:autoSpaceDN/>
        <w:adjustRightInd/>
        <w:spacing w:line="276" w:lineRule="auto"/>
        <w:contextualSpacing/>
        <w:jc w:val="both"/>
        <w:rPr>
          <w:rFonts w:eastAsia="SimSun;宋体"/>
          <w:lang w:eastAsia="zh-CN"/>
        </w:rPr>
      </w:pPr>
      <w:r w:rsidRPr="00DD59BF">
        <w:rPr>
          <w:rFonts w:eastAsia="SimSun;宋体"/>
          <w:lang w:eastAsia="zh-CN"/>
        </w:rPr>
        <w:t xml:space="preserve">The authors would like to express their sincere gratitude to </w:t>
      </w:r>
      <w:r w:rsidRPr="00DD59BF">
        <w:rPr>
          <w:rFonts w:eastAsia="SimSun;宋体"/>
          <w:b/>
          <w:bCs/>
          <w:lang w:eastAsia="zh-CN"/>
        </w:rPr>
        <w:t>Yayasan Hadji Kalla</w:t>
      </w:r>
      <w:r w:rsidRPr="00DD59BF">
        <w:rPr>
          <w:rFonts w:eastAsia="SimSun;宋体"/>
          <w:lang w:eastAsia="zh-CN"/>
        </w:rPr>
        <w:t xml:space="preserve"> for granting permission and providing access to conduct this research. The authors also sincerely appreciate all respondents who voluntarily participated in the survey and contributed valuable information to this study.</w:t>
      </w:r>
    </w:p>
    <w:p w14:paraId="1DD9C855" w14:textId="57E3FE17" w:rsidR="00BF3909" w:rsidRPr="00DD59BF" w:rsidRDefault="00BF3909" w:rsidP="00DD59BF">
      <w:pPr>
        <w:widowControl/>
        <w:suppressAutoHyphens/>
        <w:autoSpaceDE/>
        <w:autoSpaceDN/>
        <w:adjustRightInd/>
        <w:spacing w:line="276" w:lineRule="auto"/>
        <w:contextualSpacing/>
        <w:jc w:val="both"/>
        <w:rPr>
          <w:rFonts w:eastAsia="SimSun;宋体"/>
          <w:lang w:eastAsia="zh-CN"/>
        </w:rPr>
      </w:pPr>
      <w:r w:rsidRPr="00DD59BF">
        <w:rPr>
          <w:rFonts w:eastAsia="SimSun;宋体"/>
          <w:lang w:eastAsia="zh-CN"/>
        </w:rPr>
        <w:t xml:space="preserve">Special appreciation is extended to </w:t>
      </w:r>
      <w:proofErr w:type="spellStart"/>
      <w:r w:rsidRPr="00DD59BF">
        <w:rPr>
          <w:rFonts w:eastAsia="SimSun;宋体"/>
          <w:b/>
          <w:bCs/>
          <w:lang w:eastAsia="zh-CN"/>
        </w:rPr>
        <w:t>Irwan</w:t>
      </w:r>
      <w:proofErr w:type="spellEnd"/>
      <w:r w:rsidRPr="00DD59BF">
        <w:rPr>
          <w:rFonts w:eastAsia="SimSun;宋体"/>
          <w:b/>
          <w:bCs/>
          <w:lang w:eastAsia="zh-CN"/>
        </w:rPr>
        <w:t xml:space="preserve"> Misbach</w:t>
      </w:r>
      <w:r w:rsidRPr="00DD59BF">
        <w:rPr>
          <w:rFonts w:eastAsia="SimSun;宋体"/>
          <w:lang w:eastAsia="zh-CN"/>
        </w:rPr>
        <w:t xml:space="preserve"> and </w:t>
      </w:r>
      <w:r w:rsidRPr="00DD59BF">
        <w:rPr>
          <w:rFonts w:eastAsia="SimSun;宋体"/>
          <w:b/>
          <w:bCs/>
          <w:lang w:eastAsia="zh-CN"/>
        </w:rPr>
        <w:t>Rahmawati Muin</w:t>
      </w:r>
      <w:r w:rsidRPr="00DD59BF">
        <w:rPr>
          <w:rFonts w:eastAsia="SimSun;宋体"/>
          <w:lang w:eastAsia="zh-CN"/>
        </w:rPr>
        <w:t xml:space="preserve"> for their invaluable guidance, constructive comments, and continuous support throughout the completion of this research.</w:t>
      </w:r>
    </w:p>
    <w:p w14:paraId="0F5A1E19" w14:textId="77777777" w:rsidR="00BF3909" w:rsidRDefault="00BF3909" w:rsidP="00DD59BF">
      <w:pPr>
        <w:pStyle w:val="NormalWeb"/>
        <w:spacing w:before="0" w:beforeAutospacing="0" w:after="0" w:afterAutospacing="0" w:line="276" w:lineRule="auto"/>
        <w:jc w:val="both"/>
      </w:pPr>
    </w:p>
    <w:p w14:paraId="24227049" w14:textId="77777777" w:rsidR="00DD59BF" w:rsidRDefault="00DD59BF" w:rsidP="00DD59BF">
      <w:pPr>
        <w:pStyle w:val="NormalWeb"/>
        <w:spacing w:before="0" w:beforeAutospacing="0" w:after="0" w:afterAutospacing="0" w:line="276" w:lineRule="auto"/>
        <w:jc w:val="both"/>
      </w:pPr>
    </w:p>
    <w:p w14:paraId="50FD0C13" w14:textId="77777777" w:rsidR="00DD59BF" w:rsidRPr="00DD59BF" w:rsidRDefault="00DD59BF" w:rsidP="00DD59BF">
      <w:pPr>
        <w:pStyle w:val="NormalWeb"/>
        <w:spacing w:before="0" w:beforeAutospacing="0" w:after="0" w:afterAutospacing="0" w:line="276" w:lineRule="auto"/>
        <w:jc w:val="both"/>
      </w:pPr>
    </w:p>
    <w:p w14:paraId="4DCE05FB" w14:textId="77777777" w:rsidR="00AC29B0" w:rsidRPr="00DD59BF" w:rsidRDefault="00AC29B0" w:rsidP="00DD59BF">
      <w:pPr>
        <w:suppressAutoHyphens/>
        <w:autoSpaceDN/>
        <w:adjustRightInd/>
        <w:spacing w:line="276" w:lineRule="auto"/>
        <w:jc w:val="both"/>
        <w:rPr>
          <w:rFonts w:eastAsia="SimSun;宋体"/>
          <w:b/>
          <w:bCs/>
          <w:lang w:eastAsia="zh-CN"/>
        </w:rPr>
      </w:pPr>
      <w:r w:rsidRPr="00DD59BF">
        <w:rPr>
          <w:rFonts w:eastAsia="SimSun;宋体"/>
          <w:b/>
          <w:bCs/>
          <w:lang w:eastAsia="zh-CN"/>
        </w:rPr>
        <w:t>REFERENCES</w:t>
      </w:r>
    </w:p>
    <w:p w14:paraId="7B23315A"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Abu Zahrah, M. (1958). </w:t>
      </w:r>
      <w:proofErr w:type="spellStart"/>
      <w:r w:rsidRPr="00DD59BF">
        <w:rPr>
          <w:i/>
          <w:iCs/>
        </w:rPr>
        <w:t>Ushul</w:t>
      </w:r>
      <w:proofErr w:type="spellEnd"/>
      <w:r w:rsidRPr="00DD59BF">
        <w:rPr>
          <w:i/>
          <w:iCs/>
        </w:rPr>
        <w:t xml:space="preserve"> al-</w:t>
      </w:r>
      <w:proofErr w:type="spellStart"/>
      <w:r w:rsidRPr="00DD59BF">
        <w:rPr>
          <w:i/>
          <w:iCs/>
        </w:rPr>
        <w:t>fiqh</w:t>
      </w:r>
      <w:proofErr w:type="spellEnd"/>
      <w:r w:rsidRPr="00DD59BF">
        <w:t>. Dar al-Fikr al-Arabi.</w:t>
      </w:r>
    </w:p>
    <w:p w14:paraId="10293B97"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Ahmad bin Hanbal. (n.d.). </w:t>
      </w:r>
      <w:proofErr w:type="spellStart"/>
      <w:r w:rsidRPr="00DD59BF">
        <w:rPr>
          <w:i/>
          <w:iCs/>
        </w:rPr>
        <w:t>Musnad</w:t>
      </w:r>
      <w:proofErr w:type="spellEnd"/>
      <w:r w:rsidRPr="00DD59BF">
        <w:rPr>
          <w:i/>
          <w:iCs/>
        </w:rPr>
        <w:t xml:space="preserve"> Ahmad bin Hanbal</w:t>
      </w:r>
      <w:r w:rsidRPr="00DD59BF">
        <w:t xml:space="preserve"> (Hadis No. 23408).</w:t>
      </w:r>
    </w:p>
    <w:p w14:paraId="18DFC6EE"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Al-Shatibi, A. I. (1997). </w:t>
      </w:r>
      <w:r w:rsidRPr="00DD59BF">
        <w:rPr>
          <w:i/>
          <w:iCs/>
        </w:rPr>
        <w:t>Al-</w:t>
      </w:r>
      <w:proofErr w:type="spellStart"/>
      <w:r w:rsidRPr="00DD59BF">
        <w:rPr>
          <w:i/>
          <w:iCs/>
        </w:rPr>
        <w:t>Muwafaqat</w:t>
      </w:r>
      <w:proofErr w:type="spellEnd"/>
      <w:r w:rsidRPr="00DD59BF">
        <w:rPr>
          <w:i/>
          <w:iCs/>
        </w:rPr>
        <w:t xml:space="preserve"> fi </w:t>
      </w:r>
      <w:proofErr w:type="spellStart"/>
      <w:r w:rsidRPr="00DD59BF">
        <w:rPr>
          <w:i/>
          <w:iCs/>
        </w:rPr>
        <w:t>usul</w:t>
      </w:r>
      <w:proofErr w:type="spellEnd"/>
      <w:r w:rsidRPr="00DD59BF">
        <w:rPr>
          <w:i/>
          <w:iCs/>
        </w:rPr>
        <w:t xml:space="preserve"> al-shariah</w:t>
      </w:r>
      <w:r w:rsidRPr="00DD59BF">
        <w:t>. Dar Ibn Affan.</w:t>
      </w:r>
    </w:p>
    <w:p w14:paraId="5BDF5F57"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ASEAN CSR Network. (2025). </w:t>
      </w:r>
      <w:r w:rsidRPr="00DD59BF">
        <w:rPr>
          <w:i/>
          <w:iCs/>
        </w:rPr>
        <w:t>ASEAN CSR outlook report 2025</w:t>
      </w:r>
      <w:r w:rsidRPr="00DD59BF">
        <w:t>. ASEAN CSR Network.</w:t>
      </w:r>
    </w:p>
    <w:p w14:paraId="2359865E"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Carroll, A. B. (1999). Corporate social responsibility: Evolution of a definitional construct. </w:t>
      </w:r>
      <w:r w:rsidRPr="00DD59BF">
        <w:rPr>
          <w:i/>
          <w:iCs/>
        </w:rPr>
        <w:t>Business &amp; Society, 38</w:t>
      </w:r>
      <w:r w:rsidRPr="00DD59BF">
        <w:t xml:space="preserve">(3), 268–295. </w:t>
      </w:r>
      <w:hyperlink r:id="rId14" w:tgtFrame="_new" w:history="1">
        <w:r w:rsidRPr="00DD59BF">
          <w:rPr>
            <w:rStyle w:val="Hyperlink"/>
          </w:rPr>
          <w:t>https://doi.org/10.1177/000765039903800303</w:t>
        </w:r>
      </w:hyperlink>
    </w:p>
    <w:p w14:paraId="3C847DFE" w14:textId="77777777" w:rsidR="00FA0FF1" w:rsidRPr="00DD59BF" w:rsidRDefault="00FA0FF1" w:rsidP="00DD59BF">
      <w:pPr>
        <w:pStyle w:val="NormalWeb"/>
        <w:numPr>
          <w:ilvl w:val="0"/>
          <w:numId w:val="12"/>
        </w:numPr>
        <w:spacing w:before="0" w:beforeAutospacing="0" w:after="0" w:afterAutospacing="0" w:line="276" w:lineRule="auto"/>
        <w:ind w:left="709"/>
        <w:jc w:val="both"/>
      </w:pPr>
      <w:proofErr w:type="spellStart"/>
      <w:r w:rsidRPr="00DD59BF">
        <w:t>Febriyati</w:t>
      </w:r>
      <w:proofErr w:type="spellEnd"/>
      <w:r w:rsidRPr="00DD59BF">
        <w:t xml:space="preserve">, N., &amp; Arfah, A. (2020). Islamic corporate social responsibility: A conceptual framework. </w:t>
      </w:r>
      <w:r w:rsidRPr="00DD59BF">
        <w:rPr>
          <w:i/>
          <w:iCs/>
        </w:rPr>
        <w:t>Journal of Islamic Accounting and Business Research, 11</w:t>
      </w:r>
      <w:r w:rsidRPr="00DD59BF">
        <w:t>(5), 1021–1035.</w:t>
      </w:r>
    </w:p>
    <w:p w14:paraId="41E25BCE" w14:textId="77777777" w:rsidR="00FA0FF1" w:rsidRPr="00DD59BF" w:rsidRDefault="00FA0FF1" w:rsidP="00DD59BF">
      <w:pPr>
        <w:pStyle w:val="NormalWeb"/>
        <w:numPr>
          <w:ilvl w:val="0"/>
          <w:numId w:val="12"/>
        </w:numPr>
        <w:spacing w:before="0" w:beforeAutospacing="0" w:after="0" w:afterAutospacing="0" w:line="276" w:lineRule="auto"/>
        <w:ind w:left="709"/>
        <w:jc w:val="both"/>
      </w:pPr>
      <w:proofErr w:type="spellStart"/>
      <w:r w:rsidRPr="00DD59BF">
        <w:t>Ghozali</w:t>
      </w:r>
      <w:proofErr w:type="spellEnd"/>
      <w:r w:rsidRPr="00DD59BF">
        <w:t xml:space="preserve">, I. (2018). </w:t>
      </w:r>
      <w:proofErr w:type="spellStart"/>
      <w:r w:rsidRPr="00DD59BF">
        <w:rPr>
          <w:i/>
          <w:iCs/>
        </w:rPr>
        <w:t>Aplikasi</w:t>
      </w:r>
      <w:proofErr w:type="spellEnd"/>
      <w:r w:rsidRPr="00DD59BF">
        <w:rPr>
          <w:i/>
          <w:iCs/>
        </w:rPr>
        <w:t xml:space="preserve"> </w:t>
      </w:r>
      <w:proofErr w:type="spellStart"/>
      <w:r w:rsidRPr="00DD59BF">
        <w:rPr>
          <w:i/>
          <w:iCs/>
        </w:rPr>
        <w:t>analisis</w:t>
      </w:r>
      <w:proofErr w:type="spellEnd"/>
      <w:r w:rsidRPr="00DD59BF">
        <w:rPr>
          <w:i/>
          <w:iCs/>
        </w:rPr>
        <w:t xml:space="preserve"> multivariate </w:t>
      </w:r>
      <w:proofErr w:type="spellStart"/>
      <w:r w:rsidRPr="00DD59BF">
        <w:rPr>
          <w:i/>
          <w:iCs/>
        </w:rPr>
        <w:t>dengan</w:t>
      </w:r>
      <w:proofErr w:type="spellEnd"/>
      <w:r w:rsidRPr="00DD59BF">
        <w:rPr>
          <w:i/>
          <w:iCs/>
        </w:rPr>
        <w:t xml:space="preserve"> program IBM SPSS 25</w:t>
      </w:r>
      <w:r w:rsidRPr="00DD59BF">
        <w:t xml:space="preserve"> (9th ed.). Badan </w:t>
      </w:r>
      <w:proofErr w:type="spellStart"/>
      <w:r w:rsidRPr="00DD59BF">
        <w:t>Penerbit</w:t>
      </w:r>
      <w:proofErr w:type="spellEnd"/>
      <w:r w:rsidRPr="00DD59BF">
        <w:t xml:space="preserve"> Universitas </w:t>
      </w:r>
      <w:proofErr w:type="spellStart"/>
      <w:r w:rsidRPr="00DD59BF">
        <w:t>Diponegoro</w:t>
      </w:r>
      <w:proofErr w:type="spellEnd"/>
      <w:r w:rsidRPr="00DD59BF">
        <w:t>.</w:t>
      </w:r>
    </w:p>
    <w:p w14:paraId="23E8C235"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Hair, J. F., Black, W. C., Babin, B. J., &amp; Anderson, R. E. (2013). </w:t>
      </w:r>
      <w:r w:rsidRPr="00DD59BF">
        <w:rPr>
          <w:i/>
          <w:iCs/>
        </w:rPr>
        <w:t>Multivariate data analysis</w:t>
      </w:r>
      <w:r w:rsidRPr="00DD59BF">
        <w:t xml:space="preserve"> (7th ed.). Pearson Education Limited.</w:t>
      </w:r>
    </w:p>
    <w:p w14:paraId="336F32F6"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Hair, J. F., Hult, G. T. M., Ringle, C. M., &amp; Sarstedt, M. (2022). </w:t>
      </w:r>
      <w:r w:rsidRPr="00DD59BF">
        <w:rPr>
          <w:i/>
          <w:iCs/>
        </w:rPr>
        <w:t xml:space="preserve">A primer on partial least squares structural equation </w:t>
      </w:r>
      <w:proofErr w:type="spellStart"/>
      <w:r w:rsidRPr="00DD59BF">
        <w:rPr>
          <w:i/>
          <w:iCs/>
        </w:rPr>
        <w:t>modeling</w:t>
      </w:r>
      <w:proofErr w:type="spellEnd"/>
      <w:r w:rsidRPr="00DD59BF">
        <w:rPr>
          <w:i/>
          <w:iCs/>
        </w:rPr>
        <w:t xml:space="preserve"> (PLS-SEM)</w:t>
      </w:r>
      <w:r w:rsidRPr="00DD59BF">
        <w:t xml:space="preserve"> (3rd ed.). Sage Publications.</w:t>
      </w:r>
    </w:p>
    <w:p w14:paraId="4C02DAB0" w14:textId="77777777" w:rsidR="00FA0FF1" w:rsidRPr="00DD59BF" w:rsidRDefault="00FA0FF1" w:rsidP="00DD59BF">
      <w:pPr>
        <w:pStyle w:val="NormalWeb"/>
        <w:numPr>
          <w:ilvl w:val="0"/>
          <w:numId w:val="12"/>
        </w:numPr>
        <w:spacing w:before="0" w:beforeAutospacing="0" w:after="0" w:afterAutospacing="0" w:line="276" w:lineRule="auto"/>
        <w:ind w:left="709"/>
        <w:jc w:val="both"/>
      </w:pPr>
      <w:proofErr w:type="spellStart"/>
      <w:r w:rsidRPr="00DD59BF">
        <w:t>Indriani</w:t>
      </w:r>
      <w:proofErr w:type="spellEnd"/>
      <w:r w:rsidRPr="00DD59BF">
        <w:t xml:space="preserve">, R., Pratama, Y. C., &amp; Rahman, A. (2021). The implementation of </w:t>
      </w:r>
      <w:proofErr w:type="spellStart"/>
      <w:r w:rsidRPr="00DD59BF">
        <w:t>maqashid</w:t>
      </w:r>
      <w:proofErr w:type="spellEnd"/>
      <w:r w:rsidRPr="00DD59BF">
        <w:t xml:space="preserve"> sharia in Islamic corporate social responsibility. </w:t>
      </w:r>
      <w:r w:rsidRPr="00DD59BF">
        <w:rPr>
          <w:i/>
          <w:iCs/>
        </w:rPr>
        <w:t>International Journal of Islamic Economics and Finance Studies, 7</w:t>
      </w:r>
      <w:r w:rsidRPr="00DD59BF">
        <w:t>(2), 45–60.</w:t>
      </w:r>
    </w:p>
    <w:p w14:paraId="248C6B2E"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Jamaludin, M., Wahyudi, S., &amp; Rahmawati, R. (2023). Corporate zakat and CSR integration in Islamic financial institutions. </w:t>
      </w:r>
      <w:r w:rsidRPr="00DD59BF">
        <w:rPr>
          <w:i/>
          <w:iCs/>
        </w:rPr>
        <w:t>Journal of Islamic Finance, 12</w:t>
      </w:r>
      <w:r w:rsidRPr="00DD59BF">
        <w:t>(1), 77–92.</w:t>
      </w:r>
    </w:p>
    <w:p w14:paraId="39F88400"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KPMG. (2020). </w:t>
      </w:r>
      <w:r w:rsidRPr="00DD59BF">
        <w:rPr>
          <w:i/>
          <w:iCs/>
        </w:rPr>
        <w:t>The time has come: The KPMG survey of sustainability reporting 2020</w:t>
      </w:r>
      <w:r w:rsidRPr="00DD59BF">
        <w:t>. KPMG International.</w:t>
      </w:r>
    </w:p>
    <w:p w14:paraId="0DECC7FF"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Littlejohn, S. W., &amp; Foss, K. A. (2009). </w:t>
      </w:r>
      <w:r w:rsidRPr="00DD59BF">
        <w:rPr>
          <w:i/>
          <w:iCs/>
        </w:rPr>
        <w:t>Theories of human communication</w:t>
      </w:r>
      <w:r w:rsidRPr="00DD59BF">
        <w:t xml:space="preserve"> (9th ed.). Waveland Press.</w:t>
      </w:r>
    </w:p>
    <w:p w14:paraId="4FC14CDD"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MacCallum, R. C., Widaman, K. F., Zhang, S., &amp; Hong, S. (1999). Sample size in factor analysis. </w:t>
      </w:r>
      <w:r w:rsidRPr="00DD59BF">
        <w:rPr>
          <w:i/>
          <w:iCs/>
        </w:rPr>
        <w:t>Psychological Methods, 4</w:t>
      </w:r>
      <w:r w:rsidRPr="00DD59BF">
        <w:t xml:space="preserve">(1), 84–99. </w:t>
      </w:r>
      <w:hyperlink r:id="rId15" w:tgtFrame="_new" w:history="1">
        <w:r w:rsidRPr="00DD59BF">
          <w:rPr>
            <w:rStyle w:val="Hyperlink"/>
          </w:rPr>
          <w:t>https://doi.org/10.1037/1082-989X.4.1.84</w:t>
        </w:r>
      </w:hyperlink>
    </w:p>
    <w:p w14:paraId="45AEA236"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Misbach, I. (2014). </w:t>
      </w:r>
      <w:r w:rsidRPr="00DD59BF">
        <w:rPr>
          <w:i/>
          <w:iCs/>
        </w:rPr>
        <w:t xml:space="preserve">Metode </w:t>
      </w:r>
      <w:proofErr w:type="spellStart"/>
      <w:r w:rsidRPr="00DD59BF">
        <w:rPr>
          <w:i/>
          <w:iCs/>
        </w:rPr>
        <w:t>penelitian</w:t>
      </w:r>
      <w:proofErr w:type="spellEnd"/>
      <w:r w:rsidRPr="00DD59BF">
        <w:rPr>
          <w:i/>
          <w:iCs/>
        </w:rPr>
        <w:t xml:space="preserve"> </w:t>
      </w:r>
      <w:proofErr w:type="spellStart"/>
      <w:r w:rsidRPr="00DD59BF">
        <w:rPr>
          <w:i/>
          <w:iCs/>
        </w:rPr>
        <w:t>kuantitatif</w:t>
      </w:r>
      <w:proofErr w:type="spellEnd"/>
      <w:r w:rsidRPr="00DD59BF">
        <w:t>. Alauddin University Press.</w:t>
      </w:r>
    </w:p>
    <w:p w14:paraId="5791C8FC"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Misbach, I. (2019). Exploratory factor analysis in Islamic research constructs. </w:t>
      </w:r>
      <w:proofErr w:type="spellStart"/>
      <w:r w:rsidRPr="00DD59BF">
        <w:rPr>
          <w:i/>
          <w:iCs/>
        </w:rPr>
        <w:t>Jurnal</w:t>
      </w:r>
      <w:proofErr w:type="spellEnd"/>
      <w:r w:rsidRPr="00DD59BF">
        <w:rPr>
          <w:i/>
          <w:iCs/>
        </w:rPr>
        <w:t xml:space="preserve"> Ekonomi dan </w:t>
      </w:r>
      <w:proofErr w:type="spellStart"/>
      <w:r w:rsidRPr="00DD59BF">
        <w:rPr>
          <w:i/>
          <w:iCs/>
        </w:rPr>
        <w:t>Keuangan</w:t>
      </w:r>
      <w:proofErr w:type="spellEnd"/>
      <w:r w:rsidRPr="00DD59BF">
        <w:rPr>
          <w:i/>
          <w:iCs/>
        </w:rPr>
        <w:t xml:space="preserve"> Islam, 5</w:t>
      </w:r>
      <w:r w:rsidRPr="00DD59BF">
        <w:t>(2), 123–135.</w:t>
      </w:r>
    </w:p>
    <w:p w14:paraId="0ED83D72" w14:textId="77777777" w:rsidR="00FA0FF1" w:rsidRPr="00DD59BF" w:rsidRDefault="00FA0FF1" w:rsidP="00DD59BF">
      <w:pPr>
        <w:pStyle w:val="NormalWeb"/>
        <w:numPr>
          <w:ilvl w:val="0"/>
          <w:numId w:val="12"/>
        </w:numPr>
        <w:spacing w:before="0" w:beforeAutospacing="0" w:after="0" w:afterAutospacing="0" w:line="276" w:lineRule="auto"/>
        <w:ind w:left="709"/>
        <w:jc w:val="both"/>
      </w:pPr>
      <w:proofErr w:type="spellStart"/>
      <w:r w:rsidRPr="00DD59BF">
        <w:t>Nur’aini</w:t>
      </w:r>
      <w:proofErr w:type="spellEnd"/>
      <w:r w:rsidRPr="00DD59BF">
        <w:t xml:space="preserve">, S., Hidayat, R., &amp; Karim, A. (2022). Islamic social finance and sustainable development: A </w:t>
      </w:r>
      <w:proofErr w:type="spellStart"/>
      <w:r w:rsidRPr="00DD59BF">
        <w:t>maqashid</w:t>
      </w:r>
      <w:proofErr w:type="spellEnd"/>
      <w:r w:rsidRPr="00DD59BF">
        <w:t xml:space="preserve"> sharia perspective. </w:t>
      </w:r>
      <w:r w:rsidRPr="00DD59BF">
        <w:rPr>
          <w:i/>
          <w:iCs/>
        </w:rPr>
        <w:t>Journal of Islamic Monetary Economics and Finance, 8</w:t>
      </w:r>
      <w:r w:rsidRPr="00DD59BF">
        <w:t>(3), 567–584.</w:t>
      </w:r>
    </w:p>
    <w:p w14:paraId="18BA0659"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Porter, M. E., &amp; Kramer, M. R. (2006). Strategy and society: The link between competitive advantage and corporate social responsibility. </w:t>
      </w:r>
      <w:r w:rsidRPr="00DD59BF">
        <w:rPr>
          <w:i/>
          <w:iCs/>
        </w:rPr>
        <w:t>Harvard Business Review, 84</w:t>
      </w:r>
      <w:r w:rsidRPr="00DD59BF">
        <w:t>(12), 78–92.</w:t>
      </w:r>
    </w:p>
    <w:p w14:paraId="33924632"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Putra, F. P., &amp; </w:t>
      </w:r>
      <w:proofErr w:type="spellStart"/>
      <w:r w:rsidRPr="00DD59BF">
        <w:t>Juniwati</w:t>
      </w:r>
      <w:proofErr w:type="spellEnd"/>
      <w:r w:rsidRPr="00DD59BF">
        <w:t xml:space="preserve">, E. H. (2024). The role of governance and intellectual capital in enhancing </w:t>
      </w:r>
      <w:proofErr w:type="spellStart"/>
      <w:r w:rsidRPr="00DD59BF">
        <w:t>maqashid</w:t>
      </w:r>
      <w:proofErr w:type="spellEnd"/>
      <w:r w:rsidRPr="00DD59BF">
        <w:t xml:space="preserve"> sharia performance of Islamic banks. </w:t>
      </w:r>
      <w:proofErr w:type="spellStart"/>
      <w:r w:rsidRPr="00DD59BF">
        <w:rPr>
          <w:i/>
          <w:iCs/>
        </w:rPr>
        <w:t>Jurnal</w:t>
      </w:r>
      <w:proofErr w:type="spellEnd"/>
      <w:r w:rsidRPr="00DD59BF">
        <w:rPr>
          <w:i/>
          <w:iCs/>
        </w:rPr>
        <w:t xml:space="preserve"> Ekonomi Syariah Teori dan </w:t>
      </w:r>
      <w:proofErr w:type="spellStart"/>
      <w:r w:rsidRPr="00DD59BF">
        <w:rPr>
          <w:i/>
          <w:iCs/>
        </w:rPr>
        <w:t>Terapan</w:t>
      </w:r>
      <w:proofErr w:type="spellEnd"/>
      <w:r w:rsidRPr="00DD59BF">
        <w:rPr>
          <w:i/>
          <w:iCs/>
        </w:rPr>
        <w:t>, 11</w:t>
      </w:r>
      <w:r w:rsidRPr="00DD59BF">
        <w:t>(4), 360–372.</w:t>
      </w:r>
    </w:p>
    <w:p w14:paraId="0D9BB90B"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Putri, W. A., &amp; </w:t>
      </w:r>
      <w:proofErr w:type="spellStart"/>
      <w:r w:rsidRPr="00DD59BF">
        <w:t>Darwanto</w:t>
      </w:r>
      <w:proofErr w:type="spellEnd"/>
      <w:r w:rsidRPr="00DD59BF">
        <w:t xml:space="preserve">. (2022). Corporate social responsibility disclosure analysis with social performance indicators in sharia banking in Indonesia. </w:t>
      </w:r>
      <w:proofErr w:type="spellStart"/>
      <w:r w:rsidRPr="00DD59BF">
        <w:rPr>
          <w:i/>
          <w:iCs/>
        </w:rPr>
        <w:t>Jurnal</w:t>
      </w:r>
      <w:proofErr w:type="spellEnd"/>
      <w:r w:rsidRPr="00DD59BF">
        <w:rPr>
          <w:i/>
          <w:iCs/>
        </w:rPr>
        <w:t xml:space="preserve"> Ekonomi Syariah Teori dan </w:t>
      </w:r>
      <w:proofErr w:type="spellStart"/>
      <w:r w:rsidRPr="00DD59BF">
        <w:rPr>
          <w:i/>
          <w:iCs/>
        </w:rPr>
        <w:t>Terapan</w:t>
      </w:r>
      <w:proofErr w:type="spellEnd"/>
      <w:r w:rsidRPr="00DD59BF">
        <w:rPr>
          <w:i/>
          <w:iCs/>
        </w:rPr>
        <w:t>, 9</w:t>
      </w:r>
      <w:r w:rsidRPr="00DD59BF">
        <w:t xml:space="preserve">(6), 874–883. </w:t>
      </w:r>
      <w:hyperlink r:id="rId16" w:tgtFrame="_new" w:history="1">
        <w:r w:rsidRPr="00DD59BF">
          <w:rPr>
            <w:rStyle w:val="Hyperlink"/>
          </w:rPr>
          <w:t>https://doi.org/10.20473/vol9iss20226pp874-883</w:t>
        </w:r>
      </w:hyperlink>
    </w:p>
    <w:p w14:paraId="2A169C69" w14:textId="77777777" w:rsidR="00FA0FF1" w:rsidRPr="00DD59BF" w:rsidRDefault="00FA0FF1" w:rsidP="00DD59BF">
      <w:pPr>
        <w:pStyle w:val="NormalWeb"/>
        <w:numPr>
          <w:ilvl w:val="0"/>
          <w:numId w:val="12"/>
        </w:numPr>
        <w:spacing w:before="0" w:beforeAutospacing="0" w:after="0" w:afterAutospacing="0" w:line="276" w:lineRule="auto"/>
        <w:ind w:left="709"/>
        <w:jc w:val="both"/>
      </w:pPr>
      <w:proofErr w:type="spellStart"/>
      <w:r w:rsidRPr="00DD59BF">
        <w:t>Romadhoni</w:t>
      </w:r>
      <w:proofErr w:type="spellEnd"/>
      <w:r w:rsidRPr="00DD59BF">
        <w:t xml:space="preserve">, M., &amp; </w:t>
      </w:r>
      <w:proofErr w:type="spellStart"/>
      <w:r w:rsidRPr="00DD59BF">
        <w:t>Rusmita</w:t>
      </w:r>
      <w:proofErr w:type="spellEnd"/>
      <w:r w:rsidRPr="00DD59BF">
        <w:t xml:space="preserve">, S. A. (2021). The impact of disclosure of Islamic corporate social responsibility of each individual dimensions on profitability. </w:t>
      </w:r>
      <w:proofErr w:type="spellStart"/>
      <w:r w:rsidRPr="00DD59BF">
        <w:rPr>
          <w:i/>
          <w:iCs/>
        </w:rPr>
        <w:t>Jurnal</w:t>
      </w:r>
      <w:proofErr w:type="spellEnd"/>
      <w:r w:rsidRPr="00DD59BF">
        <w:rPr>
          <w:i/>
          <w:iCs/>
        </w:rPr>
        <w:t xml:space="preserve"> Ekonomi Syariah Teori dan </w:t>
      </w:r>
      <w:proofErr w:type="spellStart"/>
      <w:r w:rsidRPr="00DD59BF">
        <w:rPr>
          <w:i/>
          <w:iCs/>
        </w:rPr>
        <w:t>Terapan</w:t>
      </w:r>
      <w:proofErr w:type="spellEnd"/>
      <w:r w:rsidRPr="00DD59BF">
        <w:rPr>
          <w:i/>
          <w:iCs/>
        </w:rPr>
        <w:t>, 8</w:t>
      </w:r>
      <w:r w:rsidRPr="00DD59BF">
        <w:t>(5), 641–654.</w:t>
      </w:r>
    </w:p>
    <w:p w14:paraId="407B3193"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Sekaran, U., &amp; Bougie, R. (2016). </w:t>
      </w:r>
      <w:r w:rsidRPr="00DD59BF">
        <w:rPr>
          <w:i/>
          <w:iCs/>
        </w:rPr>
        <w:t>Research methods for business: A skill-building approach</w:t>
      </w:r>
      <w:r w:rsidRPr="00DD59BF">
        <w:t xml:space="preserve"> (7th ed.). Wiley.</w:t>
      </w:r>
    </w:p>
    <w:p w14:paraId="5129AE8A"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Setiawan bin </w:t>
      </w:r>
      <w:proofErr w:type="spellStart"/>
      <w:r w:rsidRPr="00DD59BF">
        <w:t>Lahuri</w:t>
      </w:r>
      <w:proofErr w:type="spellEnd"/>
      <w:r w:rsidRPr="00DD59BF">
        <w:t xml:space="preserve">. (2020). Corporate social responsibility in Islamic perspective. </w:t>
      </w:r>
      <w:proofErr w:type="spellStart"/>
      <w:r w:rsidRPr="00DD59BF">
        <w:rPr>
          <w:i/>
          <w:iCs/>
        </w:rPr>
        <w:t>Jurnal</w:t>
      </w:r>
      <w:proofErr w:type="spellEnd"/>
      <w:r w:rsidRPr="00DD59BF">
        <w:rPr>
          <w:i/>
          <w:iCs/>
        </w:rPr>
        <w:t xml:space="preserve"> Ekonomi Syariah, 12</w:t>
      </w:r>
      <w:r w:rsidRPr="00DD59BF">
        <w:t>(1), 15–27.</w:t>
      </w:r>
    </w:p>
    <w:p w14:paraId="4719D1AE"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Steers, R. M. (1977). </w:t>
      </w:r>
      <w:r w:rsidRPr="00DD59BF">
        <w:rPr>
          <w:i/>
          <w:iCs/>
        </w:rPr>
        <w:t xml:space="preserve">Organizational effectiveness: A </w:t>
      </w:r>
      <w:proofErr w:type="spellStart"/>
      <w:r w:rsidRPr="00DD59BF">
        <w:rPr>
          <w:i/>
          <w:iCs/>
        </w:rPr>
        <w:t>behavioral</w:t>
      </w:r>
      <w:proofErr w:type="spellEnd"/>
      <w:r w:rsidRPr="00DD59BF">
        <w:rPr>
          <w:i/>
          <w:iCs/>
        </w:rPr>
        <w:t xml:space="preserve"> view</w:t>
      </w:r>
      <w:r w:rsidRPr="00DD59BF">
        <w:t>. Goodyear Publishing Company.</w:t>
      </w:r>
    </w:p>
    <w:p w14:paraId="448DC91E" w14:textId="77777777" w:rsidR="00FA0FF1" w:rsidRPr="00DD59BF" w:rsidRDefault="00FA0FF1" w:rsidP="00DD59BF">
      <w:pPr>
        <w:pStyle w:val="NormalWeb"/>
        <w:numPr>
          <w:ilvl w:val="0"/>
          <w:numId w:val="12"/>
        </w:numPr>
        <w:spacing w:before="0" w:beforeAutospacing="0" w:after="0" w:afterAutospacing="0" w:line="276" w:lineRule="auto"/>
        <w:ind w:left="709"/>
        <w:jc w:val="both"/>
      </w:pPr>
      <w:proofErr w:type="spellStart"/>
      <w:r w:rsidRPr="00DD59BF">
        <w:t>Sufyati</w:t>
      </w:r>
      <w:proofErr w:type="spellEnd"/>
      <w:r w:rsidRPr="00DD59BF">
        <w:t xml:space="preserve">, S. (2021). Islamic corporate social responsibility: Concept and implementation. </w:t>
      </w:r>
      <w:r w:rsidRPr="00DD59BF">
        <w:rPr>
          <w:i/>
          <w:iCs/>
        </w:rPr>
        <w:t>Journal of Islamic Management Studies, 4</w:t>
      </w:r>
      <w:r w:rsidRPr="00DD59BF">
        <w:t>(1), 1–14.</w:t>
      </w:r>
    </w:p>
    <w:p w14:paraId="0E6953A0" w14:textId="77777777" w:rsidR="00FA0FF1"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Suharto, E. (2008). </w:t>
      </w:r>
      <w:r w:rsidRPr="00DD59BF">
        <w:rPr>
          <w:i/>
          <w:iCs/>
        </w:rPr>
        <w:t xml:space="preserve">CSR dan </w:t>
      </w:r>
      <w:proofErr w:type="spellStart"/>
      <w:r w:rsidRPr="00DD59BF">
        <w:rPr>
          <w:i/>
          <w:iCs/>
        </w:rPr>
        <w:t>pembangunan</w:t>
      </w:r>
      <w:proofErr w:type="spellEnd"/>
      <w:r w:rsidRPr="00DD59BF">
        <w:rPr>
          <w:i/>
          <w:iCs/>
        </w:rPr>
        <w:t xml:space="preserve"> </w:t>
      </w:r>
      <w:proofErr w:type="spellStart"/>
      <w:r w:rsidRPr="00DD59BF">
        <w:rPr>
          <w:i/>
          <w:iCs/>
        </w:rPr>
        <w:t>sosial</w:t>
      </w:r>
      <w:proofErr w:type="spellEnd"/>
      <w:r w:rsidRPr="00DD59BF">
        <w:t xml:space="preserve">. </w:t>
      </w:r>
      <w:proofErr w:type="spellStart"/>
      <w:r w:rsidRPr="00DD59BF">
        <w:t>Alfabeta</w:t>
      </w:r>
      <w:proofErr w:type="spellEnd"/>
      <w:r w:rsidRPr="00DD59BF">
        <w:t>.</w:t>
      </w:r>
    </w:p>
    <w:p w14:paraId="11A3D3B2" w14:textId="79420C51" w:rsidR="004B1CDD" w:rsidRPr="00DD59BF" w:rsidRDefault="00FA0FF1" w:rsidP="00DD59BF">
      <w:pPr>
        <w:pStyle w:val="NormalWeb"/>
        <w:numPr>
          <w:ilvl w:val="0"/>
          <w:numId w:val="12"/>
        </w:numPr>
        <w:spacing w:before="0" w:beforeAutospacing="0" w:after="0" w:afterAutospacing="0" w:line="276" w:lineRule="auto"/>
        <w:ind w:left="709"/>
        <w:jc w:val="both"/>
      </w:pPr>
      <w:r w:rsidRPr="00DD59BF">
        <w:t xml:space="preserve">Yusuf, M. Y., &amp; Bahari, Z. (2015). Islamic corporate social responsibility in Islamic banking: Towards poverty alleviation. In </w:t>
      </w:r>
      <w:r w:rsidRPr="00DD59BF">
        <w:rPr>
          <w:i/>
          <w:iCs/>
        </w:rPr>
        <w:t>Ethics, Governance and Regulation in Islamic Finance</w:t>
      </w:r>
      <w:r w:rsidRPr="00DD59BF">
        <w:t xml:space="preserve"> (pp. 175–190). Wiley.</w:t>
      </w:r>
    </w:p>
    <w:p w14:paraId="6FC871BB" w14:textId="16FB41AB" w:rsidR="00BC7598" w:rsidRPr="00DD59BF" w:rsidRDefault="00BC7598" w:rsidP="00DD59BF">
      <w:pPr>
        <w:spacing w:line="276" w:lineRule="auto"/>
        <w:jc w:val="both"/>
      </w:pPr>
    </w:p>
    <w:p w14:paraId="66515BB2" w14:textId="77777777" w:rsidR="00186CFE" w:rsidRPr="00DD59BF" w:rsidRDefault="00186CFE" w:rsidP="00DD59BF">
      <w:pPr>
        <w:spacing w:line="276" w:lineRule="auto"/>
        <w:jc w:val="both"/>
      </w:pPr>
    </w:p>
    <w:sectPr w:rsidR="00186CFE" w:rsidRPr="00DD59BF" w:rsidSect="00C12B18">
      <w:headerReference w:type="default" r:id="rId17"/>
      <w:footerReference w:type="default" r:id="rId18"/>
      <w:headerReference w:type="first" r:id="rId19"/>
      <w:footerReference w:type="first" r:id="rId20"/>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EC30" w14:textId="77777777" w:rsidR="004302AA" w:rsidRDefault="004302AA" w:rsidP="00A476C8">
      <w:r>
        <w:separator/>
      </w:r>
    </w:p>
  </w:endnote>
  <w:endnote w:type="continuationSeparator" w:id="0">
    <w:p w14:paraId="6F3656A7" w14:textId="77777777" w:rsidR="004302AA" w:rsidRDefault="004302AA" w:rsidP="00A4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宋体">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079426"/>
      <w:docPartObj>
        <w:docPartGallery w:val="Page Numbers (Bottom of Page)"/>
        <w:docPartUnique/>
      </w:docPartObj>
    </w:sdtPr>
    <w:sdtEndPr>
      <w:rPr>
        <w:noProof/>
        <w:sz w:val="22"/>
        <w:szCs w:val="22"/>
      </w:rPr>
    </w:sdtEndPr>
    <w:sdtContent>
      <w:p w14:paraId="785CB383" w14:textId="69C301A2" w:rsidR="00A476C8" w:rsidRPr="00A476C8" w:rsidRDefault="00A476C8" w:rsidP="00A476C8">
        <w:pPr>
          <w:pStyle w:val="Footer"/>
          <w:jc w:val="center"/>
          <w:rPr>
            <w:sz w:val="22"/>
            <w:szCs w:val="22"/>
          </w:rPr>
        </w:pPr>
        <w:r w:rsidRPr="00A476C8">
          <w:rPr>
            <w:sz w:val="22"/>
            <w:szCs w:val="22"/>
          </w:rPr>
          <w:fldChar w:fldCharType="begin"/>
        </w:r>
        <w:r w:rsidRPr="00A476C8">
          <w:rPr>
            <w:sz w:val="22"/>
            <w:szCs w:val="22"/>
          </w:rPr>
          <w:instrText xml:space="preserve"> PAGE   \* MERGEFORMAT </w:instrText>
        </w:r>
        <w:r w:rsidRPr="00A476C8">
          <w:rPr>
            <w:sz w:val="22"/>
            <w:szCs w:val="22"/>
          </w:rPr>
          <w:fldChar w:fldCharType="separate"/>
        </w:r>
        <w:r w:rsidRPr="00A476C8">
          <w:rPr>
            <w:noProof/>
            <w:sz w:val="22"/>
            <w:szCs w:val="22"/>
          </w:rPr>
          <w:t>2</w:t>
        </w:r>
        <w:r w:rsidRPr="00A476C8">
          <w:rP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680273"/>
      <w:docPartObj>
        <w:docPartGallery w:val="Page Numbers (Bottom of Page)"/>
        <w:docPartUnique/>
      </w:docPartObj>
    </w:sdtPr>
    <w:sdtEndPr>
      <w:rPr>
        <w:noProof/>
        <w:sz w:val="22"/>
        <w:szCs w:val="22"/>
      </w:rPr>
    </w:sdtEndPr>
    <w:sdtContent>
      <w:p w14:paraId="028AA9AC" w14:textId="618E62F1" w:rsidR="00A476C8" w:rsidRPr="00A476C8" w:rsidRDefault="00A476C8" w:rsidP="00A476C8">
        <w:pPr>
          <w:pStyle w:val="Footer"/>
          <w:jc w:val="center"/>
          <w:rPr>
            <w:sz w:val="22"/>
            <w:szCs w:val="22"/>
          </w:rPr>
        </w:pPr>
        <w:r w:rsidRPr="00A476C8">
          <w:rPr>
            <w:sz w:val="22"/>
            <w:szCs w:val="22"/>
          </w:rPr>
          <w:fldChar w:fldCharType="begin"/>
        </w:r>
        <w:r w:rsidRPr="00A476C8">
          <w:rPr>
            <w:sz w:val="22"/>
            <w:szCs w:val="22"/>
          </w:rPr>
          <w:instrText xml:space="preserve"> PAGE   \* MERGEFORMAT </w:instrText>
        </w:r>
        <w:r w:rsidRPr="00A476C8">
          <w:rPr>
            <w:sz w:val="22"/>
            <w:szCs w:val="22"/>
          </w:rPr>
          <w:fldChar w:fldCharType="separate"/>
        </w:r>
        <w:r w:rsidRPr="00A476C8">
          <w:rPr>
            <w:noProof/>
            <w:sz w:val="22"/>
            <w:szCs w:val="22"/>
          </w:rPr>
          <w:t>2</w:t>
        </w:r>
        <w:r w:rsidRPr="00A476C8">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D4E4B" w14:textId="77777777" w:rsidR="004302AA" w:rsidRDefault="004302AA" w:rsidP="00A476C8">
      <w:r>
        <w:separator/>
      </w:r>
    </w:p>
  </w:footnote>
  <w:footnote w:type="continuationSeparator" w:id="0">
    <w:p w14:paraId="2600EAE2" w14:textId="77777777" w:rsidR="004302AA" w:rsidRDefault="004302AA" w:rsidP="00A47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B94AB" w14:textId="6452EDA4" w:rsidR="00A476C8" w:rsidRPr="00A476C8" w:rsidRDefault="00A476C8" w:rsidP="00A476C8">
    <w:pPr>
      <w:pStyle w:val="Header"/>
      <w:ind w:left="11" w:hanging="11"/>
      <w:jc w:val="both"/>
      <w:rPr>
        <w:rFonts w:asciiTheme="majorBidi" w:hAnsiTheme="majorBidi" w:cstheme="majorBid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DD0A" w14:textId="762E1F84" w:rsidR="00A476C8" w:rsidRPr="00A476C8" w:rsidRDefault="00A476C8" w:rsidP="00A476C8">
    <w:pPr>
      <w:pStyle w:val="Header"/>
      <w:jc w:val="both"/>
      <w:rPr>
        <w:rFonts w:asciiTheme="majorBidi" w:hAnsiTheme="majorBidi" w:cstheme="majorBidi"/>
        <w:b/>
        <w:sz w:val="22"/>
        <w:szCs w:val="22"/>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2C21"/>
    <w:multiLevelType w:val="multilevel"/>
    <w:tmpl w:val="46CC5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86B23"/>
    <w:multiLevelType w:val="multilevel"/>
    <w:tmpl w:val="CA6C3EBC"/>
    <w:lvl w:ilvl="0">
      <w:start w:val="1"/>
      <w:numFmt w:val="decimal"/>
      <w:lvlText w:val="%1."/>
      <w:lvlJc w:val="left"/>
      <w:pPr>
        <w:tabs>
          <w:tab w:val="num" w:pos="0"/>
        </w:tabs>
        <w:ind w:left="360" w:hanging="360"/>
      </w:pPr>
      <w:rPr>
        <w:rFonts w:ascii="Times New Roman" w:hAnsi="Times New Roman" w:cs="Times New Roman"/>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28CB2750"/>
    <w:multiLevelType w:val="multilevel"/>
    <w:tmpl w:val="DFAA23DA"/>
    <w:lvl w:ilvl="0">
      <w:start w:val="1"/>
      <w:numFmt w:val="upperRoman"/>
      <w:lvlText w:val="%1."/>
      <w:lvlJc w:val="left"/>
      <w:pPr>
        <w:tabs>
          <w:tab w:val="num" w:pos="0"/>
        </w:tabs>
        <w:ind w:left="6120" w:hanging="720"/>
      </w:pPr>
    </w:lvl>
    <w:lvl w:ilvl="1">
      <w:start w:val="1"/>
      <w:numFmt w:val="lowerLetter"/>
      <w:lvlText w:val="%2."/>
      <w:lvlJc w:val="left"/>
      <w:pPr>
        <w:tabs>
          <w:tab w:val="num" w:pos="0"/>
        </w:tabs>
        <w:ind w:left="6480" w:hanging="360"/>
      </w:pPr>
    </w:lvl>
    <w:lvl w:ilvl="2">
      <w:start w:val="1"/>
      <w:numFmt w:val="lowerRoman"/>
      <w:lvlText w:val="%3."/>
      <w:lvlJc w:val="right"/>
      <w:pPr>
        <w:tabs>
          <w:tab w:val="num" w:pos="0"/>
        </w:tabs>
        <w:ind w:left="7200" w:hanging="180"/>
      </w:pPr>
    </w:lvl>
    <w:lvl w:ilvl="3">
      <w:start w:val="1"/>
      <w:numFmt w:val="decimal"/>
      <w:lvlText w:val="%4."/>
      <w:lvlJc w:val="left"/>
      <w:pPr>
        <w:tabs>
          <w:tab w:val="num" w:pos="0"/>
        </w:tabs>
        <w:ind w:left="7920" w:hanging="360"/>
      </w:pPr>
    </w:lvl>
    <w:lvl w:ilvl="4">
      <w:start w:val="1"/>
      <w:numFmt w:val="lowerLetter"/>
      <w:lvlText w:val="%5."/>
      <w:lvlJc w:val="left"/>
      <w:pPr>
        <w:tabs>
          <w:tab w:val="num" w:pos="0"/>
        </w:tabs>
        <w:ind w:left="8640" w:hanging="360"/>
      </w:pPr>
    </w:lvl>
    <w:lvl w:ilvl="5">
      <w:start w:val="1"/>
      <w:numFmt w:val="lowerRoman"/>
      <w:lvlText w:val="%6."/>
      <w:lvlJc w:val="right"/>
      <w:pPr>
        <w:tabs>
          <w:tab w:val="num" w:pos="0"/>
        </w:tabs>
        <w:ind w:left="9360" w:hanging="180"/>
      </w:pPr>
    </w:lvl>
    <w:lvl w:ilvl="6">
      <w:start w:val="1"/>
      <w:numFmt w:val="decimal"/>
      <w:lvlText w:val="%7."/>
      <w:lvlJc w:val="left"/>
      <w:pPr>
        <w:tabs>
          <w:tab w:val="num" w:pos="0"/>
        </w:tabs>
        <w:ind w:left="10080" w:hanging="360"/>
      </w:pPr>
    </w:lvl>
    <w:lvl w:ilvl="7">
      <w:start w:val="1"/>
      <w:numFmt w:val="lowerLetter"/>
      <w:lvlText w:val="%8."/>
      <w:lvlJc w:val="left"/>
      <w:pPr>
        <w:tabs>
          <w:tab w:val="num" w:pos="0"/>
        </w:tabs>
        <w:ind w:left="10800" w:hanging="360"/>
      </w:pPr>
    </w:lvl>
    <w:lvl w:ilvl="8">
      <w:start w:val="1"/>
      <w:numFmt w:val="lowerRoman"/>
      <w:lvlText w:val="%9."/>
      <w:lvlJc w:val="right"/>
      <w:pPr>
        <w:tabs>
          <w:tab w:val="num" w:pos="0"/>
        </w:tabs>
        <w:ind w:left="11520" w:hanging="180"/>
      </w:pPr>
    </w:lvl>
  </w:abstractNum>
  <w:abstractNum w:abstractNumId="3" w15:restartNumberingAfterBreak="0">
    <w:nsid w:val="296D6C4D"/>
    <w:multiLevelType w:val="multilevel"/>
    <w:tmpl w:val="04F2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3452EF"/>
    <w:multiLevelType w:val="hybridMultilevel"/>
    <w:tmpl w:val="E402B0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7D61090"/>
    <w:multiLevelType w:val="multilevel"/>
    <w:tmpl w:val="47D61090"/>
    <w:lvl w:ilvl="0">
      <w:start w:val="1"/>
      <w:numFmt w:val="upperRoman"/>
      <w:lvlText w:val="%1."/>
      <w:lvlJc w:val="left"/>
      <w:pPr>
        <w:ind w:left="6120" w:hanging="720"/>
      </w:pPr>
      <w:rPr>
        <w:rFonts w:hint="default"/>
      </w:rPr>
    </w:lvl>
    <w:lvl w:ilvl="1">
      <w:start w:val="1"/>
      <w:numFmt w:val="lowerLetter"/>
      <w:lvlText w:val="%2."/>
      <w:lvlJc w:val="left"/>
      <w:pPr>
        <w:ind w:left="6480" w:hanging="360"/>
      </w:p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6" w15:restartNumberingAfterBreak="0">
    <w:nsid w:val="4FBD4E3D"/>
    <w:multiLevelType w:val="multilevel"/>
    <w:tmpl w:val="5B4C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5257CE"/>
    <w:multiLevelType w:val="multilevel"/>
    <w:tmpl w:val="A56E1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D27AB6"/>
    <w:multiLevelType w:val="multilevel"/>
    <w:tmpl w:val="61D27AB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3405985"/>
    <w:multiLevelType w:val="multilevel"/>
    <w:tmpl w:val="308A8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956A1A"/>
    <w:multiLevelType w:val="multilevel"/>
    <w:tmpl w:val="64BA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E855A6"/>
    <w:multiLevelType w:val="multilevel"/>
    <w:tmpl w:val="F79A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590807">
    <w:abstractNumId w:val="5"/>
  </w:num>
  <w:num w:numId="2" w16cid:durableId="1932078458">
    <w:abstractNumId w:val="8"/>
  </w:num>
  <w:num w:numId="3" w16cid:durableId="113914842">
    <w:abstractNumId w:val="2"/>
  </w:num>
  <w:num w:numId="4" w16cid:durableId="162938424">
    <w:abstractNumId w:val="1"/>
  </w:num>
  <w:num w:numId="5" w16cid:durableId="1939361786">
    <w:abstractNumId w:val="7"/>
  </w:num>
  <w:num w:numId="6" w16cid:durableId="1185244646">
    <w:abstractNumId w:val="9"/>
  </w:num>
  <w:num w:numId="7" w16cid:durableId="2099255874">
    <w:abstractNumId w:val="11"/>
  </w:num>
  <w:num w:numId="8" w16cid:durableId="1486969778">
    <w:abstractNumId w:val="10"/>
  </w:num>
  <w:num w:numId="9" w16cid:durableId="974719204">
    <w:abstractNumId w:val="3"/>
  </w:num>
  <w:num w:numId="10" w16cid:durableId="1645963867">
    <w:abstractNumId w:val="6"/>
  </w:num>
  <w:num w:numId="11" w16cid:durableId="691960510">
    <w:abstractNumId w:val="0"/>
  </w:num>
  <w:num w:numId="12" w16cid:durableId="1018315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MrKwsDQztrAwMDRW0lEKTi0uzszPAykwNKgFAI8xfQctAAAA"/>
  </w:docVars>
  <w:rsids>
    <w:rsidRoot w:val="00C41352"/>
    <w:rsid w:val="000F476B"/>
    <w:rsid w:val="001113BD"/>
    <w:rsid w:val="00125AA4"/>
    <w:rsid w:val="00143853"/>
    <w:rsid w:val="00186CFE"/>
    <w:rsid w:val="00194CF7"/>
    <w:rsid w:val="00292A91"/>
    <w:rsid w:val="002D489D"/>
    <w:rsid w:val="00325666"/>
    <w:rsid w:val="00356288"/>
    <w:rsid w:val="003567D2"/>
    <w:rsid w:val="00391C6D"/>
    <w:rsid w:val="003B7179"/>
    <w:rsid w:val="003C7F82"/>
    <w:rsid w:val="003D0C8C"/>
    <w:rsid w:val="003D1851"/>
    <w:rsid w:val="003D7AEE"/>
    <w:rsid w:val="004038C5"/>
    <w:rsid w:val="004302AA"/>
    <w:rsid w:val="004546E1"/>
    <w:rsid w:val="004B1CDD"/>
    <w:rsid w:val="004E0A38"/>
    <w:rsid w:val="004E2FFA"/>
    <w:rsid w:val="004F1215"/>
    <w:rsid w:val="004F1FA7"/>
    <w:rsid w:val="00501938"/>
    <w:rsid w:val="0051105A"/>
    <w:rsid w:val="0052215E"/>
    <w:rsid w:val="005411CE"/>
    <w:rsid w:val="005C7AF4"/>
    <w:rsid w:val="00611B38"/>
    <w:rsid w:val="00615451"/>
    <w:rsid w:val="00652D0F"/>
    <w:rsid w:val="00656B8D"/>
    <w:rsid w:val="007D6969"/>
    <w:rsid w:val="007E7E05"/>
    <w:rsid w:val="00804972"/>
    <w:rsid w:val="00814E62"/>
    <w:rsid w:val="00832D6C"/>
    <w:rsid w:val="0086729D"/>
    <w:rsid w:val="008C26E2"/>
    <w:rsid w:val="008F104E"/>
    <w:rsid w:val="008F465D"/>
    <w:rsid w:val="009805DE"/>
    <w:rsid w:val="00981EB0"/>
    <w:rsid w:val="00991F3F"/>
    <w:rsid w:val="009B081D"/>
    <w:rsid w:val="009E01D7"/>
    <w:rsid w:val="00A47277"/>
    <w:rsid w:val="00A476C8"/>
    <w:rsid w:val="00A62F8E"/>
    <w:rsid w:val="00A63A46"/>
    <w:rsid w:val="00A667F9"/>
    <w:rsid w:val="00AB273E"/>
    <w:rsid w:val="00AC29B0"/>
    <w:rsid w:val="00B24790"/>
    <w:rsid w:val="00B25C99"/>
    <w:rsid w:val="00B43795"/>
    <w:rsid w:val="00BA7ED6"/>
    <w:rsid w:val="00BB7FEB"/>
    <w:rsid w:val="00BC5C20"/>
    <w:rsid w:val="00BC7598"/>
    <w:rsid w:val="00BD0CE3"/>
    <w:rsid w:val="00BE769F"/>
    <w:rsid w:val="00BF3909"/>
    <w:rsid w:val="00C12B18"/>
    <w:rsid w:val="00C16F72"/>
    <w:rsid w:val="00C41352"/>
    <w:rsid w:val="00D52C89"/>
    <w:rsid w:val="00D55C9C"/>
    <w:rsid w:val="00DA0977"/>
    <w:rsid w:val="00DD59BF"/>
    <w:rsid w:val="00E15578"/>
    <w:rsid w:val="00E315A5"/>
    <w:rsid w:val="00EC41B3"/>
    <w:rsid w:val="00F70935"/>
    <w:rsid w:val="00F7248E"/>
    <w:rsid w:val="00F966D0"/>
    <w:rsid w:val="00FA0FF1"/>
    <w:rsid w:val="00FB5BB2"/>
    <w:rsid w:val="00FC28A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F3184"/>
  <w15:chartTrackingRefBased/>
  <w15:docId w15:val="{E066E47F-FCC0-49B7-B441-F7AD8D67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41352"/>
    <w:pPr>
      <w:widowControl w:val="0"/>
      <w:autoSpaceDE w:val="0"/>
      <w:autoSpaceDN w:val="0"/>
      <w:adjustRightInd w:val="0"/>
      <w:spacing w:after="0" w:line="240" w:lineRule="auto"/>
    </w:pPr>
    <w:rPr>
      <w:rFonts w:ascii="Times New Roman" w:eastAsia="SimSun" w:hAnsi="Times New Roman" w:cs="Times New Roman"/>
      <w:sz w:val="24"/>
      <w:szCs w:val="24"/>
      <w:lang w:val="en-US"/>
    </w:rPr>
  </w:style>
  <w:style w:type="paragraph" w:styleId="Heading1">
    <w:name w:val="heading 1"/>
    <w:basedOn w:val="Normal"/>
    <w:next w:val="Normal"/>
    <w:link w:val="Heading1Char"/>
    <w:uiPriority w:val="9"/>
    <w:qFormat/>
    <w:rsid w:val="00125A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C28A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C41B3"/>
    <w:pPr>
      <w:widowControl/>
      <w:autoSpaceDE/>
      <w:autoSpaceDN/>
      <w:adjustRightInd/>
      <w:spacing w:before="100" w:beforeAutospacing="1" w:after="100" w:afterAutospacing="1"/>
      <w:outlineLvl w:val="2"/>
    </w:pPr>
    <w:rPr>
      <w:rFonts w:eastAsia="Times New Roman"/>
      <w:b/>
      <w:bCs/>
      <w:sz w:val="27"/>
      <w:szCs w:val="27"/>
      <w:lang w:val="en-ID" w:eastAsia="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uiPriority w:val="99"/>
    <w:qFormat/>
    <w:rsid w:val="00C41352"/>
    <w:rPr>
      <w:rFonts w:ascii="Times New Roman" w:hAnsi="Times New Roman"/>
      <w:sz w:val="24"/>
      <w:szCs w:val="24"/>
    </w:rPr>
  </w:style>
  <w:style w:type="paragraph" w:styleId="BodyTextIndent">
    <w:name w:val="Body Text Indent"/>
    <w:basedOn w:val="Normal"/>
    <w:link w:val="BodyTextIndentChar"/>
    <w:uiPriority w:val="99"/>
    <w:unhideWhenUsed/>
    <w:rsid w:val="00C41352"/>
    <w:pPr>
      <w:spacing w:after="120"/>
      <w:ind w:left="283"/>
    </w:pPr>
    <w:rPr>
      <w:rFonts w:eastAsiaTheme="minorHAnsi" w:cstheme="minorBidi"/>
      <w:lang w:val="en-ID"/>
    </w:rPr>
  </w:style>
  <w:style w:type="character" w:customStyle="1" w:styleId="BodyTextIndentChar1">
    <w:name w:val="Body Text Indent Char1"/>
    <w:basedOn w:val="DefaultParagraphFont"/>
    <w:uiPriority w:val="99"/>
    <w:semiHidden/>
    <w:rsid w:val="00C41352"/>
    <w:rPr>
      <w:rFonts w:ascii="Times New Roman" w:eastAsia="SimSun" w:hAnsi="Times New Roman" w:cs="Times New Roman"/>
      <w:sz w:val="24"/>
      <w:szCs w:val="24"/>
      <w:lang w:val="en-US"/>
    </w:rPr>
  </w:style>
  <w:style w:type="paragraph" w:styleId="Title">
    <w:name w:val="Title"/>
    <w:basedOn w:val="Normal"/>
    <w:link w:val="TitleChar"/>
    <w:uiPriority w:val="10"/>
    <w:qFormat/>
    <w:rsid w:val="00C41352"/>
    <w:pPr>
      <w:widowControl/>
      <w:autoSpaceDE/>
      <w:autoSpaceDN/>
      <w:adjustRightInd/>
      <w:jc w:val="center"/>
    </w:pPr>
    <w:rPr>
      <w:rFonts w:ascii="Calibri" w:eastAsia="Times New Roman" w:hAnsi="Calibri"/>
      <w:sz w:val="28"/>
      <w:szCs w:val="20"/>
    </w:rPr>
  </w:style>
  <w:style w:type="character" w:customStyle="1" w:styleId="TitleChar">
    <w:name w:val="Title Char"/>
    <w:basedOn w:val="DefaultParagraphFont"/>
    <w:link w:val="Title"/>
    <w:uiPriority w:val="10"/>
    <w:qFormat/>
    <w:rsid w:val="00C41352"/>
    <w:rPr>
      <w:rFonts w:ascii="Calibri" w:eastAsia="Times New Roman" w:hAnsi="Calibri" w:cs="Times New Roman"/>
      <w:sz w:val="28"/>
      <w:szCs w:val="20"/>
      <w:lang w:val="en-US"/>
    </w:rPr>
  </w:style>
  <w:style w:type="paragraph" w:styleId="ListParagraph">
    <w:name w:val="List Paragraph"/>
    <w:basedOn w:val="Normal"/>
    <w:link w:val="ListParagraphChar"/>
    <w:uiPriority w:val="34"/>
    <w:qFormat/>
    <w:rsid w:val="00C41352"/>
    <w:pPr>
      <w:widowControl/>
      <w:autoSpaceDE/>
      <w:autoSpaceDN/>
      <w:adjustRightInd/>
      <w:spacing w:after="200" w:line="276" w:lineRule="auto"/>
      <w:ind w:left="720"/>
      <w:contextualSpacing/>
    </w:pPr>
    <w:rPr>
      <w:rFonts w:ascii="Calibri" w:eastAsia="Times New Roman" w:hAnsi="Calibri"/>
      <w:sz w:val="22"/>
      <w:szCs w:val="22"/>
    </w:rPr>
  </w:style>
  <w:style w:type="character" w:customStyle="1" w:styleId="ListParagraphChar">
    <w:name w:val="List Paragraph Char"/>
    <w:link w:val="ListParagraph"/>
    <w:uiPriority w:val="34"/>
    <w:qFormat/>
    <w:locked/>
    <w:rsid w:val="00C41352"/>
    <w:rPr>
      <w:rFonts w:ascii="Calibri" w:eastAsia="Times New Roman" w:hAnsi="Calibri" w:cs="Times New Roman"/>
      <w:lang w:val="en-US"/>
    </w:rPr>
  </w:style>
  <w:style w:type="paragraph" w:styleId="Header">
    <w:name w:val="header"/>
    <w:basedOn w:val="Normal"/>
    <w:link w:val="HeaderChar"/>
    <w:uiPriority w:val="99"/>
    <w:unhideWhenUsed/>
    <w:rsid w:val="00A476C8"/>
    <w:pPr>
      <w:tabs>
        <w:tab w:val="center" w:pos="4513"/>
        <w:tab w:val="right" w:pos="9026"/>
      </w:tabs>
    </w:pPr>
  </w:style>
  <w:style w:type="character" w:customStyle="1" w:styleId="HeaderChar">
    <w:name w:val="Header Char"/>
    <w:basedOn w:val="DefaultParagraphFont"/>
    <w:link w:val="Header"/>
    <w:uiPriority w:val="99"/>
    <w:qFormat/>
    <w:rsid w:val="00A476C8"/>
    <w:rPr>
      <w:rFonts w:ascii="Times New Roman" w:eastAsia="SimSun" w:hAnsi="Times New Roman" w:cs="Times New Roman"/>
      <w:sz w:val="24"/>
      <w:szCs w:val="24"/>
      <w:lang w:val="en-US"/>
    </w:rPr>
  </w:style>
  <w:style w:type="paragraph" w:styleId="Footer">
    <w:name w:val="footer"/>
    <w:basedOn w:val="Normal"/>
    <w:link w:val="FooterChar"/>
    <w:uiPriority w:val="99"/>
    <w:unhideWhenUsed/>
    <w:rsid w:val="00A476C8"/>
    <w:pPr>
      <w:tabs>
        <w:tab w:val="center" w:pos="4513"/>
        <w:tab w:val="right" w:pos="9026"/>
      </w:tabs>
    </w:pPr>
  </w:style>
  <w:style w:type="character" w:customStyle="1" w:styleId="FooterChar">
    <w:name w:val="Footer Char"/>
    <w:basedOn w:val="DefaultParagraphFont"/>
    <w:link w:val="Footer"/>
    <w:uiPriority w:val="99"/>
    <w:rsid w:val="00A476C8"/>
    <w:rPr>
      <w:rFonts w:ascii="Times New Roman" w:eastAsia="SimSun" w:hAnsi="Times New Roman" w:cs="Times New Roman"/>
      <w:sz w:val="24"/>
      <w:szCs w:val="24"/>
      <w:lang w:val="en-US"/>
    </w:rPr>
  </w:style>
  <w:style w:type="table" w:styleId="TableGrid">
    <w:name w:val="Table Grid"/>
    <w:basedOn w:val="TableNormal"/>
    <w:uiPriority w:val="39"/>
    <w:rsid w:val="002D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4790"/>
    <w:rPr>
      <w:color w:val="0563C1" w:themeColor="hyperlink"/>
      <w:u w:val="single"/>
    </w:rPr>
  </w:style>
  <w:style w:type="character" w:styleId="UnresolvedMention">
    <w:name w:val="Unresolved Mention"/>
    <w:basedOn w:val="DefaultParagraphFont"/>
    <w:uiPriority w:val="99"/>
    <w:semiHidden/>
    <w:unhideWhenUsed/>
    <w:rsid w:val="00B24790"/>
    <w:rPr>
      <w:color w:val="605E5C"/>
      <w:shd w:val="clear" w:color="auto" w:fill="E1DFDD"/>
    </w:rPr>
  </w:style>
  <w:style w:type="character" w:styleId="PlaceholderText">
    <w:name w:val="Placeholder Text"/>
    <w:basedOn w:val="DefaultParagraphFont"/>
    <w:uiPriority w:val="99"/>
    <w:semiHidden/>
    <w:rsid w:val="001113BD"/>
    <w:rPr>
      <w:color w:val="808080"/>
    </w:rPr>
  </w:style>
  <w:style w:type="character" w:customStyle="1" w:styleId="Heading3Char">
    <w:name w:val="Heading 3 Char"/>
    <w:basedOn w:val="DefaultParagraphFont"/>
    <w:link w:val="Heading3"/>
    <w:uiPriority w:val="9"/>
    <w:rsid w:val="00EC41B3"/>
    <w:rPr>
      <w:rFonts w:ascii="Times New Roman" w:eastAsia="Times New Roman" w:hAnsi="Times New Roman" w:cs="Times New Roman"/>
      <w:b/>
      <w:bCs/>
      <w:sz w:val="27"/>
      <w:szCs w:val="27"/>
      <w:lang w:eastAsia="en-ID"/>
    </w:rPr>
  </w:style>
  <w:style w:type="paragraph" w:styleId="NormalWeb">
    <w:name w:val="Normal (Web)"/>
    <w:basedOn w:val="Normal"/>
    <w:uiPriority w:val="99"/>
    <w:unhideWhenUsed/>
    <w:rsid w:val="00EC41B3"/>
    <w:pPr>
      <w:widowControl/>
      <w:autoSpaceDE/>
      <w:autoSpaceDN/>
      <w:adjustRightInd/>
      <w:spacing w:before="100" w:beforeAutospacing="1" w:after="100" w:afterAutospacing="1"/>
    </w:pPr>
    <w:rPr>
      <w:rFonts w:eastAsia="Times New Roman"/>
      <w:lang w:val="en-ID" w:eastAsia="en-ID"/>
    </w:rPr>
  </w:style>
  <w:style w:type="character" w:styleId="Emphasis">
    <w:name w:val="Emphasis"/>
    <w:basedOn w:val="DefaultParagraphFont"/>
    <w:uiPriority w:val="20"/>
    <w:qFormat/>
    <w:rsid w:val="00EC41B3"/>
    <w:rPr>
      <w:i/>
      <w:iCs/>
    </w:rPr>
  </w:style>
  <w:style w:type="character" w:styleId="Strong">
    <w:name w:val="Strong"/>
    <w:basedOn w:val="DefaultParagraphFont"/>
    <w:uiPriority w:val="22"/>
    <w:qFormat/>
    <w:rsid w:val="00EC41B3"/>
    <w:rPr>
      <w:b/>
      <w:bCs/>
    </w:rPr>
  </w:style>
  <w:style w:type="paragraph" w:customStyle="1" w:styleId="3Paragraf">
    <w:name w:val="3Paragraf"/>
    <w:basedOn w:val="BodyTextIndent"/>
    <w:link w:val="3ParagrafChar"/>
    <w:qFormat/>
    <w:rsid w:val="00832D6C"/>
    <w:pPr>
      <w:widowControl/>
      <w:autoSpaceDE/>
      <w:autoSpaceDN/>
      <w:adjustRightInd/>
      <w:spacing w:after="0" w:line="480" w:lineRule="exact"/>
      <w:ind w:left="0" w:firstLine="709"/>
      <w:jc w:val="both"/>
    </w:pPr>
    <w:rPr>
      <w:rFonts w:ascii="Cambria" w:eastAsia="Calibri" w:hAnsi="Cambria" w:cs="Calibri"/>
      <w:kern w:val="2"/>
      <w:szCs w:val="32"/>
      <w:lang w:val="id-ID"/>
      <w14:ligatures w14:val="standardContextual"/>
    </w:rPr>
  </w:style>
  <w:style w:type="character" w:customStyle="1" w:styleId="3ParagrafChar">
    <w:name w:val="3Paragraf Char"/>
    <w:link w:val="3Paragraf"/>
    <w:rsid w:val="00832D6C"/>
    <w:rPr>
      <w:rFonts w:ascii="Cambria" w:eastAsia="Calibri" w:hAnsi="Cambria" w:cs="Calibri"/>
      <w:kern w:val="2"/>
      <w:sz w:val="24"/>
      <w:szCs w:val="32"/>
      <w:lang w:val="id-ID"/>
      <w14:ligatures w14:val="standardContextual"/>
    </w:rPr>
  </w:style>
  <w:style w:type="character" w:customStyle="1" w:styleId="Heading2Char">
    <w:name w:val="Heading 2 Char"/>
    <w:basedOn w:val="DefaultParagraphFont"/>
    <w:link w:val="Heading2"/>
    <w:uiPriority w:val="9"/>
    <w:semiHidden/>
    <w:rsid w:val="00FC28A3"/>
    <w:rPr>
      <w:rFonts w:asciiTheme="majorHAnsi" w:eastAsiaTheme="majorEastAsia" w:hAnsiTheme="majorHAnsi" w:cstheme="majorBidi"/>
      <w:color w:val="2F5496" w:themeColor="accent1" w:themeShade="BF"/>
      <w:sz w:val="26"/>
      <w:szCs w:val="26"/>
      <w:lang w:val="en-US"/>
    </w:rPr>
  </w:style>
  <w:style w:type="character" w:customStyle="1" w:styleId="whitespace-normal">
    <w:name w:val="whitespace-normal"/>
    <w:basedOn w:val="DefaultParagraphFont"/>
    <w:rsid w:val="00FC28A3"/>
  </w:style>
  <w:style w:type="character" w:customStyle="1" w:styleId="Heading1Char">
    <w:name w:val="Heading 1 Char"/>
    <w:basedOn w:val="DefaultParagraphFont"/>
    <w:link w:val="Heading1"/>
    <w:uiPriority w:val="9"/>
    <w:rsid w:val="00125AA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8871">
      <w:bodyDiv w:val="1"/>
      <w:marLeft w:val="0"/>
      <w:marRight w:val="0"/>
      <w:marTop w:val="0"/>
      <w:marBottom w:val="0"/>
      <w:divBdr>
        <w:top w:val="none" w:sz="0" w:space="0" w:color="auto"/>
        <w:left w:val="none" w:sz="0" w:space="0" w:color="auto"/>
        <w:bottom w:val="none" w:sz="0" w:space="0" w:color="auto"/>
        <w:right w:val="none" w:sz="0" w:space="0" w:color="auto"/>
      </w:divBdr>
    </w:div>
    <w:div w:id="145098752">
      <w:bodyDiv w:val="1"/>
      <w:marLeft w:val="0"/>
      <w:marRight w:val="0"/>
      <w:marTop w:val="0"/>
      <w:marBottom w:val="0"/>
      <w:divBdr>
        <w:top w:val="none" w:sz="0" w:space="0" w:color="auto"/>
        <w:left w:val="none" w:sz="0" w:space="0" w:color="auto"/>
        <w:bottom w:val="none" w:sz="0" w:space="0" w:color="auto"/>
        <w:right w:val="none" w:sz="0" w:space="0" w:color="auto"/>
      </w:divBdr>
    </w:div>
    <w:div w:id="177697779">
      <w:bodyDiv w:val="1"/>
      <w:marLeft w:val="0"/>
      <w:marRight w:val="0"/>
      <w:marTop w:val="0"/>
      <w:marBottom w:val="0"/>
      <w:divBdr>
        <w:top w:val="none" w:sz="0" w:space="0" w:color="auto"/>
        <w:left w:val="none" w:sz="0" w:space="0" w:color="auto"/>
        <w:bottom w:val="none" w:sz="0" w:space="0" w:color="auto"/>
        <w:right w:val="none" w:sz="0" w:space="0" w:color="auto"/>
      </w:divBdr>
    </w:div>
    <w:div w:id="204761474">
      <w:bodyDiv w:val="1"/>
      <w:marLeft w:val="0"/>
      <w:marRight w:val="0"/>
      <w:marTop w:val="0"/>
      <w:marBottom w:val="0"/>
      <w:divBdr>
        <w:top w:val="none" w:sz="0" w:space="0" w:color="auto"/>
        <w:left w:val="none" w:sz="0" w:space="0" w:color="auto"/>
        <w:bottom w:val="none" w:sz="0" w:space="0" w:color="auto"/>
        <w:right w:val="none" w:sz="0" w:space="0" w:color="auto"/>
      </w:divBdr>
    </w:div>
    <w:div w:id="210116914">
      <w:bodyDiv w:val="1"/>
      <w:marLeft w:val="0"/>
      <w:marRight w:val="0"/>
      <w:marTop w:val="0"/>
      <w:marBottom w:val="0"/>
      <w:divBdr>
        <w:top w:val="none" w:sz="0" w:space="0" w:color="auto"/>
        <w:left w:val="none" w:sz="0" w:space="0" w:color="auto"/>
        <w:bottom w:val="none" w:sz="0" w:space="0" w:color="auto"/>
        <w:right w:val="none" w:sz="0" w:space="0" w:color="auto"/>
      </w:divBdr>
    </w:div>
    <w:div w:id="316886826">
      <w:bodyDiv w:val="1"/>
      <w:marLeft w:val="0"/>
      <w:marRight w:val="0"/>
      <w:marTop w:val="0"/>
      <w:marBottom w:val="0"/>
      <w:divBdr>
        <w:top w:val="none" w:sz="0" w:space="0" w:color="auto"/>
        <w:left w:val="none" w:sz="0" w:space="0" w:color="auto"/>
        <w:bottom w:val="none" w:sz="0" w:space="0" w:color="auto"/>
        <w:right w:val="none" w:sz="0" w:space="0" w:color="auto"/>
      </w:divBdr>
    </w:div>
    <w:div w:id="317157083">
      <w:bodyDiv w:val="1"/>
      <w:marLeft w:val="0"/>
      <w:marRight w:val="0"/>
      <w:marTop w:val="0"/>
      <w:marBottom w:val="0"/>
      <w:divBdr>
        <w:top w:val="none" w:sz="0" w:space="0" w:color="auto"/>
        <w:left w:val="none" w:sz="0" w:space="0" w:color="auto"/>
        <w:bottom w:val="none" w:sz="0" w:space="0" w:color="auto"/>
        <w:right w:val="none" w:sz="0" w:space="0" w:color="auto"/>
      </w:divBdr>
    </w:div>
    <w:div w:id="341394607">
      <w:bodyDiv w:val="1"/>
      <w:marLeft w:val="0"/>
      <w:marRight w:val="0"/>
      <w:marTop w:val="0"/>
      <w:marBottom w:val="0"/>
      <w:divBdr>
        <w:top w:val="none" w:sz="0" w:space="0" w:color="auto"/>
        <w:left w:val="none" w:sz="0" w:space="0" w:color="auto"/>
        <w:bottom w:val="none" w:sz="0" w:space="0" w:color="auto"/>
        <w:right w:val="none" w:sz="0" w:space="0" w:color="auto"/>
      </w:divBdr>
    </w:div>
    <w:div w:id="381908636">
      <w:bodyDiv w:val="1"/>
      <w:marLeft w:val="0"/>
      <w:marRight w:val="0"/>
      <w:marTop w:val="0"/>
      <w:marBottom w:val="0"/>
      <w:divBdr>
        <w:top w:val="none" w:sz="0" w:space="0" w:color="auto"/>
        <w:left w:val="none" w:sz="0" w:space="0" w:color="auto"/>
        <w:bottom w:val="none" w:sz="0" w:space="0" w:color="auto"/>
        <w:right w:val="none" w:sz="0" w:space="0" w:color="auto"/>
      </w:divBdr>
    </w:div>
    <w:div w:id="430516490">
      <w:bodyDiv w:val="1"/>
      <w:marLeft w:val="0"/>
      <w:marRight w:val="0"/>
      <w:marTop w:val="0"/>
      <w:marBottom w:val="0"/>
      <w:divBdr>
        <w:top w:val="none" w:sz="0" w:space="0" w:color="auto"/>
        <w:left w:val="none" w:sz="0" w:space="0" w:color="auto"/>
        <w:bottom w:val="none" w:sz="0" w:space="0" w:color="auto"/>
        <w:right w:val="none" w:sz="0" w:space="0" w:color="auto"/>
      </w:divBdr>
    </w:div>
    <w:div w:id="596451180">
      <w:bodyDiv w:val="1"/>
      <w:marLeft w:val="0"/>
      <w:marRight w:val="0"/>
      <w:marTop w:val="0"/>
      <w:marBottom w:val="0"/>
      <w:divBdr>
        <w:top w:val="none" w:sz="0" w:space="0" w:color="auto"/>
        <w:left w:val="none" w:sz="0" w:space="0" w:color="auto"/>
        <w:bottom w:val="none" w:sz="0" w:space="0" w:color="auto"/>
        <w:right w:val="none" w:sz="0" w:space="0" w:color="auto"/>
      </w:divBdr>
    </w:div>
    <w:div w:id="668406110">
      <w:bodyDiv w:val="1"/>
      <w:marLeft w:val="0"/>
      <w:marRight w:val="0"/>
      <w:marTop w:val="0"/>
      <w:marBottom w:val="0"/>
      <w:divBdr>
        <w:top w:val="none" w:sz="0" w:space="0" w:color="auto"/>
        <w:left w:val="none" w:sz="0" w:space="0" w:color="auto"/>
        <w:bottom w:val="none" w:sz="0" w:space="0" w:color="auto"/>
        <w:right w:val="none" w:sz="0" w:space="0" w:color="auto"/>
      </w:divBdr>
    </w:div>
    <w:div w:id="718430912">
      <w:bodyDiv w:val="1"/>
      <w:marLeft w:val="0"/>
      <w:marRight w:val="0"/>
      <w:marTop w:val="0"/>
      <w:marBottom w:val="0"/>
      <w:divBdr>
        <w:top w:val="none" w:sz="0" w:space="0" w:color="auto"/>
        <w:left w:val="none" w:sz="0" w:space="0" w:color="auto"/>
        <w:bottom w:val="none" w:sz="0" w:space="0" w:color="auto"/>
        <w:right w:val="none" w:sz="0" w:space="0" w:color="auto"/>
      </w:divBdr>
    </w:div>
    <w:div w:id="726301375">
      <w:bodyDiv w:val="1"/>
      <w:marLeft w:val="0"/>
      <w:marRight w:val="0"/>
      <w:marTop w:val="0"/>
      <w:marBottom w:val="0"/>
      <w:divBdr>
        <w:top w:val="none" w:sz="0" w:space="0" w:color="auto"/>
        <w:left w:val="none" w:sz="0" w:space="0" w:color="auto"/>
        <w:bottom w:val="none" w:sz="0" w:space="0" w:color="auto"/>
        <w:right w:val="none" w:sz="0" w:space="0" w:color="auto"/>
      </w:divBdr>
    </w:div>
    <w:div w:id="854004898">
      <w:bodyDiv w:val="1"/>
      <w:marLeft w:val="0"/>
      <w:marRight w:val="0"/>
      <w:marTop w:val="0"/>
      <w:marBottom w:val="0"/>
      <w:divBdr>
        <w:top w:val="none" w:sz="0" w:space="0" w:color="auto"/>
        <w:left w:val="none" w:sz="0" w:space="0" w:color="auto"/>
        <w:bottom w:val="none" w:sz="0" w:space="0" w:color="auto"/>
        <w:right w:val="none" w:sz="0" w:space="0" w:color="auto"/>
      </w:divBdr>
    </w:div>
    <w:div w:id="1005866378">
      <w:bodyDiv w:val="1"/>
      <w:marLeft w:val="0"/>
      <w:marRight w:val="0"/>
      <w:marTop w:val="0"/>
      <w:marBottom w:val="0"/>
      <w:divBdr>
        <w:top w:val="none" w:sz="0" w:space="0" w:color="auto"/>
        <w:left w:val="none" w:sz="0" w:space="0" w:color="auto"/>
        <w:bottom w:val="none" w:sz="0" w:space="0" w:color="auto"/>
        <w:right w:val="none" w:sz="0" w:space="0" w:color="auto"/>
      </w:divBdr>
    </w:div>
    <w:div w:id="1041514321">
      <w:bodyDiv w:val="1"/>
      <w:marLeft w:val="0"/>
      <w:marRight w:val="0"/>
      <w:marTop w:val="0"/>
      <w:marBottom w:val="0"/>
      <w:divBdr>
        <w:top w:val="none" w:sz="0" w:space="0" w:color="auto"/>
        <w:left w:val="none" w:sz="0" w:space="0" w:color="auto"/>
        <w:bottom w:val="none" w:sz="0" w:space="0" w:color="auto"/>
        <w:right w:val="none" w:sz="0" w:space="0" w:color="auto"/>
      </w:divBdr>
    </w:div>
    <w:div w:id="1057775676">
      <w:bodyDiv w:val="1"/>
      <w:marLeft w:val="0"/>
      <w:marRight w:val="0"/>
      <w:marTop w:val="0"/>
      <w:marBottom w:val="0"/>
      <w:divBdr>
        <w:top w:val="none" w:sz="0" w:space="0" w:color="auto"/>
        <w:left w:val="none" w:sz="0" w:space="0" w:color="auto"/>
        <w:bottom w:val="none" w:sz="0" w:space="0" w:color="auto"/>
        <w:right w:val="none" w:sz="0" w:space="0" w:color="auto"/>
      </w:divBdr>
    </w:div>
    <w:div w:id="1072312915">
      <w:bodyDiv w:val="1"/>
      <w:marLeft w:val="0"/>
      <w:marRight w:val="0"/>
      <w:marTop w:val="0"/>
      <w:marBottom w:val="0"/>
      <w:divBdr>
        <w:top w:val="none" w:sz="0" w:space="0" w:color="auto"/>
        <w:left w:val="none" w:sz="0" w:space="0" w:color="auto"/>
        <w:bottom w:val="none" w:sz="0" w:space="0" w:color="auto"/>
        <w:right w:val="none" w:sz="0" w:space="0" w:color="auto"/>
      </w:divBdr>
    </w:div>
    <w:div w:id="1084567621">
      <w:bodyDiv w:val="1"/>
      <w:marLeft w:val="0"/>
      <w:marRight w:val="0"/>
      <w:marTop w:val="0"/>
      <w:marBottom w:val="0"/>
      <w:divBdr>
        <w:top w:val="none" w:sz="0" w:space="0" w:color="auto"/>
        <w:left w:val="none" w:sz="0" w:space="0" w:color="auto"/>
        <w:bottom w:val="none" w:sz="0" w:space="0" w:color="auto"/>
        <w:right w:val="none" w:sz="0" w:space="0" w:color="auto"/>
      </w:divBdr>
    </w:div>
    <w:div w:id="1086609638">
      <w:bodyDiv w:val="1"/>
      <w:marLeft w:val="0"/>
      <w:marRight w:val="0"/>
      <w:marTop w:val="0"/>
      <w:marBottom w:val="0"/>
      <w:divBdr>
        <w:top w:val="none" w:sz="0" w:space="0" w:color="auto"/>
        <w:left w:val="none" w:sz="0" w:space="0" w:color="auto"/>
        <w:bottom w:val="none" w:sz="0" w:space="0" w:color="auto"/>
        <w:right w:val="none" w:sz="0" w:space="0" w:color="auto"/>
      </w:divBdr>
    </w:div>
    <w:div w:id="1088428403">
      <w:bodyDiv w:val="1"/>
      <w:marLeft w:val="0"/>
      <w:marRight w:val="0"/>
      <w:marTop w:val="0"/>
      <w:marBottom w:val="0"/>
      <w:divBdr>
        <w:top w:val="none" w:sz="0" w:space="0" w:color="auto"/>
        <w:left w:val="none" w:sz="0" w:space="0" w:color="auto"/>
        <w:bottom w:val="none" w:sz="0" w:space="0" w:color="auto"/>
        <w:right w:val="none" w:sz="0" w:space="0" w:color="auto"/>
      </w:divBdr>
    </w:div>
    <w:div w:id="1094327201">
      <w:bodyDiv w:val="1"/>
      <w:marLeft w:val="0"/>
      <w:marRight w:val="0"/>
      <w:marTop w:val="0"/>
      <w:marBottom w:val="0"/>
      <w:divBdr>
        <w:top w:val="none" w:sz="0" w:space="0" w:color="auto"/>
        <w:left w:val="none" w:sz="0" w:space="0" w:color="auto"/>
        <w:bottom w:val="none" w:sz="0" w:space="0" w:color="auto"/>
        <w:right w:val="none" w:sz="0" w:space="0" w:color="auto"/>
      </w:divBdr>
    </w:div>
    <w:div w:id="1198347713">
      <w:bodyDiv w:val="1"/>
      <w:marLeft w:val="0"/>
      <w:marRight w:val="0"/>
      <w:marTop w:val="0"/>
      <w:marBottom w:val="0"/>
      <w:divBdr>
        <w:top w:val="none" w:sz="0" w:space="0" w:color="auto"/>
        <w:left w:val="none" w:sz="0" w:space="0" w:color="auto"/>
        <w:bottom w:val="none" w:sz="0" w:space="0" w:color="auto"/>
        <w:right w:val="none" w:sz="0" w:space="0" w:color="auto"/>
      </w:divBdr>
    </w:div>
    <w:div w:id="1201164396">
      <w:bodyDiv w:val="1"/>
      <w:marLeft w:val="0"/>
      <w:marRight w:val="0"/>
      <w:marTop w:val="0"/>
      <w:marBottom w:val="0"/>
      <w:divBdr>
        <w:top w:val="none" w:sz="0" w:space="0" w:color="auto"/>
        <w:left w:val="none" w:sz="0" w:space="0" w:color="auto"/>
        <w:bottom w:val="none" w:sz="0" w:space="0" w:color="auto"/>
        <w:right w:val="none" w:sz="0" w:space="0" w:color="auto"/>
      </w:divBdr>
    </w:div>
    <w:div w:id="1206062374">
      <w:bodyDiv w:val="1"/>
      <w:marLeft w:val="0"/>
      <w:marRight w:val="0"/>
      <w:marTop w:val="0"/>
      <w:marBottom w:val="0"/>
      <w:divBdr>
        <w:top w:val="none" w:sz="0" w:space="0" w:color="auto"/>
        <w:left w:val="none" w:sz="0" w:space="0" w:color="auto"/>
        <w:bottom w:val="none" w:sz="0" w:space="0" w:color="auto"/>
        <w:right w:val="none" w:sz="0" w:space="0" w:color="auto"/>
      </w:divBdr>
    </w:div>
    <w:div w:id="1227373540">
      <w:bodyDiv w:val="1"/>
      <w:marLeft w:val="0"/>
      <w:marRight w:val="0"/>
      <w:marTop w:val="0"/>
      <w:marBottom w:val="0"/>
      <w:divBdr>
        <w:top w:val="none" w:sz="0" w:space="0" w:color="auto"/>
        <w:left w:val="none" w:sz="0" w:space="0" w:color="auto"/>
        <w:bottom w:val="none" w:sz="0" w:space="0" w:color="auto"/>
        <w:right w:val="none" w:sz="0" w:space="0" w:color="auto"/>
      </w:divBdr>
    </w:div>
    <w:div w:id="1324550970">
      <w:bodyDiv w:val="1"/>
      <w:marLeft w:val="0"/>
      <w:marRight w:val="0"/>
      <w:marTop w:val="0"/>
      <w:marBottom w:val="0"/>
      <w:divBdr>
        <w:top w:val="none" w:sz="0" w:space="0" w:color="auto"/>
        <w:left w:val="none" w:sz="0" w:space="0" w:color="auto"/>
        <w:bottom w:val="none" w:sz="0" w:space="0" w:color="auto"/>
        <w:right w:val="none" w:sz="0" w:space="0" w:color="auto"/>
      </w:divBdr>
    </w:div>
    <w:div w:id="1336811389">
      <w:bodyDiv w:val="1"/>
      <w:marLeft w:val="0"/>
      <w:marRight w:val="0"/>
      <w:marTop w:val="0"/>
      <w:marBottom w:val="0"/>
      <w:divBdr>
        <w:top w:val="none" w:sz="0" w:space="0" w:color="auto"/>
        <w:left w:val="none" w:sz="0" w:space="0" w:color="auto"/>
        <w:bottom w:val="none" w:sz="0" w:space="0" w:color="auto"/>
        <w:right w:val="none" w:sz="0" w:space="0" w:color="auto"/>
      </w:divBdr>
    </w:div>
    <w:div w:id="1337999467">
      <w:bodyDiv w:val="1"/>
      <w:marLeft w:val="0"/>
      <w:marRight w:val="0"/>
      <w:marTop w:val="0"/>
      <w:marBottom w:val="0"/>
      <w:divBdr>
        <w:top w:val="none" w:sz="0" w:space="0" w:color="auto"/>
        <w:left w:val="none" w:sz="0" w:space="0" w:color="auto"/>
        <w:bottom w:val="none" w:sz="0" w:space="0" w:color="auto"/>
        <w:right w:val="none" w:sz="0" w:space="0" w:color="auto"/>
      </w:divBdr>
    </w:div>
    <w:div w:id="1397240923">
      <w:bodyDiv w:val="1"/>
      <w:marLeft w:val="0"/>
      <w:marRight w:val="0"/>
      <w:marTop w:val="0"/>
      <w:marBottom w:val="0"/>
      <w:divBdr>
        <w:top w:val="none" w:sz="0" w:space="0" w:color="auto"/>
        <w:left w:val="none" w:sz="0" w:space="0" w:color="auto"/>
        <w:bottom w:val="none" w:sz="0" w:space="0" w:color="auto"/>
        <w:right w:val="none" w:sz="0" w:space="0" w:color="auto"/>
      </w:divBdr>
    </w:div>
    <w:div w:id="1417092522">
      <w:bodyDiv w:val="1"/>
      <w:marLeft w:val="0"/>
      <w:marRight w:val="0"/>
      <w:marTop w:val="0"/>
      <w:marBottom w:val="0"/>
      <w:divBdr>
        <w:top w:val="none" w:sz="0" w:space="0" w:color="auto"/>
        <w:left w:val="none" w:sz="0" w:space="0" w:color="auto"/>
        <w:bottom w:val="none" w:sz="0" w:space="0" w:color="auto"/>
        <w:right w:val="none" w:sz="0" w:space="0" w:color="auto"/>
      </w:divBdr>
    </w:div>
    <w:div w:id="1587298694">
      <w:bodyDiv w:val="1"/>
      <w:marLeft w:val="0"/>
      <w:marRight w:val="0"/>
      <w:marTop w:val="0"/>
      <w:marBottom w:val="0"/>
      <w:divBdr>
        <w:top w:val="none" w:sz="0" w:space="0" w:color="auto"/>
        <w:left w:val="none" w:sz="0" w:space="0" w:color="auto"/>
        <w:bottom w:val="none" w:sz="0" w:space="0" w:color="auto"/>
        <w:right w:val="none" w:sz="0" w:space="0" w:color="auto"/>
      </w:divBdr>
    </w:div>
    <w:div w:id="1688948200">
      <w:bodyDiv w:val="1"/>
      <w:marLeft w:val="0"/>
      <w:marRight w:val="0"/>
      <w:marTop w:val="0"/>
      <w:marBottom w:val="0"/>
      <w:divBdr>
        <w:top w:val="none" w:sz="0" w:space="0" w:color="auto"/>
        <w:left w:val="none" w:sz="0" w:space="0" w:color="auto"/>
        <w:bottom w:val="none" w:sz="0" w:space="0" w:color="auto"/>
        <w:right w:val="none" w:sz="0" w:space="0" w:color="auto"/>
      </w:divBdr>
      <w:divsChild>
        <w:div w:id="1145508477">
          <w:marLeft w:val="0"/>
          <w:marRight w:val="0"/>
          <w:marTop w:val="0"/>
          <w:marBottom w:val="0"/>
          <w:divBdr>
            <w:top w:val="none" w:sz="0" w:space="0" w:color="auto"/>
            <w:left w:val="none" w:sz="0" w:space="0" w:color="auto"/>
            <w:bottom w:val="none" w:sz="0" w:space="0" w:color="auto"/>
            <w:right w:val="none" w:sz="0" w:space="0" w:color="auto"/>
          </w:divBdr>
          <w:divsChild>
            <w:div w:id="644093301">
              <w:marLeft w:val="0"/>
              <w:marRight w:val="0"/>
              <w:marTop w:val="0"/>
              <w:marBottom w:val="0"/>
              <w:divBdr>
                <w:top w:val="none" w:sz="0" w:space="0" w:color="auto"/>
                <w:left w:val="none" w:sz="0" w:space="0" w:color="auto"/>
                <w:bottom w:val="none" w:sz="0" w:space="0" w:color="auto"/>
                <w:right w:val="none" w:sz="0" w:space="0" w:color="auto"/>
              </w:divBdr>
              <w:divsChild>
                <w:div w:id="65346359">
                  <w:marLeft w:val="0"/>
                  <w:marRight w:val="0"/>
                  <w:marTop w:val="0"/>
                  <w:marBottom w:val="0"/>
                  <w:divBdr>
                    <w:top w:val="none" w:sz="0" w:space="0" w:color="auto"/>
                    <w:left w:val="none" w:sz="0" w:space="0" w:color="auto"/>
                    <w:bottom w:val="none" w:sz="0" w:space="0" w:color="auto"/>
                    <w:right w:val="none" w:sz="0" w:space="0" w:color="auto"/>
                  </w:divBdr>
                  <w:divsChild>
                    <w:div w:id="267347528">
                      <w:marLeft w:val="0"/>
                      <w:marRight w:val="0"/>
                      <w:marTop w:val="0"/>
                      <w:marBottom w:val="0"/>
                      <w:divBdr>
                        <w:top w:val="none" w:sz="0" w:space="0" w:color="auto"/>
                        <w:left w:val="none" w:sz="0" w:space="0" w:color="auto"/>
                        <w:bottom w:val="none" w:sz="0" w:space="0" w:color="auto"/>
                        <w:right w:val="none" w:sz="0" w:space="0" w:color="auto"/>
                      </w:divBdr>
                      <w:divsChild>
                        <w:div w:id="1080757566">
                          <w:marLeft w:val="0"/>
                          <w:marRight w:val="0"/>
                          <w:marTop w:val="0"/>
                          <w:marBottom w:val="0"/>
                          <w:divBdr>
                            <w:top w:val="none" w:sz="0" w:space="0" w:color="auto"/>
                            <w:left w:val="none" w:sz="0" w:space="0" w:color="auto"/>
                            <w:bottom w:val="none" w:sz="0" w:space="0" w:color="auto"/>
                            <w:right w:val="none" w:sz="0" w:space="0" w:color="auto"/>
                          </w:divBdr>
                          <w:divsChild>
                            <w:div w:id="1400247012">
                              <w:marLeft w:val="0"/>
                              <w:marRight w:val="0"/>
                              <w:marTop w:val="0"/>
                              <w:marBottom w:val="0"/>
                              <w:divBdr>
                                <w:top w:val="none" w:sz="0" w:space="0" w:color="auto"/>
                                <w:left w:val="none" w:sz="0" w:space="0" w:color="auto"/>
                                <w:bottom w:val="none" w:sz="0" w:space="0" w:color="auto"/>
                                <w:right w:val="none" w:sz="0" w:space="0" w:color="auto"/>
                              </w:divBdr>
                              <w:divsChild>
                                <w:div w:id="180897472">
                                  <w:marLeft w:val="0"/>
                                  <w:marRight w:val="0"/>
                                  <w:marTop w:val="0"/>
                                  <w:marBottom w:val="0"/>
                                  <w:divBdr>
                                    <w:top w:val="none" w:sz="0" w:space="0" w:color="auto"/>
                                    <w:left w:val="none" w:sz="0" w:space="0" w:color="auto"/>
                                    <w:bottom w:val="none" w:sz="0" w:space="0" w:color="auto"/>
                                    <w:right w:val="none" w:sz="0" w:space="0" w:color="auto"/>
                                  </w:divBdr>
                                  <w:divsChild>
                                    <w:div w:id="179662806">
                                      <w:marLeft w:val="0"/>
                                      <w:marRight w:val="0"/>
                                      <w:marTop w:val="0"/>
                                      <w:marBottom w:val="0"/>
                                      <w:divBdr>
                                        <w:top w:val="none" w:sz="0" w:space="0" w:color="auto"/>
                                        <w:left w:val="none" w:sz="0" w:space="0" w:color="auto"/>
                                        <w:bottom w:val="none" w:sz="0" w:space="0" w:color="auto"/>
                                        <w:right w:val="none" w:sz="0" w:space="0" w:color="auto"/>
                                      </w:divBdr>
                                      <w:divsChild>
                                        <w:div w:id="1578704421">
                                          <w:marLeft w:val="0"/>
                                          <w:marRight w:val="0"/>
                                          <w:marTop w:val="0"/>
                                          <w:marBottom w:val="0"/>
                                          <w:divBdr>
                                            <w:top w:val="none" w:sz="0" w:space="0" w:color="auto"/>
                                            <w:left w:val="none" w:sz="0" w:space="0" w:color="auto"/>
                                            <w:bottom w:val="none" w:sz="0" w:space="0" w:color="auto"/>
                                            <w:right w:val="none" w:sz="0" w:space="0" w:color="auto"/>
                                          </w:divBdr>
                                          <w:divsChild>
                                            <w:div w:id="539779895">
                                              <w:marLeft w:val="0"/>
                                              <w:marRight w:val="0"/>
                                              <w:marTop w:val="0"/>
                                              <w:marBottom w:val="0"/>
                                              <w:divBdr>
                                                <w:top w:val="none" w:sz="0" w:space="0" w:color="auto"/>
                                                <w:left w:val="none" w:sz="0" w:space="0" w:color="auto"/>
                                                <w:bottom w:val="none" w:sz="0" w:space="0" w:color="auto"/>
                                                <w:right w:val="none" w:sz="0" w:space="0" w:color="auto"/>
                                              </w:divBdr>
                                              <w:divsChild>
                                                <w:div w:id="269363988">
                                                  <w:marLeft w:val="0"/>
                                                  <w:marRight w:val="0"/>
                                                  <w:marTop w:val="0"/>
                                                  <w:marBottom w:val="0"/>
                                                  <w:divBdr>
                                                    <w:top w:val="none" w:sz="0" w:space="0" w:color="auto"/>
                                                    <w:left w:val="none" w:sz="0" w:space="0" w:color="auto"/>
                                                    <w:bottom w:val="none" w:sz="0" w:space="0" w:color="auto"/>
                                                    <w:right w:val="none" w:sz="0" w:space="0" w:color="auto"/>
                                                  </w:divBdr>
                                                  <w:divsChild>
                                                    <w:div w:id="16616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203300">
      <w:bodyDiv w:val="1"/>
      <w:marLeft w:val="0"/>
      <w:marRight w:val="0"/>
      <w:marTop w:val="0"/>
      <w:marBottom w:val="0"/>
      <w:divBdr>
        <w:top w:val="none" w:sz="0" w:space="0" w:color="auto"/>
        <w:left w:val="none" w:sz="0" w:space="0" w:color="auto"/>
        <w:bottom w:val="none" w:sz="0" w:space="0" w:color="auto"/>
        <w:right w:val="none" w:sz="0" w:space="0" w:color="auto"/>
      </w:divBdr>
    </w:div>
    <w:div w:id="1773013916">
      <w:bodyDiv w:val="1"/>
      <w:marLeft w:val="0"/>
      <w:marRight w:val="0"/>
      <w:marTop w:val="0"/>
      <w:marBottom w:val="0"/>
      <w:divBdr>
        <w:top w:val="none" w:sz="0" w:space="0" w:color="auto"/>
        <w:left w:val="none" w:sz="0" w:space="0" w:color="auto"/>
        <w:bottom w:val="none" w:sz="0" w:space="0" w:color="auto"/>
        <w:right w:val="none" w:sz="0" w:space="0" w:color="auto"/>
      </w:divBdr>
    </w:div>
    <w:div w:id="1844006363">
      <w:bodyDiv w:val="1"/>
      <w:marLeft w:val="0"/>
      <w:marRight w:val="0"/>
      <w:marTop w:val="0"/>
      <w:marBottom w:val="0"/>
      <w:divBdr>
        <w:top w:val="none" w:sz="0" w:space="0" w:color="auto"/>
        <w:left w:val="none" w:sz="0" w:space="0" w:color="auto"/>
        <w:bottom w:val="none" w:sz="0" w:space="0" w:color="auto"/>
        <w:right w:val="none" w:sz="0" w:space="0" w:color="auto"/>
      </w:divBdr>
    </w:div>
    <w:div w:id="1846941958">
      <w:bodyDiv w:val="1"/>
      <w:marLeft w:val="0"/>
      <w:marRight w:val="0"/>
      <w:marTop w:val="0"/>
      <w:marBottom w:val="0"/>
      <w:divBdr>
        <w:top w:val="none" w:sz="0" w:space="0" w:color="auto"/>
        <w:left w:val="none" w:sz="0" w:space="0" w:color="auto"/>
        <w:bottom w:val="none" w:sz="0" w:space="0" w:color="auto"/>
        <w:right w:val="none" w:sz="0" w:space="0" w:color="auto"/>
      </w:divBdr>
    </w:div>
    <w:div w:id="1934195887">
      <w:bodyDiv w:val="1"/>
      <w:marLeft w:val="0"/>
      <w:marRight w:val="0"/>
      <w:marTop w:val="0"/>
      <w:marBottom w:val="0"/>
      <w:divBdr>
        <w:top w:val="none" w:sz="0" w:space="0" w:color="auto"/>
        <w:left w:val="none" w:sz="0" w:space="0" w:color="auto"/>
        <w:bottom w:val="none" w:sz="0" w:space="0" w:color="auto"/>
        <w:right w:val="none" w:sz="0" w:space="0" w:color="auto"/>
      </w:divBdr>
    </w:div>
    <w:div w:id="193871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0473/vol9iss20226pp874-88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doi.org/10.1037/1082-989X.4.1.84" TargetMode="Externa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doi.org/10.1177/000765039903800303"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871E84-4A64-43F4-93F1-C75E5F4F4CE0}"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en-US"/>
        </a:p>
      </dgm:t>
    </dgm:pt>
    <dgm:pt modelId="{D3E2E468-5383-49ED-933D-195DECF2FE59}">
      <dgm:prSet phldrT="[Text]" custT="1"/>
      <dgm:spPr/>
      <dgm:t>
        <a:bodyPr/>
        <a:lstStyle/>
        <a:p>
          <a:pPr>
            <a:buNone/>
          </a:pPr>
          <a:r>
            <a:rPr lang="en-US" sz="1000">
              <a:latin typeface="Times New Roman" panose="02020603050405020304" pitchFamily="18" charset="0"/>
              <a:cs typeface="Times New Roman" panose="02020603050405020304" pitchFamily="18" charset="0"/>
            </a:rPr>
            <a:t>Identification of Research Problem</a:t>
          </a:r>
        </a:p>
      </dgm:t>
    </dgm:pt>
    <dgm:pt modelId="{077AB4A9-C67C-4D5C-8CC1-A75DFAEA53D6}" type="parTrans" cxnId="{0412457E-C3AF-4C8E-AD37-957AF95F00F7}">
      <dgm:prSet/>
      <dgm:spPr/>
      <dgm:t>
        <a:bodyPr/>
        <a:lstStyle/>
        <a:p>
          <a:endParaRPr lang="en-US">
            <a:latin typeface="Times New Roman" panose="02020603050405020304" pitchFamily="18" charset="0"/>
            <a:cs typeface="Times New Roman" panose="02020603050405020304" pitchFamily="18" charset="0"/>
          </a:endParaRPr>
        </a:p>
      </dgm:t>
    </dgm:pt>
    <dgm:pt modelId="{0CF3370B-9908-446D-9CBA-C339347CD846}" type="sibTrans" cxnId="{0412457E-C3AF-4C8E-AD37-957AF95F00F7}">
      <dgm:prSet/>
      <dgm:spPr/>
      <dgm:t>
        <a:bodyPr/>
        <a:lstStyle/>
        <a:p>
          <a:endParaRPr lang="en-US">
            <a:latin typeface="Times New Roman" panose="02020603050405020304" pitchFamily="18" charset="0"/>
            <a:cs typeface="Times New Roman" panose="02020603050405020304" pitchFamily="18" charset="0"/>
          </a:endParaRPr>
        </a:p>
      </dgm:t>
    </dgm:pt>
    <dgm:pt modelId="{96E14E72-202F-4579-90A6-266DD3AB83DB}">
      <dgm:prSet phldrT="[Text]" custT="1"/>
      <dgm:spPr/>
      <dgm:t>
        <a:bodyPr/>
        <a:lstStyle/>
        <a:p>
          <a:pPr>
            <a:buNone/>
          </a:pPr>
          <a:r>
            <a:rPr lang="en-US" sz="1000">
              <a:latin typeface="Times New Roman" panose="02020603050405020304" pitchFamily="18" charset="0"/>
              <a:cs typeface="Times New Roman" panose="02020603050405020304" pitchFamily="18" charset="0"/>
            </a:rPr>
            <a:t>Literature Review and Instrument Development</a:t>
          </a:r>
        </a:p>
      </dgm:t>
    </dgm:pt>
    <dgm:pt modelId="{2AB07A70-0185-4CF0-993C-6E9F5D070E5D}" type="parTrans" cxnId="{DF59EA65-1E76-4470-9109-7D74FF69C335}">
      <dgm:prSet/>
      <dgm:spPr/>
      <dgm:t>
        <a:bodyPr/>
        <a:lstStyle/>
        <a:p>
          <a:endParaRPr lang="en-US">
            <a:latin typeface="Times New Roman" panose="02020603050405020304" pitchFamily="18" charset="0"/>
            <a:cs typeface="Times New Roman" panose="02020603050405020304" pitchFamily="18" charset="0"/>
          </a:endParaRPr>
        </a:p>
      </dgm:t>
    </dgm:pt>
    <dgm:pt modelId="{30C56923-694B-4BB9-95B0-DEB72944045E}" type="sibTrans" cxnId="{DF59EA65-1E76-4470-9109-7D74FF69C335}">
      <dgm:prSet/>
      <dgm:spPr/>
      <dgm:t>
        <a:bodyPr/>
        <a:lstStyle/>
        <a:p>
          <a:endParaRPr lang="en-US">
            <a:latin typeface="Times New Roman" panose="02020603050405020304" pitchFamily="18" charset="0"/>
            <a:cs typeface="Times New Roman" panose="02020603050405020304" pitchFamily="18" charset="0"/>
          </a:endParaRPr>
        </a:p>
      </dgm:t>
    </dgm:pt>
    <dgm:pt modelId="{D4AEBCFA-3ADB-49E3-BFCF-E1773685A985}">
      <dgm:prSet phldrT="[Text]" custT="1"/>
      <dgm:spPr/>
      <dgm:t>
        <a:bodyPr/>
        <a:lstStyle/>
        <a:p>
          <a:pPr>
            <a:buNone/>
          </a:pPr>
          <a:r>
            <a:rPr lang="en-US" sz="1000">
              <a:latin typeface="Times New Roman" panose="02020603050405020304" pitchFamily="18" charset="0"/>
              <a:cs typeface="Times New Roman" panose="02020603050405020304" pitchFamily="18" charset="0"/>
            </a:rPr>
            <a:t>Questionnaire Distribution</a:t>
          </a:r>
        </a:p>
      </dgm:t>
    </dgm:pt>
    <dgm:pt modelId="{E430FA71-8098-4FE3-9758-41E950B76C05}" type="parTrans" cxnId="{8D87E62E-C176-428E-86BC-7CB04583CAA7}">
      <dgm:prSet/>
      <dgm:spPr/>
      <dgm:t>
        <a:bodyPr/>
        <a:lstStyle/>
        <a:p>
          <a:endParaRPr lang="en-US">
            <a:latin typeface="Times New Roman" panose="02020603050405020304" pitchFamily="18" charset="0"/>
            <a:cs typeface="Times New Roman" panose="02020603050405020304" pitchFamily="18" charset="0"/>
          </a:endParaRPr>
        </a:p>
      </dgm:t>
    </dgm:pt>
    <dgm:pt modelId="{AE569BBB-0875-4B30-938D-2DF8FF23D1C2}" type="sibTrans" cxnId="{8D87E62E-C176-428E-86BC-7CB04583CAA7}">
      <dgm:prSet/>
      <dgm:spPr/>
      <dgm:t>
        <a:bodyPr/>
        <a:lstStyle/>
        <a:p>
          <a:endParaRPr lang="en-US">
            <a:latin typeface="Times New Roman" panose="02020603050405020304" pitchFamily="18" charset="0"/>
            <a:cs typeface="Times New Roman" panose="02020603050405020304" pitchFamily="18" charset="0"/>
          </a:endParaRPr>
        </a:p>
      </dgm:t>
    </dgm:pt>
    <dgm:pt modelId="{A64396B7-92D0-4FC0-964A-A72D46DE66FC}">
      <dgm:prSet phldrT="[Text]" custT="1"/>
      <dgm:spPr/>
      <dgm:t>
        <a:bodyPr/>
        <a:lstStyle/>
        <a:p>
          <a:pPr>
            <a:buNone/>
          </a:pPr>
          <a:r>
            <a:rPr lang="en-US" sz="1000">
              <a:latin typeface="Times New Roman" panose="02020603050405020304" pitchFamily="18" charset="0"/>
              <a:cs typeface="Times New Roman" panose="02020603050405020304" pitchFamily="18" charset="0"/>
            </a:rPr>
            <a:t>Data Screening</a:t>
          </a:r>
        </a:p>
      </dgm:t>
    </dgm:pt>
    <dgm:pt modelId="{1FA9277A-0714-407A-8DF1-9F625957F720}" type="parTrans" cxnId="{2876A06C-191C-47D5-9C13-022454C5D018}">
      <dgm:prSet/>
      <dgm:spPr/>
      <dgm:t>
        <a:bodyPr/>
        <a:lstStyle/>
        <a:p>
          <a:endParaRPr lang="en-US">
            <a:latin typeface="Times New Roman" panose="02020603050405020304" pitchFamily="18" charset="0"/>
            <a:cs typeface="Times New Roman" panose="02020603050405020304" pitchFamily="18" charset="0"/>
          </a:endParaRPr>
        </a:p>
      </dgm:t>
    </dgm:pt>
    <dgm:pt modelId="{366B6EF4-6436-4B47-B71E-AA643CA9116F}" type="sibTrans" cxnId="{2876A06C-191C-47D5-9C13-022454C5D018}">
      <dgm:prSet/>
      <dgm:spPr/>
      <dgm:t>
        <a:bodyPr/>
        <a:lstStyle/>
        <a:p>
          <a:endParaRPr lang="en-US">
            <a:latin typeface="Times New Roman" panose="02020603050405020304" pitchFamily="18" charset="0"/>
            <a:cs typeface="Times New Roman" panose="02020603050405020304" pitchFamily="18" charset="0"/>
          </a:endParaRPr>
        </a:p>
      </dgm:t>
    </dgm:pt>
    <dgm:pt modelId="{085B5076-B4E2-4336-97D1-5DE7E74546F4}">
      <dgm:prSet phldrT="[Text]" custT="1"/>
      <dgm:spPr/>
      <dgm:t>
        <a:bodyPr/>
        <a:lstStyle/>
        <a:p>
          <a:pPr>
            <a:buNone/>
          </a:pPr>
          <a:r>
            <a:rPr lang="en-US" sz="1000">
              <a:latin typeface="Times New Roman" panose="02020603050405020304" pitchFamily="18" charset="0"/>
              <a:cs typeface="Times New Roman" panose="02020603050405020304" pitchFamily="18" charset="0"/>
            </a:rPr>
            <a:t>Validity and Reliability Testing</a:t>
          </a:r>
        </a:p>
      </dgm:t>
    </dgm:pt>
    <dgm:pt modelId="{67D0662B-81B3-4269-8857-90D4711991D0}" type="parTrans" cxnId="{B4792F71-3D8D-4216-9C9C-F6232384B306}">
      <dgm:prSet/>
      <dgm:spPr/>
      <dgm:t>
        <a:bodyPr/>
        <a:lstStyle/>
        <a:p>
          <a:endParaRPr lang="en-US">
            <a:latin typeface="Times New Roman" panose="02020603050405020304" pitchFamily="18" charset="0"/>
            <a:cs typeface="Times New Roman" panose="02020603050405020304" pitchFamily="18" charset="0"/>
          </a:endParaRPr>
        </a:p>
      </dgm:t>
    </dgm:pt>
    <dgm:pt modelId="{92E188C5-9202-418C-8A8E-5722BCD1EFDF}" type="sibTrans" cxnId="{B4792F71-3D8D-4216-9C9C-F6232384B306}">
      <dgm:prSet/>
      <dgm:spPr/>
      <dgm:t>
        <a:bodyPr/>
        <a:lstStyle/>
        <a:p>
          <a:endParaRPr lang="en-US">
            <a:latin typeface="Times New Roman" panose="02020603050405020304" pitchFamily="18" charset="0"/>
            <a:cs typeface="Times New Roman" panose="02020603050405020304" pitchFamily="18" charset="0"/>
          </a:endParaRPr>
        </a:p>
      </dgm:t>
    </dgm:pt>
    <dgm:pt modelId="{55539009-D785-41A3-9A84-594C1638FC7A}">
      <dgm:prSet phldrT="[Text]" custT="1"/>
      <dgm:spPr/>
      <dgm:t>
        <a:bodyPr/>
        <a:lstStyle/>
        <a:p>
          <a:pPr>
            <a:buNone/>
          </a:pPr>
          <a:r>
            <a:rPr lang="en-US" sz="1000">
              <a:latin typeface="Times New Roman" panose="02020603050405020304" pitchFamily="18" charset="0"/>
              <a:cs typeface="Times New Roman" panose="02020603050405020304" pitchFamily="18" charset="0"/>
            </a:rPr>
            <a:t>KMO and Bartlett's Test</a:t>
          </a:r>
        </a:p>
      </dgm:t>
    </dgm:pt>
    <dgm:pt modelId="{9B5DE63C-E25F-441A-BEC7-8725378AE28C}" type="parTrans" cxnId="{19EAFFFA-4303-4CDB-B6C7-FB5B335A25DE}">
      <dgm:prSet/>
      <dgm:spPr/>
      <dgm:t>
        <a:bodyPr/>
        <a:lstStyle/>
        <a:p>
          <a:endParaRPr lang="en-US">
            <a:latin typeface="Times New Roman" panose="02020603050405020304" pitchFamily="18" charset="0"/>
            <a:cs typeface="Times New Roman" panose="02020603050405020304" pitchFamily="18" charset="0"/>
          </a:endParaRPr>
        </a:p>
      </dgm:t>
    </dgm:pt>
    <dgm:pt modelId="{9CA6D76D-4C4B-4D33-AD84-D51BC30895BB}" type="sibTrans" cxnId="{19EAFFFA-4303-4CDB-B6C7-FB5B335A25DE}">
      <dgm:prSet/>
      <dgm:spPr/>
      <dgm:t>
        <a:bodyPr/>
        <a:lstStyle/>
        <a:p>
          <a:endParaRPr lang="en-US">
            <a:latin typeface="Times New Roman" panose="02020603050405020304" pitchFamily="18" charset="0"/>
            <a:cs typeface="Times New Roman" panose="02020603050405020304" pitchFamily="18" charset="0"/>
          </a:endParaRPr>
        </a:p>
      </dgm:t>
    </dgm:pt>
    <dgm:pt modelId="{2F1AABA2-8947-40F6-8CB2-758DAD7FCBE9}">
      <dgm:prSet phldrT="[Text]" custT="1"/>
      <dgm:spPr/>
      <dgm:t>
        <a:bodyPr/>
        <a:lstStyle/>
        <a:p>
          <a:pPr>
            <a:buNone/>
          </a:pPr>
          <a:r>
            <a:rPr lang="en-US" sz="1000">
              <a:latin typeface="Times New Roman" panose="02020603050405020304" pitchFamily="18" charset="0"/>
              <a:cs typeface="Times New Roman" panose="02020603050405020304" pitchFamily="18" charset="0"/>
            </a:rPr>
            <a:t>Factor Rotation (Promax)</a:t>
          </a:r>
        </a:p>
      </dgm:t>
    </dgm:pt>
    <dgm:pt modelId="{C48E2FD9-5128-4612-96F7-2E6E18F18595}" type="parTrans" cxnId="{BAB364DC-476D-4776-8695-5E439D2F626D}">
      <dgm:prSet/>
      <dgm:spPr/>
      <dgm:t>
        <a:bodyPr/>
        <a:lstStyle/>
        <a:p>
          <a:endParaRPr lang="en-US">
            <a:latin typeface="Times New Roman" panose="02020603050405020304" pitchFamily="18" charset="0"/>
            <a:cs typeface="Times New Roman" panose="02020603050405020304" pitchFamily="18" charset="0"/>
          </a:endParaRPr>
        </a:p>
      </dgm:t>
    </dgm:pt>
    <dgm:pt modelId="{061B4F40-CD6A-4AD3-B8C1-A1C1844E3ED5}" type="sibTrans" cxnId="{BAB364DC-476D-4776-8695-5E439D2F626D}">
      <dgm:prSet/>
      <dgm:spPr/>
      <dgm:t>
        <a:bodyPr/>
        <a:lstStyle/>
        <a:p>
          <a:endParaRPr lang="en-US">
            <a:solidFill>
              <a:sysClr val="windowText" lastClr="000000"/>
            </a:solidFill>
            <a:latin typeface="Times New Roman" panose="02020603050405020304" pitchFamily="18" charset="0"/>
            <a:cs typeface="Times New Roman" panose="02020603050405020304" pitchFamily="18" charset="0"/>
          </a:endParaRPr>
        </a:p>
      </dgm:t>
    </dgm:pt>
    <dgm:pt modelId="{E3486486-8A85-4489-A4FB-A525E4CB2DE4}">
      <dgm:prSet phldrT="[Text]" custT="1"/>
      <dgm:spPr/>
      <dgm:t>
        <a:bodyPr/>
        <a:lstStyle/>
        <a:p>
          <a:pPr>
            <a:buNone/>
          </a:pPr>
          <a:r>
            <a:rPr lang="en-US" sz="1000">
              <a:latin typeface="Times New Roman" panose="02020603050405020304" pitchFamily="18" charset="0"/>
              <a:cs typeface="Times New Roman" panose="02020603050405020304" pitchFamily="18" charset="0"/>
            </a:rPr>
            <a:t>Exploratory Factor Analysis</a:t>
          </a:r>
        </a:p>
      </dgm:t>
    </dgm:pt>
    <dgm:pt modelId="{0038C0E7-4CB2-4D2E-8D79-8D2521AF7693}" type="parTrans" cxnId="{4E0AA51F-248F-4706-9CA6-D19B87BF0850}">
      <dgm:prSet/>
      <dgm:spPr/>
      <dgm:t>
        <a:bodyPr/>
        <a:lstStyle/>
        <a:p>
          <a:endParaRPr lang="en-US">
            <a:latin typeface="Times New Roman" panose="02020603050405020304" pitchFamily="18" charset="0"/>
            <a:cs typeface="Times New Roman" panose="02020603050405020304" pitchFamily="18" charset="0"/>
          </a:endParaRPr>
        </a:p>
      </dgm:t>
    </dgm:pt>
    <dgm:pt modelId="{016A6855-B41C-4910-BC80-6A1DDE126296}" type="sibTrans" cxnId="{4E0AA51F-248F-4706-9CA6-D19B87BF0850}">
      <dgm:prSet/>
      <dgm:spPr/>
      <dgm:t>
        <a:bodyPr/>
        <a:lstStyle/>
        <a:p>
          <a:endParaRPr lang="en-US">
            <a:latin typeface="Times New Roman" panose="02020603050405020304" pitchFamily="18" charset="0"/>
            <a:cs typeface="Times New Roman" panose="02020603050405020304" pitchFamily="18" charset="0"/>
          </a:endParaRPr>
        </a:p>
      </dgm:t>
    </dgm:pt>
    <dgm:pt modelId="{6152251F-875B-4F52-9DD2-D55ECE55B5BE}">
      <dgm:prSet phldrT="[Text]" custT="1"/>
      <dgm:spPr/>
      <dgm:t>
        <a:bodyPr/>
        <a:lstStyle/>
        <a:p>
          <a:pPr>
            <a:buNone/>
          </a:pPr>
          <a:r>
            <a:rPr lang="en-US" sz="1000">
              <a:latin typeface="Times New Roman" panose="02020603050405020304" pitchFamily="18" charset="0"/>
              <a:cs typeface="Times New Roman" panose="02020603050405020304" pitchFamily="18" charset="0"/>
            </a:rPr>
            <a:t>Factor Interpretation</a:t>
          </a:r>
        </a:p>
      </dgm:t>
    </dgm:pt>
    <dgm:pt modelId="{883F74BB-E4CF-4128-AEB7-8B5D5BACACF6}" type="parTrans" cxnId="{9C317FDF-A3D3-4A82-B745-A6E37C4B9689}">
      <dgm:prSet/>
      <dgm:spPr/>
      <dgm:t>
        <a:bodyPr/>
        <a:lstStyle/>
        <a:p>
          <a:endParaRPr lang="en-US">
            <a:latin typeface="Times New Roman" panose="02020603050405020304" pitchFamily="18" charset="0"/>
            <a:cs typeface="Times New Roman" panose="02020603050405020304" pitchFamily="18" charset="0"/>
          </a:endParaRPr>
        </a:p>
      </dgm:t>
    </dgm:pt>
    <dgm:pt modelId="{0E499867-4AD9-491B-8F06-2B2FE27F322A}" type="sibTrans" cxnId="{9C317FDF-A3D3-4A82-B745-A6E37C4B9689}">
      <dgm:prSet/>
      <dgm:spPr/>
      <dgm:t>
        <a:bodyPr/>
        <a:lstStyle/>
        <a:p>
          <a:endParaRPr lang="en-US">
            <a:latin typeface="Times New Roman" panose="02020603050405020304" pitchFamily="18" charset="0"/>
            <a:cs typeface="Times New Roman" panose="02020603050405020304" pitchFamily="18" charset="0"/>
          </a:endParaRPr>
        </a:p>
      </dgm:t>
    </dgm:pt>
    <dgm:pt modelId="{9B012300-B606-4765-B366-D18C81CCED81}">
      <dgm:prSet phldrT="[Text]" custT="1"/>
      <dgm:spPr/>
      <dgm:t>
        <a:bodyPr/>
        <a:lstStyle/>
        <a:p>
          <a:pPr>
            <a:buNone/>
          </a:pPr>
          <a:r>
            <a:rPr lang="en-US" sz="900">
              <a:latin typeface="Times New Roman" panose="02020603050405020304" pitchFamily="18" charset="0"/>
              <a:cs typeface="Times New Roman" panose="02020603050405020304" pitchFamily="18" charset="0"/>
            </a:rPr>
            <a:t>Development of the Multidimensional Model of</a:t>
          </a:r>
          <a:br>
            <a:rPr lang="en-US" sz="900">
              <a:latin typeface="Times New Roman" panose="02020603050405020304" pitchFamily="18" charset="0"/>
              <a:cs typeface="Times New Roman" panose="02020603050405020304" pitchFamily="18" charset="0"/>
            </a:rPr>
          </a:br>
          <a:r>
            <a:rPr lang="en-US" sz="900">
              <a:latin typeface="Times New Roman" panose="02020603050405020304" pitchFamily="18" charset="0"/>
              <a:cs typeface="Times New Roman" panose="02020603050405020304" pitchFamily="18" charset="0"/>
            </a:rPr>
            <a:t>Islamic Social Finance-Based CSR Effectiveness</a:t>
          </a:r>
        </a:p>
      </dgm:t>
    </dgm:pt>
    <dgm:pt modelId="{61BD967A-96DA-4C3C-BD49-A48871496EDC}" type="parTrans" cxnId="{15715881-21B9-440B-ABF7-1E79B2765F85}">
      <dgm:prSet/>
      <dgm:spPr/>
      <dgm:t>
        <a:bodyPr/>
        <a:lstStyle/>
        <a:p>
          <a:endParaRPr lang="en-US">
            <a:latin typeface="Times New Roman" panose="02020603050405020304" pitchFamily="18" charset="0"/>
            <a:cs typeface="Times New Roman" panose="02020603050405020304" pitchFamily="18" charset="0"/>
          </a:endParaRPr>
        </a:p>
      </dgm:t>
    </dgm:pt>
    <dgm:pt modelId="{B45BD900-A49C-4640-949F-D594BADFA534}" type="sibTrans" cxnId="{15715881-21B9-440B-ABF7-1E79B2765F85}">
      <dgm:prSet/>
      <dgm:spPr/>
      <dgm:t>
        <a:bodyPr/>
        <a:lstStyle/>
        <a:p>
          <a:endParaRPr lang="en-US">
            <a:latin typeface="Times New Roman" panose="02020603050405020304" pitchFamily="18" charset="0"/>
            <a:cs typeface="Times New Roman" panose="02020603050405020304" pitchFamily="18" charset="0"/>
          </a:endParaRPr>
        </a:p>
      </dgm:t>
    </dgm:pt>
    <dgm:pt modelId="{309C02F1-5CB4-4066-AF9C-D72C0A4D8EDF}" type="pres">
      <dgm:prSet presAssocID="{B1871E84-4A64-43F4-93F1-C75E5F4F4CE0}" presName="Name0" presStyleCnt="0">
        <dgm:presLayoutVars>
          <dgm:dir/>
          <dgm:resizeHandles val="exact"/>
        </dgm:presLayoutVars>
      </dgm:prSet>
      <dgm:spPr/>
    </dgm:pt>
    <dgm:pt modelId="{FE4B3563-801F-4CD2-BA2A-7CF81E792167}" type="pres">
      <dgm:prSet presAssocID="{D3E2E468-5383-49ED-933D-195DECF2FE59}" presName="node" presStyleLbl="node1" presStyleIdx="0" presStyleCnt="10" custScaleY="71943">
        <dgm:presLayoutVars>
          <dgm:bulletEnabled val="1"/>
        </dgm:presLayoutVars>
      </dgm:prSet>
      <dgm:spPr/>
    </dgm:pt>
    <dgm:pt modelId="{F9653121-D743-43B0-B468-4AC77A3A6BD9}" type="pres">
      <dgm:prSet presAssocID="{0CF3370B-9908-446D-9CBA-C339347CD846}" presName="sibTrans" presStyleLbl="sibTrans1D1" presStyleIdx="0" presStyleCnt="9"/>
      <dgm:spPr/>
    </dgm:pt>
    <dgm:pt modelId="{94881F4F-871D-4C55-99B5-18AAB23D6A6C}" type="pres">
      <dgm:prSet presAssocID="{0CF3370B-9908-446D-9CBA-C339347CD846}" presName="connectorText" presStyleLbl="sibTrans1D1" presStyleIdx="0" presStyleCnt="9"/>
      <dgm:spPr/>
    </dgm:pt>
    <dgm:pt modelId="{F6A6577F-11C8-42CC-980D-BFC7C89147D3}" type="pres">
      <dgm:prSet presAssocID="{96E14E72-202F-4579-90A6-266DD3AB83DB}" presName="node" presStyleLbl="node1" presStyleIdx="1" presStyleCnt="10" custScaleY="71943">
        <dgm:presLayoutVars>
          <dgm:bulletEnabled val="1"/>
        </dgm:presLayoutVars>
      </dgm:prSet>
      <dgm:spPr/>
    </dgm:pt>
    <dgm:pt modelId="{1C396261-00AE-47A3-A375-EBB96F597448}" type="pres">
      <dgm:prSet presAssocID="{30C56923-694B-4BB9-95B0-DEB72944045E}" presName="sibTrans" presStyleLbl="sibTrans1D1" presStyleIdx="1" presStyleCnt="9"/>
      <dgm:spPr/>
    </dgm:pt>
    <dgm:pt modelId="{7B9DCBCA-65BE-45C1-9A82-6C2495E37737}" type="pres">
      <dgm:prSet presAssocID="{30C56923-694B-4BB9-95B0-DEB72944045E}" presName="connectorText" presStyleLbl="sibTrans1D1" presStyleIdx="1" presStyleCnt="9"/>
      <dgm:spPr/>
    </dgm:pt>
    <dgm:pt modelId="{FF7D10A8-D100-4F51-B353-8DC4C213F2ED}" type="pres">
      <dgm:prSet presAssocID="{D4AEBCFA-3ADB-49E3-BFCF-E1773685A985}" presName="node" presStyleLbl="node1" presStyleIdx="2" presStyleCnt="10" custScaleY="71943">
        <dgm:presLayoutVars>
          <dgm:bulletEnabled val="1"/>
        </dgm:presLayoutVars>
      </dgm:prSet>
      <dgm:spPr/>
    </dgm:pt>
    <dgm:pt modelId="{CD5A0FAF-B668-408E-A982-BEF8BD67C44F}" type="pres">
      <dgm:prSet presAssocID="{AE569BBB-0875-4B30-938D-2DF8FF23D1C2}" presName="sibTrans" presStyleLbl="sibTrans1D1" presStyleIdx="2" presStyleCnt="9"/>
      <dgm:spPr/>
    </dgm:pt>
    <dgm:pt modelId="{78EB6724-00F4-4E70-9C86-C10F26678B5B}" type="pres">
      <dgm:prSet presAssocID="{AE569BBB-0875-4B30-938D-2DF8FF23D1C2}" presName="connectorText" presStyleLbl="sibTrans1D1" presStyleIdx="2" presStyleCnt="9"/>
      <dgm:spPr/>
    </dgm:pt>
    <dgm:pt modelId="{17074953-449E-46F0-A373-011CED700EAF}" type="pres">
      <dgm:prSet presAssocID="{A64396B7-92D0-4FC0-964A-A72D46DE66FC}" presName="node" presStyleLbl="node1" presStyleIdx="3" presStyleCnt="10" custScaleY="71943">
        <dgm:presLayoutVars>
          <dgm:bulletEnabled val="1"/>
        </dgm:presLayoutVars>
      </dgm:prSet>
      <dgm:spPr/>
    </dgm:pt>
    <dgm:pt modelId="{CF1002D6-5EC0-41D6-88E2-921750F605D7}" type="pres">
      <dgm:prSet presAssocID="{366B6EF4-6436-4B47-B71E-AA643CA9116F}" presName="sibTrans" presStyleLbl="sibTrans1D1" presStyleIdx="3" presStyleCnt="9"/>
      <dgm:spPr/>
    </dgm:pt>
    <dgm:pt modelId="{6602C37F-9E1E-4A6B-A60B-D85A91BF2F2D}" type="pres">
      <dgm:prSet presAssocID="{366B6EF4-6436-4B47-B71E-AA643CA9116F}" presName="connectorText" presStyleLbl="sibTrans1D1" presStyleIdx="3" presStyleCnt="9"/>
      <dgm:spPr/>
    </dgm:pt>
    <dgm:pt modelId="{BFD8B6FF-3D60-49BF-93E5-5AA6317513A8}" type="pres">
      <dgm:prSet presAssocID="{085B5076-B4E2-4336-97D1-5DE7E74546F4}" presName="node" presStyleLbl="node1" presStyleIdx="4" presStyleCnt="10" custScaleY="67046">
        <dgm:presLayoutVars>
          <dgm:bulletEnabled val="1"/>
        </dgm:presLayoutVars>
      </dgm:prSet>
      <dgm:spPr/>
    </dgm:pt>
    <dgm:pt modelId="{F42F6629-31B9-4CF4-A118-F21FE5B9011A}" type="pres">
      <dgm:prSet presAssocID="{92E188C5-9202-418C-8A8E-5722BCD1EFDF}" presName="sibTrans" presStyleLbl="sibTrans1D1" presStyleIdx="4" presStyleCnt="9"/>
      <dgm:spPr/>
    </dgm:pt>
    <dgm:pt modelId="{3B3F231B-E636-47FE-8850-F9F75FE6D48D}" type="pres">
      <dgm:prSet presAssocID="{92E188C5-9202-418C-8A8E-5722BCD1EFDF}" presName="connectorText" presStyleLbl="sibTrans1D1" presStyleIdx="4" presStyleCnt="9"/>
      <dgm:spPr/>
    </dgm:pt>
    <dgm:pt modelId="{D8BAAEDA-7F9A-40EA-A236-D25B610FAFD2}" type="pres">
      <dgm:prSet presAssocID="{55539009-D785-41A3-9A84-594C1638FC7A}" presName="node" presStyleLbl="node1" presStyleIdx="5" presStyleCnt="10" custScaleY="67046">
        <dgm:presLayoutVars>
          <dgm:bulletEnabled val="1"/>
        </dgm:presLayoutVars>
      </dgm:prSet>
      <dgm:spPr/>
    </dgm:pt>
    <dgm:pt modelId="{3C029A2B-19DB-43EF-819F-53BE0B351D0E}" type="pres">
      <dgm:prSet presAssocID="{9CA6D76D-4C4B-4D33-AD84-D51BC30895BB}" presName="sibTrans" presStyleLbl="sibTrans1D1" presStyleIdx="5" presStyleCnt="9"/>
      <dgm:spPr/>
    </dgm:pt>
    <dgm:pt modelId="{F63FD947-AB04-4062-908A-3FDC74F33BBA}" type="pres">
      <dgm:prSet presAssocID="{9CA6D76D-4C4B-4D33-AD84-D51BC30895BB}" presName="connectorText" presStyleLbl="sibTrans1D1" presStyleIdx="5" presStyleCnt="9"/>
      <dgm:spPr/>
    </dgm:pt>
    <dgm:pt modelId="{712EF873-0E10-402B-B7EF-147D7EBCEFCE}" type="pres">
      <dgm:prSet presAssocID="{E3486486-8A85-4489-A4FB-A525E4CB2DE4}" presName="node" presStyleLbl="node1" presStyleIdx="6" presStyleCnt="10" custScaleY="67046">
        <dgm:presLayoutVars>
          <dgm:bulletEnabled val="1"/>
        </dgm:presLayoutVars>
      </dgm:prSet>
      <dgm:spPr/>
    </dgm:pt>
    <dgm:pt modelId="{8DBEEF24-3E69-4099-BE74-FACE034C2D0E}" type="pres">
      <dgm:prSet presAssocID="{016A6855-B41C-4910-BC80-6A1DDE126296}" presName="sibTrans" presStyleLbl="sibTrans1D1" presStyleIdx="6" presStyleCnt="9"/>
      <dgm:spPr/>
    </dgm:pt>
    <dgm:pt modelId="{15765995-DD47-4156-BC70-765D464B2E5E}" type="pres">
      <dgm:prSet presAssocID="{016A6855-B41C-4910-BC80-6A1DDE126296}" presName="connectorText" presStyleLbl="sibTrans1D1" presStyleIdx="6" presStyleCnt="9"/>
      <dgm:spPr/>
    </dgm:pt>
    <dgm:pt modelId="{E4E5B459-62AC-48CF-B25D-F6534301FF29}" type="pres">
      <dgm:prSet presAssocID="{2F1AABA2-8947-40F6-8CB2-758DAD7FCBE9}" presName="node" presStyleLbl="node1" presStyleIdx="7" presStyleCnt="10" custScaleY="67046">
        <dgm:presLayoutVars>
          <dgm:bulletEnabled val="1"/>
        </dgm:presLayoutVars>
      </dgm:prSet>
      <dgm:spPr/>
    </dgm:pt>
    <dgm:pt modelId="{9ACD3FC1-DE0B-404B-8AA0-84364355679D}" type="pres">
      <dgm:prSet presAssocID="{061B4F40-CD6A-4AD3-B8C1-A1C1844E3ED5}" presName="sibTrans" presStyleLbl="sibTrans1D1" presStyleIdx="7" presStyleCnt="9"/>
      <dgm:spPr/>
    </dgm:pt>
    <dgm:pt modelId="{7C8AAA89-7A05-4CC1-8D79-2EC3C1B2F766}" type="pres">
      <dgm:prSet presAssocID="{061B4F40-CD6A-4AD3-B8C1-A1C1844E3ED5}" presName="connectorText" presStyleLbl="sibTrans1D1" presStyleIdx="7" presStyleCnt="9"/>
      <dgm:spPr/>
    </dgm:pt>
    <dgm:pt modelId="{9ED7F25C-A1F1-40AF-9E95-0F7F2A8BC649}" type="pres">
      <dgm:prSet presAssocID="{6152251F-875B-4F52-9DD2-D55ECE55B5BE}" presName="node" presStyleLbl="node1" presStyleIdx="8" presStyleCnt="10">
        <dgm:presLayoutVars>
          <dgm:bulletEnabled val="1"/>
        </dgm:presLayoutVars>
      </dgm:prSet>
      <dgm:spPr/>
    </dgm:pt>
    <dgm:pt modelId="{0D381FF2-B9A4-4294-9A73-97589ECBBB77}" type="pres">
      <dgm:prSet presAssocID="{0E499867-4AD9-491B-8F06-2B2FE27F322A}" presName="sibTrans" presStyleLbl="sibTrans1D1" presStyleIdx="8" presStyleCnt="9"/>
      <dgm:spPr/>
    </dgm:pt>
    <dgm:pt modelId="{391CC5E7-FBF5-4A5F-A497-442364942604}" type="pres">
      <dgm:prSet presAssocID="{0E499867-4AD9-491B-8F06-2B2FE27F322A}" presName="connectorText" presStyleLbl="sibTrans1D1" presStyleIdx="8" presStyleCnt="9"/>
      <dgm:spPr/>
    </dgm:pt>
    <dgm:pt modelId="{A2D41D38-A348-4453-9251-C6D517D06C19}" type="pres">
      <dgm:prSet presAssocID="{9B012300-B606-4765-B366-D18C81CCED81}" presName="node" presStyleLbl="node1" presStyleIdx="9" presStyleCnt="10" custScaleX="119771">
        <dgm:presLayoutVars>
          <dgm:bulletEnabled val="1"/>
        </dgm:presLayoutVars>
      </dgm:prSet>
      <dgm:spPr/>
    </dgm:pt>
  </dgm:ptLst>
  <dgm:cxnLst>
    <dgm:cxn modelId="{069AA000-C7EF-4B2A-A371-C1C0891CE8F9}" type="presOf" srcId="{0E499867-4AD9-491B-8F06-2B2FE27F322A}" destId="{391CC5E7-FBF5-4A5F-A497-442364942604}" srcOrd="1" destOrd="0" presId="urn:microsoft.com/office/officeart/2005/8/layout/bProcess3"/>
    <dgm:cxn modelId="{92B4CD01-4873-4A19-B7E2-0C5FD3DA86BF}" type="presOf" srcId="{30C56923-694B-4BB9-95B0-DEB72944045E}" destId="{1C396261-00AE-47A3-A375-EBB96F597448}" srcOrd="0" destOrd="0" presId="urn:microsoft.com/office/officeart/2005/8/layout/bProcess3"/>
    <dgm:cxn modelId="{672F9908-DF9D-4F0A-8A3D-80EC883F3914}" type="presOf" srcId="{061B4F40-CD6A-4AD3-B8C1-A1C1844E3ED5}" destId="{7C8AAA89-7A05-4CC1-8D79-2EC3C1B2F766}" srcOrd="1" destOrd="0" presId="urn:microsoft.com/office/officeart/2005/8/layout/bProcess3"/>
    <dgm:cxn modelId="{6C3A181B-B441-46DF-A14C-30D4DADA51AA}" type="presOf" srcId="{6152251F-875B-4F52-9DD2-D55ECE55B5BE}" destId="{9ED7F25C-A1F1-40AF-9E95-0F7F2A8BC649}" srcOrd="0" destOrd="0" presId="urn:microsoft.com/office/officeart/2005/8/layout/bProcess3"/>
    <dgm:cxn modelId="{93375F1B-FB7E-4053-9E66-15BB27D7E9CF}" type="presOf" srcId="{9CA6D76D-4C4B-4D33-AD84-D51BC30895BB}" destId="{F63FD947-AB04-4062-908A-3FDC74F33BBA}" srcOrd="1" destOrd="0" presId="urn:microsoft.com/office/officeart/2005/8/layout/bProcess3"/>
    <dgm:cxn modelId="{C6967E1B-CB5C-4961-80B1-D8DBD4AF7300}" type="presOf" srcId="{061B4F40-CD6A-4AD3-B8C1-A1C1844E3ED5}" destId="{9ACD3FC1-DE0B-404B-8AA0-84364355679D}" srcOrd="0" destOrd="0" presId="urn:microsoft.com/office/officeart/2005/8/layout/bProcess3"/>
    <dgm:cxn modelId="{10459E1B-60C1-408E-AEBA-E568A4B5AA3B}" type="presOf" srcId="{B1871E84-4A64-43F4-93F1-C75E5F4F4CE0}" destId="{309C02F1-5CB4-4066-AF9C-D72C0A4D8EDF}" srcOrd="0" destOrd="0" presId="urn:microsoft.com/office/officeart/2005/8/layout/bProcess3"/>
    <dgm:cxn modelId="{4E0AA51F-248F-4706-9CA6-D19B87BF0850}" srcId="{B1871E84-4A64-43F4-93F1-C75E5F4F4CE0}" destId="{E3486486-8A85-4489-A4FB-A525E4CB2DE4}" srcOrd="6" destOrd="0" parTransId="{0038C0E7-4CB2-4D2E-8D79-8D2521AF7693}" sibTransId="{016A6855-B41C-4910-BC80-6A1DDE126296}"/>
    <dgm:cxn modelId="{53F86F29-71DF-4DD4-B3FB-38E6152B8092}" type="presOf" srcId="{92E188C5-9202-418C-8A8E-5722BCD1EFDF}" destId="{3B3F231B-E636-47FE-8850-F9F75FE6D48D}" srcOrd="1" destOrd="0" presId="urn:microsoft.com/office/officeart/2005/8/layout/bProcess3"/>
    <dgm:cxn modelId="{D39D802E-97E1-4AFD-A054-052B3ADF52B8}" type="presOf" srcId="{96E14E72-202F-4579-90A6-266DD3AB83DB}" destId="{F6A6577F-11C8-42CC-980D-BFC7C89147D3}" srcOrd="0" destOrd="0" presId="urn:microsoft.com/office/officeart/2005/8/layout/bProcess3"/>
    <dgm:cxn modelId="{8D87E62E-C176-428E-86BC-7CB04583CAA7}" srcId="{B1871E84-4A64-43F4-93F1-C75E5F4F4CE0}" destId="{D4AEBCFA-3ADB-49E3-BFCF-E1773685A985}" srcOrd="2" destOrd="0" parTransId="{E430FA71-8098-4FE3-9758-41E950B76C05}" sibTransId="{AE569BBB-0875-4B30-938D-2DF8FF23D1C2}"/>
    <dgm:cxn modelId="{26351332-A288-464B-92D6-1E6C465C4A3E}" type="presOf" srcId="{366B6EF4-6436-4B47-B71E-AA643CA9116F}" destId="{6602C37F-9E1E-4A6B-A60B-D85A91BF2F2D}" srcOrd="1" destOrd="0" presId="urn:microsoft.com/office/officeart/2005/8/layout/bProcess3"/>
    <dgm:cxn modelId="{70A1CE32-8F4F-4CCC-A225-342646338AD3}" type="presOf" srcId="{9B012300-B606-4765-B366-D18C81CCED81}" destId="{A2D41D38-A348-4453-9251-C6D517D06C19}" srcOrd="0" destOrd="0" presId="urn:microsoft.com/office/officeart/2005/8/layout/bProcess3"/>
    <dgm:cxn modelId="{DF59EA65-1E76-4470-9109-7D74FF69C335}" srcId="{B1871E84-4A64-43F4-93F1-C75E5F4F4CE0}" destId="{96E14E72-202F-4579-90A6-266DD3AB83DB}" srcOrd="1" destOrd="0" parTransId="{2AB07A70-0185-4CF0-993C-6E9F5D070E5D}" sibTransId="{30C56923-694B-4BB9-95B0-DEB72944045E}"/>
    <dgm:cxn modelId="{F6AA7A68-721B-4DAC-A0E5-1BDCC6276B79}" type="presOf" srcId="{D4AEBCFA-3ADB-49E3-BFCF-E1773685A985}" destId="{FF7D10A8-D100-4F51-B353-8DC4C213F2ED}" srcOrd="0" destOrd="0" presId="urn:microsoft.com/office/officeart/2005/8/layout/bProcess3"/>
    <dgm:cxn modelId="{E688966A-53D1-48AC-AFC4-E16F313640FE}" type="presOf" srcId="{366B6EF4-6436-4B47-B71E-AA643CA9116F}" destId="{CF1002D6-5EC0-41D6-88E2-921750F605D7}" srcOrd="0" destOrd="0" presId="urn:microsoft.com/office/officeart/2005/8/layout/bProcess3"/>
    <dgm:cxn modelId="{2876A06C-191C-47D5-9C13-022454C5D018}" srcId="{B1871E84-4A64-43F4-93F1-C75E5F4F4CE0}" destId="{A64396B7-92D0-4FC0-964A-A72D46DE66FC}" srcOrd="3" destOrd="0" parTransId="{1FA9277A-0714-407A-8DF1-9F625957F720}" sibTransId="{366B6EF4-6436-4B47-B71E-AA643CA9116F}"/>
    <dgm:cxn modelId="{8D6A5F6E-1118-43A6-9A60-158DDEFDC45C}" type="presOf" srcId="{E3486486-8A85-4489-A4FB-A525E4CB2DE4}" destId="{712EF873-0E10-402B-B7EF-147D7EBCEFCE}" srcOrd="0" destOrd="0" presId="urn:microsoft.com/office/officeart/2005/8/layout/bProcess3"/>
    <dgm:cxn modelId="{B4792F71-3D8D-4216-9C9C-F6232384B306}" srcId="{B1871E84-4A64-43F4-93F1-C75E5F4F4CE0}" destId="{085B5076-B4E2-4336-97D1-5DE7E74546F4}" srcOrd="4" destOrd="0" parTransId="{67D0662B-81B3-4269-8857-90D4711991D0}" sibTransId="{92E188C5-9202-418C-8A8E-5722BCD1EFDF}"/>
    <dgm:cxn modelId="{60B74679-51A8-4D6E-9850-1E8AF778D0AB}" type="presOf" srcId="{AE569BBB-0875-4B30-938D-2DF8FF23D1C2}" destId="{78EB6724-00F4-4E70-9C86-C10F26678B5B}" srcOrd="1" destOrd="0" presId="urn:microsoft.com/office/officeart/2005/8/layout/bProcess3"/>
    <dgm:cxn modelId="{0515C779-9CF0-47D8-AA32-FC902BCE5517}" type="presOf" srcId="{A64396B7-92D0-4FC0-964A-A72D46DE66FC}" destId="{17074953-449E-46F0-A373-011CED700EAF}" srcOrd="0" destOrd="0" presId="urn:microsoft.com/office/officeart/2005/8/layout/bProcess3"/>
    <dgm:cxn modelId="{C0FFCD7B-8016-45FC-94B8-0106217D58EE}" type="presOf" srcId="{016A6855-B41C-4910-BC80-6A1DDE126296}" destId="{8DBEEF24-3E69-4099-BE74-FACE034C2D0E}" srcOrd="0" destOrd="0" presId="urn:microsoft.com/office/officeart/2005/8/layout/bProcess3"/>
    <dgm:cxn modelId="{0412457E-C3AF-4C8E-AD37-957AF95F00F7}" srcId="{B1871E84-4A64-43F4-93F1-C75E5F4F4CE0}" destId="{D3E2E468-5383-49ED-933D-195DECF2FE59}" srcOrd="0" destOrd="0" parTransId="{077AB4A9-C67C-4D5C-8CC1-A75DFAEA53D6}" sibTransId="{0CF3370B-9908-446D-9CBA-C339347CD846}"/>
    <dgm:cxn modelId="{15D7507E-49FC-4D75-9CB5-3D8403EE73F1}" type="presOf" srcId="{30C56923-694B-4BB9-95B0-DEB72944045E}" destId="{7B9DCBCA-65BE-45C1-9A82-6C2495E37737}" srcOrd="1" destOrd="0" presId="urn:microsoft.com/office/officeart/2005/8/layout/bProcess3"/>
    <dgm:cxn modelId="{15715881-21B9-440B-ABF7-1E79B2765F85}" srcId="{B1871E84-4A64-43F4-93F1-C75E5F4F4CE0}" destId="{9B012300-B606-4765-B366-D18C81CCED81}" srcOrd="9" destOrd="0" parTransId="{61BD967A-96DA-4C3C-BD49-A48871496EDC}" sibTransId="{B45BD900-A49C-4640-949F-D594BADFA534}"/>
    <dgm:cxn modelId="{F53C6A87-721D-4F21-B674-27D3A66AD2D2}" type="presOf" srcId="{0CF3370B-9908-446D-9CBA-C339347CD846}" destId="{94881F4F-871D-4C55-99B5-18AAB23D6A6C}" srcOrd="1" destOrd="0" presId="urn:microsoft.com/office/officeart/2005/8/layout/bProcess3"/>
    <dgm:cxn modelId="{09BA7BA2-8BB0-423A-A088-7C4F956D563D}" type="presOf" srcId="{9CA6D76D-4C4B-4D33-AD84-D51BC30895BB}" destId="{3C029A2B-19DB-43EF-819F-53BE0B351D0E}" srcOrd="0" destOrd="0" presId="urn:microsoft.com/office/officeart/2005/8/layout/bProcess3"/>
    <dgm:cxn modelId="{24B09AA7-665E-4ABC-A9BB-BB6661F7B906}" type="presOf" srcId="{0CF3370B-9908-446D-9CBA-C339347CD846}" destId="{F9653121-D743-43B0-B468-4AC77A3A6BD9}" srcOrd="0" destOrd="0" presId="urn:microsoft.com/office/officeart/2005/8/layout/bProcess3"/>
    <dgm:cxn modelId="{F9E20CB5-62CF-4CD4-BA59-6876594A1F36}" type="presOf" srcId="{085B5076-B4E2-4336-97D1-5DE7E74546F4}" destId="{BFD8B6FF-3D60-49BF-93E5-5AA6317513A8}" srcOrd="0" destOrd="0" presId="urn:microsoft.com/office/officeart/2005/8/layout/bProcess3"/>
    <dgm:cxn modelId="{31AF60B8-97F7-4026-923C-4FB64E850D03}" type="presOf" srcId="{D3E2E468-5383-49ED-933D-195DECF2FE59}" destId="{FE4B3563-801F-4CD2-BA2A-7CF81E792167}" srcOrd="0" destOrd="0" presId="urn:microsoft.com/office/officeart/2005/8/layout/bProcess3"/>
    <dgm:cxn modelId="{C49AAFBC-5809-4E2E-9B67-058E5821D117}" type="presOf" srcId="{AE569BBB-0875-4B30-938D-2DF8FF23D1C2}" destId="{CD5A0FAF-B668-408E-A982-BEF8BD67C44F}" srcOrd="0" destOrd="0" presId="urn:microsoft.com/office/officeart/2005/8/layout/bProcess3"/>
    <dgm:cxn modelId="{56AAA5C1-F2D7-4570-AAFD-B8E9B0CCDBCA}" type="presOf" srcId="{92E188C5-9202-418C-8A8E-5722BCD1EFDF}" destId="{F42F6629-31B9-4CF4-A118-F21FE5B9011A}" srcOrd="0" destOrd="0" presId="urn:microsoft.com/office/officeart/2005/8/layout/bProcess3"/>
    <dgm:cxn modelId="{8D9296C3-43D8-44D9-B9EA-C45B5AFE8ACD}" type="presOf" srcId="{2F1AABA2-8947-40F6-8CB2-758DAD7FCBE9}" destId="{E4E5B459-62AC-48CF-B25D-F6534301FF29}" srcOrd="0" destOrd="0" presId="urn:microsoft.com/office/officeart/2005/8/layout/bProcess3"/>
    <dgm:cxn modelId="{DF4307D3-0157-4F2B-9DAF-43A02F114BE4}" type="presOf" srcId="{0E499867-4AD9-491B-8F06-2B2FE27F322A}" destId="{0D381FF2-B9A4-4294-9A73-97589ECBBB77}" srcOrd="0" destOrd="0" presId="urn:microsoft.com/office/officeart/2005/8/layout/bProcess3"/>
    <dgm:cxn modelId="{BAB364DC-476D-4776-8695-5E439D2F626D}" srcId="{B1871E84-4A64-43F4-93F1-C75E5F4F4CE0}" destId="{2F1AABA2-8947-40F6-8CB2-758DAD7FCBE9}" srcOrd="7" destOrd="0" parTransId="{C48E2FD9-5128-4612-96F7-2E6E18F18595}" sibTransId="{061B4F40-CD6A-4AD3-B8C1-A1C1844E3ED5}"/>
    <dgm:cxn modelId="{9C317FDF-A3D3-4A82-B745-A6E37C4B9689}" srcId="{B1871E84-4A64-43F4-93F1-C75E5F4F4CE0}" destId="{6152251F-875B-4F52-9DD2-D55ECE55B5BE}" srcOrd="8" destOrd="0" parTransId="{883F74BB-E4CF-4128-AEB7-8B5D5BACACF6}" sibTransId="{0E499867-4AD9-491B-8F06-2B2FE27F322A}"/>
    <dgm:cxn modelId="{C26957E7-C6B9-43BD-8D84-45FE9982B32D}" type="presOf" srcId="{016A6855-B41C-4910-BC80-6A1DDE126296}" destId="{15765995-DD47-4156-BC70-765D464B2E5E}" srcOrd="1" destOrd="0" presId="urn:microsoft.com/office/officeart/2005/8/layout/bProcess3"/>
    <dgm:cxn modelId="{19EAFFFA-4303-4CDB-B6C7-FB5B335A25DE}" srcId="{B1871E84-4A64-43F4-93F1-C75E5F4F4CE0}" destId="{55539009-D785-41A3-9A84-594C1638FC7A}" srcOrd="5" destOrd="0" parTransId="{9B5DE63C-E25F-441A-BEC7-8725378AE28C}" sibTransId="{9CA6D76D-4C4B-4D33-AD84-D51BC30895BB}"/>
    <dgm:cxn modelId="{68F254FE-7D89-4E4A-97EF-DDB3569367FF}" type="presOf" srcId="{55539009-D785-41A3-9A84-594C1638FC7A}" destId="{D8BAAEDA-7F9A-40EA-A236-D25B610FAFD2}" srcOrd="0" destOrd="0" presId="urn:microsoft.com/office/officeart/2005/8/layout/bProcess3"/>
    <dgm:cxn modelId="{D03B4F92-F6CE-4FBE-9117-A093ECF507F4}" type="presParOf" srcId="{309C02F1-5CB4-4066-AF9C-D72C0A4D8EDF}" destId="{FE4B3563-801F-4CD2-BA2A-7CF81E792167}" srcOrd="0" destOrd="0" presId="urn:microsoft.com/office/officeart/2005/8/layout/bProcess3"/>
    <dgm:cxn modelId="{045CCE13-91F6-4593-A38C-D9CCA4ADA15F}" type="presParOf" srcId="{309C02F1-5CB4-4066-AF9C-D72C0A4D8EDF}" destId="{F9653121-D743-43B0-B468-4AC77A3A6BD9}" srcOrd="1" destOrd="0" presId="urn:microsoft.com/office/officeart/2005/8/layout/bProcess3"/>
    <dgm:cxn modelId="{1C8FB673-6A8B-4344-BAAA-4926FA93D28F}" type="presParOf" srcId="{F9653121-D743-43B0-B468-4AC77A3A6BD9}" destId="{94881F4F-871D-4C55-99B5-18AAB23D6A6C}" srcOrd="0" destOrd="0" presId="urn:microsoft.com/office/officeart/2005/8/layout/bProcess3"/>
    <dgm:cxn modelId="{AFBC2730-D330-4A73-84F5-6290DDA60B1B}" type="presParOf" srcId="{309C02F1-5CB4-4066-AF9C-D72C0A4D8EDF}" destId="{F6A6577F-11C8-42CC-980D-BFC7C89147D3}" srcOrd="2" destOrd="0" presId="urn:microsoft.com/office/officeart/2005/8/layout/bProcess3"/>
    <dgm:cxn modelId="{B461220F-B6B0-4B58-B274-B3702EF59E92}" type="presParOf" srcId="{309C02F1-5CB4-4066-AF9C-D72C0A4D8EDF}" destId="{1C396261-00AE-47A3-A375-EBB96F597448}" srcOrd="3" destOrd="0" presId="urn:microsoft.com/office/officeart/2005/8/layout/bProcess3"/>
    <dgm:cxn modelId="{4D921D0B-FA91-4545-A44A-218206F84750}" type="presParOf" srcId="{1C396261-00AE-47A3-A375-EBB96F597448}" destId="{7B9DCBCA-65BE-45C1-9A82-6C2495E37737}" srcOrd="0" destOrd="0" presId="urn:microsoft.com/office/officeart/2005/8/layout/bProcess3"/>
    <dgm:cxn modelId="{73F8564A-A7A6-4322-9214-D962DCA6BDC6}" type="presParOf" srcId="{309C02F1-5CB4-4066-AF9C-D72C0A4D8EDF}" destId="{FF7D10A8-D100-4F51-B353-8DC4C213F2ED}" srcOrd="4" destOrd="0" presId="urn:microsoft.com/office/officeart/2005/8/layout/bProcess3"/>
    <dgm:cxn modelId="{2E18F947-59C9-452B-8E6F-8A3C90995E60}" type="presParOf" srcId="{309C02F1-5CB4-4066-AF9C-D72C0A4D8EDF}" destId="{CD5A0FAF-B668-408E-A982-BEF8BD67C44F}" srcOrd="5" destOrd="0" presId="urn:microsoft.com/office/officeart/2005/8/layout/bProcess3"/>
    <dgm:cxn modelId="{07AFD503-769B-4E5D-B739-B0AB0639E078}" type="presParOf" srcId="{CD5A0FAF-B668-408E-A982-BEF8BD67C44F}" destId="{78EB6724-00F4-4E70-9C86-C10F26678B5B}" srcOrd="0" destOrd="0" presId="urn:microsoft.com/office/officeart/2005/8/layout/bProcess3"/>
    <dgm:cxn modelId="{F37EE4C1-FC20-4AB8-B044-C2E198E436CA}" type="presParOf" srcId="{309C02F1-5CB4-4066-AF9C-D72C0A4D8EDF}" destId="{17074953-449E-46F0-A373-011CED700EAF}" srcOrd="6" destOrd="0" presId="urn:microsoft.com/office/officeart/2005/8/layout/bProcess3"/>
    <dgm:cxn modelId="{EDF55B50-97C9-4F89-806F-8AB3272BCCC7}" type="presParOf" srcId="{309C02F1-5CB4-4066-AF9C-D72C0A4D8EDF}" destId="{CF1002D6-5EC0-41D6-88E2-921750F605D7}" srcOrd="7" destOrd="0" presId="urn:microsoft.com/office/officeart/2005/8/layout/bProcess3"/>
    <dgm:cxn modelId="{C43157B8-0147-449C-9473-C0E217605E95}" type="presParOf" srcId="{CF1002D6-5EC0-41D6-88E2-921750F605D7}" destId="{6602C37F-9E1E-4A6B-A60B-D85A91BF2F2D}" srcOrd="0" destOrd="0" presId="urn:microsoft.com/office/officeart/2005/8/layout/bProcess3"/>
    <dgm:cxn modelId="{F8A77C00-5FEA-4617-AFF1-52CC089EAA99}" type="presParOf" srcId="{309C02F1-5CB4-4066-AF9C-D72C0A4D8EDF}" destId="{BFD8B6FF-3D60-49BF-93E5-5AA6317513A8}" srcOrd="8" destOrd="0" presId="urn:microsoft.com/office/officeart/2005/8/layout/bProcess3"/>
    <dgm:cxn modelId="{3592F89A-826E-4A5B-B0CF-B5D3613E62A5}" type="presParOf" srcId="{309C02F1-5CB4-4066-AF9C-D72C0A4D8EDF}" destId="{F42F6629-31B9-4CF4-A118-F21FE5B9011A}" srcOrd="9" destOrd="0" presId="urn:microsoft.com/office/officeart/2005/8/layout/bProcess3"/>
    <dgm:cxn modelId="{A3F87123-6D87-478A-9985-23B3520588A5}" type="presParOf" srcId="{F42F6629-31B9-4CF4-A118-F21FE5B9011A}" destId="{3B3F231B-E636-47FE-8850-F9F75FE6D48D}" srcOrd="0" destOrd="0" presId="urn:microsoft.com/office/officeart/2005/8/layout/bProcess3"/>
    <dgm:cxn modelId="{3859CE7A-ED44-4D06-A9A5-96C80AF98340}" type="presParOf" srcId="{309C02F1-5CB4-4066-AF9C-D72C0A4D8EDF}" destId="{D8BAAEDA-7F9A-40EA-A236-D25B610FAFD2}" srcOrd="10" destOrd="0" presId="urn:microsoft.com/office/officeart/2005/8/layout/bProcess3"/>
    <dgm:cxn modelId="{FF3F600E-8E23-4544-8BF5-0B29A634D0D1}" type="presParOf" srcId="{309C02F1-5CB4-4066-AF9C-D72C0A4D8EDF}" destId="{3C029A2B-19DB-43EF-819F-53BE0B351D0E}" srcOrd="11" destOrd="0" presId="urn:microsoft.com/office/officeart/2005/8/layout/bProcess3"/>
    <dgm:cxn modelId="{9ED3FE79-A42D-40DB-9B4D-ADF2BFAAECCB}" type="presParOf" srcId="{3C029A2B-19DB-43EF-819F-53BE0B351D0E}" destId="{F63FD947-AB04-4062-908A-3FDC74F33BBA}" srcOrd="0" destOrd="0" presId="urn:microsoft.com/office/officeart/2005/8/layout/bProcess3"/>
    <dgm:cxn modelId="{0E0F8CFC-D232-4CFB-8DA9-E675D5F2AAAE}" type="presParOf" srcId="{309C02F1-5CB4-4066-AF9C-D72C0A4D8EDF}" destId="{712EF873-0E10-402B-B7EF-147D7EBCEFCE}" srcOrd="12" destOrd="0" presId="urn:microsoft.com/office/officeart/2005/8/layout/bProcess3"/>
    <dgm:cxn modelId="{73CD1F07-41E9-4565-BF1C-63B2CC540787}" type="presParOf" srcId="{309C02F1-5CB4-4066-AF9C-D72C0A4D8EDF}" destId="{8DBEEF24-3E69-4099-BE74-FACE034C2D0E}" srcOrd="13" destOrd="0" presId="urn:microsoft.com/office/officeart/2005/8/layout/bProcess3"/>
    <dgm:cxn modelId="{BDBD445E-E5CA-4C0D-A8BC-6C5A7F79740E}" type="presParOf" srcId="{8DBEEF24-3E69-4099-BE74-FACE034C2D0E}" destId="{15765995-DD47-4156-BC70-765D464B2E5E}" srcOrd="0" destOrd="0" presId="urn:microsoft.com/office/officeart/2005/8/layout/bProcess3"/>
    <dgm:cxn modelId="{58D256B3-FC50-4028-AC81-B39DBEC2B5E5}" type="presParOf" srcId="{309C02F1-5CB4-4066-AF9C-D72C0A4D8EDF}" destId="{E4E5B459-62AC-48CF-B25D-F6534301FF29}" srcOrd="14" destOrd="0" presId="urn:microsoft.com/office/officeart/2005/8/layout/bProcess3"/>
    <dgm:cxn modelId="{418A5E4D-963B-4309-AB12-9725AA3EBA2A}" type="presParOf" srcId="{309C02F1-5CB4-4066-AF9C-D72C0A4D8EDF}" destId="{9ACD3FC1-DE0B-404B-8AA0-84364355679D}" srcOrd="15" destOrd="0" presId="urn:microsoft.com/office/officeart/2005/8/layout/bProcess3"/>
    <dgm:cxn modelId="{9EB00DAE-7F86-44CA-A752-BEFB02914C65}" type="presParOf" srcId="{9ACD3FC1-DE0B-404B-8AA0-84364355679D}" destId="{7C8AAA89-7A05-4CC1-8D79-2EC3C1B2F766}" srcOrd="0" destOrd="0" presId="urn:microsoft.com/office/officeart/2005/8/layout/bProcess3"/>
    <dgm:cxn modelId="{58F02CA6-C2F1-464C-B5E7-858CDE5F8064}" type="presParOf" srcId="{309C02F1-5CB4-4066-AF9C-D72C0A4D8EDF}" destId="{9ED7F25C-A1F1-40AF-9E95-0F7F2A8BC649}" srcOrd="16" destOrd="0" presId="urn:microsoft.com/office/officeart/2005/8/layout/bProcess3"/>
    <dgm:cxn modelId="{5BBEC9B6-92CF-48C6-B40C-5CDE422A3FDA}" type="presParOf" srcId="{309C02F1-5CB4-4066-AF9C-D72C0A4D8EDF}" destId="{0D381FF2-B9A4-4294-9A73-97589ECBBB77}" srcOrd="17" destOrd="0" presId="urn:microsoft.com/office/officeart/2005/8/layout/bProcess3"/>
    <dgm:cxn modelId="{8C6D1A41-B1E7-4569-B86A-EDA58BBDAD05}" type="presParOf" srcId="{0D381FF2-B9A4-4294-9A73-97589ECBBB77}" destId="{391CC5E7-FBF5-4A5F-A497-442364942604}" srcOrd="0" destOrd="0" presId="urn:microsoft.com/office/officeart/2005/8/layout/bProcess3"/>
    <dgm:cxn modelId="{4A745448-1478-4B58-814C-BB11DAAFC145}" type="presParOf" srcId="{309C02F1-5CB4-4066-AF9C-D72C0A4D8EDF}" destId="{A2D41D38-A348-4453-9251-C6D517D06C19}" srcOrd="18"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653121-D743-43B0-B468-4AC77A3A6BD9}">
      <dsp:nvSpPr>
        <dsp:cNvPr id="0" name=""/>
        <dsp:cNvSpPr/>
      </dsp:nvSpPr>
      <dsp:spPr>
        <a:xfrm>
          <a:off x="1170170" y="287696"/>
          <a:ext cx="238086" cy="91440"/>
        </a:xfrm>
        <a:custGeom>
          <a:avLst/>
          <a:gdLst/>
          <a:ahLst/>
          <a:cxnLst/>
          <a:rect l="0" t="0" r="0" b="0"/>
          <a:pathLst>
            <a:path>
              <a:moveTo>
                <a:pt x="0" y="45720"/>
              </a:moveTo>
              <a:lnTo>
                <a:pt x="238086"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anose="02020603050405020304" pitchFamily="18" charset="0"/>
            <a:cs typeface="Times New Roman" panose="02020603050405020304" pitchFamily="18" charset="0"/>
          </a:endParaRPr>
        </a:p>
      </dsp:txBody>
      <dsp:txXfrm>
        <a:off x="1282496" y="332071"/>
        <a:ext cx="13434" cy="2689"/>
      </dsp:txXfrm>
    </dsp:sp>
    <dsp:sp modelId="{FE4B3563-801F-4CD2-BA2A-7CF81E792167}">
      <dsp:nvSpPr>
        <dsp:cNvPr id="0" name=""/>
        <dsp:cNvSpPr/>
      </dsp:nvSpPr>
      <dsp:spPr>
        <a:xfrm>
          <a:off x="3769" y="81285"/>
          <a:ext cx="1168200" cy="50426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Identification of Research Problem</a:t>
          </a:r>
        </a:p>
      </dsp:txBody>
      <dsp:txXfrm>
        <a:off x="3769" y="81285"/>
        <a:ext cx="1168200" cy="504263"/>
      </dsp:txXfrm>
    </dsp:sp>
    <dsp:sp modelId="{1C396261-00AE-47A3-A375-EBB96F597448}">
      <dsp:nvSpPr>
        <dsp:cNvPr id="0" name=""/>
        <dsp:cNvSpPr/>
      </dsp:nvSpPr>
      <dsp:spPr>
        <a:xfrm>
          <a:off x="2607056" y="287696"/>
          <a:ext cx="238086" cy="91440"/>
        </a:xfrm>
        <a:custGeom>
          <a:avLst/>
          <a:gdLst/>
          <a:ahLst/>
          <a:cxnLst/>
          <a:rect l="0" t="0" r="0" b="0"/>
          <a:pathLst>
            <a:path>
              <a:moveTo>
                <a:pt x="0" y="45720"/>
              </a:moveTo>
              <a:lnTo>
                <a:pt x="238086"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anose="02020603050405020304" pitchFamily="18" charset="0"/>
            <a:cs typeface="Times New Roman" panose="02020603050405020304" pitchFamily="18" charset="0"/>
          </a:endParaRPr>
        </a:p>
      </dsp:txBody>
      <dsp:txXfrm>
        <a:off x="2719382" y="332071"/>
        <a:ext cx="13434" cy="2689"/>
      </dsp:txXfrm>
    </dsp:sp>
    <dsp:sp modelId="{F6A6577F-11C8-42CC-980D-BFC7C89147D3}">
      <dsp:nvSpPr>
        <dsp:cNvPr id="0" name=""/>
        <dsp:cNvSpPr/>
      </dsp:nvSpPr>
      <dsp:spPr>
        <a:xfrm>
          <a:off x="1440656" y="81285"/>
          <a:ext cx="1168200" cy="50426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Literature Review and Instrument Development</a:t>
          </a:r>
        </a:p>
      </dsp:txBody>
      <dsp:txXfrm>
        <a:off x="1440656" y="81285"/>
        <a:ext cx="1168200" cy="504263"/>
      </dsp:txXfrm>
    </dsp:sp>
    <dsp:sp modelId="{CD5A0FAF-B668-408E-A982-BEF8BD67C44F}">
      <dsp:nvSpPr>
        <dsp:cNvPr id="0" name=""/>
        <dsp:cNvSpPr/>
      </dsp:nvSpPr>
      <dsp:spPr>
        <a:xfrm>
          <a:off x="4043943" y="287696"/>
          <a:ext cx="238086" cy="91440"/>
        </a:xfrm>
        <a:custGeom>
          <a:avLst/>
          <a:gdLst/>
          <a:ahLst/>
          <a:cxnLst/>
          <a:rect l="0" t="0" r="0" b="0"/>
          <a:pathLst>
            <a:path>
              <a:moveTo>
                <a:pt x="0" y="45720"/>
              </a:moveTo>
              <a:lnTo>
                <a:pt x="238086"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anose="02020603050405020304" pitchFamily="18" charset="0"/>
            <a:cs typeface="Times New Roman" panose="02020603050405020304" pitchFamily="18" charset="0"/>
          </a:endParaRPr>
        </a:p>
      </dsp:txBody>
      <dsp:txXfrm>
        <a:off x="4156269" y="332071"/>
        <a:ext cx="13434" cy="2689"/>
      </dsp:txXfrm>
    </dsp:sp>
    <dsp:sp modelId="{FF7D10A8-D100-4F51-B353-8DC4C213F2ED}">
      <dsp:nvSpPr>
        <dsp:cNvPr id="0" name=""/>
        <dsp:cNvSpPr/>
      </dsp:nvSpPr>
      <dsp:spPr>
        <a:xfrm>
          <a:off x="2877543" y="81285"/>
          <a:ext cx="1168200" cy="50426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Questionnaire Distribution</a:t>
          </a:r>
        </a:p>
      </dsp:txBody>
      <dsp:txXfrm>
        <a:off x="2877543" y="81285"/>
        <a:ext cx="1168200" cy="504263"/>
      </dsp:txXfrm>
    </dsp:sp>
    <dsp:sp modelId="{CF1002D6-5EC0-41D6-88E2-921750F605D7}">
      <dsp:nvSpPr>
        <dsp:cNvPr id="0" name=""/>
        <dsp:cNvSpPr/>
      </dsp:nvSpPr>
      <dsp:spPr>
        <a:xfrm>
          <a:off x="587869" y="583748"/>
          <a:ext cx="4310660" cy="238086"/>
        </a:xfrm>
        <a:custGeom>
          <a:avLst/>
          <a:gdLst/>
          <a:ahLst/>
          <a:cxnLst/>
          <a:rect l="0" t="0" r="0" b="0"/>
          <a:pathLst>
            <a:path>
              <a:moveTo>
                <a:pt x="4310660" y="0"/>
              </a:moveTo>
              <a:lnTo>
                <a:pt x="4310660" y="136143"/>
              </a:lnTo>
              <a:lnTo>
                <a:pt x="0" y="136143"/>
              </a:lnTo>
              <a:lnTo>
                <a:pt x="0" y="238086"/>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anose="02020603050405020304" pitchFamily="18" charset="0"/>
            <a:cs typeface="Times New Roman" panose="02020603050405020304" pitchFamily="18" charset="0"/>
          </a:endParaRPr>
        </a:p>
      </dsp:txBody>
      <dsp:txXfrm>
        <a:off x="2635224" y="701446"/>
        <a:ext cx="215951" cy="2689"/>
      </dsp:txXfrm>
    </dsp:sp>
    <dsp:sp modelId="{17074953-449E-46F0-A373-011CED700EAF}">
      <dsp:nvSpPr>
        <dsp:cNvPr id="0" name=""/>
        <dsp:cNvSpPr/>
      </dsp:nvSpPr>
      <dsp:spPr>
        <a:xfrm>
          <a:off x="4314429" y="81285"/>
          <a:ext cx="1168200" cy="50426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Data Screening</a:t>
          </a:r>
        </a:p>
      </dsp:txBody>
      <dsp:txXfrm>
        <a:off x="4314429" y="81285"/>
        <a:ext cx="1168200" cy="504263"/>
      </dsp:txXfrm>
    </dsp:sp>
    <dsp:sp modelId="{F42F6629-31B9-4CF4-A118-F21FE5B9011A}">
      <dsp:nvSpPr>
        <dsp:cNvPr id="0" name=""/>
        <dsp:cNvSpPr/>
      </dsp:nvSpPr>
      <dsp:spPr>
        <a:xfrm>
          <a:off x="1170170" y="1043483"/>
          <a:ext cx="238086" cy="91440"/>
        </a:xfrm>
        <a:custGeom>
          <a:avLst/>
          <a:gdLst/>
          <a:ahLst/>
          <a:cxnLst/>
          <a:rect l="0" t="0" r="0" b="0"/>
          <a:pathLst>
            <a:path>
              <a:moveTo>
                <a:pt x="0" y="45720"/>
              </a:moveTo>
              <a:lnTo>
                <a:pt x="238086"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anose="02020603050405020304" pitchFamily="18" charset="0"/>
            <a:cs typeface="Times New Roman" panose="02020603050405020304" pitchFamily="18" charset="0"/>
          </a:endParaRPr>
        </a:p>
      </dsp:txBody>
      <dsp:txXfrm>
        <a:off x="1282496" y="1087859"/>
        <a:ext cx="13434" cy="2689"/>
      </dsp:txXfrm>
    </dsp:sp>
    <dsp:sp modelId="{BFD8B6FF-3D60-49BF-93E5-5AA6317513A8}">
      <dsp:nvSpPr>
        <dsp:cNvPr id="0" name=""/>
        <dsp:cNvSpPr/>
      </dsp:nvSpPr>
      <dsp:spPr>
        <a:xfrm>
          <a:off x="3769" y="854234"/>
          <a:ext cx="1168200" cy="4699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Validity and Reliability Testing</a:t>
          </a:r>
        </a:p>
      </dsp:txBody>
      <dsp:txXfrm>
        <a:off x="3769" y="854234"/>
        <a:ext cx="1168200" cy="469939"/>
      </dsp:txXfrm>
    </dsp:sp>
    <dsp:sp modelId="{3C029A2B-19DB-43EF-819F-53BE0B351D0E}">
      <dsp:nvSpPr>
        <dsp:cNvPr id="0" name=""/>
        <dsp:cNvSpPr/>
      </dsp:nvSpPr>
      <dsp:spPr>
        <a:xfrm>
          <a:off x="2607056" y="1043483"/>
          <a:ext cx="238086" cy="91440"/>
        </a:xfrm>
        <a:custGeom>
          <a:avLst/>
          <a:gdLst/>
          <a:ahLst/>
          <a:cxnLst/>
          <a:rect l="0" t="0" r="0" b="0"/>
          <a:pathLst>
            <a:path>
              <a:moveTo>
                <a:pt x="0" y="45720"/>
              </a:moveTo>
              <a:lnTo>
                <a:pt x="238086"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anose="02020603050405020304" pitchFamily="18" charset="0"/>
            <a:cs typeface="Times New Roman" panose="02020603050405020304" pitchFamily="18" charset="0"/>
          </a:endParaRPr>
        </a:p>
      </dsp:txBody>
      <dsp:txXfrm>
        <a:off x="2719382" y="1087859"/>
        <a:ext cx="13434" cy="2689"/>
      </dsp:txXfrm>
    </dsp:sp>
    <dsp:sp modelId="{D8BAAEDA-7F9A-40EA-A236-D25B610FAFD2}">
      <dsp:nvSpPr>
        <dsp:cNvPr id="0" name=""/>
        <dsp:cNvSpPr/>
      </dsp:nvSpPr>
      <dsp:spPr>
        <a:xfrm>
          <a:off x="1440656" y="854234"/>
          <a:ext cx="1168200" cy="4699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KMO and Bartlett's Test</a:t>
          </a:r>
        </a:p>
      </dsp:txBody>
      <dsp:txXfrm>
        <a:off x="1440656" y="854234"/>
        <a:ext cx="1168200" cy="469939"/>
      </dsp:txXfrm>
    </dsp:sp>
    <dsp:sp modelId="{8DBEEF24-3E69-4099-BE74-FACE034C2D0E}">
      <dsp:nvSpPr>
        <dsp:cNvPr id="0" name=""/>
        <dsp:cNvSpPr/>
      </dsp:nvSpPr>
      <dsp:spPr>
        <a:xfrm>
          <a:off x="4043943" y="1043483"/>
          <a:ext cx="238086" cy="91440"/>
        </a:xfrm>
        <a:custGeom>
          <a:avLst/>
          <a:gdLst/>
          <a:ahLst/>
          <a:cxnLst/>
          <a:rect l="0" t="0" r="0" b="0"/>
          <a:pathLst>
            <a:path>
              <a:moveTo>
                <a:pt x="0" y="45720"/>
              </a:moveTo>
              <a:lnTo>
                <a:pt x="238086"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anose="02020603050405020304" pitchFamily="18" charset="0"/>
            <a:cs typeface="Times New Roman" panose="02020603050405020304" pitchFamily="18" charset="0"/>
          </a:endParaRPr>
        </a:p>
      </dsp:txBody>
      <dsp:txXfrm>
        <a:off x="4156269" y="1087859"/>
        <a:ext cx="13434" cy="2689"/>
      </dsp:txXfrm>
    </dsp:sp>
    <dsp:sp modelId="{712EF873-0E10-402B-B7EF-147D7EBCEFCE}">
      <dsp:nvSpPr>
        <dsp:cNvPr id="0" name=""/>
        <dsp:cNvSpPr/>
      </dsp:nvSpPr>
      <dsp:spPr>
        <a:xfrm>
          <a:off x="2877543" y="854234"/>
          <a:ext cx="1168200" cy="4699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Exploratory Factor Analysis</a:t>
          </a:r>
        </a:p>
      </dsp:txBody>
      <dsp:txXfrm>
        <a:off x="2877543" y="854234"/>
        <a:ext cx="1168200" cy="469939"/>
      </dsp:txXfrm>
    </dsp:sp>
    <dsp:sp modelId="{9ACD3FC1-DE0B-404B-8AA0-84364355679D}">
      <dsp:nvSpPr>
        <dsp:cNvPr id="0" name=""/>
        <dsp:cNvSpPr/>
      </dsp:nvSpPr>
      <dsp:spPr>
        <a:xfrm>
          <a:off x="587869" y="1322373"/>
          <a:ext cx="4310660" cy="238086"/>
        </a:xfrm>
        <a:custGeom>
          <a:avLst/>
          <a:gdLst/>
          <a:ahLst/>
          <a:cxnLst/>
          <a:rect l="0" t="0" r="0" b="0"/>
          <a:pathLst>
            <a:path>
              <a:moveTo>
                <a:pt x="4310660" y="0"/>
              </a:moveTo>
              <a:lnTo>
                <a:pt x="4310660" y="136143"/>
              </a:lnTo>
              <a:lnTo>
                <a:pt x="0" y="136143"/>
              </a:lnTo>
              <a:lnTo>
                <a:pt x="0" y="238086"/>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solidFill>
            <a:latin typeface="Times New Roman" panose="02020603050405020304" pitchFamily="18" charset="0"/>
            <a:cs typeface="Times New Roman" panose="02020603050405020304" pitchFamily="18" charset="0"/>
          </a:endParaRPr>
        </a:p>
      </dsp:txBody>
      <dsp:txXfrm>
        <a:off x="2635224" y="1440071"/>
        <a:ext cx="215951" cy="2689"/>
      </dsp:txXfrm>
    </dsp:sp>
    <dsp:sp modelId="{E4E5B459-62AC-48CF-B25D-F6534301FF29}">
      <dsp:nvSpPr>
        <dsp:cNvPr id="0" name=""/>
        <dsp:cNvSpPr/>
      </dsp:nvSpPr>
      <dsp:spPr>
        <a:xfrm>
          <a:off x="4314429" y="854234"/>
          <a:ext cx="1168200" cy="46993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Factor Rotation (Promax)</a:t>
          </a:r>
        </a:p>
      </dsp:txBody>
      <dsp:txXfrm>
        <a:off x="4314429" y="854234"/>
        <a:ext cx="1168200" cy="469939"/>
      </dsp:txXfrm>
    </dsp:sp>
    <dsp:sp modelId="{0D381FF2-B9A4-4294-9A73-97589ECBBB77}">
      <dsp:nvSpPr>
        <dsp:cNvPr id="0" name=""/>
        <dsp:cNvSpPr/>
      </dsp:nvSpPr>
      <dsp:spPr>
        <a:xfrm>
          <a:off x="1170170" y="1897599"/>
          <a:ext cx="238086" cy="91440"/>
        </a:xfrm>
        <a:custGeom>
          <a:avLst/>
          <a:gdLst/>
          <a:ahLst/>
          <a:cxnLst/>
          <a:rect l="0" t="0" r="0" b="0"/>
          <a:pathLst>
            <a:path>
              <a:moveTo>
                <a:pt x="0" y="45720"/>
              </a:moveTo>
              <a:lnTo>
                <a:pt x="238086"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latin typeface="Times New Roman" panose="02020603050405020304" pitchFamily="18" charset="0"/>
            <a:cs typeface="Times New Roman" panose="02020603050405020304" pitchFamily="18" charset="0"/>
          </a:endParaRPr>
        </a:p>
      </dsp:txBody>
      <dsp:txXfrm>
        <a:off x="1282496" y="1941975"/>
        <a:ext cx="13434" cy="2689"/>
      </dsp:txXfrm>
    </dsp:sp>
    <dsp:sp modelId="{9ED7F25C-A1F1-40AF-9E95-0F7F2A8BC649}">
      <dsp:nvSpPr>
        <dsp:cNvPr id="0" name=""/>
        <dsp:cNvSpPr/>
      </dsp:nvSpPr>
      <dsp:spPr>
        <a:xfrm>
          <a:off x="3769" y="1592859"/>
          <a:ext cx="1168200" cy="7009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Factor Interpretation</a:t>
          </a:r>
        </a:p>
      </dsp:txBody>
      <dsp:txXfrm>
        <a:off x="3769" y="1592859"/>
        <a:ext cx="1168200" cy="700920"/>
      </dsp:txXfrm>
    </dsp:sp>
    <dsp:sp modelId="{A2D41D38-A348-4453-9251-C6D517D06C19}">
      <dsp:nvSpPr>
        <dsp:cNvPr id="0" name=""/>
        <dsp:cNvSpPr/>
      </dsp:nvSpPr>
      <dsp:spPr>
        <a:xfrm>
          <a:off x="1440656" y="1592859"/>
          <a:ext cx="1399165" cy="7009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panose="02020603050405020304" pitchFamily="18" charset="0"/>
              <a:cs typeface="Times New Roman" panose="02020603050405020304" pitchFamily="18" charset="0"/>
            </a:rPr>
            <a:t>Development of the Multidimensional Model of</a:t>
          </a:r>
          <a:br>
            <a:rPr lang="en-US" sz="900" kern="1200">
              <a:latin typeface="Times New Roman" panose="02020603050405020304" pitchFamily="18" charset="0"/>
              <a:cs typeface="Times New Roman" panose="02020603050405020304" pitchFamily="18" charset="0"/>
            </a:rPr>
          </a:br>
          <a:r>
            <a:rPr lang="en-US" sz="900" kern="1200">
              <a:latin typeface="Times New Roman" panose="02020603050405020304" pitchFamily="18" charset="0"/>
              <a:cs typeface="Times New Roman" panose="02020603050405020304" pitchFamily="18" charset="0"/>
            </a:rPr>
            <a:t>Islamic Social Finance-Based CSR Effectiveness</a:t>
          </a:r>
        </a:p>
      </dsp:txBody>
      <dsp:txXfrm>
        <a:off x="1440656" y="1592859"/>
        <a:ext cx="1399165" cy="70092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A824D-9F92-43F9-9A6A-3CE29D03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20</Pages>
  <Words>8412</Words>
  <Characters>47954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vicky.vicven@gmail.com</dc:creator>
  <cp:keywords/>
  <dc:description/>
  <cp:lastModifiedBy>Angeline Tungka</cp:lastModifiedBy>
  <cp:revision>4</cp:revision>
  <dcterms:created xsi:type="dcterms:W3CDTF">2026-06-30T07:52:00Z</dcterms:created>
  <dcterms:modified xsi:type="dcterms:W3CDTF">2026-06-30T10:49:00Z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6500a29cb72d167c41fa5e89c0749cac75757feb6312684bca0c80aa69206c42</vt:lpwstr>
  </property>
</Properties>
</file>