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1360A">
      <w:pPr>
        <w:jc w:val="center"/>
        <w:rPr>
          <w:rFonts w:hint="default" w:ascii="Times New Roman" w:hAnsi="Times New Roman" w:eastAsia="SimSun" w:cs="Times New Roman"/>
          <w:sz w:val="28"/>
          <w:szCs w:val="28"/>
          <w:lang w:val="en-PH"/>
        </w:rPr>
      </w:pPr>
    </w:p>
    <w:p w14:paraId="2FFA096B">
      <w:pPr>
        <w:jc w:val="both"/>
        <w:rPr>
          <w:rFonts w:hint="default" w:ascii="Times New Roman" w:hAnsi="Times New Roman" w:eastAsia="SimSun" w:cs="Times New Roman"/>
          <w:sz w:val="28"/>
          <w:szCs w:val="28"/>
          <w:lang w:val="en-PH"/>
        </w:rPr>
      </w:pPr>
      <w:r>
        <w:rPr>
          <w:rFonts w:hint="default" w:ascii="Times New Roman" w:hAnsi="Times New Roman" w:eastAsia="SimSun" w:cs="Times New Roman"/>
          <w:sz w:val="28"/>
          <w:szCs w:val="28"/>
          <w:lang w:val="en-PH"/>
        </w:rPr>
        <w:t>“</w:t>
      </w:r>
      <w:r>
        <w:rPr>
          <w:rFonts w:hint="default" w:ascii="Times New Roman" w:hAnsi="Times New Roman" w:eastAsia="SimSun" w:cs="Times New Roman"/>
          <w:sz w:val="28"/>
          <w:szCs w:val="28"/>
        </w:rPr>
        <w:t>Career Outcomes of Master in Public Administration Graduates: A Tracer Study of Salary, Promotion, and Job Performance Recognition</w:t>
      </w:r>
      <w:r>
        <w:rPr>
          <w:rFonts w:hint="default" w:ascii="Times New Roman" w:hAnsi="Times New Roman" w:eastAsia="SimSun" w:cs="Times New Roman"/>
          <w:sz w:val="28"/>
          <w:szCs w:val="28"/>
          <w:lang w:val="en-PH"/>
        </w:rPr>
        <w:t>”</w:t>
      </w:r>
    </w:p>
    <w:p w14:paraId="5617F032">
      <w:pPr>
        <w:jc w:val="center"/>
        <w:rPr>
          <w:rFonts w:hint="default" w:ascii="Times New Roman" w:hAnsi="Times New Roman" w:eastAsia="SimSun" w:cs="Times New Roman"/>
          <w:sz w:val="28"/>
          <w:szCs w:val="28"/>
        </w:rPr>
      </w:pPr>
    </w:p>
    <w:p w14:paraId="0F60BCE2">
      <w:pPr>
        <w:jc w:val="both"/>
        <w:rPr>
          <w:rStyle w:val="9"/>
          <w:rFonts w:hint="default" w:ascii="Times New Roman" w:hAnsi="Times New Roman" w:cs="Times New Roman"/>
          <w:sz w:val="24"/>
          <w:szCs w:val="24"/>
          <w:lang w:val="en-PH"/>
        </w:rPr>
      </w:pPr>
    </w:p>
    <w:p w14:paraId="5F1E23B4">
      <w:pPr>
        <w:jc w:val="both"/>
        <w:rPr>
          <w:rFonts w:hint="default" w:ascii="Times New Roman" w:hAnsi="Times New Roman" w:eastAsia="SimSun" w:cs="Times New Roman"/>
          <w:sz w:val="24"/>
          <w:szCs w:val="24"/>
          <w:lang w:val="en-PH"/>
        </w:rPr>
      </w:pPr>
      <w:r>
        <w:rPr>
          <w:rStyle w:val="9"/>
          <w:rFonts w:hint="default" w:ascii="Times New Roman" w:hAnsi="Times New Roman" w:cs="Times New Roman"/>
          <w:sz w:val="24"/>
          <w:szCs w:val="24"/>
          <w:lang w:val="en-PH"/>
        </w:rPr>
        <w:t xml:space="preserve"/>
      </w:r>
      <w:r>
        <w:rPr>
          <w:rStyle w:val="9"/>
          <w:rFonts w:hint="default" w:ascii="Times New Roman" w:hAnsi="Times New Roman" w:cs="Times New Roman"/>
          <w:sz w:val="24"/>
          <w:szCs w:val="24"/>
          <w:lang w:val="en-PH"/>
        </w:rPr>
        <w:t/>
      </w:r>
      <w:r>
        <w:rPr>
          <w:rStyle w:val="9"/>
          <w:rFonts w:hint="default" w:ascii="Times New Roman" w:hAnsi="Times New Roman" w:cs="Times New Roman"/>
          <w:lang w:val="en-PH"/>
        </w:rPr>
        <w:t xml:space="preserve"/>
      </w:r>
      <w:r>
        <w:rPr>
          <w:rFonts w:hint="default" w:ascii="Times New Roman" w:hAnsi="Times New Roman" w:eastAsia="SimSun" w:cs="Times New Roman"/>
          <w:sz w:val="24"/>
          <w:szCs w:val="24"/>
        </w:rPr>
        <w:t/>
      </w:r>
      <w:r>
        <w:rPr>
          <w:rFonts w:hint="default" w:ascii="Times New Roman" w:hAnsi="Times New Roman" w:eastAsia="SimSun" w:cs="Times New Roman"/>
          <w:sz w:val="24"/>
          <w:szCs w:val="24"/>
          <w:lang w:val="en-PH"/>
        </w:rPr>
        <w:t xml:space="preserve"/>
      </w:r>
    </w:p>
    <w:p w14:paraId="224CAAE7">
      <w:pPr>
        <w:jc w:val="both"/>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lang w:val="en-PH"/>
        </w:rPr>
        <w:t/>
      </w:r>
    </w:p>
    <w:p w14:paraId="724512B7">
      <w:pPr>
        <w:jc w:val="both"/>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lang w:val="en-PH"/>
        </w:rPr>
        <w:t/>
      </w:r>
    </w:p>
    <w:p w14:paraId="5EEBFC87">
      <w:pPr>
        <w:jc w:val="both"/>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lang w:val="en-PH"/>
        </w:rPr>
        <w:t/>
      </w:r>
    </w:p>
    <w:p w14:paraId="6B1DB9FB">
      <w:pPr>
        <w:jc w:val="both"/>
        <w:rPr>
          <w:rFonts w:hint="default" w:ascii="Times New Roman" w:hAnsi="Times New Roman" w:eastAsia="SimSun" w:cs="Times New Roman"/>
          <w:sz w:val="24"/>
          <w:szCs w:val="24"/>
          <w:lang w:val="en-PH"/>
        </w:rPr>
      </w:pPr>
    </w:p>
    <w:p w14:paraId="2DC9EFAB">
      <w:pPr>
        <w:jc w:val="both"/>
        <w:rPr>
          <w:rFonts w:hint="default" w:ascii="Times New Roman" w:hAnsi="Times New Roman" w:eastAsia="SimSun" w:cs="Times New Roman"/>
          <w:sz w:val="24"/>
          <w:szCs w:val="24"/>
          <w:lang w:val="en-PH"/>
        </w:rPr>
      </w:pPr>
      <w:r>
        <w:rPr>
          <w:rFonts w:hint="default" w:ascii="Times New Roman" w:hAnsi="Times New Roman" w:eastAsia="SimSun" w:cs="Times New Roman"/>
          <w:b/>
          <w:bCs/>
          <w:sz w:val="24"/>
          <w:szCs w:val="24"/>
          <w:lang w:val="en-PH"/>
        </w:rPr>
        <w:t/>
      </w:r>
      <w:r>
        <w:rPr>
          <w:rFonts w:hint="default" w:ascii="Times New Roman" w:hAnsi="Times New Roman" w:eastAsia="SimSun" w:cs="Times New Roman"/>
          <w:sz w:val="24"/>
          <w:szCs w:val="24"/>
          <w:lang w:val="en-PH"/>
        </w:rPr>
        <w:t xml:space="preserve"/>
      </w:r>
      <w:r>
        <w:rPr>
          <w:rFonts w:hint="default" w:ascii="Times New Roman" w:hAnsi="Times New Roman" w:eastAsia="SimSun" w:cs="Times New Roman"/>
          <w:sz w:val="24"/>
          <w:szCs w:val="24"/>
        </w:rPr>
        <w:t/>
      </w:r>
      <w:r>
        <w:rPr>
          <w:rFonts w:hint="default" w:ascii="Times New Roman" w:hAnsi="Times New Roman" w:eastAsia="SimSun" w:cs="Times New Roman"/>
          <w:sz w:val="24"/>
          <w:szCs w:val="24"/>
          <w:lang w:val="en-PH"/>
        </w:rPr>
        <w:t xml:space="preserve"/>
      </w:r>
    </w:p>
    <w:p w14:paraId="4968376B">
      <w:pPr>
        <w:jc w:val="both"/>
        <w:rPr>
          <w:rFonts w:hint="default" w:ascii="Times New Roman" w:hAnsi="Times New Roman" w:eastAsia="SimSun" w:cs="Times New Roman"/>
          <w:color w:val="auto"/>
          <w:sz w:val="24"/>
          <w:szCs w:val="24"/>
          <w:u w:val="none"/>
          <w:lang w:val="en-PH"/>
        </w:rPr>
      </w:pPr>
      <w:r>
        <w:rPr>
          <w:rFonts w:hint="default" w:ascii="Times New Roman" w:hAnsi="Times New Roman" w:eastAsia="SimSun" w:cs="Times New Roman"/>
          <w:sz w:val="24"/>
          <w:szCs w:val="24"/>
          <w:lang w:val="en-PH"/>
        </w:rPr>
        <w:t xml:space="preserve"/>
      </w:r>
      <w:r>
        <w:rPr>
          <w:rFonts w:hint="default" w:ascii="Times New Roman" w:hAnsi="Times New Roman" w:eastAsia="SimSun" w:cs="Times New Roman"/>
          <w:color w:val="auto"/>
          <w:sz w:val="24"/>
          <w:szCs w:val="24"/>
          <w:u w:val="none"/>
          <w:lang w:val="en-PH"/>
        </w:rPr>
        <w:fldChar w:fldCharType="begin"/>
      </w:r>
      <w:r>
        <w:rPr>
          <w:rFonts w:hint="default" w:ascii="Times New Roman" w:hAnsi="Times New Roman" w:eastAsia="SimSun" w:cs="Times New Roman"/>
          <w:color w:val="auto"/>
          <w:sz w:val="24"/>
          <w:szCs w:val="24"/>
          <w:u w:val="none"/>
          <w:lang w:val="en-PH"/>
        </w:rPr>
        <w:instrText xml:space="preserve"> HYPERLINK "mailto:ftorrico@nemsu.edu.ph" </w:instrText>
      </w:r>
      <w:r>
        <w:rPr>
          <w:rFonts w:hint="default" w:ascii="Times New Roman" w:hAnsi="Times New Roman" w:eastAsia="SimSun" w:cs="Times New Roman"/>
          <w:color w:val="auto"/>
          <w:sz w:val="24"/>
          <w:szCs w:val="24"/>
          <w:u w:val="none"/>
          <w:lang w:val="en-PH"/>
        </w:rPr>
        <w:fldChar w:fldCharType="separate"/>
      </w:r>
      <w:r>
        <w:rPr>
          <w:rStyle w:val="7"/>
          <w:rFonts w:hint="default" w:ascii="Times New Roman" w:hAnsi="Times New Roman" w:eastAsia="SimSun" w:cs="Times New Roman"/>
          <w:color w:val="auto"/>
          <w:sz w:val="24"/>
          <w:szCs w:val="24"/>
          <w:u w:val="none"/>
          <w:lang w:val="en-PH"/>
        </w:rPr>
        <w:t/>
      </w:r>
      <w:r>
        <w:rPr>
          <w:rFonts w:hint="default" w:ascii="Times New Roman" w:hAnsi="Times New Roman" w:eastAsia="SimSun" w:cs="Times New Roman"/>
          <w:color w:val="auto"/>
          <w:sz w:val="24"/>
          <w:szCs w:val="24"/>
          <w:u w:val="none"/>
          <w:lang w:val="en-PH"/>
        </w:rPr>
        <w:fldChar w:fldCharType="end"/>
      </w:r>
      <w:bookmarkStart w:id="0" w:name="_GoBack"/>
      <w:bookmarkEnd w:id="0"/>
    </w:p>
    <w:p w14:paraId="002477D4">
      <w:pPr>
        <w:jc w:val="both"/>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lang w:val="en-PH"/>
        </w:rPr>
        <w:t/>
      </w:r>
    </w:p>
    <w:p w14:paraId="00F6ADF0">
      <w:pPr>
        <w:jc w:val="both"/>
        <w:rPr>
          <w:rFonts w:hint="default" w:ascii="Times New Roman" w:hAnsi="Times New Roman" w:eastAsia="SimSun" w:cs="Times New Roman"/>
          <w:sz w:val="24"/>
          <w:szCs w:val="24"/>
          <w:lang w:val="en-PH"/>
        </w:rPr>
      </w:pPr>
    </w:p>
    <w:p w14:paraId="0741A855">
      <w:pPr>
        <w:jc w:val="both"/>
        <w:rPr>
          <w:rFonts w:hint="default" w:ascii="Times New Roman" w:hAnsi="Times New Roman" w:eastAsia="SimSun" w:cs="Times New Roman"/>
          <w:sz w:val="24"/>
          <w:szCs w:val="24"/>
          <w:lang w:val="en-PH"/>
        </w:rPr>
      </w:pPr>
      <w:r>
        <w:rPr>
          <w:rFonts w:hint="default" w:ascii="Times New Roman" w:hAnsi="Times New Roman" w:eastAsia="SimSun" w:cs="Times New Roman"/>
          <w:b/>
          <w:bCs/>
          <w:sz w:val="24"/>
          <w:szCs w:val="24"/>
          <w:lang w:val="en-PH"/>
        </w:rPr>
        <w:t/>
      </w:r>
      <w:r>
        <w:rPr>
          <w:rFonts w:hint="default" w:ascii="Times New Roman" w:hAnsi="Times New Roman" w:eastAsia="SimSun" w:cs="Times New Roman"/>
          <w:sz w:val="24"/>
          <w:szCs w:val="24"/>
          <w:lang w:val="en-PH"/>
        </w:rPr>
        <w:t xml:space="preserve"/>
      </w:r>
      <w:r>
        <w:rPr>
          <w:rFonts w:hint="default" w:ascii="Times New Roman" w:hAnsi="Times New Roman" w:eastAsia="SimSun" w:cs="Times New Roman"/>
          <w:sz w:val="24"/>
          <w:szCs w:val="24"/>
        </w:rPr>
        <w:t/>
      </w:r>
      <w:r>
        <w:rPr>
          <w:rFonts w:hint="default" w:ascii="Times New Roman" w:hAnsi="Times New Roman" w:eastAsia="SimSun" w:cs="Times New Roman"/>
          <w:sz w:val="24"/>
          <w:szCs w:val="24"/>
          <w:lang w:val="en-PH"/>
        </w:rPr>
        <w:t xml:space="preserve"/>
      </w:r>
    </w:p>
    <w:p w14:paraId="7497F0A6">
      <w:pPr>
        <w:jc w:val="both"/>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lang w:val="en-PH"/>
        </w:rPr>
        <w:t/>
      </w:r>
    </w:p>
    <w:p w14:paraId="03317B3F">
      <w:pPr>
        <w:jc w:val="both"/>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lang w:val="en-PH"/>
        </w:rPr>
        <w:t/>
      </w:r>
    </w:p>
    <w:p w14:paraId="1D674E6A">
      <w:pPr>
        <w:jc w:val="both"/>
        <w:rPr>
          <w:rFonts w:hint="default" w:ascii="Times New Roman" w:hAnsi="Times New Roman" w:eastAsia="SimSun" w:cs="Times New Roman"/>
          <w:sz w:val="24"/>
          <w:szCs w:val="24"/>
          <w:lang w:val="en-PH"/>
        </w:rPr>
      </w:pPr>
    </w:p>
    <w:p w14:paraId="09E37336">
      <w:pPr>
        <w:jc w:val="both"/>
        <w:rPr>
          <w:rFonts w:hint="default" w:ascii="Times New Roman" w:hAnsi="Times New Roman" w:eastAsia="SimSun" w:cs="Times New Roman"/>
          <w:sz w:val="24"/>
          <w:szCs w:val="24"/>
          <w:lang w:val="en-PH"/>
        </w:rPr>
      </w:pPr>
    </w:p>
    <w:p w14:paraId="319C1AB4">
      <w:pPr>
        <w:jc w:val="both"/>
        <w:rPr>
          <w:rFonts w:hint="default" w:ascii="Times New Roman" w:hAnsi="Times New Roman" w:eastAsia="SimSun" w:cs="Times New Roman"/>
          <w:sz w:val="24"/>
          <w:szCs w:val="24"/>
          <w:lang w:val="en-PH"/>
        </w:rPr>
      </w:pPr>
    </w:p>
    <w:p w14:paraId="47844C1A">
      <w:pPr>
        <w:jc w:val="both"/>
        <w:rPr>
          <w:rFonts w:hint="default" w:ascii="Times New Roman" w:hAnsi="Times New Roman" w:eastAsia="SimSun" w:cs="Times New Roman"/>
          <w:sz w:val="24"/>
          <w:szCs w:val="24"/>
          <w:lang w:val="en-PH"/>
        </w:rPr>
      </w:pPr>
    </w:p>
    <w:p w14:paraId="2F8BB20A">
      <w:pPr>
        <w:jc w:val="both"/>
        <w:rPr>
          <w:rFonts w:hint="default" w:ascii="Times New Roman" w:hAnsi="Times New Roman" w:eastAsia="SimSun" w:cs="Times New Roman"/>
          <w:sz w:val="24"/>
          <w:szCs w:val="24"/>
          <w:lang w:val="en-PH"/>
        </w:rPr>
      </w:pPr>
    </w:p>
    <w:p w14:paraId="0934D0A1">
      <w:pPr>
        <w:jc w:val="both"/>
        <w:rPr>
          <w:rFonts w:hint="default" w:ascii="Times New Roman" w:hAnsi="Times New Roman" w:eastAsia="SimSun" w:cs="Times New Roman"/>
          <w:sz w:val="24"/>
          <w:szCs w:val="24"/>
          <w:lang w:val="en-PH"/>
        </w:rPr>
      </w:pPr>
    </w:p>
    <w:p w14:paraId="013044A8">
      <w:pPr>
        <w:jc w:val="both"/>
        <w:rPr>
          <w:rFonts w:hint="default" w:ascii="Times New Roman" w:hAnsi="Times New Roman" w:eastAsia="SimSun" w:cs="Times New Roman"/>
          <w:sz w:val="24"/>
          <w:szCs w:val="24"/>
          <w:lang w:val="en-PH"/>
        </w:rPr>
      </w:pPr>
    </w:p>
    <w:p w14:paraId="7F05E2EF">
      <w:pPr>
        <w:jc w:val="both"/>
        <w:rPr>
          <w:rFonts w:hint="default" w:ascii="Times New Roman" w:hAnsi="Times New Roman" w:eastAsia="SimSun" w:cs="Times New Roman"/>
          <w:sz w:val="24"/>
          <w:szCs w:val="24"/>
          <w:lang w:val="en-PH"/>
        </w:rPr>
      </w:pPr>
    </w:p>
    <w:p w14:paraId="66BE9569">
      <w:pPr>
        <w:jc w:val="both"/>
        <w:rPr>
          <w:rFonts w:hint="default" w:ascii="Times New Roman" w:hAnsi="Times New Roman" w:eastAsia="SimSun" w:cs="Times New Roman"/>
          <w:sz w:val="24"/>
          <w:szCs w:val="24"/>
          <w:lang w:val="en-PH"/>
        </w:rPr>
      </w:pPr>
    </w:p>
    <w:p w14:paraId="15793BD5">
      <w:pPr>
        <w:jc w:val="both"/>
        <w:rPr>
          <w:rFonts w:hint="default" w:ascii="Times New Roman" w:hAnsi="Times New Roman" w:eastAsia="SimSun" w:cs="Times New Roman"/>
          <w:sz w:val="24"/>
          <w:szCs w:val="24"/>
          <w:lang w:val="en-PH"/>
        </w:rPr>
      </w:pPr>
    </w:p>
    <w:p w14:paraId="3258FF5D">
      <w:pPr>
        <w:jc w:val="both"/>
        <w:rPr>
          <w:rFonts w:hint="default" w:ascii="Times New Roman" w:hAnsi="Times New Roman" w:eastAsia="SimSun" w:cs="Times New Roman"/>
          <w:sz w:val="24"/>
          <w:szCs w:val="24"/>
          <w:lang w:val="en-PH"/>
        </w:rPr>
      </w:pPr>
    </w:p>
    <w:p w14:paraId="0F07EFEF">
      <w:pPr>
        <w:jc w:val="both"/>
        <w:rPr>
          <w:rFonts w:hint="default" w:ascii="Times New Roman" w:hAnsi="Times New Roman" w:eastAsia="SimSun" w:cs="Times New Roman"/>
          <w:sz w:val="24"/>
          <w:szCs w:val="24"/>
          <w:lang w:val="en-PH"/>
        </w:rPr>
      </w:pPr>
    </w:p>
    <w:p w14:paraId="54EEE530">
      <w:pPr>
        <w:jc w:val="both"/>
        <w:rPr>
          <w:rFonts w:hint="default" w:ascii="Times New Roman" w:hAnsi="Times New Roman" w:eastAsia="SimSun" w:cs="Times New Roman"/>
          <w:sz w:val="24"/>
          <w:szCs w:val="24"/>
          <w:lang w:val="en-PH"/>
        </w:rPr>
      </w:pPr>
    </w:p>
    <w:p w14:paraId="4BBB0CA2">
      <w:pPr>
        <w:jc w:val="both"/>
        <w:rPr>
          <w:rFonts w:hint="default" w:ascii="Times New Roman" w:hAnsi="Times New Roman" w:eastAsia="SimSun" w:cs="Times New Roman"/>
          <w:sz w:val="24"/>
          <w:szCs w:val="24"/>
          <w:lang w:val="en-PH"/>
        </w:rPr>
      </w:pPr>
    </w:p>
    <w:p w14:paraId="090EF491">
      <w:pPr>
        <w:jc w:val="both"/>
        <w:rPr>
          <w:rFonts w:hint="default" w:ascii="Times New Roman" w:hAnsi="Times New Roman" w:eastAsia="SimSun" w:cs="Times New Roman"/>
          <w:sz w:val="24"/>
          <w:szCs w:val="24"/>
          <w:lang w:val="en-PH"/>
        </w:rPr>
      </w:pPr>
    </w:p>
    <w:p w14:paraId="27185EBE">
      <w:pPr>
        <w:jc w:val="both"/>
        <w:rPr>
          <w:rFonts w:hint="default" w:ascii="Times New Roman" w:hAnsi="Times New Roman" w:eastAsia="SimSun" w:cs="Times New Roman"/>
          <w:sz w:val="24"/>
          <w:szCs w:val="24"/>
          <w:lang w:val="en-PH"/>
        </w:rPr>
      </w:pPr>
    </w:p>
    <w:p w14:paraId="5DA0F099">
      <w:pPr>
        <w:jc w:val="both"/>
        <w:rPr>
          <w:rFonts w:hint="default" w:ascii="Times New Roman" w:hAnsi="Times New Roman" w:eastAsia="SimSun" w:cs="Times New Roman"/>
          <w:sz w:val="24"/>
          <w:szCs w:val="24"/>
          <w:lang w:val="en-PH"/>
        </w:rPr>
      </w:pPr>
    </w:p>
    <w:p w14:paraId="7D6F5D5F">
      <w:pPr>
        <w:jc w:val="both"/>
        <w:rPr>
          <w:rFonts w:hint="default" w:ascii="Times New Roman" w:hAnsi="Times New Roman" w:eastAsia="SimSun" w:cs="Times New Roman"/>
          <w:sz w:val="24"/>
          <w:szCs w:val="24"/>
          <w:lang w:val="en-PH"/>
        </w:rPr>
      </w:pPr>
    </w:p>
    <w:p w14:paraId="7340B516">
      <w:pPr>
        <w:jc w:val="both"/>
        <w:rPr>
          <w:rFonts w:hint="default" w:ascii="Times New Roman" w:hAnsi="Times New Roman" w:eastAsia="SimSun" w:cs="Times New Roman"/>
          <w:sz w:val="24"/>
          <w:szCs w:val="24"/>
          <w:lang w:val="en-PH"/>
        </w:rPr>
      </w:pPr>
    </w:p>
    <w:p w14:paraId="62D759EF">
      <w:pPr>
        <w:jc w:val="both"/>
        <w:rPr>
          <w:rFonts w:hint="default" w:ascii="Times New Roman" w:hAnsi="Times New Roman" w:eastAsia="SimSun" w:cs="Times New Roman"/>
          <w:sz w:val="24"/>
          <w:szCs w:val="24"/>
          <w:lang w:val="en-PH"/>
        </w:rPr>
      </w:pPr>
    </w:p>
    <w:p w14:paraId="6FA20D2C">
      <w:pPr>
        <w:jc w:val="both"/>
        <w:rPr>
          <w:rFonts w:hint="default" w:ascii="Times New Roman" w:hAnsi="Times New Roman" w:eastAsia="SimSun" w:cs="Times New Roman"/>
          <w:sz w:val="24"/>
          <w:szCs w:val="24"/>
          <w:lang w:val="en-PH"/>
        </w:rPr>
      </w:pPr>
    </w:p>
    <w:p w14:paraId="497BC42E">
      <w:pPr>
        <w:jc w:val="both"/>
        <w:rPr>
          <w:rFonts w:hint="default" w:ascii="Times New Roman" w:hAnsi="Times New Roman" w:eastAsia="SimSun" w:cs="Times New Roman"/>
          <w:sz w:val="24"/>
          <w:szCs w:val="24"/>
          <w:lang w:val="en-PH"/>
        </w:rPr>
      </w:pPr>
    </w:p>
    <w:p w14:paraId="3D1944E6">
      <w:pPr>
        <w:jc w:val="both"/>
        <w:rPr>
          <w:rFonts w:hint="default" w:ascii="Times New Roman" w:hAnsi="Times New Roman" w:eastAsia="SimSun" w:cs="Times New Roman"/>
          <w:sz w:val="24"/>
          <w:szCs w:val="24"/>
          <w:lang w:val="en-PH"/>
        </w:rPr>
      </w:pPr>
    </w:p>
    <w:p w14:paraId="613D0765">
      <w:pPr>
        <w:jc w:val="both"/>
        <w:rPr>
          <w:rFonts w:hint="default" w:ascii="Times New Roman" w:hAnsi="Times New Roman" w:eastAsia="SimSun" w:cs="Times New Roman"/>
          <w:sz w:val="24"/>
          <w:szCs w:val="24"/>
          <w:lang w:val="en-PH"/>
        </w:rPr>
      </w:pPr>
    </w:p>
    <w:p w14:paraId="1C45FED5">
      <w:pPr>
        <w:jc w:val="both"/>
        <w:rPr>
          <w:rFonts w:hint="default" w:ascii="Times New Roman" w:hAnsi="Times New Roman" w:eastAsia="SimSun" w:cs="Times New Roman"/>
          <w:sz w:val="24"/>
          <w:szCs w:val="24"/>
          <w:lang w:val="en-PH"/>
        </w:rPr>
      </w:pPr>
    </w:p>
    <w:p w14:paraId="40F47A10">
      <w:pPr>
        <w:jc w:val="both"/>
        <w:rPr>
          <w:rFonts w:hint="default" w:ascii="Times New Roman" w:hAnsi="Times New Roman" w:eastAsia="SimSun" w:cs="Times New Roman"/>
          <w:sz w:val="24"/>
          <w:szCs w:val="24"/>
          <w:lang w:val="en-PH"/>
        </w:rPr>
      </w:pPr>
    </w:p>
    <w:p w14:paraId="74D8A441">
      <w:pPr>
        <w:jc w:val="both"/>
        <w:rPr>
          <w:rFonts w:hint="default" w:ascii="Times New Roman" w:hAnsi="Times New Roman" w:eastAsia="SimSun" w:cs="Times New Roman"/>
          <w:sz w:val="24"/>
          <w:szCs w:val="24"/>
          <w:lang w:val="en-PH"/>
        </w:rPr>
      </w:pPr>
    </w:p>
    <w:p w14:paraId="69890902">
      <w:pPr>
        <w:pStyle w:val="8"/>
        <w:keepNext w:val="0"/>
        <w:keepLines w:val="0"/>
        <w:widowControl/>
        <w:suppressLineNumbers w:val="0"/>
        <w:rPr>
          <w:rStyle w:val="9"/>
        </w:rPr>
      </w:pPr>
    </w:p>
    <w:p w14:paraId="5A82C958">
      <w:pPr>
        <w:pStyle w:val="8"/>
        <w:keepNext w:val="0"/>
        <w:keepLines w:val="0"/>
        <w:widowControl/>
        <w:suppressLineNumbers w:val="0"/>
        <w:rPr>
          <w:rStyle w:val="9"/>
        </w:rPr>
      </w:pPr>
      <w:r>
        <w:rPr>
          <w:rStyle w:val="9"/>
        </w:rPr>
        <w:t>Abstract</w:t>
      </w:r>
    </w:p>
    <w:p w14:paraId="1894D1BF">
      <w:pPr>
        <w:pStyle w:val="8"/>
        <w:keepNext w:val="0"/>
        <w:keepLines w:val="0"/>
        <w:widowControl/>
        <w:suppressLineNumbers w:val="0"/>
        <w:jc w:val="both"/>
        <w:rPr>
          <w:i w:val="0"/>
          <w:iCs w:val="0"/>
          <w:sz w:val="24"/>
          <w:szCs w:val="24"/>
        </w:rPr>
      </w:pPr>
      <w:r>
        <w:rPr>
          <w:i w:val="0"/>
          <w:iCs w:val="0"/>
          <w:sz w:val="24"/>
          <w:szCs w:val="24"/>
        </w:rPr>
        <w:br w:type="textWrapping"/>
      </w:r>
      <w:r>
        <w:rPr>
          <w:rFonts w:hint="default"/>
          <w:i w:val="0"/>
          <w:iCs w:val="0"/>
          <w:sz w:val="24"/>
          <w:szCs w:val="24"/>
          <w:lang w:val="en-PH"/>
        </w:rPr>
        <w:tab/>
      </w:r>
      <w:r>
        <w:rPr>
          <w:i w:val="0"/>
          <w:iCs w:val="0"/>
          <w:sz w:val="24"/>
          <w:szCs w:val="24"/>
        </w:rPr>
        <w:t>This tracer study examined the career outcomes of Master in Public Administration (MPA) graduates from North Eastern Mindanao State University (NEMSU), focusing on salary grade, promotion, and job performance recognition. Results revealed that most graduates were married (60.0%), female (60.0%), and aged 31–35 (40.0%), indicating a predominantly mid-career, family-oriented cohort. In terms of salary, the majority (60.0%) occupied Salary Grade (SG) 11–15, corresponding to mid-level professional roles, while a smaller proportion held higher supervisory or managerial positions (SG 16–25). Only 6.7% were in entry-level (SG 6–10) or top executive (SG 26–30) positions, reflecting both upward mobility potential and the experience required for top-tier roles. Promotion data showed career advancements across various sectors—academe, government administration, law enforcement, and healthcare—with transitions from entry-level to professional posts and from technical to managerial or executive roles. These patterns affirm the MPA’s role in meeting qualification standards for higher appointments and enhancing leadership readiness. Additionally, six graduates received awards recognizing professional excellence, operational efficiency, community facilitation, law enforcement service, education program implementation, and youth development leadership. Such recognitions underscore the program’s contribution to fostering public service values and high-performance competencies. Overall, findings align with literature linking postgraduate education to improved employability, leadership capacity, and career advancement in public administration.</w:t>
      </w:r>
    </w:p>
    <w:p w14:paraId="76AD8FFF">
      <w:pPr>
        <w:pStyle w:val="8"/>
        <w:keepNext w:val="0"/>
        <w:keepLines w:val="0"/>
        <w:widowControl/>
        <w:suppressLineNumbers w:val="0"/>
        <w:jc w:val="both"/>
        <w:rPr>
          <w:i w:val="0"/>
          <w:iCs w:val="0"/>
          <w:sz w:val="24"/>
          <w:szCs w:val="24"/>
        </w:rPr>
      </w:pPr>
      <w:r>
        <w:rPr>
          <w:rStyle w:val="9"/>
          <w:i w:val="0"/>
          <w:iCs w:val="0"/>
          <w:sz w:val="24"/>
          <w:szCs w:val="24"/>
        </w:rPr>
        <w:t>Keywords:</w:t>
      </w:r>
      <w:r>
        <w:rPr>
          <w:i w:val="0"/>
          <w:iCs w:val="0"/>
          <w:sz w:val="24"/>
          <w:szCs w:val="24"/>
        </w:rPr>
        <w:t xml:space="preserve"> Master in Public Administration, </w:t>
      </w:r>
      <w:r>
        <w:rPr>
          <w:rFonts w:hint="default"/>
          <w:i w:val="0"/>
          <w:iCs w:val="0"/>
          <w:sz w:val="24"/>
          <w:szCs w:val="24"/>
          <w:lang w:val="en-PH"/>
        </w:rPr>
        <w:t>T</w:t>
      </w:r>
      <w:r>
        <w:rPr>
          <w:i w:val="0"/>
          <w:iCs w:val="0"/>
          <w:sz w:val="24"/>
          <w:szCs w:val="24"/>
        </w:rPr>
        <w:t xml:space="preserve">racer </w:t>
      </w:r>
      <w:r>
        <w:rPr>
          <w:rFonts w:hint="default"/>
          <w:i w:val="0"/>
          <w:iCs w:val="0"/>
          <w:sz w:val="24"/>
          <w:szCs w:val="24"/>
          <w:lang w:val="en-PH"/>
        </w:rPr>
        <w:t>S</w:t>
      </w:r>
      <w:r>
        <w:rPr>
          <w:i w:val="0"/>
          <w:iCs w:val="0"/>
          <w:sz w:val="24"/>
          <w:szCs w:val="24"/>
        </w:rPr>
        <w:t xml:space="preserve">tudy, </w:t>
      </w:r>
      <w:r>
        <w:rPr>
          <w:rFonts w:hint="default"/>
          <w:i w:val="0"/>
          <w:iCs w:val="0"/>
          <w:sz w:val="24"/>
          <w:szCs w:val="24"/>
          <w:lang w:val="en-PH"/>
        </w:rPr>
        <w:t>S</w:t>
      </w:r>
      <w:r>
        <w:rPr>
          <w:i w:val="0"/>
          <w:iCs w:val="0"/>
          <w:sz w:val="24"/>
          <w:szCs w:val="24"/>
        </w:rPr>
        <w:t xml:space="preserve">alary </w:t>
      </w:r>
      <w:r>
        <w:rPr>
          <w:rFonts w:hint="default"/>
          <w:i w:val="0"/>
          <w:iCs w:val="0"/>
          <w:sz w:val="24"/>
          <w:szCs w:val="24"/>
          <w:lang w:val="en-PH"/>
        </w:rPr>
        <w:t>G</w:t>
      </w:r>
      <w:r>
        <w:rPr>
          <w:i w:val="0"/>
          <w:iCs w:val="0"/>
          <w:sz w:val="24"/>
          <w:szCs w:val="24"/>
        </w:rPr>
        <w:t xml:space="preserve">rade, </w:t>
      </w:r>
      <w:r>
        <w:rPr>
          <w:rFonts w:hint="default"/>
          <w:i w:val="0"/>
          <w:iCs w:val="0"/>
          <w:sz w:val="24"/>
          <w:szCs w:val="24"/>
          <w:lang w:val="en-PH"/>
        </w:rPr>
        <w:t>P</w:t>
      </w:r>
      <w:r>
        <w:rPr>
          <w:i w:val="0"/>
          <w:iCs w:val="0"/>
          <w:sz w:val="24"/>
          <w:szCs w:val="24"/>
        </w:rPr>
        <w:t xml:space="preserve">romotion, </w:t>
      </w:r>
      <w:r>
        <w:rPr>
          <w:rFonts w:hint="default"/>
          <w:i w:val="0"/>
          <w:iCs w:val="0"/>
          <w:sz w:val="24"/>
          <w:szCs w:val="24"/>
          <w:lang w:val="en-PH"/>
        </w:rPr>
        <w:t>J</w:t>
      </w:r>
      <w:r>
        <w:rPr>
          <w:i w:val="0"/>
          <w:iCs w:val="0"/>
          <w:sz w:val="24"/>
          <w:szCs w:val="24"/>
        </w:rPr>
        <w:t xml:space="preserve">ob </w:t>
      </w:r>
      <w:r>
        <w:rPr>
          <w:rFonts w:hint="default"/>
          <w:i w:val="0"/>
          <w:iCs w:val="0"/>
          <w:sz w:val="24"/>
          <w:szCs w:val="24"/>
          <w:lang w:val="en-PH"/>
        </w:rPr>
        <w:t>P</w:t>
      </w:r>
      <w:r>
        <w:rPr>
          <w:i w:val="0"/>
          <w:iCs w:val="0"/>
          <w:sz w:val="24"/>
          <w:szCs w:val="24"/>
        </w:rPr>
        <w:t xml:space="preserve">erformance, </w:t>
      </w:r>
      <w:r>
        <w:rPr>
          <w:rFonts w:hint="default"/>
          <w:i w:val="0"/>
          <w:iCs w:val="0"/>
          <w:sz w:val="24"/>
          <w:szCs w:val="24"/>
          <w:lang w:val="en-PH"/>
        </w:rPr>
        <w:t>C</w:t>
      </w:r>
      <w:r>
        <w:rPr>
          <w:i w:val="0"/>
          <w:iCs w:val="0"/>
          <w:sz w:val="24"/>
          <w:szCs w:val="24"/>
        </w:rPr>
        <w:t xml:space="preserve">areer </w:t>
      </w:r>
      <w:r>
        <w:rPr>
          <w:rFonts w:hint="default"/>
          <w:i w:val="0"/>
          <w:iCs w:val="0"/>
          <w:sz w:val="24"/>
          <w:szCs w:val="24"/>
          <w:lang w:val="en-PH"/>
        </w:rPr>
        <w:t>O</w:t>
      </w:r>
      <w:r>
        <w:rPr>
          <w:i w:val="0"/>
          <w:iCs w:val="0"/>
          <w:sz w:val="24"/>
          <w:szCs w:val="24"/>
        </w:rPr>
        <w:t>utcomes, NEMSU graduates</w:t>
      </w:r>
    </w:p>
    <w:p w14:paraId="65B9198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Century Gothic" w:hAnsi="Century Gothic" w:eastAsia="Arial" w:cs="Arial"/>
          <w:b/>
          <w:i w:val="0"/>
          <w:iCs w:val="0"/>
          <w:sz w:val="24"/>
          <w:szCs w:val="24"/>
        </w:rPr>
      </w:pPr>
    </w:p>
    <w:p w14:paraId="7B482DB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Century Gothic" w:hAnsi="Century Gothic" w:eastAsia="Arial" w:cs="Arial"/>
          <w:b/>
          <w:i w:val="0"/>
          <w:iCs w:val="0"/>
          <w:sz w:val="24"/>
          <w:szCs w:val="24"/>
        </w:rPr>
      </w:pPr>
    </w:p>
    <w:p w14:paraId="35C578C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Century Gothic" w:hAnsi="Century Gothic" w:eastAsia="Arial" w:cs="Arial"/>
          <w:b/>
          <w:i w:val="0"/>
          <w:iCs w:val="0"/>
          <w:sz w:val="24"/>
          <w:szCs w:val="24"/>
        </w:rPr>
      </w:pPr>
    </w:p>
    <w:p w14:paraId="3FEED2F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Century Gothic" w:hAnsi="Century Gothic" w:eastAsia="Arial" w:cs="Arial"/>
          <w:b/>
          <w:i w:val="0"/>
          <w:iCs w:val="0"/>
          <w:sz w:val="24"/>
          <w:szCs w:val="24"/>
        </w:rPr>
      </w:pPr>
    </w:p>
    <w:p w14:paraId="6E5AAEF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Century Gothic" w:hAnsi="Century Gothic" w:eastAsia="Arial" w:cs="Arial"/>
          <w:b/>
          <w:i w:val="0"/>
          <w:iCs w:val="0"/>
          <w:sz w:val="24"/>
          <w:szCs w:val="24"/>
        </w:rPr>
      </w:pPr>
    </w:p>
    <w:p w14:paraId="2B4AF53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Century Gothic" w:hAnsi="Century Gothic" w:eastAsia="Arial" w:cs="Arial"/>
          <w:b/>
          <w:i w:val="0"/>
          <w:iCs w:val="0"/>
          <w:sz w:val="24"/>
          <w:szCs w:val="24"/>
        </w:rPr>
      </w:pPr>
    </w:p>
    <w:p w14:paraId="60332FE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Century Gothic" w:hAnsi="Century Gothic" w:eastAsia="Arial" w:cs="Arial"/>
          <w:b/>
          <w:i w:val="0"/>
          <w:iCs w:val="0"/>
          <w:sz w:val="24"/>
          <w:szCs w:val="24"/>
        </w:rPr>
      </w:pPr>
    </w:p>
    <w:p w14:paraId="019E6D3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Century Gothic" w:hAnsi="Century Gothic" w:eastAsia="Arial" w:cs="Arial"/>
          <w:b/>
          <w:i w:val="0"/>
          <w:iCs w:val="0"/>
          <w:sz w:val="24"/>
          <w:szCs w:val="24"/>
        </w:rPr>
      </w:pPr>
    </w:p>
    <w:p w14:paraId="5F3FA182">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35386196">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21004C40">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0F7B71A4">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15F90090">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1D1A5F81">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1BC6EA1F">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38B7FA92">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217105B1">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30E40F8A">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26FD64DF">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701CCF3D">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52EBAB10">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571F57BE">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0DECDDCD">
      <w:pPr>
        <w:keepNext w:val="0"/>
        <w:keepLines w:val="0"/>
        <w:pageBreakBefore w:val="0"/>
        <w:widowControl/>
        <w:kinsoku/>
        <w:wordWrap/>
        <w:overflowPunct/>
        <w:topLinePunct w:val="0"/>
        <w:autoSpaceDE/>
        <w:autoSpaceDN/>
        <w:bidi w:val="0"/>
        <w:adjustRightInd/>
        <w:snapToGrid/>
        <w:spacing w:line="240" w:lineRule="auto"/>
        <w:textAlignment w:val="auto"/>
        <w:rPr>
          <w:rFonts w:ascii="Century Gothic" w:hAnsi="Century Gothic" w:eastAsia="Arial" w:cs="Arial"/>
          <w:b/>
        </w:rPr>
      </w:pPr>
    </w:p>
    <w:p w14:paraId="0759253F">
      <w:pPr>
        <w:pStyle w:val="8"/>
        <w:keepNext w:val="0"/>
        <w:keepLines w:val="0"/>
        <w:widowControl/>
        <w:suppressLineNumbers w:val="0"/>
        <w:rPr>
          <w:rStyle w:val="9"/>
        </w:rPr>
      </w:pPr>
      <w:r>
        <w:rPr>
          <w:rStyle w:val="9"/>
        </w:rPr>
        <w:t>Introduction</w:t>
      </w:r>
    </w:p>
    <w:p w14:paraId="47B707FA">
      <w:pPr>
        <w:pStyle w:val="8"/>
        <w:keepNext w:val="0"/>
        <w:keepLines w:val="0"/>
        <w:widowControl/>
        <w:suppressLineNumbers w:val="0"/>
        <w:ind w:firstLine="720" w:firstLineChars="0"/>
        <w:jc w:val="both"/>
      </w:pPr>
      <w:r>
        <w:t>This study examines the career outcomes of Master in Public Administration (MPA) graduates from North Eastern Mindanao State University (NEMSU), focusing on salary grade, promotion, and job performance recognition. By analyzing demographic characteristics, employment ranks, career mobility, and professional awards, the research seeks to understand how postgraduate training influences professional advancement in public service.</w:t>
      </w:r>
    </w:p>
    <w:p w14:paraId="0805F4D9">
      <w:pPr>
        <w:pStyle w:val="8"/>
        <w:keepNext w:val="0"/>
        <w:keepLines w:val="0"/>
        <w:widowControl/>
        <w:suppressLineNumbers w:val="0"/>
        <w:ind w:firstLine="720" w:firstLineChars="0"/>
        <w:jc w:val="both"/>
      </w:pPr>
      <w:r>
        <w:t>Scholars have long recognized that advanced degrees in public administration contribute to enhanced leadership competencies, improved promotion eligibility, and broader career opportunities in government and allied sectors (Teichler, 2007; Schomburg, 2010). The United Nations (2020) also notes the growing role of women in governance, reflecting trends in graduate program enrollment. Previous tracer studies highlight that marital status, career stage, and tenure significantly shape career progression, while educational attainment remains a key determinant of salary growth and eligibility for higher positions (Altbach, Reisberg, &amp; Rumbley, 2009; CHED, 2017).</w:t>
      </w:r>
    </w:p>
    <w:p w14:paraId="353241FD">
      <w:pPr>
        <w:pStyle w:val="8"/>
        <w:keepNext w:val="0"/>
        <w:keepLines w:val="0"/>
        <w:widowControl/>
        <w:suppressLineNumbers w:val="0"/>
        <w:ind w:firstLine="720" w:firstLineChars="0"/>
        <w:jc w:val="both"/>
      </w:pPr>
      <w:r>
        <w:t>Despite the abundance of literature on graduate employability, few studies focus specifically on MPA graduates from regional state universities in the Philippines</w:t>
      </w:r>
      <w:r>
        <w:rPr>
          <w:rFonts w:hint="default"/>
          <w:lang w:val="en-PH"/>
        </w:rPr>
        <w:t>, Particularly the CARAGA Region</w:t>
      </w:r>
      <w:r>
        <w:t>. This gap limits understanding of how such programs affect career trajectories in less urbanized areas, where employment contexts and promotion pathways may differ from those in metropolitan centers.</w:t>
      </w:r>
    </w:p>
    <w:p w14:paraId="77A76C0F">
      <w:pPr>
        <w:pStyle w:val="8"/>
        <w:keepNext w:val="0"/>
        <w:keepLines w:val="0"/>
        <w:widowControl/>
        <w:suppressLineNumbers w:val="0"/>
        <w:ind w:firstLine="720" w:firstLineChars="0"/>
        <w:jc w:val="both"/>
        <w:rPr>
          <w:rFonts w:hint="default" w:ascii="Tahoma" w:hAnsi="Tahoma" w:eastAsia="SimSun" w:cs="Tahoma"/>
          <w:sz w:val="24"/>
          <w:szCs w:val="24"/>
        </w:rPr>
      </w:pPr>
      <w:r>
        <w:t>This study contributes to the body of knowledge by providing empirical evidence on the professional gains of NEMSU MPA graduates, particularly in terms of salary progression, promotion across diverse public sectors, and recognition for job performance. The findings can guide curriculum enhancement, institutional policy, and professional development programs, ensuring that MPA training remains responsive to the demands of public sector leadership.</w:t>
      </w:r>
    </w:p>
    <w:p w14:paraId="378E186A">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Methodology</w:t>
      </w:r>
    </w:p>
    <w:p w14:paraId="56C3B8E7">
      <w:pPr>
        <w:pStyle w:val="3"/>
        <w:keepNext w:val="0"/>
        <w:keepLines w:val="0"/>
        <w:widowControl/>
        <w:suppressLineNumbers w:val="0"/>
        <w:jc w:val="both"/>
        <w:rPr>
          <w:rFonts w:hint="default" w:ascii="Times New Roman" w:hAnsi="Times New Roman" w:cs="Times New Roman"/>
          <w:b w:val="0"/>
          <w:bCs w:val="0"/>
          <w:i/>
          <w:iCs/>
          <w:sz w:val="24"/>
          <w:szCs w:val="24"/>
        </w:rPr>
      </w:pPr>
      <w:r>
        <w:rPr>
          <w:rStyle w:val="9"/>
          <w:rFonts w:hint="default" w:ascii="Times New Roman" w:hAnsi="Times New Roman" w:cs="Times New Roman"/>
          <w:b w:val="0"/>
          <w:bCs w:val="0"/>
          <w:i/>
          <w:iCs/>
          <w:sz w:val="24"/>
          <w:szCs w:val="24"/>
        </w:rPr>
        <w:t>Research Design</w:t>
      </w:r>
    </w:p>
    <w:p w14:paraId="6DA24529">
      <w:pPr>
        <w:pStyle w:val="8"/>
        <w:keepNext w:val="0"/>
        <w:keepLines w:val="0"/>
        <w:widowControl/>
        <w:suppressLineNumbers w:val="0"/>
        <w:jc w:val="both"/>
        <w:rPr>
          <w:rFonts w:hint="default"/>
          <w:lang w:val="en-PH"/>
        </w:rPr>
      </w:pPr>
      <w:r>
        <w:t>This study employed a quantitative descriptive research method, which involves the collection and statistical analysis of numerical data to describe the characteristics of a specific population (Creswell, 2014). This design was deemed appropriate as it allowed the researcher to determine the current salary grades, promotions, and awards received by MPA graduates without manipulating the study variables, thereby providing an accurate profile of their career outcomes</w:t>
      </w:r>
      <w:r>
        <w:rPr>
          <w:rFonts w:hint="default"/>
          <w:lang w:val="en-PH"/>
        </w:rPr>
        <w:t>.</w:t>
      </w:r>
    </w:p>
    <w:p w14:paraId="5E2479ED">
      <w:pPr>
        <w:pStyle w:val="3"/>
        <w:keepNext w:val="0"/>
        <w:keepLines w:val="0"/>
        <w:widowControl/>
        <w:suppressLineNumbers w:val="0"/>
        <w:jc w:val="both"/>
        <w:rPr>
          <w:rFonts w:hint="default" w:ascii="Times New Roman" w:hAnsi="Times New Roman" w:cs="Times New Roman"/>
          <w:b w:val="0"/>
          <w:bCs w:val="0"/>
          <w:i/>
          <w:iCs/>
          <w:sz w:val="24"/>
          <w:szCs w:val="24"/>
        </w:rPr>
      </w:pPr>
      <w:r>
        <w:rPr>
          <w:rStyle w:val="9"/>
          <w:rFonts w:hint="default" w:ascii="Times New Roman" w:hAnsi="Times New Roman" w:cs="Times New Roman"/>
          <w:b w:val="0"/>
          <w:bCs w:val="0"/>
          <w:i/>
          <w:iCs/>
          <w:sz w:val="24"/>
          <w:szCs w:val="24"/>
        </w:rPr>
        <w:t>Respondents and Sampling Technique</w:t>
      </w:r>
    </w:p>
    <w:p w14:paraId="6E625C85">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w:t>
      </w:r>
      <w:r>
        <w:rPr>
          <w:rFonts w:hint="default" w:ascii="Times New Roman" w:hAnsi="Times New Roman" w:cs="Times New Roman"/>
          <w:b w:val="0"/>
          <w:bCs w:val="0"/>
          <w:sz w:val="24"/>
          <w:szCs w:val="24"/>
        </w:rPr>
        <w:t>he respondents of the study were MPA graduates from NEMSU between academic years 201</w:t>
      </w:r>
      <w:r>
        <w:rPr>
          <w:rFonts w:hint="default" w:cs="Times New Roman"/>
          <w:b w:val="0"/>
          <w:bCs w:val="0"/>
          <w:sz w:val="24"/>
          <w:szCs w:val="24"/>
          <w:lang w:val="en-PH"/>
        </w:rPr>
        <w:t>9</w:t>
      </w:r>
      <w:r>
        <w:rPr>
          <w:rFonts w:hint="default" w:ascii="Times New Roman" w:hAnsi="Times New Roman" w:cs="Times New Roman"/>
          <w:b w:val="0"/>
          <w:bCs w:val="0"/>
          <w:sz w:val="24"/>
          <w:szCs w:val="24"/>
        </w:rPr>
        <w:t>–202</w:t>
      </w:r>
      <w:r>
        <w:rPr>
          <w:rFonts w:hint="default" w:cs="Times New Roman"/>
          <w:b w:val="0"/>
          <w:bCs w:val="0"/>
          <w:sz w:val="24"/>
          <w:szCs w:val="24"/>
          <w:lang w:val="en-PH"/>
        </w:rPr>
        <w:t>2</w:t>
      </w:r>
      <w:r>
        <w:rPr>
          <w:rFonts w:hint="default" w:ascii="Times New Roman" w:hAnsi="Times New Roman" w:cs="Times New Roman"/>
          <w:b w:val="0"/>
          <w:bCs w:val="0"/>
          <w:sz w:val="24"/>
          <w:szCs w:val="24"/>
        </w:rPr>
        <w:t xml:space="preserve">. A total of </w:t>
      </w:r>
      <w:r>
        <w:rPr>
          <w:rStyle w:val="9"/>
          <w:rFonts w:hint="default" w:ascii="Times New Roman" w:hAnsi="Times New Roman" w:cs="Times New Roman"/>
          <w:b w:val="0"/>
          <w:bCs w:val="0"/>
          <w:sz w:val="24"/>
          <w:szCs w:val="24"/>
        </w:rPr>
        <w:t>15 graduates</w:t>
      </w:r>
      <w:r>
        <w:rPr>
          <w:rFonts w:hint="default" w:ascii="Times New Roman" w:hAnsi="Times New Roman" w:cs="Times New Roman"/>
          <w:b w:val="0"/>
          <w:bCs w:val="0"/>
          <w:sz w:val="24"/>
          <w:szCs w:val="24"/>
        </w:rPr>
        <w:t xml:space="preserve"> participated in the study, identified through the </w:t>
      </w:r>
      <w:r>
        <w:rPr>
          <w:rFonts w:hint="default" w:cs="Times New Roman"/>
          <w:b w:val="0"/>
          <w:bCs w:val="0"/>
          <w:sz w:val="24"/>
          <w:szCs w:val="24"/>
          <w:lang w:val="en-PH"/>
        </w:rPr>
        <w:t>registrar’s</w:t>
      </w:r>
      <w:r>
        <w:rPr>
          <w:rFonts w:hint="default" w:ascii="Times New Roman" w:hAnsi="Times New Roman" w:cs="Times New Roman"/>
          <w:b w:val="0"/>
          <w:bCs w:val="0"/>
          <w:sz w:val="24"/>
          <w:szCs w:val="24"/>
        </w:rPr>
        <w:t xml:space="preserve"> records. Given the relatively small population of MPA graduates, </w:t>
      </w:r>
      <w:r>
        <w:rPr>
          <w:rStyle w:val="9"/>
          <w:rFonts w:hint="default" w:ascii="Times New Roman" w:hAnsi="Times New Roman" w:cs="Times New Roman"/>
          <w:b w:val="0"/>
          <w:bCs w:val="0"/>
          <w:sz w:val="24"/>
          <w:szCs w:val="24"/>
        </w:rPr>
        <w:t>total enumeration</w:t>
      </w:r>
      <w:r>
        <w:rPr>
          <w:rFonts w:hint="default" w:ascii="Times New Roman" w:hAnsi="Times New Roman" w:cs="Times New Roman"/>
          <w:b w:val="0"/>
          <w:bCs w:val="0"/>
          <w:sz w:val="24"/>
          <w:szCs w:val="24"/>
        </w:rPr>
        <w:t xml:space="preserve"> was employ</w:t>
      </w:r>
      <w:r>
        <w:rPr>
          <w:rFonts w:hint="default" w:ascii="Times New Roman" w:hAnsi="Times New Roman" w:cs="Times New Roman"/>
          <w:sz w:val="24"/>
          <w:szCs w:val="24"/>
        </w:rPr>
        <w:t>ed, ensuring complete coverage and eliminating sampling bias.</w:t>
      </w:r>
    </w:p>
    <w:p w14:paraId="2D5B14FB">
      <w:pPr>
        <w:pStyle w:val="3"/>
        <w:keepNext w:val="0"/>
        <w:keepLines w:val="0"/>
        <w:widowControl/>
        <w:suppressLineNumbers w:val="0"/>
        <w:jc w:val="both"/>
        <w:rPr>
          <w:rFonts w:hint="default" w:ascii="Times New Roman" w:hAnsi="Times New Roman" w:cs="Times New Roman"/>
          <w:b w:val="0"/>
          <w:bCs w:val="0"/>
          <w:i/>
          <w:iCs/>
          <w:sz w:val="24"/>
          <w:szCs w:val="24"/>
        </w:rPr>
      </w:pPr>
      <w:r>
        <w:rPr>
          <w:rStyle w:val="9"/>
          <w:rFonts w:hint="default" w:ascii="Times New Roman" w:hAnsi="Times New Roman" w:cs="Times New Roman"/>
          <w:b w:val="0"/>
          <w:bCs w:val="0"/>
          <w:i/>
          <w:iCs/>
          <w:sz w:val="24"/>
          <w:szCs w:val="24"/>
        </w:rPr>
        <w:t>Research Instrument</w:t>
      </w:r>
    </w:p>
    <w:p w14:paraId="68E25D14">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Arial" w:cs="Times New Roman"/>
          <w:lang w:val="en-PH"/>
        </w:rPr>
        <w:t>T</w:t>
      </w:r>
      <w:r>
        <w:rPr>
          <w:rFonts w:hint="default" w:ascii="Times New Roman" w:hAnsi="Times New Roman" w:eastAsia="Arial" w:cs="Times New Roman"/>
        </w:rPr>
        <w:t xml:space="preserve">he researchers modified the survey questionnaire before starting data collection, ensuring it met the study's objectives and the recommendations established by the Accrediting Agency of Chartered Colleges and Universities in the Philippines (AACCUP) in the Masters in Public Administration program. The instrument, created using the CHED graduate tracer framework, was validated by five experts who evaluated its construct, face, and content validity. Before survey administration began, a pilot testing phase was carried out to assess the survey's effectiveness after validation (A. Aithal &amp; P. Aithal, 2020). </w:t>
      </w:r>
      <w:r>
        <w:rPr>
          <w:rFonts w:hint="default" w:ascii="Times New Roman" w:hAnsi="Times New Roman" w:cs="Times New Roman"/>
          <w:sz w:val="24"/>
          <w:szCs w:val="24"/>
        </w:rPr>
        <w:t xml:space="preserve"> The instrument consisted of four sections: (1) demographic profile, (2) current salary grade, (3) record of promotions, and (4) awards or recognitions received. </w:t>
      </w:r>
    </w:p>
    <w:p w14:paraId="6834D912">
      <w:pPr>
        <w:pStyle w:val="3"/>
        <w:keepNext w:val="0"/>
        <w:keepLines w:val="0"/>
        <w:widowControl/>
        <w:suppressLineNumbers w:val="0"/>
        <w:jc w:val="both"/>
        <w:rPr>
          <w:rFonts w:hint="default" w:ascii="Times New Roman" w:hAnsi="Times New Roman" w:cs="Times New Roman"/>
          <w:b w:val="0"/>
          <w:bCs w:val="0"/>
          <w:i/>
          <w:iCs/>
          <w:sz w:val="24"/>
          <w:szCs w:val="24"/>
        </w:rPr>
      </w:pPr>
      <w:r>
        <w:rPr>
          <w:rStyle w:val="9"/>
          <w:rFonts w:hint="default" w:ascii="Times New Roman" w:hAnsi="Times New Roman" w:cs="Times New Roman"/>
          <w:b w:val="0"/>
          <w:bCs w:val="0"/>
          <w:i/>
          <w:iCs/>
          <w:sz w:val="24"/>
          <w:szCs w:val="24"/>
        </w:rPr>
        <w:t>Data Collection Procedure</w:t>
      </w:r>
    </w:p>
    <w:p w14:paraId="060ECF48">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Data were gathered through online surveys, direct interviews, and email correspondence. Consent was obtained prior to participation, and confidentiality was maintained by coding responses and reporting aggregated data.</w:t>
      </w:r>
    </w:p>
    <w:p w14:paraId="6337B654">
      <w:pPr>
        <w:pStyle w:val="3"/>
        <w:keepNext w:val="0"/>
        <w:keepLines w:val="0"/>
        <w:widowControl/>
        <w:suppressLineNumbers w:val="0"/>
        <w:jc w:val="both"/>
        <w:rPr>
          <w:rFonts w:hint="default" w:ascii="Times New Roman" w:hAnsi="Times New Roman" w:cs="Times New Roman"/>
          <w:b w:val="0"/>
          <w:bCs w:val="0"/>
          <w:i/>
          <w:iCs/>
          <w:sz w:val="24"/>
          <w:szCs w:val="24"/>
        </w:rPr>
      </w:pPr>
      <w:r>
        <w:rPr>
          <w:rStyle w:val="9"/>
          <w:rFonts w:hint="default" w:ascii="Times New Roman" w:hAnsi="Times New Roman" w:cs="Times New Roman"/>
          <w:b w:val="0"/>
          <w:bCs w:val="0"/>
          <w:i/>
          <w:iCs/>
          <w:sz w:val="24"/>
          <w:szCs w:val="24"/>
        </w:rPr>
        <w:t>Data Analysis</w:t>
      </w:r>
    </w:p>
    <w:p w14:paraId="3704BB9C">
      <w:pPr>
        <w:pStyle w:val="8"/>
        <w:keepNext w:val="0"/>
        <w:keepLines w:val="0"/>
        <w:widowControl/>
        <w:suppressLineNumbers w:val="0"/>
        <w:jc w:val="both"/>
        <w:rPr>
          <w:rFonts w:hint="default" w:cs="Times New Roman"/>
          <w:b/>
          <w:bCs/>
          <w:sz w:val="24"/>
          <w:szCs w:val="24"/>
          <w:lang w:val="en-PH"/>
        </w:rPr>
      </w:pPr>
      <w:r>
        <w:rPr>
          <w:rFonts w:hint="default" w:ascii="Times New Roman" w:hAnsi="Times New Roman" w:cs="Times New Roman"/>
          <w:sz w:val="24"/>
          <w:szCs w:val="24"/>
        </w:rPr>
        <w:t>Frequencies, percentages, and rankings were used to describe salary grade distributions, promotion patterns, and awards received. Descriptive interpretation was supported by relevant literature to contextualize findings.</w:t>
      </w:r>
    </w:p>
    <w:p w14:paraId="5BE9E17E">
      <w:pPr>
        <w:pStyle w:val="8"/>
        <w:keepNext w:val="0"/>
        <w:keepLines w:val="0"/>
        <w:widowControl/>
        <w:suppressLineNumbers w:val="0"/>
        <w:jc w:val="both"/>
        <w:rPr>
          <w:rFonts w:hint="default" w:ascii="Times New Roman" w:hAnsi="Times New Roman" w:cs="Times New Roman"/>
          <w:b/>
          <w:bCs/>
          <w:sz w:val="24"/>
          <w:szCs w:val="24"/>
          <w:lang w:val="en-PH"/>
        </w:rPr>
      </w:pPr>
      <w:r>
        <w:rPr>
          <w:rFonts w:hint="default" w:cs="Times New Roman"/>
          <w:b/>
          <w:bCs/>
          <w:sz w:val="24"/>
          <w:szCs w:val="24"/>
          <w:lang w:val="en-PH"/>
        </w:rPr>
        <w:t>Results and Discussion</w:t>
      </w:r>
    </w:p>
    <w:p w14:paraId="20A97193">
      <w:pPr>
        <w:pStyle w:val="8"/>
        <w:keepNext w:val="0"/>
        <w:keepLines w:val="0"/>
        <w:pageBreakBefore w:val="0"/>
        <w:widowControl/>
        <w:suppressLineNumbers w:val="0"/>
        <w:kinsoku/>
        <w:wordWrap/>
        <w:overflowPunct/>
        <w:topLinePunct w:val="0"/>
        <w:autoSpaceDE/>
        <w:autoSpaceDN/>
        <w:bidi w:val="0"/>
        <w:adjustRightInd/>
        <w:snapToGrid/>
        <w:spacing w:before="0" w:beforeAutospacing="0"/>
        <w:jc w:val="both"/>
        <w:textAlignment w:val="auto"/>
        <w:rPr>
          <w:rFonts w:hint="default" w:ascii="Times New Roman" w:hAnsi="Times New Roman" w:eastAsia="SimSun" w:cs="Times New Roman"/>
          <w:sz w:val="24"/>
          <w:szCs w:val="24"/>
          <w:lang w:val="en-PH"/>
        </w:rPr>
      </w:pPr>
      <w:r>
        <w:rPr>
          <w:rFonts w:hint="default" w:ascii="Times New Roman" w:hAnsi="Times New Roman" w:eastAsia="Arial" w:cs="Times New Roman"/>
          <w:b/>
        </w:rPr>
        <w:t xml:space="preserve">Table </w:t>
      </w:r>
      <w:r>
        <w:rPr>
          <w:rFonts w:hint="default" w:ascii="Times New Roman" w:hAnsi="Times New Roman" w:eastAsia="Arial" w:cs="Times New Roman"/>
          <w:b/>
          <w:lang w:val="en-PH"/>
        </w:rPr>
        <w:t>1.</w:t>
      </w:r>
      <w:r>
        <w:rPr>
          <w:rFonts w:hint="default" w:ascii="Times New Roman" w:hAnsi="Times New Roman" w:eastAsia="Arial" w:cs="Times New Roman"/>
          <w:bCs/>
          <w:i/>
        </w:rPr>
        <w:t>Demographic Profile of the MPA Graduates</w:t>
      </w:r>
    </w:p>
    <w:tbl>
      <w:tblPr>
        <w:tblStyle w:val="12"/>
        <w:tblpPr w:leftFromText="180" w:rightFromText="180" w:vertAnchor="text" w:horzAnchor="page" w:tblpX="1700" w:tblpY="288"/>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40"/>
        <w:gridCol w:w="1529"/>
        <w:gridCol w:w="1711"/>
        <w:gridCol w:w="1843"/>
      </w:tblGrid>
      <w:tr w14:paraId="289D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80" w:type="dxa"/>
            <w:tcBorders>
              <w:left w:val="nil"/>
              <w:bottom w:val="single" w:color="auto" w:sz="4" w:space="0"/>
              <w:right w:val="nil"/>
            </w:tcBorders>
            <w:shd w:val="clear" w:color="auto" w:fill="FFFFFF" w:themeFill="background1"/>
          </w:tcPr>
          <w:p w14:paraId="50E70165">
            <w:pPr>
              <w:spacing w:after="0" w:line="240" w:lineRule="auto"/>
              <w:rPr>
                <w:rFonts w:hint="default" w:ascii="Times New Roman" w:hAnsi="Times New Roman" w:cs="Times New Roman" w:eastAsiaTheme="majorEastAsia"/>
                <w:i/>
                <w:iCs/>
                <w:color w:val="000000" w:themeColor="text1"/>
                <w:sz w:val="22"/>
                <w14:textFill>
                  <w14:solidFill>
                    <w14:schemeClr w14:val="tx1"/>
                  </w14:solidFill>
                </w14:textFill>
              </w:rPr>
            </w:pPr>
          </w:p>
        </w:tc>
        <w:tc>
          <w:tcPr>
            <w:tcW w:w="1440" w:type="dxa"/>
            <w:tcBorders>
              <w:left w:val="nil"/>
              <w:bottom w:val="single" w:color="auto" w:sz="4" w:space="0"/>
              <w:right w:val="nil"/>
            </w:tcBorders>
            <w:shd w:val="clear" w:color="auto" w:fill="FFFFFF" w:themeFill="background1"/>
            <w:noWrap/>
          </w:tcPr>
          <w:p w14:paraId="49878194">
            <w:pPr>
              <w:spacing w:after="0" w:line="240" w:lineRule="auto"/>
              <w:rPr>
                <w:rFonts w:hint="default" w:ascii="Times New Roman" w:hAnsi="Times New Roman" w:cs="Times New Roman" w:eastAsiaTheme="majorEastAsia"/>
                <w:i/>
                <w:iCs/>
                <w:color w:val="auto"/>
                <w:sz w:val="22"/>
              </w:rPr>
            </w:pPr>
          </w:p>
        </w:tc>
        <w:tc>
          <w:tcPr>
            <w:tcW w:w="1529" w:type="dxa"/>
            <w:tcBorders>
              <w:left w:val="nil"/>
              <w:bottom w:val="single" w:color="auto" w:sz="4" w:space="0"/>
              <w:right w:val="nil"/>
            </w:tcBorders>
            <w:shd w:val="clear" w:color="auto" w:fill="FFFFFF" w:themeFill="background1"/>
          </w:tcPr>
          <w:p w14:paraId="0235D139">
            <w:pPr>
              <w:spacing w:after="0" w:line="240" w:lineRule="auto"/>
              <w:jc w:val="center"/>
              <w:rPr>
                <w:rFonts w:hint="default" w:ascii="Times New Roman" w:hAnsi="Times New Roman" w:cs="Times New Roman" w:eastAsiaTheme="majorEastAsia"/>
                <w:i/>
                <w:iCs w:val="0"/>
                <w:color w:val="auto"/>
                <w:sz w:val="22"/>
              </w:rPr>
            </w:pPr>
            <w:r>
              <w:rPr>
                <w:rFonts w:hint="default" w:ascii="Times New Roman" w:hAnsi="Times New Roman" w:cs="Times New Roman" w:eastAsiaTheme="majorEastAsia"/>
                <w:i/>
                <w:iCs/>
                <w:color w:val="auto"/>
                <w:sz w:val="22"/>
              </w:rPr>
              <w:t>Frequency</w:t>
            </w:r>
          </w:p>
        </w:tc>
        <w:tc>
          <w:tcPr>
            <w:tcW w:w="1711" w:type="dxa"/>
            <w:tcBorders>
              <w:left w:val="nil"/>
              <w:bottom w:val="single" w:color="auto" w:sz="4" w:space="0"/>
              <w:right w:val="nil"/>
            </w:tcBorders>
            <w:shd w:val="clear" w:color="auto" w:fill="FFFFFF" w:themeFill="background1"/>
          </w:tcPr>
          <w:p w14:paraId="7F51E836">
            <w:pPr>
              <w:spacing w:after="0" w:line="240" w:lineRule="auto"/>
              <w:jc w:val="center"/>
              <w:rPr>
                <w:rFonts w:hint="default" w:ascii="Times New Roman" w:hAnsi="Times New Roman" w:cs="Times New Roman" w:eastAsiaTheme="majorEastAsia"/>
                <w:i/>
                <w:iCs w:val="0"/>
                <w:color w:val="auto"/>
                <w:sz w:val="22"/>
              </w:rPr>
            </w:pPr>
            <w:r>
              <w:rPr>
                <w:rFonts w:hint="default" w:ascii="Times New Roman" w:hAnsi="Times New Roman" w:cs="Times New Roman" w:eastAsiaTheme="majorEastAsia"/>
                <w:i/>
                <w:iCs/>
                <w:color w:val="auto"/>
                <w:sz w:val="22"/>
              </w:rPr>
              <w:t>Percent (%)</w:t>
            </w:r>
          </w:p>
        </w:tc>
        <w:tc>
          <w:tcPr>
            <w:tcW w:w="1843" w:type="dxa"/>
            <w:tcBorders>
              <w:left w:val="nil"/>
              <w:bottom w:val="single" w:color="auto" w:sz="4" w:space="0"/>
              <w:right w:val="nil"/>
            </w:tcBorders>
            <w:shd w:val="clear" w:color="auto" w:fill="FFFFFF" w:themeFill="background1"/>
          </w:tcPr>
          <w:p w14:paraId="20243FDE">
            <w:pPr>
              <w:spacing w:after="0" w:line="240" w:lineRule="auto"/>
              <w:jc w:val="center"/>
              <w:rPr>
                <w:rFonts w:hint="default" w:ascii="Times New Roman" w:hAnsi="Times New Roman" w:cs="Times New Roman" w:eastAsiaTheme="majorEastAsia"/>
                <w:i/>
                <w:iCs w:val="0"/>
                <w:color w:val="auto"/>
                <w:sz w:val="22"/>
              </w:rPr>
            </w:pPr>
            <w:r>
              <w:rPr>
                <w:rFonts w:hint="default" w:ascii="Times New Roman" w:hAnsi="Times New Roman" w:cs="Times New Roman" w:eastAsiaTheme="majorEastAsia"/>
                <w:i/>
                <w:iCs/>
                <w:color w:val="auto"/>
                <w:sz w:val="22"/>
              </w:rPr>
              <w:t>Rank</w:t>
            </w:r>
          </w:p>
        </w:tc>
      </w:tr>
      <w:tr w14:paraId="3365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80" w:type="dxa"/>
            <w:vMerge w:val="restart"/>
            <w:tcBorders>
              <w:left w:val="nil"/>
              <w:bottom w:val="nil"/>
              <w:right w:val="nil"/>
            </w:tcBorders>
          </w:tcPr>
          <w:p w14:paraId="346FF37C">
            <w:pPr>
              <w:spacing w:after="0" w:line="240" w:lineRule="auto"/>
              <w:rPr>
                <w:rFonts w:hint="default" w:ascii="Times New Roman" w:hAnsi="Times New Roman" w:cs="Times New Roman"/>
                <w:b/>
                <w:bCs/>
                <w:color w:val="000000" w:themeColor="text1"/>
                <w14:textFill>
                  <w14:solidFill>
                    <w14:schemeClr w14:val="tx1"/>
                  </w14:solidFill>
                </w14:textFill>
              </w:rPr>
            </w:pPr>
          </w:p>
          <w:p w14:paraId="14AD24DE">
            <w:pPr>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Civil Status</w:t>
            </w:r>
          </w:p>
        </w:tc>
        <w:tc>
          <w:tcPr>
            <w:tcW w:w="1440" w:type="dxa"/>
            <w:tcBorders>
              <w:left w:val="nil"/>
              <w:bottom w:val="nil"/>
              <w:right w:val="nil"/>
            </w:tcBorders>
            <w:noWrap/>
          </w:tcPr>
          <w:p w14:paraId="55D2BADE">
            <w:pPr>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Single</w:t>
            </w:r>
          </w:p>
        </w:tc>
        <w:tc>
          <w:tcPr>
            <w:tcW w:w="1529" w:type="dxa"/>
            <w:tcBorders>
              <w:left w:val="nil"/>
              <w:bottom w:val="nil"/>
              <w:right w:val="nil"/>
            </w:tcBorders>
          </w:tcPr>
          <w:p w14:paraId="40D64CB1">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c>
          <w:tcPr>
            <w:tcW w:w="1711" w:type="dxa"/>
            <w:tcBorders>
              <w:left w:val="nil"/>
              <w:bottom w:val="nil"/>
              <w:right w:val="nil"/>
            </w:tcBorders>
          </w:tcPr>
          <w:p w14:paraId="0A5D93B6">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33.3%</w:t>
            </w:r>
          </w:p>
        </w:tc>
        <w:tc>
          <w:tcPr>
            <w:tcW w:w="1843" w:type="dxa"/>
            <w:tcBorders>
              <w:left w:val="nil"/>
              <w:bottom w:val="nil"/>
              <w:right w:val="nil"/>
            </w:tcBorders>
          </w:tcPr>
          <w:p w14:paraId="4098C320">
            <w:pPr>
              <w:pStyle w:val="13"/>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r>
      <w:tr w14:paraId="078C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980" w:type="dxa"/>
            <w:vMerge w:val="continue"/>
            <w:tcBorders>
              <w:top w:val="nil"/>
              <w:left w:val="nil"/>
              <w:bottom w:val="nil"/>
              <w:right w:val="nil"/>
            </w:tcBorders>
          </w:tcPr>
          <w:p w14:paraId="2A75F4FC">
            <w:pPr>
              <w:spacing w:after="0" w:line="240" w:lineRule="auto"/>
              <w:rPr>
                <w:rFonts w:hint="default" w:ascii="Times New Roman" w:hAnsi="Times New Roman" w:cs="Times New Roman"/>
                <w:b/>
                <w:bCs/>
                <w:color w:val="000000" w:themeColor="text1"/>
                <w14:textFill>
                  <w14:solidFill>
                    <w14:schemeClr w14:val="tx1"/>
                  </w14:solidFill>
                </w14:textFill>
              </w:rPr>
            </w:pPr>
          </w:p>
        </w:tc>
        <w:tc>
          <w:tcPr>
            <w:tcW w:w="1440" w:type="dxa"/>
            <w:tcBorders>
              <w:top w:val="nil"/>
              <w:left w:val="nil"/>
              <w:bottom w:val="nil"/>
              <w:right w:val="nil"/>
            </w:tcBorders>
            <w:noWrap/>
          </w:tcPr>
          <w:p w14:paraId="3D7CA4BF">
            <w:pPr>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Married</w:t>
            </w:r>
          </w:p>
        </w:tc>
        <w:tc>
          <w:tcPr>
            <w:tcW w:w="1529" w:type="dxa"/>
            <w:tcBorders>
              <w:top w:val="nil"/>
              <w:left w:val="nil"/>
              <w:bottom w:val="nil"/>
              <w:right w:val="nil"/>
            </w:tcBorders>
          </w:tcPr>
          <w:p w14:paraId="3962F376">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w:t>
            </w:r>
          </w:p>
        </w:tc>
        <w:tc>
          <w:tcPr>
            <w:tcW w:w="1711" w:type="dxa"/>
            <w:tcBorders>
              <w:top w:val="nil"/>
              <w:left w:val="nil"/>
              <w:bottom w:val="nil"/>
              <w:right w:val="nil"/>
            </w:tcBorders>
          </w:tcPr>
          <w:p w14:paraId="317AA12E">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60.0%</w:t>
            </w:r>
          </w:p>
        </w:tc>
        <w:tc>
          <w:tcPr>
            <w:tcW w:w="1843" w:type="dxa"/>
            <w:tcBorders>
              <w:top w:val="nil"/>
              <w:left w:val="nil"/>
              <w:bottom w:val="nil"/>
              <w:right w:val="nil"/>
            </w:tcBorders>
          </w:tcPr>
          <w:p w14:paraId="1A84B34A">
            <w:pPr>
              <w:pStyle w:val="13"/>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r>
      <w:tr w14:paraId="540C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80" w:type="dxa"/>
            <w:vMerge w:val="continue"/>
            <w:tcBorders>
              <w:top w:val="nil"/>
              <w:left w:val="nil"/>
              <w:bottom w:val="single" w:color="auto" w:sz="4" w:space="0"/>
              <w:right w:val="nil"/>
            </w:tcBorders>
          </w:tcPr>
          <w:p w14:paraId="17200D65">
            <w:pPr>
              <w:spacing w:after="0" w:line="240" w:lineRule="auto"/>
              <w:rPr>
                <w:rFonts w:hint="default" w:ascii="Times New Roman" w:hAnsi="Times New Roman" w:cs="Times New Roman"/>
                <w:b/>
                <w:bCs/>
                <w:color w:val="000000" w:themeColor="text1"/>
                <w14:textFill>
                  <w14:solidFill>
                    <w14:schemeClr w14:val="tx1"/>
                  </w14:solidFill>
                </w14:textFill>
              </w:rPr>
            </w:pPr>
          </w:p>
        </w:tc>
        <w:tc>
          <w:tcPr>
            <w:tcW w:w="1440" w:type="dxa"/>
            <w:tcBorders>
              <w:top w:val="nil"/>
              <w:left w:val="nil"/>
              <w:bottom w:val="single" w:color="auto" w:sz="4" w:space="0"/>
              <w:right w:val="nil"/>
            </w:tcBorders>
            <w:noWrap/>
          </w:tcPr>
          <w:p w14:paraId="4A1A4E04">
            <w:pPr>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Solo Parent</w:t>
            </w:r>
          </w:p>
        </w:tc>
        <w:tc>
          <w:tcPr>
            <w:tcW w:w="1529" w:type="dxa"/>
            <w:tcBorders>
              <w:top w:val="nil"/>
              <w:left w:val="nil"/>
              <w:bottom w:val="single" w:color="auto" w:sz="4" w:space="0"/>
              <w:right w:val="nil"/>
            </w:tcBorders>
          </w:tcPr>
          <w:p w14:paraId="67DD79AD">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711" w:type="dxa"/>
            <w:tcBorders>
              <w:top w:val="nil"/>
              <w:left w:val="nil"/>
              <w:bottom w:val="single" w:color="auto" w:sz="4" w:space="0"/>
              <w:right w:val="nil"/>
            </w:tcBorders>
          </w:tcPr>
          <w:p w14:paraId="3BF3E4B3">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6.7%</w:t>
            </w:r>
          </w:p>
        </w:tc>
        <w:tc>
          <w:tcPr>
            <w:tcW w:w="1843" w:type="dxa"/>
            <w:tcBorders>
              <w:top w:val="nil"/>
              <w:left w:val="nil"/>
              <w:bottom w:val="single" w:color="auto" w:sz="4" w:space="0"/>
              <w:right w:val="nil"/>
            </w:tcBorders>
          </w:tcPr>
          <w:p w14:paraId="054EC938">
            <w:pPr>
              <w:pStyle w:val="13"/>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r>
      <w:tr w14:paraId="59E7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980" w:type="dxa"/>
            <w:tcBorders>
              <w:left w:val="nil"/>
              <w:bottom w:val="single" w:color="auto" w:sz="4" w:space="0"/>
              <w:right w:val="nil"/>
            </w:tcBorders>
          </w:tcPr>
          <w:p w14:paraId="17A26278">
            <w:pPr>
              <w:spacing w:after="0" w:line="240" w:lineRule="auto"/>
              <w:rPr>
                <w:rFonts w:hint="default" w:ascii="Times New Roman" w:hAnsi="Times New Roman" w:cs="Times New Roman"/>
                <w:b/>
                <w:bCs/>
                <w:color w:val="000000" w:themeColor="text1"/>
                <w14:textFill>
                  <w14:solidFill>
                    <w14:schemeClr w14:val="tx1"/>
                  </w14:solidFill>
                </w14:textFill>
              </w:rPr>
            </w:pPr>
          </w:p>
        </w:tc>
        <w:tc>
          <w:tcPr>
            <w:tcW w:w="1440" w:type="dxa"/>
            <w:tcBorders>
              <w:left w:val="nil"/>
              <w:bottom w:val="single" w:color="auto" w:sz="4" w:space="0"/>
              <w:right w:val="nil"/>
            </w:tcBorders>
            <w:noWrap/>
          </w:tcPr>
          <w:p w14:paraId="7AE3A854">
            <w:pPr>
              <w:spacing w:after="0" w:line="24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Total</w:t>
            </w:r>
          </w:p>
        </w:tc>
        <w:tc>
          <w:tcPr>
            <w:tcW w:w="1529" w:type="dxa"/>
            <w:tcBorders>
              <w:left w:val="nil"/>
              <w:bottom w:val="single" w:color="auto" w:sz="4" w:space="0"/>
              <w:right w:val="nil"/>
            </w:tcBorders>
          </w:tcPr>
          <w:p w14:paraId="58883A14">
            <w:pPr>
              <w:pStyle w:val="13"/>
              <w:spacing w:after="0" w:line="24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15</w:t>
            </w:r>
          </w:p>
        </w:tc>
        <w:tc>
          <w:tcPr>
            <w:tcW w:w="1711" w:type="dxa"/>
            <w:tcBorders>
              <w:left w:val="nil"/>
              <w:bottom w:val="single" w:color="auto" w:sz="4" w:space="0"/>
              <w:right w:val="nil"/>
            </w:tcBorders>
          </w:tcPr>
          <w:p w14:paraId="38250812">
            <w:pPr>
              <w:pStyle w:val="13"/>
              <w:spacing w:after="0" w:line="24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100.0%</w:t>
            </w:r>
          </w:p>
        </w:tc>
        <w:tc>
          <w:tcPr>
            <w:tcW w:w="1843" w:type="dxa"/>
            <w:tcBorders>
              <w:left w:val="nil"/>
              <w:bottom w:val="single" w:color="auto" w:sz="4" w:space="0"/>
              <w:right w:val="nil"/>
            </w:tcBorders>
          </w:tcPr>
          <w:p w14:paraId="38C58AE9">
            <w:pPr>
              <w:pStyle w:val="13"/>
              <w:spacing w:after="0" w:line="240" w:lineRule="auto"/>
              <w:jc w:val="center"/>
              <w:rPr>
                <w:rFonts w:hint="default" w:ascii="Times New Roman" w:hAnsi="Times New Roman" w:cs="Times New Roman"/>
                <w:b/>
                <w:bCs/>
                <w:color w:val="000000" w:themeColor="text1"/>
                <w14:textFill>
                  <w14:solidFill>
                    <w14:schemeClr w14:val="tx1"/>
                  </w14:solidFill>
                </w14:textFill>
              </w:rPr>
            </w:pPr>
          </w:p>
        </w:tc>
      </w:tr>
      <w:tr w14:paraId="2881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80" w:type="dxa"/>
            <w:vMerge w:val="restart"/>
            <w:tcBorders>
              <w:left w:val="nil"/>
              <w:bottom w:val="nil"/>
              <w:right w:val="nil"/>
            </w:tcBorders>
          </w:tcPr>
          <w:p w14:paraId="03267FBE">
            <w:pPr>
              <w:spacing w:after="0" w:line="240" w:lineRule="auto"/>
              <w:rPr>
                <w:rFonts w:hint="default" w:ascii="Times New Roman" w:hAnsi="Times New Roman" w:cs="Times New Roman"/>
                <w:color w:val="000000" w:themeColor="text1"/>
                <w14:textFill>
                  <w14:solidFill>
                    <w14:schemeClr w14:val="tx1"/>
                  </w14:solidFill>
                </w14:textFill>
              </w:rPr>
            </w:pPr>
          </w:p>
          <w:p w14:paraId="72DCB109">
            <w:pPr>
              <w:spacing w:after="0" w:line="240" w:lineRule="auto"/>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Sex</w:t>
            </w:r>
          </w:p>
        </w:tc>
        <w:tc>
          <w:tcPr>
            <w:tcW w:w="1440" w:type="dxa"/>
            <w:tcBorders>
              <w:left w:val="nil"/>
              <w:bottom w:val="nil"/>
              <w:right w:val="nil"/>
            </w:tcBorders>
            <w:noWrap/>
          </w:tcPr>
          <w:p w14:paraId="65DFE53D">
            <w:pPr>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Male</w:t>
            </w:r>
          </w:p>
        </w:tc>
        <w:tc>
          <w:tcPr>
            <w:tcW w:w="1529" w:type="dxa"/>
            <w:tcBorders>
              <w:left w:val="nil"/>
              <w:bottom w:val="nil"/>
              <w:right w:val="nil"/>
            </w:tcBorders>
          </w:tcPr>
          <w:p w14:paraId="40BE46D5">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p>
        </w:tc>
        <w:tc>
          <w:tcPr>
            <w:tcW w:w="1711" w:type="dxa"/>
            <w:tcBorders>
              <w:left w:val="nil"/>
              <w:bottom w:val="nil"/>
              <w:right w:val="nil"/>
            </w:tcBorders>
          </w:tcPr>
          <w:p w14:paraId="6AA15C11">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40.0%</w:t>
            </w:r>
          </w:p>
        </w:tc>
        <w:tc>
          <w:tcPr>
            <w:tcW w:w="1843" w:type="dxa"/>
            <w:tcBorders>
              <w:left w:val="nil"/>
              <w:bottom w:val="nil"/>
              <w:right w:val="nil"/>
            </w:tcBorders>
          </w:tcPr>
          <w:p w14:paraId="67618DBB">
            <w:pPr>
              <w:pStyle w:val="13"/>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r>
      <w:tr w14:paraId="505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980" w:type="dxa"/>
            <w:vMerge w:val="continue"/>
            <w:tcBorders>
              <w:top w:val="nil"/>
              <w:left w:val="nil"/>
              <w:bottom w:val="single" w:color="auto" w:sz="4" w:space="0"/>
              <w:right w:val="nil"/>
            </w:tcBorders>
          </w:tcPr>
          <w:p w14:paraId="520188B9">
            <w:pPr>
              <w:spacing w:after="0" w:line="240" w:lineRule="auto"/>
              <w:rPr>
                <w:rFonts w:hint="default" w:ascii="Times New Roman" w:hAnsi="Times New Roman" w:cs="Times New Roman"/>
                <w:b/>
                <w:bCs/>
                <w:color w:val="000000" w:themeColor="text1"/>
                <w14:textFill>
                  <w14:solidFill>
                    <w14:schemeClr w14:val="tx1"/>
                  </w14:solidFill>
                </w14:textFill>
              </w:rPr>
            </w:pPr>
          </w:p>
        </w:tc>
        <w:tc>
          <w:tcPr>
            <w:tcW w:w="1440" w:type="dxa"/>
            <w:tcBorders>
              <w:top w:val="nil"/>
              <w:left w:val="nil"/>
              <w:bottom w:val="single" w:color="auto" w:sz="4" w:space="0"/>
              <w:right w:val="nil"/>
            </w:tcBorders>
            <w:noWrap/>
          </w:tcPr>
          <w:p w14:paraId="52099A6C">
            <w:pPr>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Female</w:t>
            </w:r>
          </w:p>
        </w:tc>
        <w:tc>
          <w:tcPr>
            <w:tcW w:w="1529" w:type="dxa"/>
            <w:tcBorders>
              <w:top w:val="nil"/>
              <w:left w:val="nil"/>
              <w:bottom w:val="single" w:color="auto" w:sz="4" w:space="0"/>
              <w:right w:val="nil"/>
            </w:tcBorders>
          </w:tcPr>
          <w:p w14:paraId="04087F56">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w:t>
            </w:r>
          </w:p>
        </w:tc>
        <w:tc>
          <w:tcPr>
            <w:tcW w:w="1711" w:type="dxa"/>
            <w:tcBorders>
              <w:top w:val="nil"/>
              <w:left w:val="nil"/>
              <w:bottom w:val="single" w:color="auto" w:sz="4" w:space="0"/>
              <w:right w:val="nil"/>
            </w:tcBorders>
          </w:tcPr>
          <w:p w14:paraId="1DA186C0">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60.0%</w:t>
            </w:r>
          </w:p>
        </w:tc>
        <w:tc>
          <w:tcPr>
            <w:tcW w:w="1843" w:type="dxa"/>
            <w:tcBorders>
              <w:top w:val="nil"/>
              <w:left w:val="nil"/>
              <w:bottom w:val="single" w:color="auto" w:sz="4" w:space="0"/>
              <w:right w:val="nil"/>
            </w:tcBorders>
          </w:tcPr>
          <w:p w14:paraId="2E09DDAE">
            <w:pPr>
              <w:pStyle w:val="13"/>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r>
      <w:tr w14:paraId="70CC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980" w:type="dxa"/>
            <w:tcBorders>
              <w:left w:val="nil"/>
              <w:bottom w:val="single" w:color="auto" w:sz="4" w:space="0"/>
              <w:right w:val="nil"/>
            </w:tcBorders>
          </w:tcPr>
          <w:p w14:paraId="16CBE98E">
            <w:pPr>
              <w:spacing w:after="0" w:line="240" w:lineRule="auto"/>
              <w:rPr>
                <w:rFonts w:hint="default" w:ascii="Times New Roman" w:hAnsi="Times New Roman" w:cs="Times New Roman"/>
                <w:b/>
                <w:bCs/>
                <w:color w:val="000000" w:themeColor="text1"/>
                <w14:textFill>
                  <w14:solidFill>
                    <w14:schemeClr w14:val="tx1"/>
                  </w14:solidFill>
                </w14:textFill>
              </w:rPr>
            </w:pPr>
          </w:p>
        </w:tc>
        <w:tc>
          <w:tcPr>
            <w:tcW w:w="1440" w:type="dxa"/>
            <w:tcBorders>
              <w:left w:val="nil"/>
              <w:bottom w:val="single" w:color="auto" w:sz="4" w:space="0"/>
              <w:right w:val="nil"/>
            </w:tcBorders>
            <w:noWrap/>
          </w:tcPr>
          <w:p w14:paraId="7B9A1055">
            <w:pPr>
              <w:spacing w:after="0" w:line="24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Total</w:t>
            </w:r>
          </w:p>
        </w:tc>
        <w:tc>
          <w:tcPr>
            <w:tcW w:w="1529" w:type="dxa"/>
            <w:tcBorders>
              <w:left w:val="nil"/>
              <w:bottom w:val="single" w:color="auto" w:sz="4" w:space="0"/>
              <w:right w:val="nil"/>
            </w:tcBorders>
          </w:tcPr>
          <w:p w14:paraId="399D33EC">
            <w:pPr>
              <w:pStyle w:val="13"/>
              <w:spacing w:after="0" w:line="24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15</w:t>
            </w:r>
          </w:p>
        </w:tc>
        <w:tc>
          <w:tcPr>
            <w:tcW w:w="1711" w:type="dxa"/>
            <w:tcBorders>
              <w:left w:val="nil"/>
              <w:bottom w:val="single" w:color="auto" w:sz="4" w:space="0"/>
              <w:right w:val="nil"/>
            </w:tcBorders>
          </w:tcPr>
          <w:p w14:paraId="19451B6C">
            <w:pPr>
              <w:pStyle w:val="13"/>
              <w:spacing w:after="0" w:line="24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100.0%</w:t>
            </w:r>
          </w:p>
        </w:tc>
        <w:tc>
          <w:tcPr>
            <w:tcW w:w="1843" w:type="dxa"/>
            <w:tcBorders>
              <w:left w:val="nil"/>
              <w:bottom w:val="single" w:color="auto" w:sz="4" w:space="0"/>
              <w:right w:val="nil"/>
            </w:tcBorders>
          </w:tcPr>
          <w:p w14:paraId="7A52A559">
            <w:pPr>
              <w:pStyle w:val="13"/>
              <w:spacing w:after="0" w:line="240" w:lineRule="auto"/>
              <w:jc w:val="center"/>
              <w:rPr>
                <w:rFonts w:hint="default" w:ascii="Times New Roman" w:hAnsi="Times New Roman" w:cs="Times New Roman"/>
                <w:b/>
                <w:bCs/>
                <w:color w:val="000000" w:themeColor="text1"/>
                <w14:textFill>
                  <w14:solidFill>
                    <w14:schemeClr w14:val="tx1"/>
                  </w14:solidFill>
                </w14:textFill>
              </w:rPr>
            </w:pPr>
          </w:p>
        </w:tc>
      </w:tr>
      <w:tr w14:paraId="69BD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980" w:type="dxa"/>
            <w:vMerge w:val="restart"/>
            <w:tcBorders>
              <w:left w:val="nil"/>
              <w:bottom w:val="nil"/>
              <w:right w:val="nil"/>
            </w:tcBorders>
          </w:tcPr>
          <w:p w14:paraId="03939BF1">
            <w:pPr>
              <w:spacing w:after="0" w:line="240" w:lineRule="auto"/>
              <w:jc w:val="center"/>
              <w:rPr>
                <w:rFonts w:hint="default" w:ascii="Times New Roman" w:hAnsi="Times New Roman" w:cs="Times New Roman"/>
                <w:b/>
                <w:bCs/>
                <w:color w:val="000000" w:themeColor="text1"/>
                <w14:textFill>
                  <w14:solidFill>
                    <w14:schemeClr w14:val="tx1"/>
                  </w14:solidFill>
                </w14:textFill>
              </w:rPr>
            </w:pPr>
          </w:p>
          <w:p w14:paraId="28C4805D">
            <w:pPr>
              <w:spacing w:after="0" w:line="240" w:lineRule="auto"/>
              <w:jc w:val="center"/>
              <w:rPr>
                <w:rFonts w:hint="default" w:ascii="Times New Roman" w:hAnsi="Times New Roman" w:cs="Times New Roman"/>
                <w:b/>
                <w:bCs/>
                <w:color w:val="000000" w:themeColor="text1"/>
                <w14:textFill>
                  <w14:solidFill>
                    <w14:schemeClr w14:val="tx1"/>
                  </w14:solidFill>
                </w14:textFill>
              </w:rPr>
            </w:pPr>
          </w:p>
          <w:p w14:paraId="7C691652">
            <w:pPr>
              <w:spacing w:after="0" w:line="240" w:lineRule="auto"/>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Age</w:t>
            </w:r>
          </w:p>
        </w:tc>
        <w:tc>
          <w:tcPr>
            <w:tcW w:w="1440" w:type="dxa"/>
            <w:tcBorders>
              <w:left w:val="nil"/>
              <w:bottom w:val="nil"/>
              <w:right w:val="nil"/>
            </w:tcBorders>
            <w:noWrap/>
          </w:tcPr>
          <w:p w14:paraId="540FCD80">
            <w:pPr>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26-30</w:t>
            </w:r>
          </w:p>
        </w:tc>
        <w:tc>
          <w:tcPr>
            <w:tcW w:w="1529" w:type="dxa"/>
            <w:tcBorders>
              <w:left w:val="nil"/>
              <w:bottom w:val="nil"/>
              <w:right w:val="nil"/>
            </w:tcBorders>
          </w:tcPr>
          <w:p w14:paraId="121D0CEE">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711" w:type="dxa"/>
            <w:tcBorders>
              <w:left w:val="nil"/>
              <w:bottom w:val="nil"/>
              <w:right w:val="nil"/>
            </w:tcBorders>
          </w:tcPr>
          <w:p w14:paraId="2E4E31AE">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6.7%</w:t>
            </w:r>
          </w:p>
        </w:tc>
        <w:tc>
          <w:tcPr>
            <w:tcW w:w="1843" w:type="dxa"/>
            <w:tcBorders>
              <w:left w:val="nil"/>
              <w:bottom w:val="nil"/>
              <w:right w:val="nil"/>
            </w:tcBorders>
          </w:tcPr>
          <w:p w14:paraId="4F35AA80">
            <w:pPr>
              <w:pStyle w:val="13"/>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w:t>
            </w:r>
          </w:p>
        </w:tc>
      </w:tr>
      <w:tr w14:paraId="7A70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980" w:type="dxa"/>
            <w:vMerge w:val="continue"/>
            <w:tcBorders>
              <w:top w:val="nil"/>
              <w:left w:val="nil"/>
              <w:bottom w:val="nil"/>
              <w:right w:val="nil"/>
            </w:tcBorders>
          </w:tcPr>
          <w:p w14:paraId="39FBDC2F">
            <w:pPr>
              <w:spacing w:after="0" w:line="240" w:lineRule="auto"/>
              <w:jc w:val="center"/>
              <w:rPr>
                <w:rFonts w:hint="default" w:ascii="Times New Roman" w:hAnsi="Times New Roman" w:cs="Times New Roman"/>
                <w:b/>
                <w:bCs/>
                <w:color w:val="000000" w:themeColor="text1"/>
                <w14:textFill>
                  <w14:solidFill>
                    <w14:schemeClr w14:val="tx1"/>
                  </w14:solidFill>
                </w14:textFill>
              </w:rPr>
            </w:pPr>
          </w:p>
        </w:tc>
        <w:tc>
          <w:tcPr>
            <w:tcW w:w="1440" w:type="dxa"/>
            <w:tcBorders>
              <w:top w:val="nil"/>
              <w:left w:val="nil"/>
              <w:bottom w:val="nil"/>
              <w:right w:val="nil"/>
            </w:tcBorders>
            <w:noWrap/>
          </w:tcPr>
          <w:p w14:paraId="2D74F1E0">
            <w:pPr>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31-35</w:t>
            </w:r>
          </w:p>
        </w:tc>
        <w:tc>
          <w:tcPr>
            <w:tcW w:w="1529" w:type="dxa"/>
            <w:tcBorders>
              <w:top w:val="nil"/>
              <w:left w:val="nil"/>
              <w:bottom w:val="nil"/>
              <w:right w:val="nil"/>
            </w:tcBorders>
          </w:tcPr>
          <w:p w14:paraId="36D8BA27">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w:t>
            </w:r>
          </w:p>
        </w:tc>
        <w:tc>
          <w:tcPr>
            <w:tcW w:w="1711" w:type="dxa"/>
            <w:tcBorders>
              <w:top w:val="nil"/>
              <w:left w:val="nil"/>
              <w:bottom w:val="nil"/>
              <w:right w:val="nil"/>
            </w:tcBorders>
          </w:tcPr>
          <w:p w14:paraId="37313C35">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40.0%</w:t>
            </w:r>
          </w:p>
        </w:tc>
        <w:tc>
          <w:tcPr>
            <w:tcW w:w="1843" w:type="dxa"/>
            <w:tcBorders>
              <w:top w:val="nil"/>
              <w:left w:val="nil"/>
              <w:bottom w:val="nil"/>
              <w:right w:val="nil"/>
            </w:tcBorders>
          </w:tcPr>
          <w:p w14:paraId="754B1371">
            <w:pPr>
              <w:pStyle w:val="13"/>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r>
      <w:tr w14:paraId="1D2E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980" w:type="dxa"/>
            <w:vMerge w:val="continue"/>
            <w:tcBorders>
              <w:top w:val="nil"/>
              <w:left w:val="nil"/>
              <w:bottom w:val="nil"/>
              <w:right w:val="nil"/>
            </w:tcBorders>
          </w:tcPr>
          <w:p w14:paraId="2333CF9D">
            <w:pPr>
              <w:spacing w:after="0" w:line="240" w:lineRule="auto"/>
              <w:jc w:val="center"/>
              <w:rPr>
                <w:rFonts w:hint="default" w:ascii="Times New Roman" w:hAnsi="Times New Roman" w:cs="Times New Roman"/>
                <w:b/>
                <w:bCs/>
                <w:color w:val="000000" w:themeColor="text1"/>
                <w14:textFill>
                  <w14:solidFill>
                    <w14:schemeClr w14:val="tx1"/>
                  </w14:solidFill>
                </w14:textFill>
              </w:rPr>
            </w:pPr>
          </w:p>
        </w:tc>
        <w:tc>
          <w:tcPr>
            <w:tcW w:w="1440" w:type="dxa"/>
            <w:tcBorders>
              <w:top w:val="nil"/>
              <w:left w:val="nil"/>
              <w:bottom w:val="nil"/>
              <w:right w:val="nil"/>
            </w:tcBorders>
            <w:noWrap/>
          </w:tcPr>
          <w:p w14:paraId="120014EF">
            <w:pPr>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36-40</w:t>
            </w:r>
          </w:p>
        </w:tc>
        <w:tc>
          <w:tcPr>
            <w:tcW w:w="1529" w:type="dxa"/>
            <w:tcBorders>
              <w:top w:val="nil"/>
              <w:left w:val="nil"/>
              <w:bottom w:val="nil"/>
              <w:right w:val="nil"/>
            </w:tcBorders>
          </w:tcPr>
          <w:p w14:paraId="673665AB">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1711" w:type="dxa"/>
            <w:tcBorders>
              <w:top w:val="nil"/>
              <w:left w:val="nil"/>
              <w:bottom w:val="nil"/>
              <w:right w:val="nil"/>
            </w:tcBorders>
          </w:tcPr>
          <w:p w14:paraId="6CC39152">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w:t>
            </w:r>
          </w:p>
        </w:tc>
        <w:tc>
          <w:tcPr>
            <w:tcW w:w="1843" w:type="dxa"/>
            <w:tcBorders>
              <w:top w:val="nil"/>
              <w:left w:val="nil"/>
              <w:bottom w:val="nil"/>
              <w:right w:val="nil"/>
            </w:tcBorders>
          </w:tcPr>
          <w:p w14:paraId="7D8D3B1A">
            <w:pPr>
              <w:pStyle w:val="13"/>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3.5</w:t>
            </w:r>
          </w:p>
        </w:tc>
      </w:tr>
      <w:tr w14:paraId="241C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980" w:type="dxa"/>
            <w:vMerge w:val="continue"/>
            <w:tcBorders>
              <w:top w:val="nil"/>
              <w:left w:val="nil"/>
              <w:bottom w:val="nil"/>
              <w:right w:val="nil"/>
            </w:tcBorders>
          </w:tcPr>
          <w:p w14:paraId="40908578">
            <w:pPr>
              <w:spacing w:after="0" w:line="240" w:lineRule="auto"/>
              <w:jc w:val="center"/>
              <w:rPr>
                <w:rFonts w:hint="default" w:ascii="Times New Roman" w:hAnsi="Times New Roman" w:cs="Times New Roman"/>
                <w:b/>
                <w:bCs/>
                <w:color w:val="000000" w:themeColor="text1"/>
                <w14:textFill>
                  <w14:solidFill>
                    <w14:schemeClr w14:val="tx1"/>
                  </w14:solidFill>
                </w14:textFill>
              </w:rPr>
            </w:pPr>
          </w:p>
        </w:tc>
        <w:tc>
          <w:tcPr>
            <w:tcW w:w="1440" w:type="dxa"/>
            <w:tcBorders>
              <w:top w:val="nil"/>
              <w:left w:val="nil"/>
              <w:bottom w:val="nil"/>
              <w:right w:val="nil"/>
            </w:tcBorders>
            <w:noWrap/>
          </w:tcPr>
          <w:p w14:paraId="563DC9E2">
            <w:pPr>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46-50</w:t>
            </w:r>
          </w:p>
        </w:tc>
        <w:tc>
          <w:tcPr>
            <w:tcW w:w="1529" w:type="dxa"/>
            <w:tcBorders>
              <w:top w:val="nil"/>
              <w:left w:val="nil"/>
              <w:bottom w:val="nil"/>
              <w:right w:val="nil"/>
            </w:tcBorders>
          </w:tcPr>
          <w:p w14:paraId="6258840A">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p>
        </w:tc>
        <w:tc>
          <w:tcPr>
            <w:tcW w:w="1711" w:type="dxa"/>
            <w:tcBorders>
              <w:top w:val="nil"/>
              <w:left w:val="nil"/>
              <w:bottom w:val="nil"/>
              <w:right w:val="nil"/>
            </w:tcBorders>
          </w:tcPr>
          <w:p w14:paraId="42EF710D">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w:t>
            </w:r>
          </w:p>
        </w:tc>
        <w:tc>
          <w:tcPr>
            <w:tcW w:w="1843" w:type="dxa"/>
            <w:tcBorders>
              <w:top w:val="nil"/>
              <w:left w:val="nil"/>
              <w:bottom w:val="nil"/>
              <w:right w:val="nil"/>
            </w:tcBorders>
          </w:tcPr>
          <w:p w14:paraId="15638B27">
            <w:pPr>
              <w:pStyle w:val="13"/>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3.5</w:t>
            </w:r>
          </w:p>
        </w:tc>
      </w:tr>
      <w:tr w14:paraId="0C3A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980" w:type="dxa"/>
            <w:vMerge w:val="continue"/>
            <w:tcBorders>
              <w:top w:val="nil"/>
              <w:left w:val="nil"/>
              <w:bottom w:val="single" w:color="auto" w:sz="4" w:space="0"/>
              <w:right w:val="nil"/>
            </w:tcBorders>
          </w:tcPr>
          <w:p w14:paraId="1DCB47FB">
            <w:pPr>
              <w:spacing w:after="0" w:line="240" w:lineRule="auto"/>
              <w:jc w:val="center"/>
              <w:rPr>
                <w:rFonts w:hint="default" w:ascii="Times New Roman" w:hAnsi="Times New Roman" w:cs="Times New Roman"/>
                <w:b/>
                <w:bCs/>
                <w:color w:val="000000" w:themeColor="text1"/>
                <w14:textFill>
                  <w14:solidFill>
                    <w14:schemeClr w14:val="tx1"/>
                  </w14:solidFill>
                </w14:textFill>
              </w:rPr>
            </w:pPr>
          </w:p>
        </w:tc>
        <w:tc>
          <w:tcPr>
            <w:tcW w:w="1440" w:type="dxa"/>
            <w:tcBorders>
              <w:top w:val="nil"/>
              <w:left w:val="nil"/>
              <w:bottom w:val="single" w:color="auto" w:sz="4" w:space="0"/>
              <w:right w:val="nil"/>
            </w:tcBorders>
            <w:noWrap/>
          </w:tcPr>
          <w:p w14:paraId="115C1EB7">
            <w:pPr>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51-55</w:t>
            </w:r>
          </w:p>
        </w:tc>
        <w:tc>
          <w:tcPr>
            <w:tcW w:w="1529" w:type="dxa"/>
            <w:tcBorders>
              <w:top w:val="nil"/>
              <w:left w:val="nil"/>
              <w:bottom w:val="single" w:color="auto" w:sz="4" w:space="0"/>
              <w:right w:val="nil"/>
            </w:tcBorders>
          </w:tcPr>
          <w:p w14:paraId="02CC2B12">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c>
          <w:tcPr>
            <w:tcW w:w="1711" w:type="dxa"/>
            <w:tcBorders>
              <w:top w:val="nil"/>
              <w:left w:val="nil"/>
              <w:bottom w:val="single" w:color="auto" w:sz="4" w:space="0"/>
              <w:right w:val="nil"/>
            </w:tcBorders>
          </w:tcPr>
          <w:p w14:paraId="2BC983E3">
            <w:pPr>
              <w:pStyle w:val="13"/>
              <w:spacing w:after="0" w:line="24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13.3%</w:t>
            </w:r>
          </w:p>
        </w:tc>
        <w:tc>
          <w:tcPr>
            <w:tcW w:w="1843" w:type="dxa"/>
            <w:tcBorders>
              <w:top w:val="nil"/>
              <w:left w:val="nil"/>
              <w:bottom w:val="single" w:color="auto" w:sz="4" w:space="0"/>
              <w:right w:val="nil"/>
            </w:tcBorders>
          </w:tcPr>
          <w:p w14:paraId="2C13521D">
            <w:pPr>
              <w:pStyle w:val="13"/>
              <w:spacing w:after="0" w:line="24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p>
        </w:tc>
      </w:tr>
      <w:tr w14:paraId="6A3D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80" w:type="dxa"/>
            <w:tcBorders>
              <w:left w:val="nil"/>
              <w:bottom w:val="single" w:color="auto" w:sz="4" w:space="0"/>
              <w:right w:val="nil"/>
            </w:tcBorders>
          </w:tcPr>
          <w:p w14:paraId="2AD18FA9">
            <w:pPr>
              <w:spacing w:after="0" w:line="240" w:lineRule="auto"/>
              <w:rPr>
                <w:rFonts w:hint="default" w:ascii="Times New Roman" w:hAnsi="Times New Roman" w:cs="Times New Roman"/>
                <w:b/>
                <w:bCs/>
                <w:color w:val="000000" w:themeColor="text1"/>
                <w14:textFill>
                  <w14:solidFill>
                    <w14:schemeClr w14:val="tx1"/>
                  </w14:solidFill>
                </w14:textFill>
              </w:rPr>
            </w:pPr>
          </w:p>
        </w:tc>
        <w:tc>
          <w:tcPr>
            <w:tcW w:w="1440" w:type="dxa"/>
            <w:tcBorders>
              <w:left w:val="nil"/>
              <w:bottom w:val="single" w:color="auto" w:sz="4" w:space="0"/>
              <w:right w:val="nil"/>
            </w:tcBorders>
            <w:noWrap/>
          </w:tcPr>
          <w:p w14:paraId="0FF358E5">
            <w:pPr>
              <w:spacing w:after="0" w:line="24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Total</w:t>
            </w:r>
          </w:p>
        </w:tc>
        <w:tc>
          <w:tcPr>
            <w:tcW w:w="1529" w:type="dxa"/>
            <w:tcBorders>
              <w:left w:val="nil"/>
              <w:bottom w:val="single" w:color="auto" w:sz="4" w:space="0"/>
              <w:right w:val="nil"/>
            </w:tcBorders>
          </w:tcPr>
          <w:p w14:paraId="6E8B9CE4">
            <w:pPr>
              <w:pStyle w:val="13"/>
              <w:spacing w:after="0" w:line="24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15</w:t>
            </w:r>
          </w:p>
        </w:tc>
        <w:tc>
          <w:tcPr>
            <w:tcW w:w="1711" w:type="dxa"/>
            <w:tcBorders>
              <w:left w:val="nil"/>
              <w:bottom w:val="single" w:color="auto" w:sz="4" w:space="0"/>
              <w:right w:val="nil"/>
            </w:tcBorders>
          </w:tcPr>
          <w:p w14:paraId="6BD7DE77">
            <w:pPr>
              <w:pStyle w:val="13"/>
              <w:spacing w:after="0" w:line="24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100.0%</w:t>
            </w:r>
          </w:p>
        </w:tc>
        <w:tc>
          <w:tcPr>
            <w:tcW w:w="1843" w:type="dxa"/>
            <w:tcBorders>
              <w:left w:val="nil"/>
              <w:bottom w:val="single" w:color="auto" w:sz="4" w:space="0"/>
              <w:right w:val="nil"/>
            </w:tcBorders>
          </w:tcPr>
          <w:p w14:paraId="7D9EEB46">
            <w:pPr>
              <w:pStyle w:val="13"/>
              <w:spacing w:after="0" w:line="240" w:lineRule="auto"/>
              <w:jc w:val="center"/>
              <w:rPr>
                <w:rFonts w:hint="default" w:ascii="Times New Roman" w:hAnsi="Times New Roman" w:cs="Times New Roman"/>
                <w:b/>
                <w:bCs/>
                <w:color w:val="000000" w:themeColor="text1"/>
                <w14:textFill>
                  <w14:solidFill>
                    <w14:schemeClr w14:val="tx1"/>
                  </w14:solidFill>
                </w14:textFill>
              </w:rPr>
            </w:pPr>
          </w:p>
        </w:tc>
      </w:tr>
    </w:tbl>
    <w:p w14:paraId="60E692B6">
      <w:pPr>
        <w:pStyle w:val="8"/>
        <w:keepNext w:val="0"/>
        <w:keepLines w:val="0"/>
        <w:widowControl/>
        <w:suppressLineNumbers w:val="0"/>
        <w:jc w:val="both"/>
        <w:rPr>
          <w:rFonts w:hint="default"/>
          <w:b w:val="0"/>
          <w:bCs w:val="0"/>
          <w:lang w:val="en-PH"/>
        </w:rPr>
      </w:pPr>
    </w:p>
    <w:p w14:paraId="71F2233F">
      <w:pPr>
        <w:pStyle w:val="8"/>
        <w:keepNext w:val="0"/>
        <w:keepLines w:val="0"/>
        <w:widowControl/>
        <w:suppressLineNumbers w:val="0"/>
        <w:jc w:val="both"/>
        <w:rPr>
          <w:b w:val="0"/>
          <w:bCs w:val="0"/>
        </w:rPr>
      </w:pPr>
      <w:r>
        <w:rPr>
          <w:rFonts w:hint="default"/>
          <w:b w:val="0"/>
          <w:bCs w:val="0"/>
          <w:lang w:val="en-PH"/>
        </w:rPr>
        <w:t xml:space="preserve">On the above table </w:t>
      </w:r>
      <w:r>
        <w:rPr>
          <w:b w:val="0"/>
          <w:bCs w:val="0"/>
        </w:rPr>
        <w:t xml:space="preserve"> show</w:t>
      </w:r>
      <w:r>
        <w:rPr>
          <w:rFonts w:hint="default"/>
          <w:b w:val="0"/>
          <w:bCs w:val="0"/>
          <w:lang w:val="en-PH"/>
        </w:rPr>
        <w:t>s</w:t>
      </w:r>
      <w:r>
        <w:rPr>
          <w:b w:val="0"/>
          <w:bCs w:val="0"/>
        </w:rPr>
        <w:t xml:space="preserve"> that </w:t>
      </w:r>
      <w:r>
        <w:rPr>
          <w:rStyle w:val="9"/>
          <w:b w:val="0"/>
          <w:bCs w:val="0"/>
        </w:rPr>
        <w:t>the majority of MPA graduates were married (60.0%)</w:t>
      </w:r>
      <w:r>
        <w:rPr>
          <w:b w:val="0"/>
          <w:bCs w:val="0"/>
        </w:rPr>
        <w:t>, followed by single individuals (33.3%), and a smaller proportion who were solo parents (6.7%). This suggests that most graduates are already in stable family situations, which may influence career priorities, job stability, and promotion opportunities. Similar findings have been noted in other graduate tracer studies, where marital status often correlates with higher employment stability and long-term career engagement (Teichler, 2007; Schomburg, 2010).</w:t>
      </w:r>
    </w:p>
    <w:p w14:paraId="53CBA085">
      <w:pPr>
        <w:pStyle w:val="8"/>
        <w:keepNext w:val="0"/>
        <w:keepLines w:val="0"/>
        <w:widowControl/>
        <w:suppressLineNumbers w:val="0"/>
        <w:jc w:val="both"/>
        <w:rPr>
          <w:b w:val="0"/>
          <w:bCs w:val="0"/>
        </w:rPr>
      </w:pPr>
      <w:r>
        <w:rPr>
          <w:b w:val="0"/>
          <w:bCs w:val="0"/>
        </w:rPr>
        <w:t xml:space="preserve">In terms of </w:t>
      </w:r>
      <w:r>
        <w:rPr>
          <w:rStyle w:val="9"/>
          <w:b w:val="0"/>
          <w:bCs w:val="0"/>
        </w:rPr>
        <w:t>sex distribution</w:t>
      </w:r>
      <w:r>
        <w:rPr>
          <w:b w:val="0"/>
          <w:bCs w:val="0"/>
        </w:rPr>
        <w:t xml:space="preserve">, </w:t>
      </w:r>
      <w:r>
        <w:rPr>
          <w:rStyle w:val="9"/>
          <w:b w:val="0"/>
          <w:bCs w:val="0"/>
        </w:rPr>
        <w:t>female graduates outnumbered males</w:t>
      </w:r>
      <w:r>
        <w:rPr>
          <w:b w:val="0"/>
          <w:bCs w:val="0"/>
        </w:rPr>
        <w:t xml:space="preserve"> (60.0% vs. 40.0%). This aligns with recent trends in public administration programs, where female participation is increasing, possibly due to the growing role of women in governance and leadership (United Nations, 2020).</w:t>
      </w:r>
    </w:p>
    <w:p w14:paraId="6C54586B">
      <w:pPr>
        <w:pStyle w:val="8"/>
        <w:keepNext w:val="0"/>
        <w:keepLines w:val="0"/>
        <w:widowControl/>
        <w:suppressLineNumbers w:val="0"/>
        <w:jc w:val="both"/>
        <w:rPr>
          <w:rFonts w:ascii="Century Gothic" w:hAnsi="Century Gothic" w:eastAsia="Arial" w:cs="Arial"/>
          <w:b/>
        </w:rPr>
      </w:pPr>
      <w:r>
        <w:rPr>
          <w:b w:val="0"/>
          <w:bCs w:val="0"/>
        </w:rPr>
        <w:t xml:space="preserve">Regarding </w:t>
      </w:r>
      <w:r>
        <w:rPr>
          <w:rStyle w:val="9"/>
          <w:b w:val="0"/>
          <w:bCs w:val="0"/>
        </w:rPr>
        <w:t>age</w:t>
      </w:r>
      <w:r>
        <w:rPr>
          <w:b w:val="0"/>
          <w:bCs w:val="0"/>
        </w:rPr>
        <w:t xml:space="preserve">, the largest group of graduates falls within the </w:t>
      </w:r>
      <w:r>
        <w:rPr>
          <w:rStyle w:val="9"/>
          <w:b w:val="0"/>
          <w:bCs w:val="0"/>
        </w:rPr>
        <w:t>31–35 age bracket (40.0%)</w:t>
      </w:r>
      <w:r>
        <w:rPr>
          <w:b w:val="0"/>
          <w:bCs w:val="0"/>
        </w:rPr>
        <w:t xml:space="preserve">, followed by equal proportions in the 36–40 and 46–50 age groups (20.0% each). A smaller proportion are aged 51–55 (13.3%) and 26–30 (6.7%). This indicates that most MPA graduates are in their early to mid-career stage, aligning with the program’s role in upskilling professionals for higher managerial positions. Studies have shown that mid-career professionals often pursue advanced degrees to </w:t>
      </w:r>
      <w:r>
        <w:t>improve promotion chances and salary grade (Altbach, Reisberg, &amp; Rumbley, 2009).</w:t>
      </w:r>
    </w:p>
    <w:p w14:paraId="6BA10CCF">
      <w:pPr>
        <w:jc w:val="both"/>
        <w:rPr>
          <w:rFonts w:ascii="Century Gothic" w:hAnsi="Century Gothic" w:eastAsia="Arial" w:cs="Arial"/>
          <w:b/>
        </w:rPr>
      </w:pPr>
      <w:r>
        <w:rPr>
          <w:rFonts w:ascii="Century Gothic" w:hAnsi="Century Gothic" w:eastAsia="Arial" w:cs="Arial"/>
          <w:b/>
        </w:rPr>
        <w:t>Work Experiences of the Graduates</w:t>
      </w:r>
    </w:p>
    <w:p w14:paraId="42ED5D64">
      <w:pPr>
        <w:jc w:val="both"/>
        <w:rPr>
          <w:rFonts w:ascii="Century Gothic" w:hAnsi="Century Gothic" w:eastAsia="Arial" w:cs="Arial"/>
          <w:b/>
        </w:rPr>
      </w:pPr>
    </w:p>
    <w:p w14:paraId="406178A8">
      <w:pPr>
        <w:rPr>
          <w:rFonts w:ascii="Century Gothic" w:hAnsi="Century Gothic" w:eastAsia="Arial" w:cs="Arial"/>
          <w:b/>
        </w:rPr>
      </w:pPr>
    </w:p>
    <w:p w14:paraId="5C5A92DB">
      <w:pPr>
        <w:rPr>
          <w:rFonts w:hint="default" w:ascii="Times New Roman" w:hAnsi="Times New Roman" w:eastAsia="Arial" w:cs="Times New Roman"/>
          <w:b/>
          <w:lang w:val="en-PH"/>
        </w:rPr>
      </w:pPr>
      <w:r>
        <w:rPr>
          <w:rFonts w:hint="default" w:ascii="Times New Roman" w:hAnsi="Times New Roman" w:eastAsia="Arial" w:cs="Times New Roman"/>
          <w:b/>
        </w:rPr>
        <w:t xml:space="preserve">Table </w:t>
      </w:r>
      <w:r>
        <w:rPr>
          <w:rFonts w:hint="default" w:ascii="Times New Roman" w:hAnsi="Times New Roman" w:eastAsia="Arial" w:cs="Times New Roman"/>
          <w:b/>
          <w:lang w:val="en-PH"/>
        </w:rPr>
        <w:t>2</w:t>
      </w:r>
    </w:p>
    <w:p w14:paraId="1453BDB2">
      <w:pPr>
        <w:rPr>
          <w:rFonts w:hint="default" w:ascii="Times New Roman" w:hAnsi="Times New Roman" w:eastAsia="Arial" w:cs="Times New Roman"/>
          <w:bCs/>
          <w:i/>
          <w:iCs/>
        </w:rPr>
      </w:pPr>
      <w:r>
        <w:rPr>
          <w:rFonts w:hint="default" w:ascii="Times New Roman" w:hAnsi="Times New Roman" w:eastAsia="Arial" w:cs="Times New Roman"/>
          <w:bCs/>
          <w:i/>
          <w:iCs/>
        </w:rPr>
        <w:t>Salary Grade of MPA Graduates</w:t>
      </w:r>
    </w:p>
    <w:tbl>
      <w:tblPr>
        <w:tblStyle w:val="11"/>
        <w:tblpPr w:leftFromText="180" w:rightFromText="180" w:vertAnchor="text" w:horzAnchor="margin" w:tblpY="14"/>
        <w:tblW w:w="50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2465"/>
        <w:gridCol w:w="1273"/>
        <w:gridCol w:w="1309"/>
        <w:gridCol w:w="1069"/>
      </w:tblGrid>
      <w:tr w14:paraId="0151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436" w:type="pct"/>
            <w:tcBorders>
              <w:top w:val="single" w:color="auto" w:sz="4" w:space="0"/>
              <w:left w:val="nil"/>
              <w:bottom w:val="single" w:color="auto" w:sz="4" w:space="0"/>
              <w:right w:val="nil"/>
              <w:insideV w:val="nil"/>
            </w:tcBorders>
          </w:tcPr>
          <w:p w14:paraId="1BB983BF">
            <w:pPr>
              <w:spacing w:before="0" w:after="0" w:line="240" w:lineRule="auto"/>
              <w:rPr>
                <w:rFonts w:hint="default" w:ascii="Times New Roman" w:hAnsi="Times New Roman" w:cs="Times New Roman" w:eastAsiaTheme="minorEastAsia"/>
                <w:b w:val="0"/>
                <w:bCs w:val="0"/>
                <w:color w:val="000000" w:themeColor="text1"/>
                <w:sz w:val="20"/>
                <w:szCs w:val="20"/>
                <w14:textFill>
                  <w14:solidFill>
                    <w14:schemeClr w14:val="tx1"/>
                  </w14:solidFill>
                </w14:textFill>
              </w:rPr>
            </w:pPr>
          </w:p>
        </w:tc>
        <w:tc>
          <w:tcPr>
            <w:tcW w:w="1436" w:type="pct"/>
            <w:tcBorders>
              <w:top w:val="single" w:color="auto" w:sz="4" w:space="0"/>
              <w:bottom w:val="single" w:color="auto" w:sz="4" w:space="0"/>
              <w:right w:val="nil"/>
              <w:insideV w:val="nil"/>
            </w:tcBorders>
            <w:noWrap/>
          </w:tcPr>
          <w:p w14:paraId="36FFFD0C">
            <w:pPr>
              <w:spacing w:before="0" w:after="0" w:line="240" w:lineRule="auto"/>
              <w:rPr>
                <w:rFonts w:hint="default" w:ascii="Times New Roman" w:hAnsi="Times New Roman" w:cs="Times New Roman" w:eastAsiaTheme="minorEastAsia"/>
                <w:b w:val="0"/>
                <w:bCs w:val="0"/>
                <w:color w:val="000000" w:themeColor="text1"/>
                <w:sz w:val="20"/>
                <w:szCs w:val="20"/>
                <w14:textFill>
                  <w14:solidFill>
                    <w14:schemeClr w14:val="tx1"/>
                  </w14:solidFill>
                </w14:textFill>
              </w:rPr>
            </w:pPr>
          </w:p>
        </w:tc>
        <w:tc>
          <w:tcPr>
            <w:tcW w:w="742" w:type="pct"/>
            <w:tcBorders>
              <w:top w:val="single" w:color="auto" w:sz="4" w:space="0"/>
              <w:bottom w:val="single" w:color="auto" w:sz="4" w:space="0"/>
              <w:right w:val="nil"/>
              <w:insideV w:val="nil"/>
            </w:tcBorders>
          </w:tcPr>
          <w:p w14:paraId="159B73DA">
            <w:pPr>
              <w:pStyle w:val="13"/>
              <w:spacing w:before="0" w:after="0" w:line="240" w:lineRule="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bCs/>
                <w:iCs/>
                <w:color w:val="auto"/>
                <w:sz w:val="20"/>
                <w:szCs w:val="20"/>
              </w:rPr>
              <w:t>Frequency</w:t>
            </w:r>
          </w:p>
        </w:tc>
        <w:tc>
          <w:tcPr>
            <w:tcW w:w="763" w:type="pct"/>
            <w:tcBorders>
              <w:top w:val="single" w:color="auto" w:sz="4" w:space="0"/>
              <w:bottom w:val="single" w:color="auto" w:sz="4" w:space="0"/>
              <w:right w:val="nil"/>
              <w:insideV w:val="nil"/>
            </w:tcBorders>
          </w:tcPr>
          <w:p w14:paraId="07B83868">
            <w:pPr>
              <w:pStyle w:val="13"/>
              <w:spacing w:before="0" w:after="0" w:line="240" w:lineRule="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bCs/>
                <w:iCs/>
                <w:color w:val="auto"/>
                <w:sz w:val="20"/>
                <w:szCs w:val="20"/>
              </w:rPr>
              <w:t>Percent (%)</w:t>
            </w:r>
          </w:p>
        </w:tc>
        <w:tc>
          <w:tcPr>
            <w:tcW w:w="623" w:type="pct"/>
            <w:tcBorders>
              <w:top w:val="single" w:color="auto" w:sz="4" w:space="0"/>
              <w:bottom w:val="single" w:color="auto" w:sz="4" w:space="0"/>
              <w:right w:val="nil"/>
              <w:insideV w:val="nil"/>
            </w:tcBorders>
          </w:tcPr>
          <w:p w14:paraId="4158A8D3">
            <w:pPr>
              <w:pStyle w:val="13"/>
              <w:spacing w:before="0" w:after="0" w:line="240" w:lineRule="auto"/>
              <w:jc w:val="center"/>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bCs/>
                <w:iCs/>
                <w:color w:val="auto"/>
                <w:sz w:val="20"/>
                <w:szCs w:val="20"/>
              </w:rPr>
              <w:t>Rank</w:t>
            </w:r>
          </w:p>
        </w:tc>
      </w:tr>
      <w:tr w14:paraId="1A6B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436" w:type="pct"/>
            <w:tcBorders>
              <w:top w:val="single" w:color="auto" w:sz="4" w:space="0"/>
              <w:left w:val="nil"/>
              <w:bottom w:val="nil"/>
              <w:right w:val="nil"/>
            </w:tcBorders>
          </w:tcPr>
          <w:p w14:paraId="2F7EAAA7">
            <w:pPr>
              <w:spacing w:after="0" w:line="240" w:lineRule="auto"/>
              <w:rPr>
                <w:rFonts w:hint="default" w:ascii="Times New Roman" w:hAnsi="Times New Roman" w:cs="Times New Roman" w:eastAsiaTheme="minorEastAsia"/>
                <w:b/>
                <w:bCs/>
                <w:color w:val="000000" w:themeColor="text1"/>
                <w:sz w:val="20"/>
                <w:szCs w:val="20"/>
                <w14:textFill>
                  <w14:solidFill>
                    <w14:schemeClr w14:val="tx1"/>
                  </w14:solidFill>
                </w14:textFill>
              </w:rPr>
            </w:pPr>
          </w:p>
        </w:tc>
        <w:tc>
          <w:tcPr>
            <w:tcW w:w="1436" w:type="pct"/>
            <w:tcBorders>
              <w:top w:val="single" w:color="auto" w:sz="4" w:space="0"/>
              <w:left w:val="nil"/>
              <w:bottom w:val="nil"/>
              <w:right w:val="nil"/>
            </w:tcBorders>
            <w:noWrap/>
          </w:tcPr>
          <w:p w14:paraId="2965965F">
            <w:pPr>
              <w:spacing w:after="0" w:line="240" w:lineRule="auto"/>
              <w:rPr>
                <w:rFonts w:hint="default" w:ascii="Times New Roman" w:hAnsi="Times New Roman" w:cs="Times New Roman" w:eastAsiaTheme="minorEastAsia"/>
                <w:color w:val="000000" w:themeColor="text1"/>
                <w:sz w:val="20"/>
                <w:szCs w:val="20"/>
                <w14:textFill>
                  <w14:solidFill>
                    <w14:schemeClr w14:val="tx1"/>
                  </w14:solidFill>
                </w14:textFill>
              </w:rPr>
            </w:pPr>
            <w:r>
              <w:rPr>
                <w:rFonts w:hint="default" w:ascii="Times New Roman" w:hAnsi="Times New Roman" w:cs="Times New Roman" w:eastAsiaTheme="minorEastAsia"/>
                <w:color w:val="000000" w:themeColor="text1"/>
                <w:sz w:val="20"/>
                <w:szCs w:val="20"/>
                <w14:textFill>
                  <w14:solidFill>
                    <w14:schemeClr w14:val="tx1"/>
                  </w14:solidFill>
                </w14:textFill>
              </w:rPr>
              <w:t>SG 6-10</w:t>
            </w:r>
          </w:p>
        </w:tc>
        <w:tc>
          <w:tcPr>
            <w:tcW w:w="742" w:type="pct"/>
            <w:tcBorders>
              <w:left w:val="nil"/>
              <w:bottom w:val="nil"/>
              <w:right w:val="nil"/>
            </w:tcBorders>
          </w:tcPr>
          <w:p w14:paraId="3946875A">
            <w:pPr>
              <w:pStyle w:val="13"/>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w:t>
            </w:r>
          </w:p>
        </w:tc>
        <w:tc>
          <w:tcPr>
            <w:tcW w:w="763" w:type="pct"/>
            <w:tcBorders>
              <w:left w:val="nil"/>
              <w:bottom w:val="nil"/>
              <w:right w:val="nil"/>
            </w:tcBorders>
          </w:tcPr>
          <w:p w14:paraId="61C358CE">
            <w:pPr>
              <w:pStyle w:val="13"/>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6.7%</w:t>
            </w:r>
          </w:p>
        </w:tc>
        <w:tc>
          <w:tcPr>
            <w:tcW w:w="623" w:type="pct"/>
            <w:tcBorders>
              <w:left w:val="nil"/>
              <w:bottom w:val="nil"/>
              <w:right w:val="nil"/>
            </w:tcBorders>
          </w:tcPr>
          <w:p w14:paraId="1E32B58C">
            <w:pPr>
              <w:pStyle w:val="13"/>
              <w:spacing w:after="0" w:line="240" w:lineRule="auto"/>
              <w:jc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4.5</w:t>
            </w:r>
          </w:p>
        </w:tc>
      </w:tr>
      <w:tr w14:paraId="131B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436" w:type="pct"/>
            <w:tcBorders>
              <w:top w:val="nil"/>
              <w:left w:val="nil"/>
              <w:bottom w:val="nil"/>
              <w:right w:val="nil"/>
            </w:tcBorders>
          </w:tcPr>
          <w:p w14:paraId="2A04E09A">
            <w:pPr>
              <w:spacing w:after="0" w:line="240" w:lineRule="auto"/>
              <w:rPr>
                <w:rFonts w:hint="default" w:ascii="Times New Roman" w:hAnsi="Times New Roman" w:cs="Times New Roman" w:eastAsiaTheme="minorEastAsia"/>
                <w:b/>
                <w:bCs/>
                <w:color w:val="000000" w:themeColor="text1"/>
                <w:sz w:val="20"/>
                <w:szCs w:val="20"/>
                <w14:textFill>
                  <w14:solidFill>
                    <w14:schemeClr w14:val="tx1"/>
                  </w14:solidFill>
                </w14:textFill>
              </w:rPr>
            </w:pPr>
          </w:p>
        </w:tc>
        <w:tc>
          <w:tcPr>
            <w:tcW w:w="1436" w:type="pct"/>
            <w:tcBorders>
              <w:top w:val="nil"/>
              <w:left w:val="nil"/>
              <w:bottom w:val="nil"/>
              <w:right w:val="nil"/>
            </w:tcBorders>
            <w:noWrap/>
          </w:tcPr>
          <w:p w14:paraId="18293429">
            <w:pPr>
              <w:spacing w:after="0" w:line="240" w:lineRule="auto"/>
              <w:rPr>
                <w:rFonts w:hint="default" w:ascii="Times New Roman" w:hAnsi="Times New Roman" w:cs="Times New Roman" w:eastAsiaTheme="minorEastAsia"/>
                <w:color w:val="000000" w:themeColor="text1"/>
                <w:sz w:val="20"/>
                <w:szCs w:val="20"/>
                <w14:textFill>
                  <w14:solidFill>
                    <w14:schemeClr w14:val="tx1"/>
                  </w14:solidFill>
                </w14:textFill>
              </w:rPr>
            </w:pPr>
            <w:r>
              <w:rPr>
                <w:rFonts w:hint="default" w:ascii="Times New Roman" w:hAnsi="Times New Roman" w:cs="Times New Roman" w:eastAsiaTheme="minorEastAsia"/>
                <w:color w:val="000000" w:themeColor="text1"/>
                <w:sz w:val="20"/>
                <w:szCs w:val="20"/>
                <w14:textFill>
                  <w14:solidFill>
                    <w14:schemeClr w14:val="tx1"/>
                  </w14:solidFill>
                </w14:textFill>
              </w:rPr>
              <w:t>SG 11-15</w:t>
            </w:r>
          </w:p>
        </w:tc>
        <w:tc>
          <w:tcPr>
            <w:tcW w:w="742" w:type="pct"/>
            <w:tcBorders>
              <w:top w:val="nil"/>
              <w:left w:val="nil"/>
              <w:bottom w:val="nil"/>
              <w:right w:val="nil"/>
            </w:tcBorders>
          </w:tcPr>
          <w:p w14:paraId="7FC2D5EB">
            <w:pPr>
              <w:pStyle w:val="13"/>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8</w:t>
            </w:r>
          </w:p>
        </w:tc>
        <w:tc>
          <w:tcPr>
            <w:tcW w:w="763" w:type="pct"/>
            <w:tcBorders>
              <w:top w:val="nil"/>
              <w:left w:val="nil"/>
              <w:bottom w:val="nil"/>
              <w:right w:val="nil"/>
            </w:tcBorders>
          </w:tcPr>
          <w:p w14:paraId="70958E15">
            <w:pPr>
              <w:pStyle w:val="13"/>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60.0%</w:t>
            </w:r>
          </w:p>
        </w:tc>
        <w:tc>
          <w:tcPr>
            <w:tcW w:w="623" w:type="pct"/>
            <w:tcBorders>
              <w:top w:val="nil"/>
              <w:left w:val="nil"/>
              <w:bottom w:val="nil"/>
              <w:right w:val="nil"/>
            </w:tcBorders>
          </w:tcPr>
          <w:p w14:paraId="3478A341">
            <w:pPr>
              <w:pStyle w:val="13"/>
              <w:spacing w:after="0" w:line="240" w:lineRule="auto"/>
              <w:jc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w:t>
            </w:r>
          </w:p>
        </w:tc>
      </w:tr>
      <w:tr w14:paraId="4050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36" w:type="pct"/>
            <w:tcBorders>
              <w:top w:val="nil"/>
              <w:left w:val="nil"/>
              <w:bottom w:val="nil"/>
              <w:right w:val="nil"/>
            </w:tcBorders>
          </w:tcPr>
          <w:p w14:paraId="2E027BD9">
            <w:pPr>
              <w:spacing w:after="0" w:line="240" w:lineRule="auto"/>
              <w:jc w:val="center"/>
              <w:rPr>
                <w:rFonts w:hint="default" w:ascii="Times New Roman" w:hAnsi="Times New Roman" w:cs="Times New Roman" w:eastAsiaTheme="minorEastAsia"/>
                <w:b/>
                <w:bCs/>
                <w:color w:val="000000" w:themeColor="text1"/>
                <w:sz w:val="20"/>
                <w:szCs w:val="20"/>
                <w14:textFill>
                  <w14:solidFill>
                    <w14:schemeClr w14:val="tx1"/>
                  </w14:solidFill>
                </w14:textFill>
              </w:rPr>
            </w:pPr>
            <w:r>
              <w:rPr>
                <w:rFonts w:hint="default" w:ascii="Times New Roman" w:hAnsi="Times New Roman" w:cs="Times New Roman" w:eastAsiaTheme="minorEastAsia"/>
                <w:b/>
                <w:bCs/>
                <w:color w:val="000000" w:themeColor="text1"/>
                <w:sz w:val="20"/>
                <w:szCs w:val="20"/>
                <w14:textFill>
                  <w14:solidFill>
                    <w14:schemeClr w14:val="tx1"/>
                  </w14:solidFill>
                </w14:textFill>
              </w:rPr>
              <w:t>Current Salary Grade</w:t>
            </w:r>
          </w:p>
        </w:tc>
        <w:tc>
          <w:tcPr>
            <w:tcW w:w="1436" w:type="pct"/>
            <w:tcBorders>
              <w:top w:val="nil"/>
              <w:left w:val="nil"/>
              <w:bottom w:val="nil"/>
              <w:right w:val="nil"/>
            </w:tcBorders>
            <w:noWrap/>
          </w:tcPr>
          <w:p w14:paraId="3055F625">
            <w:pPr>
              <w:spacing w:after="0" w:line="240" w:lineRule="auto"/>
              <w:rPr>
                <w:rFonts w:hint="default" w:ascii="Times New Roman" w:hAnsi="Times New Roman" w:cs="Times New Roman" w:eastAsiaTheme="minorEastAsia"/>
                <w:color w:val="000000" w:themeColor="text1"/>
                <w:sz w:val="20"/>
                <w:szCs w:val="20"/>
                <w14:textFill>
                  <w14:solidFill>
                    <w14:schemeClr w14:val="tx1"/>
                  </w14:solidFill>
                </w14:textFill>
              </w:rPr>
            </w:pPr>
            <w:r>
              <w:rPr>
                <w:rFonts w:hint="default" w:ascii="Times New Roman" w:hAnsi="Times New Roman" w:cs="Times New Roman" w:eastAsiaTheme="minorEastAsia"/>
                <w:color w:val="000000" w:themeColor="text1"/>
                <w:sz w:val="20"/>
                <w:szCs w:val="20"/>
                <w14:textFill>
                  <w14:solidFill>
                    <w14:schemeClr w14:val="tx1"/>
                  </w14:solidFill>
                </w14:textFill>
              </w:rPr>
              <w:t>SG 16-20</w:t>
            </w:r>
          </w:p>
        </w:tc>
        <w:tc>
          <w:tcPr>
            <w:tcW w:w="742" w:type="pct"/>
            <w:tcBorders>
              <w:top w:val="nil"/>
              <w:left w:val="nil"/>
              <w:bottom w:val="nil"/>
              <w:right w:val="nil"/>
            </w:tcBorders>
          </w:tcPr>
          <w:p w14:paraId="6CD0B9C3">
            <w:pPr>
              <w:pStyle w:val="13"/>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p>
        </w:tc>
        <w:tc>
          <w:tcPr>
            <w:tcW w:w="763" w:type="pct"/>
            <w:tcBorders>
              <w:top w:val="nil"/>
              <w:left w:val="nil"/>
              <w:bottom w:val="nil"/>
              <w:right w:val="nil"/>
            </w:tcBorders>
          </w:tcPr>
          <w:p w14:paraId="1E736341">
            <w:pPr>
              <w:pStyle w:val="13"/>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13.3%</w:t>
            </w:r>
          </w:p>
        </w:tc>
        <w:tc>
          <w:tcPr>
            <w:tcW w:w="623" w:type="pct"/>
            <w:tcBorders>
              <w:top w:val="nil"/>
              <w:left w:val="nil"/>
              <w:bottom w:val="nil"/>
              <w:right w:val="nil"/>
            </w:tcBorders>
          </w:tcPr>
          <w:p w14:paraId="4BB3805E">
            <w:pPr>
              <w:pStyle w:val="13"/>
              <w:spacing w:after="0" w:line="240" w:lineRule="auto"/>
              <w:jc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2.5</w:t>
            </w:r>
          </w:p>
        </w:tc>
      </w:tr>
      <w:tr w14:paraId="271D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436" w:type="pct"/>
            <w:tcBorders>
              <w:top w:val="nil"/>
              <w:left w:val="nil"/>
              <w:bottom w:val="nil"/>
              <w:right w:val="nil"/>
            </w:tcBorders>
          </w:tcPr>
          <w:p w14:paraId="66D14681">
            <w:pPr>
              <w:spacing w:after="0" w:line="240" w:lineRule="auto"/>
              <w:rPr>
                <w:rFonts w:hint="default" w:ascii="Times New Roman" w:hAnsi="Times New Roman" w:cs="Times New Roman" w:eastAsiaTheme="minorEastAsia"/>
                <w:b/>
                <w:bCs/>
                <w:color w:val="000000" w:themeColor="text1"/>
                <w:sz w:val="20"/>
                <w:szCs w:val="20"/>
                <w14:textFill>
                  <w14:solidFill>
                    <w14:schemeClr w14:val="tx1"/>
                  </w14:solidFill>
                </w14:textFill>
              </w:rPr>
            </w:pPr>
          </w:p>
        </w:tc>
        <w:tc>
          <w:tcPr>
            <w:tcW w:w="1436" w:type="pct"/>
            <w:tcBorders>
              <w:top w:val="nil"/>
              <w:left w:val="nil"/>
              <w:bottom w:val="nil"/>
              <w:right w:val="nil"/>
            </w:tcBorders>
            <w:noWrap/>
          </w:tcPr>
          <w:p w14:paraId="058ABDC0">
            <w:pPr>
              <w:spacing w:after="0" w:line="240" w:lineRule="auto"/>
              <w:rPr>
                <w:rFonts w:hint="default" w:ascii="Times New Roman" w:hAnsi="Times New Roman" w:cs="Times New Roman" w:eastAsiaTheme="minorEastAsia"/>
                <w:color w:val="000000" w:themeColor="text1"/>
                <w:sz w:val="20"/>
                <w:szCs w:val="20"/>
                <w14:textFill>
                  <w14:solidFill>
                    <w14:schemeClr w14:val="tx1"/>
                  </w14:solidFill>
                </w14:textFill>
              </w:rPr>
            </w:pPr>
            <w:r>
              <w:rPr>
                <w:rFonts w:hint="default" w:ascii="Times New Roman" w:hAnsi="Times New Roman" w:cs="Times New Roman" w:eastAsiaTheme="minorEastAsia"/>
                <w:color w:val="000000" w:themeColor="text1"/>
                <w:sz w:val="20"/>
                <w:szCs w:val="20"/>
                <w14:textFill>
                  <w14:solidFill>
                    <w14:schemeClr w14:val="tx1"/>
                  </w14:solidFill>
                </w14:textFill>
              </w:rPr>
              <w:t>SG 21-25</w:t>
            </w:r>
          </w:p>
        </w:tc>
        <w:tc>
          <w:tcPr>
            <w:tcW w:w="742" w:type="pct"/>
            <w:tcBorders>
              <w:top w:val="nil"/>
              <w:left w:val="nil"/>
              <w:bottom w:val="nil"/>
              <w:right w:val="nil"/>
            </w:tcBorders>
          </w:tcPr>
          <w:p w14:paraId="369E1E08">
            <w:pPr>
              <w:pStyle w:val="13"/>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w:t>
            </w:r>
          </w:p>
        </w:tc>
        <w:tc>
          <w:tcPr>
            <w:tcW w:w="763" w:type="pct"/>
            <w:tcBorders>
              <w:top w:val="nil"/>
              <w:left w:val="nil"/>
              <w:bottom w:val="nil"/>
              <w:right w:val="nil"/>
            </w:tcBorders>
          </w:tcPr>
          <w:p w14:paraId="6AF2E3FB">
            <w:pPr>
              <w:pStyle w:val="13"/>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13.3%</w:t>
            </w:r>
          </w:p>
        </w:tc>
        <w:tc>
          <w:tcPr>
            <w:tcW w:w="623" w:type="pct"/>
            <w:tcBorders>
              <w:top w:val="nil"/>
              <w:left w:val="nil"/>
              <w:bottom w:val="nil"/>
              <w:right w:val="nil"/>
            </w:tcBorders>
          </w:tcPr>
          <w:p w14:paraId="0321148A">
            <w:pPr>
              <w:pStyle w:val="13"/>
              <w:spacing w:after="0" w:line="240" w:lineRule="auto"/>
              <w:jc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2.5</w:t>
            </w:r>
          </w:p>
        </w:tc>
      </w:tr>
      <w:tr w14:paraId="6187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36" w:type="pct"/>
            <w:tcBorders>
              <w:top w:val="nil"/>
              <w:left w:val="nil"/>
              <w:bottom w:val="single" w:color="auto" w:sz="4" w:space="0"/>
              <w:right w:val="nil"/>
            </w:tcBorders>
          </w:tcPr>
          <w:p w14:paraId="38475942">
            <w:pPr>
              <w:spacing w:after="0" w:line="240" w:lineRule="auto"/>
              <w:jc w:val="center"/>
              <w:rPr>
                <w:rFonts w:hint="default" w:ascii="Times New Roman" w:hAnsi="Times New Roman" w:cs="Times New Roman" w:eastAsiaTheme="minorEastAsia"/>
                <w:b/>
                <w:bCs/>
                <w:color w:val="000000" w:themeColor="text1"/>
                <w:sz w:val="20"/>
                <w:szCs w:val="20"/>
                <w14:textFill>
                  <w14:solidFill>
                    <w14:schemeClr w14:val="tx1"/>
                  </w14:solidFill>
                </w14:textFill>
              </w:rPr>
            </w:pPr>
          </w:p>
        </w:tc>
        <w:tc>
          <w:tcPr>
            <w:tcW w:w="1436" w:type="pct"/>
            <w:tcBorders>
              <w:top w:val="nil"/>
              <w:left w:val="nil"/>
              <w:bottom w:val="single" w:color="auto" w:sz="4" w:space="0"/>
              <w:right w:val="nil"/>
            </w:tcBorders>
            <w:noWrap/>
          </w:tcPr>
          <w:p w14:paraId="24381AD6">
            <w:pPr>
              <w:spacing w:after="0" w:line="240" w:lineRule="auto"/>
              <w:rPr>
                <w:rFonts w:hint="default" w:ascii="Times New Roman" w:hAnsi="Times New Roman" w:cs="Times New Roman" w:eastAsiaTheme="minorEastAsia"/>
                <w:color w:val="000000" w:themeColor="text1"/>
                <w:sz w:val="20"/>
                <w:szCs w:val="20"/>
                <w14:textFill>
                  <w14:solidFill>
                    <w14:schemeClr w14:val="tx1"/>
                  </w14:solidFill>
                </w14:textFill>
              </w:rPr>
            </w:pPr>
            <w:r>
              <w:rPr>
                <w:rFonts w:hint="default" w:ascii="Times New Roman" w:hAnsi="Times New Roman" w:cs="Times New Roman" w:eastAsiaTheme="minorEastAsia"/>
                <w:color w:val="000000" w:themeColor="text1"/>
                <w:sz w:val="20"/>
                <w:szCs w:val="20"/>
                <w14:textFill>
                  <w14:solidFill>
                    <w14:schemeClr w14:val="tx1"/>
                  </w14:solidFill>
                </w14:textFill>
              </w:rPr>
              <w:t>SG 26-30</w:t>
            </w:r>
          </w:p>
        </w:tc>
        <w:tc>
          <w:tcPr>
            <w:tcW w:w="742" w:type="pct"/>
            <w:tcBorders>
              <w:top w:val="nil"/>
              <w:left w:val="nil"/>
              <w:bottom w:val="single" w:color="auto" w:sz="4" w:space="0"/>
              <w:right w:val="nil"/>
            </w:tcBorders>
          </w:tcPr>
          <w:p w14:paraId="176A3FC3">
            <w:pPr>
              <w:pStyle w:val="13"/>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w:t>
            </w:r>
          </w:p>
        </w:tc>
        <w:tc>
          <w:tcPr>
            <w:tcW w:w="763" w:type="pct"/>
            <w:tcBorders>
              <w:top w:val="nil"/>
              <w:left w:val="nil"/>
              <w:bottom w:val="single" w:color="auto" w:sz="4" w:space="0"/>
              <w:right w:val="nil"/>
            </w:tcBorders>
          </w:tcPr>
          <w:p w14:paraId="621CE245">
            <w:pPr>
              <w:pStyle w:val="13"/>
              <w:spacing w:after="0" w:line="240" w:lineRule="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6.7%</w:t>
            </w:r>
          </w:p>
        </w:tc>
        <w:tc>
          <w:tcPr>
            <w:tcW w:w="623" w:type="pct"/>
            <w:tcBorders>
              <w:top w:val="nil"/>
              <w:left w:val="nil"/>
              <w:bottom w:val="single" w:color="auto" w:sz="4" w:space="0"/>
              <w:right w:val="nil"/>
            </w:tcBorders>
          </w:tcPr>
          <w:p w14:paraId="09216762">
            <w:pPr>
              <w:pStyle w:val="13"/>
              <w:spacing w:after="0" w:line="240" w:lineRule="auto"/>
              <w:jc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4.5</w:t>
            </w:r>
          </w:p>
        </w:tc>
      </w:tr>
      <w:tr w14:paraId="670D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436" w:type="pct"/>
            <w:tcBorders>
              <w:top w:val="single" w:color="auto" w:sz="4" w:space="0"/>
              <w:left w:val="nil"/>
              <w:bottom w:val="single" w:color="auto" w:sz="4" w:space="0"/>
              <w:right w:val="nil"/>
              <w:insideV w:val="nil"/>
            </w:tcBorders>
          </w:tcPr>
          <w:p w14:paraId="30E2D37C">
            <w:pPr>
              <w:spacing w:before="0" w:after="0" w:line="240" w:lineRule="auto"/>
              <w:rPr>
                <w:rFonts w:hint="default" w:ascii="Times New Roman" w:hAnsi="Times New Roman" w:cs="Times New Roman" w:eastAsiaTheme="minorEastAsia"/>
                <w:b w:val="0"/>
                <w:bCs w:val="0"/>
                <w:color w:val="000000" w:themeColor="text1"/>
                <w:sz w:val="20"/>
                <w:szCs w:val="20"/>
                <w14:textFill>
                  <w14:solidFill>
                    <w14:schemeClr w14:val="tx1"/>
                  </w14:solidFill>
                </w14:textFill>
              </w:rPr>
            </w:pPr>
          </w:p>
        </w:tc>
        <w:tc>
          <w:tcPr>
            <w:tcW w:w="1436" w:type="pct"/>
            <w:tcBorders>
              <w:top w:val="single" w:color="auto" w:sz="4" w:space="0"/>
              <w:bottom w:val="single" w:color="auto" w:sz="4" w:space="0"/>
              <w:right w:val="nil"/>
              <w:insideV w:val="nil"/>
            </w:tcBorders>
            <w:noWrap/>
          </w:tcPr>
          <w:p w14:paraId="08D7FF30">
            <w:pPr>
              <w:spacing w:before="0" w:after="0" w:line="240" w:lineRule="auto"/>
              <w:rPr>
                <w:rFonts w:hint="default" w:ascii="Times New Roman" w:hAnsi="Times New Roman" w:cs="Times New Roman" w:eastAsiaTheme="minorEastAsia"/>
                <w:b w:val="0"/>
                <w:bCs w:val="0"/>
                <w:color w:val="000000" w:themeColor="text1"/>
                <w:sz w:val="20"/>
                <w:szCs w:val="20"/>
                <w14:textFill>
                  <w14:solidFill>
                    <w14:schemeClr w14:val="tx1"/>
                  </w14:solidFill>
                </w14:textFill>
              </w:rPr>
            </w:pPr>
            <w:r>
              <w:rPr>
                <w:rFonts w:hint="default" w:ascii="Times New Roman" w:hAnsi="Times New Roman" w:cs="Times New Roman" w:eastAsiaTheme="minorEastAsia"/>
                <w:b/>
                <w:bCs/>
                <w:color w:val="000000" w:themeColor="text1"/>
                <w:sz w:val="20"/>
                <w:szCs w:val="20"/>
                <w14:textFill>
                  <w14:solidFill>
                    <w14:schemeClr w14:val="tx1"/>
                  </w14:solidFill>
                </w14:textFill>
              </w:rPr>
              <w:t>Total</w:t>
            </w:r>
          </w:p>
        </w:tc>
        <w:tc>
          <w:tcPr>
            <w:tcW w:w="742" w:type="pct"/>
            <w:tcBorders>
              <w:top w:val="single" w:color="auto" w:sz="4" w:space="0"/>
              <w:bottom w:val="single" w:color="auto" w:sz="4" w:space="0"/>
              <w:right w:val="nil"/>
              <w:insideV w:val="nil"/>
            </w:tcBorders>
          </w:tcPr>
          <w:p w14:paraId="61657E52">
            <w:pPr>
              <w:pStyle w:val="13"/>
              <w:spacing w:before="0" w:after="0" w:line="240" w:lineRule="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15</w:t>
            </w:r>
          </w:p>
        </w:tc>
        <w:tc>
          <w:tcPr>
            <w:tcW w:w="763" w:type="pct"/>
            <w:tcBorders>
              <w:top w:val="single" w:color="auto" w:sz="4" w:space="0"/>
              <w:bottom w:val="single" w:color="auto" w:sz="4" w:space="0"/>
              <w:right w:val="nil"/>
              <w:insideV w:val="nil"/>
            </w:tcBorders>
          </w:tcPr>
          <w:p w14:paraId="0DABFE3D">
            <w:pPr>
              <w:pStyle w:val="13"/>
              <w:spacing w:before="0" w:after="0" w:line="240" w:lineRule="auto"/>
              <w:rPr>
                <w:rFonts w:hint="default" w:ascii="Times New Roman" w:hAnsi="Times New Roman" w:cs="Times New Roman"/>
                <w:b w:val="0"/>
                <w:bCs w:val="0"/>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100.0%</w:t>
            </w:r>
          </w:p>
        </w:tc>
        <w:tc>
          <w:tcPr>
            <w:tcW w:w="623" w:type="pct"/>
            <w:tcBorders>
              <w:top w:val="single" w:color="auto" w:sz="4" w:space="0"/>
              <w:bottom w:val="single" w:color="auto" w:sz="4" w:space="0"/>
              <w:right w:val="nil"/>
              <w:insideV w:val="nil"/>
            </w:tcBorders>
          </w:tcPr>
          <w:p w14:paraId="1A451399">
            <w:pPr>
              <w:pStyle w:val="13"/>
              <w:spacing w:before="0" w:after="0" w:line="240" w:lineRule="auto"/>
              <w:jc w:val="center"/>
              <w:rPr>
                <w:rFonts w:hint="default" w:ascii="Times New Roman" w:hAnsi="Times New Roman" w:cs="Times New Roman"/>
                <w:b w:val="0"/>
                <w:bCs w:val="0"/>
                <w:color w:val="000000" w:themeColor="text1"/>
                <w:sz w:val="20"/>
                <w:szCs w:val="20"/>
                <w14:textFill>
                  <w14:solidFill>
                    <w14:schemeClr w14:val="tx1"/>
                  </w14:solidFill>
                </w14:textFill>
              </w:rPr>
            </w:pPr>
          </w:p>
        </w:tc>
      </w:tr>
    </w:tbl>
    <w:p w14:paraId="7B057D47">
      <w:pPr>
        <w:pStyle w:val="8"/>
        <w:keepNext w:val="0"/>
        <w:keepLines w:val="0"/>
        <w:widowControl/>
        <w:suppressLineNumbers w:val="0"/>
        <w:jc w:val="both"/>
      </w:pPr>
    </w:p>
    <w:p w14:paraId="114797BD">
      <w:pPr>
        <w:pStyle w:val="8"/>
        <w:keepNext w:val="0"/>
        <w:keepLines w:val="0"/>
        <w:widowControl/>
        <w:suppressLineNumbers w:val="0"/>
        <w:jc w:val="both"/>
        <w:rPr>
          <w:b w:val="0"/>
          <w:bCs w:val="0"/>
        </w:rPr>
      </w:pPr>
      <w:r>
        <w:rPr>
          <w:rFonts w:hint="default"/>
          <w:b w:val="0"/>
          <w:bCs w:val="0"/>
          <w:lang w:val="en-PH"/>
        </w:rPr>
        <w:t xml:space="preserve">Table 2 </w:t>
      </w:r>
      <w:r>
        <w:rPr>
          <w:b w:val="0"/>
          <w:bCs w:val="0"/>
        </w:rPr>
        <w:t>reveal</w:t>
      </w:r>
      <w:r>
        <w:rPr>
          <w:rFonts w:hint="default"/>
          <w:b w:val="0"/>
          <w:bCs w:val="0"/>
          <w:lang w:val="en-PH"/>
        </w:rPr>
        <w:t>s</w:t>
      </w:r>
      <w:r>
        <w:rPr>
          <w:b w:val="0"/>
          <w:bCs w:val="0"/>
        </w:rPr>
        <w:t xml:space="preserve"> that a majority of MPA graduates (</w:t>
      </w:r>
      <w:r>
        <w:rPr>
          <w:rStyle w:val="9"/>
          <w:b w:val="0"/>
          <w:bCs w:val="0"/>
        </w:rPr>
        <w:t>60.0%</w:t>
      </w:r>
      <w:r>
        <w:rPr>
          <w:b w:val="0"/>
          <w:bCs w:val="0"/>
        </w:rPr>
        <w:t xml:space="preserve">) are in the </w:t>
      </w:r>
      <w:r>
        <w:rPr>
          <w:rStyle w:val="9"/>
          <w:b w:val="0"/>
          <w:bCs w:val="0"/>
        </w:rPr>
        <w:t>Salary Grade (SG) 11–15</w:t>
      </w:r>
      <w:r>
        <w:rPr>
          <w:b w:val="0"/>
          <w:bCs w:val="0"/>
        </w:rPr>
        <w:t xml:space="preserve"> range, which in the Philippine government pay scale generally corresponds to </w:t>
      </w:r>
      <w:r>
        <w:rPr>
          <w:rStyle w:val="9"/>
          <w:b w:val="0"/>
          <w:bCs w:val="0"/>
        </w:rPr>
        <w:t>mid-level professional positions</w:t>
      </w:r>
      <w:r>
        <w:rPr>
          <w:b w:val="0"/>
          <w:bCs w:val="0"/>
        </w:rPr>
        <w:t xml:space="preserve"> such as administrative officers, planning officers, and technical staff. This indicates that most graduates are occupying roles that require specialized knowledge but may still have room for upward mobility.</w:t>
      </w:r>
    </w:p>
    <w:p w14:paraId="7F49CF7C">
      <w:pPr>
        <w:pStyle w:val="8"/>
        <w:keepNext w:val="0"/>
        <w:keepLines w:val="0"/>
        <w:widowControl/>
        <w:suppressLineNumbers w:val="0"/>
        <w:jc w:val="both"/>
        <w:rPr>
          <w:b w:val="0"/>
          <w:bCs w:val="0"/>
        </w:rPr>
      </w:pPr>
      <w:r>
        <w:rPr>
          <w:b w:val="0"/>
          <w:bCs w:val="0"/>
        </w:rPr>
        <w:t xml:space="preserve">A smaller proportion (13.3% each) fall into </w:t>
      </w:r>
      <w:r>
        <w:rPr>
          <w:rStyle w:val="9"/>
          <w:b w:val="0"/>
          <w:bCs w:val="0"/>
        </w:rPr>
        <w:t>SG 16–20</w:t>
      </w:r>
      <w:r>
        <w:rPr>
          <w:b w:val="0"/>
          <w:bCs w:val="0"/>
        </w:rPr>
        <w:t xml:space="preserve"> and </w:t>
      </w:r>
      <w:r>
        <w:rPr>
          <w:rStyle w:val="9"/>
          <w:b w:val="0"/>
          <w:bCs w:val="0"/>
        </w:rPr>
        <w:t>SG 21–25</w:t>
      </w:r>
      <w:r>
        <w:rPr>
          <w:b w:val="0"/>
          <w:bCs w:val="0"/>
        </w:rPr>
        <w:t>, representing higher-ranking supervisory and managerial positions. These positions typically involve greater responsibilities, policy-making roles, and leadership functions. The presence of graduates in these higher salary grades suggests that the MPA program has contributed to their professional advancement, as graduate education is often linked to promotion eligibility in public service (Commission on Higher Education [CHED], 2017).</w:t>
      </w:r>
    </w:p>
    <w:p w14:paraId="7700A0E0">
      <w:pPr>
        <w:pStyle w:val="8"/>
        <w:keepNext w:val="0"/>
        <w:keepLines w:val="0"/>
        <w:widowControl/>
        <w:suppressLineNumbers w:val="0"/>
        <w:jc w:val="both"/>
        <w:rPr>
          <w:b w:val="0"/>
          <w:bCs w:val="0"/>
        </w:rPr>
      </w:pPr>
      <w:r>
        <w:rPr>
          <w:b w:val="0"/>
          <w:bCs w:val="0"/>
        </w:rPr>
        <w:t xml:space="preserve">The least represented salary grades are </w:t>
      </w:r>
      <w:r>
        <w:rPr>
          <w:rStyle w:val="9"/>
          <w:b w:val="0"/>
          <w:bCs w:val="0"/>
        </w:rPr>
        <w:t>SG 6–10</w:t>
      </w:r>
      <w:r>
        <w:rPr>
          <w:b w:val="0"/>
          <w:bCs w:val="0"/>
        </w:rPr>
        <w:t xml:space="preserve"> and </w:t>
      </w:r>
      <w:r>
        <w:rPr>
          <w:rStyle w:val="9"/>
          <w:b w:val="0"/>
          <w:bCs w:val="0"/>
        </w:rPr>
        <w:t>SG 26–30</w:t>
      </w:r>
      <w:r>
        <w:rPr>
          <w:b w:val="0"/>
          <w:bCs w:val="0"/>
        </w:rPr>
        <w:t xml:space="preserve"> (both 6.7%). The former may represent entry-level positions for recent graduates or those shifting careers into public administration, while the latter corresponds to top-level managerial or executive positions. The small number of graduates at the highest salary bracket may indicate that while the MPA provides career advancement opportunities, reaching executive-level roles typically requires additional years of experience, political appointment, or competitive selection (Civil Service Commission [CSC], 2023).</w:t>
      </w:r>
    </w:p>
    <w:p w14:paraId="6F0E5DE4">
      <w:pPr>
        <w:pStyle w:val="8"/>
        <w:keepNext w:val="0"/>
        <w:keepLines w:val="0"/>
        <w:widowControl/>
        <w:suppressLineNumbers w:val="0"/>
        <w:jc w:val="both"/>
        <w:rPr>
          <w:rFonts w:hint="default" w:ascii="Times New Roman" w:hAnsi="Times New Roman" w:eastAsia="Arial" w:cs="Times New Roman"/>
          <w:b/>
          <w:bCs w:val="0"/>
          <w:i/>
          <w:iCs/>
        </w:rPr>
      </w:pPr>
      <w:r>
        <w:rPr>
          <w:b w:val="0"/>
          <w:bCs w:val="0"/>
        </w:rPr>
        <w:t>These findings align with prior tracer studies in the public sector, which show that postgraduate degrees positively influence salary progression, but the extent of advancement is also shaped by tenure, performance, and institutional opportunities (Schomburg, 2010; Teichler, 2007)</w:t>
      </w:r>
    </w:p>
    <w:p w14:paraId="3F17BE71">
      <w:pPr>
        <w:pStyle w:val="14"/>
        <w:spacing w:line="276" w:lineRule="auto"/>
        <w:jc w:val="both"/>
        <w:rPr>
          <w:rFonts w:hint="default" w:ascii="Times New Roman" w:hAnsi="Times New Roman" w:eastAsia="Arial" w:cs="Times New Roman"/>
          <w:b/>
          <w:bCs w:val="0"/>
          <w:i/>
          <w:iCs/>
        </w:rPr>
      </w:pPr>
      <w:r>
        <w:rPr>
          <w:rFonts w:hint="default" w:ascii="Times New Roman" w:hAnsi="Times New Roman" w:eastAsia="Arial" w:cs="Times New Roman"/>
          <w:b/>
          <w:bCs w:val="0"/>
          <w:i/>
          <w:iCs/>
        </w:rPr>
        <w:t>Promotion of MPA Graduates</w:t>
      </w:r>
    </w:p>
    <w:p w14:paraId="23E5F348">
      <w:pPr>
        <w:pStyle w:val="14"/>
        <w:spacing w:line="276" w:lineRule="auto"/>
        <w:jc w:val="both"/>
        <w:rPr>
          <w:rFonts w:hint="default" w:ascii="Times New Roman" w:hAnsi="Times New Roman" w:eastAsia="Arial" w:cs="Times New Roman"/>
          <w:b/>
          <w:bCs w:val="0"/>
          <w:i/>
          <w:iCs/>
          <w:lang w:val="en-PH"/>
        </w:rPr>
      </w:pPr>
      <w:r>
        <w:rPr>
          <w:rFonts w:hint="default" w:ascii="Times New Roman" w:hAnsi="Times New Roman" w:eastAsia="Arial" w:cs="Times New Roman"/>
          <w:b/>
          <w:bCs w:val="0"/>
          <w:i/>
          <w:iCs/>
          <w:lang w:val="en-PH"/>
        </w:rPr>
        <w:t>Table 3</w:t>
      </w:r>
    </w:p>
    <w:p w14:paraId="14228407">
      <w:pPr>
        <w:spacing w:after="0"/>
        <w:jc w:val="both"/>
        <w:rPr>
          <w:rFonts w:hint="default" w:ascii="Times New Roman" w:hAnsi="Times New Roman" w:eastAsia="Arial" w:cs="Times New Roman"/>
          <w:b/>
        </w:rPr>
      </w:pPr>
    </w:p>
    <w:tbl>
      <w:tblPr>
        <w:tblStyle w:val="10"/>
        <w:tblpPr w:leftFromText="180" w:rightFromText="180" w:vertAnchor="text" w:horzAnchor="margin" w:tblpY="65"/>
        <w:tblW w:w="8614" w:type="dxa"/>
        <w:tblInd w:w="0" w:type="dxa"/>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95"/>
        <w:gridCol w:w="3012"/>
        <w:gridCol w:w="2007"/>
      </w:tblGrid>
      <w:tr w14:paraId="0EEEBC25">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2" w:hRule="atLeast"/>
        </w:trPr>
        <w:tc>
          <w:tcPr>
            <w:tcW w:w="3595" w:type="dxa"/>
            <w:tcBorders>
              <w:bottom w:val="single" w:color="000000" w:themeColor="text1" w:sz="4" w:space="0"/>
              <w:right w:val="nil"/>
            </w:tcBorders>
          </w:tcPr>
          <w:p w14:paraId="176534A7">
            <w:pPr>
              <w:pStyle w:val="14"/>
              <w:spacing w:line="276" w:lineRule="auto"/>
              <w:jc w:val="center"/>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From</w:t>
            </w:r>
          </w:p>
        </w:tc>
        <w:tc>
          <w:tcPr>
            <w:tcW w:w="3012" w:type="dxa"/>
            <w:tcBorders>
              <w:left w:val="nil"/>
              <w:bottom w:val="single" w:color="000000" w:themeColor="text1" w:sz="4" w:space="0"/>
              <w:right w:val="nil"/>
            </w:tcBorders>
          </w:tcPr>
          <w:p w14:paraId="20A19933">
            <w:pPr>
              <w:pStyle w:val="14"/>
              <w:spacing w:line="276" w:lineRule="auto"/>
              <w:jc w:val="center"/>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To</w:t>
            </w:r>
          </w:p>
        </w:tc>
        <w:tc>
          <w:tcPr>
            <w:tcW w:w="2007" w:type="dxa"/>
            <w:tcBorders>
              <w:left w:val="nil"/>
              <w:bottom w:val="single" w:color="000000" w:themeColor="text1" w:sz="4" w:space="0"/>
            </w:tcBorders>
          </w:tcPr>
          <w:p w14:paraId="727F0BA5">
            <w:pPr>
              <w:pStyle w:val="14"/>
              <w:spacing w:line="276" w:lineRule="auto"/>
              <w:jc w:val="center"/>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Number of Promoted (Recipient)</w:t>
            </w:r>
          </w:p>
        </w:tc>
      </w:tr>
      <w:tr w14:paraId="194B0F9D">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3595" w:type="dxa"/>
            <w:tcBorders>
              <w:bottom w:val="nil"/>
              <w:right w:val="nil"/>
            </w:tcBorders>
          </w:tcPr>
          <w:p w14:paraId="77B48D03">
            <w:pPr>
              <w:pStyle w:val="14"/>
              <w:tabs>
                <w:tab w:val="right" w:pos="3388"/>
              </w:tabs>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JO Staff</w:t>
            </w:r>
          </w:p>
        </w:tc>
        <w:tc>
          <w:tcPr>
            <w:tcW w:w="3012" w:type="dxa"/>
            <w:tcBorders>
              <w:left w:val="nil"/>
              <w:bottom w:val="nil"/>
              <w:right w:val="nil"/>
            </w:tcBorders>
          </w:tcPr>
          <w:p w14:paraId="6492A76B">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Instructor 1</w:t>
            </w:r>
          </w:p>
        </w:tc>
        <w:tc>
          <w:tcPr>
            <w:tcW w:w="2007" w:type="dxa"/>
            <w:tcBorders>
              <w:left w:val="nil"/>
              <w:bottom w:val="nil"/>
            </w:tcBorders>
          </w:tcPr>
          <w:p w14:paraId="692DB379">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41A18758">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6" w:hRule="atLeast"/>
        </w:trPr>
        <w:tc>
          <w:tcPr>
            <w:tcW w:w="3595" w:type="dxa"/>
            <w:tcBorders>
              <w:top w:val="nil"/>
              <w:bottom w:val="nil"/>
              <w:right w:val="nil"/>
            </w:tcBorders>
          </w:tcPr>
          <w:p w14:paraId="6FA2A7AA">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Local Legislative Staff Officer V</w:t>
            </w:r>
          </w:p>
        </w:tc>
        <w:tc>
          <w:tcPr>
            <w:tcW w:w="3012" w:type="dxa"/>
            <w:tcBorders>
              <w:top w:val="nil"/>
              <w:left w:val="nil"/>
              <w:bottom w:val="nil"/>
              <w:right w:val="nil"/>
            </w:tcBorders>
          </w:tcPr>
          <w:p w14:paraId="4E071659">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Assistant Secretary</w:t>
            </w:r>
          </w:p>
        </w:tc>
        <w:tc>
          <w:tcPr>
            <w:tcW w:w="2007" w:type="dxa"/>
            <w:tcBorders>
              <w:top w:val="nil"/>
              <w:left w:val="nil"/>
              <w:bottom w:val="nil"/>
            </w:tcBorders>
          </w:tcPr>
          <w:p w14:paraId="00F13C43">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7BA54F4A">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3595" w:type="dxa"/>
            <w:tcBorders>
              <w:top w:val="nil"/>
              <w:bottom w:val="nil"/>
              <w:right w:val="nil"/>
            </w:tcBorders>
          </w:tcPr>
          <w:p w14:paraId="6CD20CDD">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Senior Bookkeeper</w:t>
            </w:r>
          </w:p>
        </w:tc>
        <w:tc>
          <w:tcPr>
            <w:tcW w:w="3012" w:type="dxa"/>
            <w:tcBorders>
              <w:top w:val="nil"/>
              <w:left w:val="nil"/>
              <w:bottom w:val="nil"/>
              <w:right w:val="nil"/>
            </w:tcBorders>
          </w:tcPr>
          <w:p w14:paraId="5144740B">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Local Legislative Staff Officer V</w:t>
            </w:r>
          </w:p>
        </w:tc>
        <w:tc>
          <w:tcPr>
            <w:tcW w:w="2007" w:type="dxa"/>
            <w:tcBorders>
              <w:top w:val="nil"/>
              <w:left w:val="nil"/>
              <w:bottom w:val="nil"/>
            </w:tcBorders>
          </w:tcPr>
          <w:p w14:paraId="4A24AA47">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5BADADF7">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 w:hRule="atLeast"/>
        </w:trPr>
        <w:tc>
          <w:tcPr>
            <w:tcW w:w="3595" w:type="dxa"/>
            <w:tcBorders>
              <w:top w:val="nil"/>
              <w:bottom w:val="nil"/>
              <w:right w:val="nil"/>
            </w:tcBorders>
          </w:tcPr>
          <w:p w14:paraId="0FDFC07F">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 xml:space="preserve">AO V </w:t>
            </w:r>
          </w:p>
        </w:tc>
        <w:tc>
          <w:tcPr>
            <w:tcW w:w="3012" w:type="dxa"/>
            <w:tcBorders>
              <w:top w:val="nil"/>
              <w:left w:val="nil"/>
              <w:bottom w:val="nil"/>
              <w:right w:val="nil"/>
            </w:tcBorders>
          </w:tcPr>
          <w:p w14:paraId="15E8904C">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SAO</w:t>
            </w:r>
          </w:p>
        </w:tc>
        <w:tc>
          <w:tcPr>
            <w:tcW w:w="2007" w:type="dxa"/>
            <w:tcBorders>
              <w:top w:val="nil"/>
              <w:left w:val="nil"/>
              <w:bottom w:val="nil"/>
            </w:tcBorders>
          </w:tcPr>
          <w:p w14:paraId="15F46404">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3AE6D535">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6" w:hRule="atLeast"/>
        </w:trPr>
        <w:tc>
          <w:tcPr>
            <w:tcW w:w="3595" w:type="dxa"/>
            <w:tcBorders>
              <w:top w:val="nil"/>
              <w:bottom w:val="nil"/>
              <w:right w:val="nil"/>
            </w:tcBorders>
          </w:tcPr>
          <w:p w14:paraId="30F7C5A2">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Admin Aide III</w:t>
            </w:r>
          </w:p>
        </w:tc>
        <w:tc>
          <w:tcPr>
            <w:tcW w:w="3012" w:type="dxa"/>
            <w:tcBorders>
              <w:top w:val="nil"/>
              <w:left w:val="nil"/>
              <w:bottom w:val="nil"/>
              <w:right w:val="nil"/>
            </w:tcBorders>
          </w:tcPr>
          <w:p w14:paraId="2C6596B8">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Instructor 1</w:t>
            </w:r>
          </w:p>
        </w:tc>
        <w:tc>
          <w:tcPr>
            <w:tcW w:w="2007" w:type="dxa"/>
            <w:tcBorders>
              <w:top w:val="nil"/>
              <w:left w:val="nil"/>
              <w:bottom w:val="nil"/>
            </w:tcBorders>
          </w:tcPr>
          <w:p w14:paraId="5053D387">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69E7FAED">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0" w:hRule="atLeast"/>
        </w:trPr>
        <w:tc>
          <w:tcPr>
            <w:tcW w:w="3595" w:type="dxa"/>
            <w:tcBorders>
              <w:top w:val="nil"/>
              <w:bottom w:val="nil"/>
              <w:right w:val="nil"/>
            </w:tcBorders>
          </w:tcPr>
          <w:p w14:paraId="448E3310">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Customer Service Assistant C</w:t>
            </w:r>
          </w:p>
        </w:tc>
        <w:tc>
          <w:tcPr>
            <w:tcW w:w="3012" w:type="dxa"/>
            <w:tcBorders>
              <w:top w:val="nil"/>
              <w:left w:val="nil"/>
              <w:bottom w:val="nil"/>
              <w:right w:val="nil"/>
            </w:tcBorders>
          </w:tcPr>
          <w:p w14:paraId="1E49BA5E">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PDO II</w:t>
            </w:r>
          </w:p>
        </w:tc>
        <w:tc>
          <w:tcPr>
            <w:tcW w:w="2007" w:type="dxa"/>
            <w:tcBorders>
              <w:top w:val="nil"/>
              <w:left w:val="nil"/>
              <w:bottom w:val="nil"/>
            </w:tcBorders>
          </w:tcPr>
          <w:p w14:paraId="0D7F5B8D">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01E7053A">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tc>
          <w:tcPr>
            <w:tcW w:w="3595" w:type="dxa"/>
            <w:tcBorders>
              <w:top w:val="nil"/>
              <w:bottom w:val="nil"/>
              <w:right w:val="nil"/>
            </w:tcBorders>
          </w:tcPr>
          <w:p w14:paraId="0392339D">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 xml:space="preserve">Planning Officer </w:t>
            </w:r>
          </w:p>
        </w:tc>
        <w:tc>
          <w:tcPr>
            <w:tcW w:w="3012" w:type="dxa"/>
            <w:tcBorders>
              <w:top w:val="nil"/>
              <w:left w:val="nil"/>
              <w:bottom w:val="nil"/>
              <w:right w:val="nil"/>
            </w:tcBorders>
          </w:tcPr>
          <w:p w14:paraId="1AD2B586">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Project Development III</w:t>
            </w:r>
          </w:p>
        </w:tc>
        <w:tc>
          <w:tcPr>
            <w:tcW w:w="2007" w:type="dxa"/>
            <w:tcBorders>
              <w:top w:val="nil"/>
              <w:left w:val="nil"/>
              <w:bottom w:val="nil"/>
            </w:tcBorders>
          </w:tcPr>
          <w:p w14:paraId="208AA4F5">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0B2BBDA0">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6" w:hRule="atLeast"/>
        </w:trPr>
        <w:tc>
          <w:tcPr>
            <w:tcW w:w="3595" w:type="dxa"/>
            <w:tcBorders>
              <w:top w:val="nil"/>
              <w:bottom w:val="nil"/>
              <w:right w:val="nil"/>
            </w:tcBorders>
          </w:tcPr>
          <w:p w14:paraId="16C03AB8">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Police Staff Sergeant</w:t>
            </w:r>
          </w:p>
        </w:tc>
        <w:tc>
          <w:tcPr>
            <w:tcW w:w="3012" w:type="dxa"/>
            <w:tcBorders>
              <w:top w:val="nil"/>
              <w:left w:val="nil"/>
              <w:bottom w:val="nil"/>
              <w:right w:val="nil"/>
            </w:tcBorders>
          </w:tcPr>
          <w:p w14:paraId="6799649C">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Police Master Sergeant</w:t>
            </w:r>
          </w:p>
        </w:tc>
        <w:tc>
          <w:tcPr>
            <w:tcW w:w="2007" w:type="dxa"/>
            <w:tcBorders>
              <w:top w:val="nil"/>
              <w:left w:val="nil"/>
              <w:bottom w:val="nil"/>
            </w:tcBorders>
          </w:tcPr>
          <w:p w14:paraId="02B59542">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78BF2927">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 w:hRule="atLeast"/>
        </w:trPr>
        <w:tc>
          <w:tcPr>
            <w:tcW w:w="3595" w:type="dxa"/>
            <w:tcBorders>
              <w:top w:val="nil"/>
              <w:bottom w:val="nil"/>
              <w:right w:val="nil"/>
            </w:tcBorders>
          </w:tcPr>
          <w:p w14:paraId="281662E5">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Acting Regional Director</w:t>
            </w:r>
          </w:p>
        </w:tc>
        <w:tc>
          <w:tcPr>
            <w:tcW w:w="3012" w:type="dxa"/>
            <w:tcBorders>
              <w:top w:val="nil"/>
              <w:left w:val="nil"/>
              <w:bottom w:val="nil"/>
              <w:right w:val="nil"/>
            </w:tcBorders>
          </w:tcPr>
          <w:p w14:paraId="7DDCA566">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Regional Director</w:t>
            </w:r>
          </w:p>
        </w:tc>
        <w:tc>
          <w:tcPr>
            <w:tcW w:w="2007" w:type="dxa"/>
            <w:tcBorders>
              <w:top w:val="nil"/>
              <w:left w:val="nil"/>
              <w:bottom w:val="nil"/>
            </w:tcBorders>
          </w:tcPr>
          <w:p w14:paraId="14C2302F">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6F944C06">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trPr>
        <w:tc>
          <w:tcPr>
            <w:tcW w:w="3595" w:type="dxa"/>
            <w:tcBorders>
              <w:top w:val="nil"/>
              <w:bottom w:val="nil"/>
              <w:right w:val="nil"/>
            </w:tcBorders>
          </w:tcPr>
          <w:p w14:paraId="589AB234">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 xml:space="preserve">Staff </w:t>
            </w:r>
          </w:p>
        </w:tc>
        <w:tc>
          <w:tcPr>
            <w:tcW w:w="3012" w:type="dxa"/>
            <w:tcBorders>
              <w:top w:val="nil"/>
              <w:left w:val="nil"/>
              <w:bottom w:val="nil"/>
              <w:right w:val="nil"/>
            </w:tcBorders>
          </w:tcPr>
          <w:p w14:paraId="41B36A9A">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Instructor 1</w:t>
            </w:r>
          </w:p>
        </w:tc>
        <w:tc>
          <w:tcPr>
            <w:tcW w:w="2007" w:type="dxa"/>
            <w:tcBorders>
              <w:top w:val="nil"/>
              <w:left w:val="nil"/>
              <w:bottom w:val="nil"/>
            </w:tcBorders>
          </w:tcPr>
          <w:p w14:paraId="1B0D7D80">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0B9BE1F8">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6" w:hRule="atLeast"/>
        </w:trPr>
        <w:tc>
          <w:tcPr>
            <w:tcW w:w="3595" w:type="dxa"/>
            <w:tcBorders>
              <w:top w:val="nil"/>
              <w:bottom w:val="nil"/>
              <w:right w:val="nil"/>
            </w:tcBorders>
          </w:tcPr>
          <w:p w14:paraId="273568AF">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ADAS II</w:t>
            </w:r>
          </w:p>
        </w:tc>
        <w:tc>
          <w:tcPr>
            <w:tcW w:w="3012" w:type="dxa"/>
            <w:tcBorders>
              <w:top w:val="nil"/>
              <w:left w:val="nil"/>
              <w:bottom w:val="nil"/>
              <w:right w:val="nil"/>
            </w:tcBorders>
          </w:tcPr>
          <w:p w14:paraId="46FDC7A2">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ADAS III</w:t>
            </w:r>
          </w:p>
        </w:tc>
        <w:tc>
          <w:tcPr>
            <w:tcW w:w="2007" w:type="dxa"/>
            <w:tcBorders>
              <w:top w:val="nil"/>
              <w:left w:val="nil"/>
              <w:bottom w:val="nil"/>
            </w:tcBorders>
          </w:tcPr>
          <w:p w14:paraId="10E06553">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65924CC4">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 w:hRule="atLeast"/>
        </w:trPr>
        <w:tc>
          <w:tcPr>
            <w:tcW w:w="3595" w:type="dxa"/>
            <w:tcBorders>
              <w:top w:val="nil"/>
              <w:bottom w:val="nil"/>
              <w:right w:val="nil"/>
            </w:tcBorders>
          </w:tcPr>
          <w:p w14:paraId="76389F23">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Nurse I</w:t>
            </w:r>
          </w:p>
        </w:tc>
        <w:tc>
          <w:tcPr>
            <w:tcW w:w="3012" w:type="dxa"/>
            <w:tcBorders>
              <w:top w:val="nil"/>
              <w:left w:val="nil"/>
              <w:bottom w:val="nil"/>
              <w:right w:val="nil"/>
            </w:tcBorders>
          </w:tcPr>
          <w:p w14:paraId="753DFCD2">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Nurse II</w:t>
            </w:r>
          </w:p>
        </w:tc>
        <w:tc>
          <w:tcPr>
            <w:tcW w:w="2007" w:type="dxa"/>
            <w:tcBorders>
              <w:top w:val="nil"/>
              <w:left w:val="nil"/>
              <w:bottom w:val="nil"/>
            </w:tcBorders>
          </w:tcPr>
          <w:p w14:paraId="6618EEE9">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610B37F7">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3595" w:type="dxa"/>
            <w:tcBorders>
              <w:top w:val="nil"/>
              <w:right w:val="nil"/>
            </w:tcBorders>
          </w:tcPr>
          <w:p w14:paraId="3897D92A">
            <w:pPr>
              <w:pStyle w:val="14"/>
              <w:spacing w:line="276" w:lineRule="auto"/>
              <w:jc w:val="both"/>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Administrative Assistant III</w:t>
            </w:r>
          </w:p>
        </w:tc>
        <w:tc>
          <w:tcPr>
            <w:tcW w:w="3012" w:type="dxa"/>
            <w:tcBorders>
              <w:top w:val="nil"/>
              <w:left w:val="nil"/>
              <w:right w:val="nil"/>
            </w:tcBorders>
          </w:tcPr>
          <w:p w14:paraId="3472F18E">
            <w:pPr>
              <w:pStyle w:val="14"/>
              <w:spacing w:line="276" w:lineRule="auto"/>
              <w:jc w:val="both"/>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Project Development I</w:t>
            </w:r>
          </w:p>
        </w:tc>
        <w:tc>
          <w:tcPr>
            <w:tcW w:w="2007" w:type="dxa"/>
            <w:tcBorders>
              <w:top w:val="nil"/>
              <w:left w:val="nil"/>
            </w:tcBorders>
          </w:tcPr>
          <w:p w14:paraId="38A9B17F">
            <w:pPr>
              <w:pStyle w:val="14"/>
              <w:spacing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bl>
    <w:p w14:paraId="3F1B4766">
      <w:pPr>
        <w:pStyle w:val="8"/>
        <w:keepNext w:val="0"/>
        <w:keepLines w:val="0"/>
        <w:widowControl/>
        <w:suppressLineNumbers w:val="0"/>
        <w:jc w:val="both"/>
        <w:rPr>
          <w:rFonts w:hint="default" w:ascii="Times New Roman" w:hAnsi="Times New Roman" w:cs="Times New Roman"/>
          <w:b w:val="0"/>
          <w:bCs w:val="0"/>
        </w:rPr>
      </w:pPr>
    </w:p>
    <w:p w14:paraId="3DF02BC1">
      <w:pPr>
        <w:pStyle w:val="8"/>
        <w:keepNext w:val="0"/>
        <w:keepLines w:val="0"/>
        <w:widowControl/>
        <w:suppressLineNumbers w:val="0"/>
        <w:jc w:val="both"/>
        <w:rPr>
          <w:rStyle w:val="9"/>
        </w:rPr>
      </w:pPr>
      <w:r>
        <w:rPr>
          <w:rFonts w:hint="default" w:eastAsia="SimSun" w:cs="Times New Roman"/>
          <w:i w:val="0"/>
          <w:iCs w:val="0"/>
          <w:sz w:val="24"/>
          <w:szCs w:val="24"/>
          <w:lang w:val="en-PH"/>
        </w:rPr>
        <w:t>Table 3 shows that t</w:t>
      </w:r>
      <w:r>
        <w:rPr>
          <w:rFonts w:hint="default" w:ascii="Times New Roman" w:hAnsi="Times New Roman" w:eastAsia="SimSun" w:cs="Times New Roman"/>
          <w:i w:val="0"/>
          <w:iCs w:val="0"/>
          <w:sz w:val="24"/>
          <w:szCs w:val="24"/>
        </w:rPr>
        <w:t xml:space="preserve">he promotion data of Master in Public Administration (MPA) graduates from NEMSU reveal a consistent trend of upward career mobility across various sectors, including academe, local government, law enforcement, administration, and public health. Several graduates transitioned from entry-level or support positions to professional or teaching roles, such as from Job Order Staff and Administrative Aide III to </w:t>
      </w:r>
      <w:r>
        <w:rPr>
          <w:rStyle w:val="6"/>
          <w:rFonts w:hint="default" w:ascii="Times New Roman" w:hAnsi="Times New Roman" w:eastAsia="SimSun" w:cs="Times New Roman"/>
          <w:i w:val="0"/>
          <w:iCs w:val="0"/>
          <w:sz w:val="24"/>
          <w:szCs w:val="24"/>
        </w:rPr>
        <w:t>Instructor I</w:t>
      </w:r>
      <w:r>
        <w:rPr>
          <w:rFonts w:hint="default" w:ascii="Times New Roman" w:hAnsi="Times New Roman" w:eastAsia="SimSun" w:cs="Times New Roman"/>
          <w:i w:val="0"/>
          <w:iCs w:val="0"/>
          <w:sz w:val="24"/>
          <w:szCs w:val="24"/>
        </w:rPr>
        <w:t xml:space="preserve">, reflecting the MPA degree’s role in meeting the Commission on Higher Education (CHED, 2017) requirements for higher education faculty appointments. Others advanced from technical to managerial or supervisory positions, such as Senior Bookkeeper to </w:t>
      </w:r>
      <w:r>
        <w:rPr>
          <w:rStyle w:val="6"/>
          <w:rFonts w:hint="default" w:ascii="Times New Roman" w:hAnsi="Times New Roman" w:eastAsia="SimSun" w:cs="Times New Roman"/>
          <w:i w:val="0"/>
          <w:iCs w:val="0"/>
          <w:sz w:val="24"/>
          <w:szCs w:val="24"/>
        </w:rPr>
        <w:t>Local Legislative Staff Officer V</w:t>
      </w:r>
      <w:r>
        <w:rPr>
          <w:rFonts w:hint="default" w:ascii="Times New Roman" w:hAnsi="Times New Roman" w:eastAsia="SimSun" w:cs="Times New Roman"/>
          <w:i w:val="0"/>
          <w:iCs w:val="0"/>
          <w:sz w:val="24"/>
          <w:szCs w:val="24"/>
        </w:rPr>
        <w:t xml:space="preserve"> and Administrative Officer V to </w:t>
      </w:r>
      <w:r>
        <w:rPr>
          <w:rStyle w:val="6"/>
          <w:rFonts w:hint="default" w:ascii="Times New Roman" w:hAnsi="Times New Roman" w:eastAsia="SimSun" w:cs="Times New Roman"/>
          <w:i w:val="0"/>
          <w:iCs w:val="0"/>
          <w:sz w:val="24"/>
          <w:szCs w:val="24"/>
        </w:rPr>
        <w:t>Supervising Administrative Officer</w:t>
      </w:r>
      <w:r>
        <w:rPr>
          <w:rFonts w:hint="default" w:ascii="Times New Roman" w:hAnsi="Times New Roman" w:eastAsia="SimSun" w:cs="Times New Roman"/>
          <w:i w:val="0"/>
          <w:iCs w:val="0"/>
          <w:sz w:val="24"/>
          <w:szCs w:val="24"/>
        </w:rPr>
        <w:t xml:space="preserve">, showing clear progression within the administrative hierarchy. Career advancement was also notable in specialized government service roles, including Customer Service Assistant C to </w:t>
      </w:r>
      <w:r>
        <w:rPr>
          <w:rStyle w:val="6"/>
          <w:rFonts w:hint="default" w:ascii="Times New Roman" w:hAnsi="Times New Roman" w:eastAsia="SimSun" w:cs="Times New Roman"/>
          <w:i w:val="0"/>
          <w:iCs w:val="0"/>
          <w:sz w:val="24"/>
          <w:szCs w:val="24"/>
        </w:rPr>
        <w:t>Project Development Officer II</w:t>
      </w:r>
      <w:r>
        <w:rPr>
          <w:rFonts w:hint="default" w:ascii="Times New Roman" w:hAnsi="Times New Roman" w:eastAsia="SimSun" w:cs="Times New Roman"/>
          <w:i w:val="0"/>
          <w:iCs w:val="0"/>
          <w:sz w:val="24"/>
          <w:szCs w:val="24"/>
        </w:rPr>
        <w:t xml:space="preserve"> and Planning Officer to </w:t>
      </w:r>
      <w:r>
        <w:rPr>
          <w:rStyle w:val="6"/>
          <w:rFonts w:hint="default" w:ascii="Times New Roman" w:hAnsi="Times New Roman" w:eastAsia="SimSun" w:cs="Times New Roman"/>
          <w:i w:val="0"/>
          <w:iCs w:val="0"/>
          <w:sz w:val="24"/>
          <w:szCs w:val="24"/>
        </w:rPr>
        <w:t>Project Development Officer III</w:t>
      </w:r>
      <w:r>
        <w:rPr>
          <w:rFonts w:hint="default" w:ascii="Times New Roman" w:hAnsi="Times New Roman" w:eastAsia="SimSun" w:cs="Times New Roman"/>
          <w:i w:val="0"/>
          <w:iCs w:val="0"/>
          <w:sz w:val="24"/>
          <w:szCs w:val="24"/>
        </w:rPr>
        <w:t xml:space="preserve">, which indicate an expansion of responsibilities in program planning and implementation. In law enforcement, the shift from Police Staff Sergeant to </w:t>
      </w:r>
      <w:r>
        <w:rPr>
          <w:rStyle w:val="6"/>
          <w:rFonts w:hint="default" w:ascii="Times New Roman" w:hAnsi="Times New Roman" w:eastAsia="SimSun" w:cs="Times New Roman"/>
          <w:i w:val="0"/>
          <w:iCs w:val="0"/>
          <w:sz w:val="24"/>
          <w:szCs w:val="24"/>
        </w:rPr>
        <w:t>Police Master Sergeant</w:t>
      </w:r>
      <w:r>
        <w:rPr>
          <w:rFonts w:hint="default" w:ascii="Times New Roman" w:hAnsi="Times New Roman" w:eastAsia="SimSun" w:cs="Times New Roman"/>
          <w:i w:val="0"/>
          <w:iCs w:val="0"/>
          <w:sz w:val="24"/>
          <w:szCs w:val="24"/>
        </w:rPr>
        <w:t xml:space="preserve"> illustrates merit-based promotion supported by advanced academic qualifications (PNP, 2022). Significant leadership appointments were also observed, such as the promotion from Acting Regional Director to </w:t>
      </w:r>
      <w:r>
        <w:rPr>
          <w:rStyle w:val="6"/>
          <w:rFonts w:hint="default" w:ascii="Times New Roman" w:hAnsi="Times New Roman" w:eastAsia="SimSun" w:cs="Times New Roman"/>
          <w:i w:val="0"/>
          <w:iCs w:val="0"/>
          <w:sz w:val="24"/>
          <w:szCs w:val="24"/>
        </w:rPr>
        <w:t>Regional Director</w:t>
      </w:r>
      <w:r>
        <w:rPr>
          <w:rFonts w:hint="default" w:ascii="Times New Roman" w:hAnsi="Times New Roman" w:eastAsia="SimSun" w:cs="Times New Roman"/>
          <w:i w:val="0"/>
          <w:iCs w:val="0"/>
          <w:sz w:val="24"/>
          <w:szCs w:val="24"/>
        </w:rPr>
        <w:t xml:space="preserve"> and from Local Legislative Staff Officer V to </w:t>
      </w:r>
      <w:r>
        <w:rPr>
          <w:rStyle w:val="6"/>
          <w:rFonts w:hint="default" w:ascii="Times New Roman" w:hAnsi="Times New Roman" w:eastAsia="SimSun" w:cs="Times New Roman"/>
          <w:i w:val="0"/>
          <w:iCs w:val="0"/>
          <w:sz w:val="24"/>
          <w:szCs w:val="24"/>
        </w:rPr>
        <w:t>Assistant Secretary</w:t>
      </w:r>
      <w:r>
        <w:rPr>
          <w:rFonts w:hint="default" w:ascii="Times New Roman" w:hAnsi="Times New Roman" w:eastAsia="SimSun" w:cs="Times New Roman"/>
          <w:i w:val="0"/>
          <w:iCs w:val="0"/>
          <w:sz w:val="24"/>
          <w:szCs w:val="24"/>
        </w:rPr>
        <w:t xml:space="preserve">, which highlight the MPA’s contribution to executive-level career readiness. Similarly, healthcare professionals, such as a Nurse I promoted to </w:t>
      </w:r>
      <w:r>
        <w:rPr>
          <w:rStyle w:val="6"/>
          <w:rFonts w:hint="default" w:ascii="Times New Roman" w:hAnsi="Times New Roman" w:eastAsia="SimSun" w:cs="Times New Roman"/>
          <w:i w:val="0"/>
          <w:iCs w:val="0"/>
          <w:sz w:val="24"/>
          <w:szCs w:val="24"/>
        </w:rPr>
        <w:t>Nurse II</w:t>
      </w:r>
      <w:r>
        <w:rPr>
          <w:rFonts w:hint="default" w:ascii="Times New Roman" w:hAnsi="Times New Roman" w:eastAsia="SimSun" w:cs="Times New Roman"/>
          <w:i w:val="0"/>
          <w:iCs w:val="0"/>
          <w:sz w:val="24"/>
          <w:szCs w:val="24"/>
        </w:rPr>
        <w:t>, benefited from enhanced credentials in their specialized fields. These findings align with previous studies emphasizing that postgraduate degrees, particularly in public administration, enhance leadership competencies, expand promotion eligibility, and strengthen qualifications for senior positions (Teichler, 2007; Schomburg, 2010), consistent with Civil Service Commission (CSC, 2023) policies linking educational attainment to career advancement in government service.</w:t>
      </w:r>
    </w:p>
    <w:p w14:paraId="207EF9BB">
      <w:pPr>
        <w:rPr>
          <w:rFonts w:hint="default" w:ascii="Times New Roman" w:hAnsi="Times New Roman" w:eastAsia="Arial" w:cs="Times New Roman"/>
          <w:b/>
          <w:lang w:val="en-PH"/>
        </w:rPr>
      </w:pPr>
      <w:r>
        <w:rPr>
          <w:rFonts w:hint="default" w:ascii="Times New Roman" w:hAnsi="Times New Roman" w:eastAsia="Arial" w:cs="Times New Roman"/>
          <w:b/>
        </w:rPr>
        <w:t xml:space="preserve">Table </w:t>
      </w:r>
      <w:r>
        <w:rPr>
          <w:rFonts w:hint="default" w:ascii="Times New Roman" w:hAnsi="Times New Roman" w:eastAsia="Arial" w:cs="Times New Roman"/>
          <w:b/>
          <w:lang w:val="en-PH"/>
        </w:rPr>
        <w:t>4</w:t>
      </w:r>
    </w:p>
    <w:p w14:paraId="423F4BDB">
      <w:pPr>
        <w:rPr>
          <w:rFonts w:hint="default" w:ascii="Times New Roman" w:hAnsi="Times New Roman" w:eastAsia="Arial" w:cs="Times New Roman"/>
          <w:bCs/>
          <w:i/>
          <w:iCs/>
        </w:rPr>
      </w:pPr>
      <w:r>
        <w:rPr>
          <w:rFonts w:hint="default" w:ascii="Times New Roman" w:hAnsi="Times New Roman" w:eastAsia="Arial" w:cs="Times New Roman"/>
          <w:bCs/>
          <w:i/>
          <w:iCs/>
        </w:rPr>
        <w:t xml:space="preserve">Awards Received by </w:t>
      </w:r>
      <w:r>
        <w:rPr>
          <w:rFonts w:hint="default" w:ascii="Times New Roman" w:hAnsi="Times New Roman" w:eastAsia="Arial" w:cs="Times New Roman"/>
          <w:bCs/>
          <w:i/>
          <w:iCs/>
          <w:lang w:val="en-PH"/>
        </w:rPr>
        <w:t>MPA</w:t>
      </w:r>
      <w:r>
        <w:rPr>
          <w:rFonts w:hint="default" w:ascii="Times New Roman" w:hAnsi="Times New Roman" w:eastAsia="Arial" w:cs="Times New Roman"/>
          <w:bCs/>
          <w:i/>
          <w:iCs/>
        </w:rPr>
        <w:t xml:space="preserve"> Graduates</w:t>
      </w:r>
    </w:p>
    <w:tbl>
      <w:tblPr>
        <w:tblStyle w:val="10"/>
        <w:tblpPr w:leftFromText="180" w:rightFromText="180" w:vertAnchor="text" w:horzAnchor="margin" w:tblpY="61"/>
        <w:tblW w:w="0" w:type="auto"/>
        <w:tblInd w:w="0" w:type="dxa"/>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10"/>
        <w:gridCol w:w="2612"/>
      </w:tblGrid>
      <w:tr w14:paraId="2A8283A1">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5" w:type="dxa"/>
            <w:tcBorders>
              <w:bottom w:val="single" w:color="000000" w:themeColor="text1" w:sz="4" w:space="0"/>
              <w:right w:val="nil"/>
            </w:tcBorders>
          </w:tcPr>
          <w:p w14:paraId="49DC674F">
            <w:pPr>
              <w:pStyle w:val="8"/>
              <w:spacing w:line="276" w:lineRule="auto"/>
              <w:jc w:val="center"/>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Awards</w:t>
            </w:r>
          </w:p>
        </w:tc>
        <w:tc>
          <w:tcPr>
            <w:tcW w:w="2721" w:type="dxa"/>
            <w:tcBorders>
              <w:left w:val="nil"/>
              <w:bottom w:val="single" w:color="000000" w:themeColor="text1" w:sz="4" w:space="0"/>
            </w:tcBorders>
          </w:tcPr>
          <w:p w14:paraId="27740F7A">
            <w:pPr>
              <w:pStyle w:val="8"/>
              <w:spacing w:line="276" w:lineRule="auto"/>
              <w:jc w:val="center"/>
              <w:rPr>
                <w:rFonts w:hint="default" w:ascii="Times New Roman" w:hAnsi="Times New Roman" w:cs="Times New Roman"/>
                <w:b/>
                <w:bCs/>
                <w:sz w:val="22"/>
                <w:szCs w:val="22"/>
                <w:lang w:eastAsia="en-PH"/>
              </w:rPr>
            </w:pPr>
            <w:r>
              <w:rPr>
                <w:rFonts w:hint="default" w:ascii="Times New Roman" w:hAnsi="Times New Roman" w:cs="Times New Roman"/>
                <w:b/>
                <w:bCs/>
                <w:sz w:val="22"/>
                <w:szCs w:val="22"/>
                <w:lang w:eastAsia="en-PH"/>
              </w:rPr>
              <w:t>Number of Awardees (Recipients)</w:t>
            </w:r>
          </w:p>
        </w:tc>
      </w:tr>
      <w:tr w14:paraId="084BDE08">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5" w:type="dxa"/>
            <w:tcBorders>
              <w:bottom w:val="nil"/>
              <w:right w:val="nil"/>
            </w:tcBorders>
          </w:tcPr>
          <w:p w14:paraId="6C0075D4">
            <w:pPr>
              <w:pStyle w:val="8"/>
              <w:spacing w:before="0" w:beforeAutospacing="0" w:after="0" w:afterAutospacing="0" w:line="276" w:lineRule="auto"/>
              <w:jc w:val="both"/>
              <w:rPr>
                <w:rFonts w:hint="default" w:ascii="Times New Roman" w:hAnsi="Times New Roman" w:cs="Times New Roman"/>
                <w:sz w:val="22"/>
                <w:szCs w:val="22"/>
                <w:lang w:eastAsia="en-PH"/>
              </w:rPr>
            </w:pPr>
            <w:r>
              <w:rPr>
                <w:rFonts w:hint="default" w:ascii="Times New Roman" w:hAnsi="Times New Roman" w:cs="Times New Roman"/>
                <w:color w:val="000000"/>
                <w:sz w:val="22"/>
                <w:szCs w:val="22"/>
                <w:shd w:val="clear" w:color="auto" w:fill="FFFFFF"/>
                <w:lang w:eastAsia="en-PH"/>
              </w:rPr>
              <w:t>Best in Attendance Award 2020 (JO) &amp; Best in Attendance Award 2023 (Faculty)</w:t>
            </w:r>
          </w:p>
        </w:tc>
        <w:tc>
          <w:tcPr>
            <w:tcW w:w="2721" w:type="dxa"/>
            <w:tcBorders>
              <w:left w:val="nil"/>
              <w:bottom w:val="nil"/>
            </w:tcBorders>
          </w:tcPr>
          <w:p w14:paraId="68B524A6">
            <w:pPr>
              <w:pStyle w:val="8"/>
              <w:spacing w:before="0" w:beforeAutospacing="0" w:after="0" w:afterAutospacing="0"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18669550">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5" w:type="dxa"/>
            <w:tcBorders>
              <w:top w:val="nil"/>
              <w:bottom w:val="nil"/>
              <w:right w:val="nil"/>
            </w:tcBorders>
          </w:tcPr>
          <w:p w14:paraId="619197B2">
            <w:pPr>
              <w:pStyle w:val="8"/>
              <w:spacing w:before="0" w:beforeAutospacing="0" w:after="0" w:afterAutospacing="0" w:line="276" w:lineRule="auto"/>
              <w:jc w:val="both"/>
              <w:rPr>
                <w:rFonts w:hint="default" w:ascii="Times New Roman" w:hAnsi="Times New Roman" w:cs="Times New Roman"/>
                <w:sz w:val="22"/>
                <w:szCs w:val="22"/>
                <w:lang w:eastAsia="en-PH"/>
              </w:rPr>
            </w:pPr>
            <w:r>
              <w:rPr>
                <w:rFonts w:hint="default" w:ascii="Times New Roman" w:hAnsi="Times New Roman" w:cs="Times New Roman"/>
                <w:color w:val="000000"/>
                <w:sz w:val="22"/>
                <w:szCs w:val="22"/>
                <w:shd w:val="clear" w:color="auto" w:fill="FFFFFF"/>
                <w:lang w:eastAsia="en-PH"/>
              </w:rPr>
              <w:t>Best Economy Measure Award (AY 2020-2021; 2021-2022)</w:t>
            </w:r>
          </w:p>
        </w:tc>
        <w:tc>
          <w:tcPr>
            <w:tcW w:w="2721" w:type="dxa"/>
            <w:tcBorders>
              <w:top w:val="nil"/>
              <w:left w:val="nil"/>
              <w:bottom w:val="nil"/>
            </w:tcBorders>
          </w:tcPr>
          <w:p w14:paraId="297569BF">
            <w:pPr>
              <w:pStyle w:val="8"/>
              <w:spacing w:before="0" w:beforeAutospacing="0" w:after="0" w:afterAutospacing="0"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15205A9B">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5" w:type="dxa"/>
            <w:tcBorders>
              <w:top w:val="nil"/>
              <w:bottom w:val="nil"/>
              <w:right w:val="nil"/>
            </w:tcBorders>
          </w:tcPr>
          <w:p w14:paraId="327AD822">
            <w:pPr>
              <w:pStyle w:val="8"/>
              <w:spacing w:before="0" w:beforeAutospacing="0" w:after="0" w:afterAutospacing="0" w:line="276" w:lineRule="auto"/>
              <w:jc w:val="both"/>
              <w:rPr>
                <w:rFonts w:hint="default" w:ascii="Times New Roman" w:hAnsi="Times New Roman" w:cs="Times New Roman"/>
                <w:sz w:val="22"/>
                <w:szCs w:val="22"/>
                <w:lang w:eastAsia="en-PH"/>
              </w:rPr>
            </w:pPr>
            <w:r>
              <w:rPr>
                <w:rFonts w:hint="default" w:ascii="Times New Roman" w:hAnsi="Times New Roman" w:cs="Times New Roman"/>
                <w:color w:val="000000"/>
                <w:sz w:val="22"/>
                <w:szCs w:val="22"/>
                <w:shd w:val="clear" w:color="auto" w:fill="FFFFFF"/>
                <w:lang w:eastAsia="en-PH"/>
              </w:rPr>
              <w:t>Best Community Facilitator</w:t>
            </w:r>
          </w:p>
        </w:tc>
        <w:tc>
          <w:tcPr>
            <w:tcW w:w="2721" w:type="dxa"/>
            <w:tcBorders>
              <w:top w:val="nil"/>
              <w:left w:val="nil"/>
              <w:bottom w:val="nil"/>
            </w:tcBorders>
          </w:tcPr>
          <w:p w14:paraId="2DC2616D">
            <w:pPr>
              <w:pStyle w:val="8"/>
              <w:spacing w:before="0" w:beforeAutospacing="0" w:after="0" w:afterAutospacing="0"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23E44988">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5" w:type="dxa"/>
            <w:tcBorders>
              <w:top w:val="nil"/>
              <w:bottom w:val="nil"/>
              <w:right w:val="nil"/>
            </w:tcBorders>
          </w:tcPr>
          <w:p w14:paraId="1540B524">
            <w:pPr>
              <w:pStyle w:val="8"/>
              <w:spacing w:before="0" w:beforeAutospacing="0" w:after="0" w:afterAutospacing="0" w:line="276" w:lineRule="auto"/>
              <w:jc w:val="both"/>
              <w:rPr>
                <w:rFonts w:hint="default" w:ascii="Times New Roman" w:hAnsi="Times New Roman" w:cs="Times New Roman"/>
                <w:sz w:val="22"/>
                <w:szCs w:val="22"/>
                <w:lang w:eastAsia="en-PH"/>
              </w:rPr>
            </w:pPr>
            <w:r>
              <w:rPr>
                <w:rFonts w:hint="default" w:ascii="Times New Roman" w:hAnsi="Times New Roman" w:cs="Times New Roman"/>
                <w:color w:val="000000"/>
                <w:sz w:val="22"/>
                <w:szCs w:val="22"/>
                <w:shd w:val="clear" w:color="auto" w:fill="FFFFFF"/>
                <w:lang w:eastAsia="en-PH"/>
              </w:rPr>
              <w:t>Best Regional Police and Protection Unit 13</w:t>
            </w:r>
          </w:p>
        </w:tc>
        <w:tc>
          <w:tcPr>
            <w:tcW w:w="2721" w:type="dxa"/>
            <w:tcBorders>
              <w:top w:val="nil"/>
              <w:left w:val="nil"/>
              <w:bottom w:val="nil"/>
            </w:tcBorders>
          </w:tcPr>
          <w:p w14:paraId="6E71EED5">
            <w:pPr>
              <w:pStyle w:val="8"/>
              <w:spacing w:before="0" w:beforeAutospacing="0" w:after="0" w:afterAutospacing="0"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198ACE35">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5" w:type="dxa"/>
            <w:tcBorders>
              <w:top w:val="nil"/>
              <w:bottom w:val="nil"/>
              <w:right w:val="nil"/>
            </w:tcBorders>
          </w:tcPr>
          <w:p w14:paraId="07E5AC78">
            <w:pPr>
              <w:pStyle w:val="8"/>
              <w:spacing w:before="0" w:beforeAutospacing="0" w:after="0" w:afterAutospacing="0" w:line="276" w:lineRule="auto"/>
              <w:jc w:val="both"/>
              <w:rPr>
                <w:rFonts w:hint="default" w:ascii="Times New Roman" w:hAnsi="Times New Roman" w:cs="Times New Roman"/>
                <w:sz w:val="22"/>
                <w:szCs w:val="22"/>
                <w:lang w:eastAsia="en-PH"/>
              </w:rPr>
            </w:pPr>
            <w:r>
              <w:rPr>
                <w:rFonts w:hint="default" w:ascii="Times New Roman" w:hAnsi="Times New Roman" w:cs="Times New Roman"/>
                <w:color w:val="000000"/>
                <w:sz w:val="22"/>
                <w:szCs w:val="22"/>
                <w:shd w:val="clear" w:color="auto" w:fill="FFFFFF"/>
                <w:lang w:eastAsia="en-PH"/>
              </w:rPr>
              <w:t>Best division implementers award on school-based feeding program (SBFP) 2021-2022</w:t>
            </w:r>
          </w:p>
        </w:tc>
        <w:tc>
          <w:tcPr>
            <w:tcW w:w="2721" w:type="dxa"/>
            <w:tcBorders>
              <w:top w:val="nil"/>
              <w:left w:val="nil"/>
              <w:bottom w:val="nil"/>
            </w:tcBorders>
          </w:tcPr>
          <w:p w14:paraId="111624B4">
            <w:pPr>
              <w:pStyle w:val="8"/>
              <w:spacing w:before="0" w:beforeAutospacing="0" w:after="0" w:afterAutospacing="0"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r w14:paraId="669A341A">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5" w:type="dxa"/>
            <w:tcBorders>
              <w:top w:val="nil"/>
              <w:right w:val="nil"/>
            </w:tcBorders>
          </w:tcPr>
          <w:p w14:paraId="7D157F4C">
            <w:pPr>
              <w:pStyle w:val="8"/>
              <w:spacing w:before="0" w:beforeAutospacing="0" w:after="0" w:afterAutospacing="0" w:line="276" w:lineRule="auto"/>
              <w:jc w:val="both"/>
              <w:rPr>
                <w:rFonts w:hint="default" w:ascii="Times New Roman" w:hAnsi="Times New Roman" w:cs="Times New Roman"/>
                <w:sz w:val="22"/>
                <w:szCs w:val="22"/>
                <w:lang w:eastAsia="en-PH"/>
              </w:rPr>
            </w:pPr>
            <w:r>
              <w:rPr>
                <w:rFonts w:hint="default" w:ascii="Times New Roman" w:hAnsi="Times New Roman" w:cs="Times New Roman"/>
                <w:color w:val="000000"/>
                <w:sz w:val="22"/>
                <w:szCs w:val="22"/>
                <w:shd w:val="clear" w:color="auto" w:fill="FFFFFF"/>
                <w:lang w:eastAsia="en-PH"/>
              </w:rPr>
              <w:t>Most Outstanding Youth Formation Coordinator (Region-Wide) and Nominated as Level II Outstanding Employee (Gawad Gintong Narra)</w:t>
            </w:r>
          </w:p>
        </w:tc>
        <w:tc>
          <w:tcPr>
            <w:tcW w:w="2721" w:type="dxa"/>
            <w:tcBorders>
              <w:top w:val="nil"/>
              <w:left w:val="nil"/>
            </w:tcBorders>
          </w:tcPr>
          <w:p w14:paraId="3CC181B8">
            <w:pPr>
              <w:pStyle w:val="8"/>
              <w:spacing w:before="0" w:beforeAutospacing="0" w:after="0" w:afterAutospacing="0" w:line="276" w:lineRule="auto"/>
              <w:jc w:val="center"/>
              <w:rPr>
                <w:rFonts w:hint="default" w:ascii="Times New Roman" w:hAnsi="Times New Roman" w:cs="Times New Roman"/>
                <w:sz w:val="22"/>
                <w:szCs w:val="22"/>
                <w:lang w:eastAsia="en-PH"/>
              </w:rPr>
            </w:pPr>
            <w:r>
              <w:rPr>
                <w:rFonts w:hint="default" w:ascii="Times New Roman" w:hAnsi="Times New Roman" w:cs="Times New Roman"/>
                <w:sz w:val="22"/>
                <w:szCs w:val="22"/>
                <w:lang w:eastAsia="en-PH"/>
              </w:rPr>
              <w:t>1</w:t>
            </w:r>
          </w:p>
        </w:tc>
      </w:tr>
    </w:tbl>
    <w:p w14:paraId="7488286C">
      <w:pPr>
        <w:pStyle w:val="8"/>
        <w:keepNext w:val="0"/>
        <w:keepLines w:val="0"/>
        <w:widowControl/>
        <w:suppressLineNumbers w:val="0"/>
        <w:rPr>
          <w:rStyle w:val="9"/>
        </w:rPr>
      </w:pPr>
    </w:p>
    <w:p w14:paraId="2CDC09B0">
      <w:pPr>
        <w:pStyle w:val="8"/>
        <w:keepNext w:val="0"/>
        <w:keepLines w:val="0"/>
        <w:widowControl/>
        <w:suppressLineNumbers w:val="0"/>
        <w:jc w:val="both"/>
        <w:rPr>
          <w:rStyle w:val="9"/>
        </w:rPr>
      </w:pPr>
      <w:r>
        <w:rPr>
          <w:rFonts w:hint="default" w:ascii="Times New Roman" w:hAnsi="Times New Roman" w:eastAsia="SimSun" w:cs="Times New Roman"/>
          <w:i w:val="0"/>
          <w:iCs w:val="0"/>
          <w:sz w:val="24"/>
          <w:szCs w:val="24"/>
        </w:rPr>
        <w:t xml:space="preserve">The awards and recognitions received by six out of fifteen MPA graduates illustrate their strong professional performance, community involvement, and leadership impact across multiple sectors. Achievements range from consistent work discipline, as seen in the </w:t>
      </w:r>
      <w:r>
        <w:rPr>
          <w:rStyle w:val="6"/>
          <w:rFonts w:hint="default" w:ascii="Times New Roman" w:hAnsi="Times New Roman" w:eastAsia="SimSun" w:cs="Times New Roman"/>
          <w:i w:val="0"/>
          <w:iCs w:val="0"/>
          <w:sz w:val="24"/>
          <w:szCs w:val="24"/>
        </w:rPr>
        <w:t>Best in Attendance</w:t>
      </w:r>
      <w:r>
        <w:rPr>
          <w:rFonts w:hint="default" w:ascii="Times New Roman" w:hAnsi="Times New Roman" w:eastAsia="SimSun" w:cs="Times New Roman"/>
          <w:i w:val="0"/>
          <w:iCs w:val="0"/>
          <w:sz w:val="24"/>
          <w:szCs w:val="24"/>
        </w:rPr>
        <w:t xml:space="preserve"> awards earned in both job order (2020) and faculty positions (2023), to operational efficiency through the </w:t>
      </w:r>
      <w:r>
        <w:rPr>
          <w:rStyle w:val="6"/>
          <w:rFonts w:hint="default" w:ascii="Times New Roman" w:hAnsi="Times New Roman" w:eastAsia="SimSun" w:cs="Times New Roman"/>
          <w:i w:val="0"/>
          <w:iCs w:val="0"/>
          <w:sz w:val="24"/>
          <w:szCs w:val="24"/>
        </w:rPr>
        <w:t>Best Economy Measure Award</w:t>
      </w:r>
      <w:r>
        <w:rPr>
          <w:rFonts w:hint="default" w:ascii="Times New Roman" w:hAnsi="Times New Roman" w:eastAsia="SimSun" w:cs="Times New Roman"/>
          <w:i w:val="0"/>
          <w:iCs w:val="0"/>
          <w:sz w:val="24"/>
          <w:szCs w:val="24"/>
        </w:rPr>
        <w:t xml:space="preserve"> for two consecutive academic years (2020–2021; 2021–2022), reflecting effective resource management—a core competency in public administration (Denhardt &amp; Denhardt, 2015). Other recognitions demonstrate graduates’ significant contributions beyond administrative tasks, such as the </w:t>
      </w:r>
      <w:r>
        <w:rPr>
          <w:rStyle w:val="6"/>
          <w:rFonts w:hint="default" w:ascii="Times New Roman" w:hAnsi="Times New Roman" w:eastAsia="SimSun" w:cs="Times New Roman"/>
          <w:i w:val="0"/>
          <w:iCs w:val="0"/>
          <w:sz w:val="24"/>
          <w:szCs w:val="24"/>
        </w:rPr>
        <w:t>Best Community Facilitator</w:t>
      </w:r>
      <w:r>
        <w:rPr>
          <w:rFonts w:hint="default" w:ascii="Times New Roman" w:hAnsi="Times New Roman" w:eastAsia="SimSun" w:cs="Times New Roman"/>
          <w:i w:val="0"/>
          <w:iCs w:val="0"/>
          <w:sz w:val="24"/>
          <w:szCs w:val="24"/>
        </w:rPr>
        <w:t xml:space="preserve"> award, which underscores their ability to mobilize stakeholders and implement community-based initiatives. Sector-specific excellence was also evident, with one graduate receiving the </w:t>
      </w:r>
      <w:r>
        <w:rPr>
          <w:rStyle w:val="6"/>
          <w:rFonts w:hint="default" w:ascii="Times New Roman" w:hAnsi="Times New Roman" w:eastAsia="SimSun" w:cs="Times New Roman"/>
          <w:i w:val="0"/>
          <w:iCs w:val="0"/>
          <w:sz w:val="24"/>
          <w:szCs w:val="24"/>
        </w:rPr>
        <w:t>Best Regional Police and Protection Unit 13</w:t>
      </w:r>
      <w:r>
        <w:rPr>
          <w:rFonts w:hint="default" w:ascii="Times New Roman" w:hAnsi="Times New Roman" w:eastAsia="SimSun" w:cs="Times New Roman"/>
          <w:i w:val="0"/>
          <w:iCs w:val="0"/>
          <w:sz w:val="24"/>
          <w:szCs w:val="24"/>
        </w:rPr>
        <w:t xml:space="preserve"> award, indicating outstanding service in law enforcement aligned with the Philippine National Police’s performance merit system (PNP, 2022). In education, the </w:t>
      </w:r>
      <w:r>
        <w:rPr>
          <w:rStyle w:val="6"/>
          <w:rFonts w:hint="default" w:ascii="Times New Roman" w:hAnsi="Times New Roman" w:eastAsia="SimSun" w:cs="Times New Roman"/>
          <w:i w:val="0"/>
          <w:iCs w:val="0"/>
          <w:sz w:val="24"/>
          <w:szCs w:val="24"/>
        </w:rPr>
        <w:t>Best Division Implementers Award</w:t>
      </w:r>
      <w:r>
        <w:rPr>
          <w:rFonts w:hint="default" w:ascii="Times New Roman" w:hAnsi="Times New Roman" w:eastAsia="SimSun" w:cs="Times New Roman"/>
          <w:i w:val="0"/>
          <w:iCs w:val="0"/>
          <w:sz w:val="24"/>
          <w:szCs w:val="24"/>
        </w:rPr>
        <w:t xml:space="preserve"> for the School-Based Feeding Program (2021–2022) highlights the graduates’ role in promoting student welfare through effective program execution. At the regional level, the </w:t>
      </w:r>
      <w:r>
        <w:rPr>
          <w:rStyle w:val="6"/>
          <w:rFonts w:hint="default" w:ascii="Times New Roman" w:hAnsi="Times New Roman" w:eastAsia="SimSun" w:cs="Times New Roman"/>
          <w:i w:val="0"/>
          <w:iCs w:val="0"/>
          <w:sz w:val="24"/>
          <w:szCs w:val="24"/>
        </w:rPr>
        <w:t>Most Outstanding Youth Formation Coordinator</w:t>
      </w:r>
      <w:r>
        <w:rPr>
          <w:rFonts w:hint="default" w:ascii="Times New Roman" w:hAnsi="Times New Roman" w:eastAsia="SimSun" w:cs="Times New Roman"/>
          <w:i w:val="0"/>
          <w:iCs w:val="0"/>
          <w:sz w:val="24"/>
          <w:szCs w:val="24"/>
        </w:rPr>
        <w:t xml:space="preserve"> and nomination for the </w:t>
      </w:r>
      <w:r>
        <w:rPr>
          <w:rStyle w:val="6"/>
          <w:rFonts w:hint="default" w:ascii="Times New Roman" w:hAnsi="Times New Roman" w:eastAsia="SimSun" w:cs="Times New Roman"/>
          <w:i w:val="0"/>
          <w:iCs w:val="0"/>
          <w:sz w:val="24"/>
          <w:szCs w:val="24"/>
        </w:rPr>
        <w:t>Level II Outstanding Employee (Gawad Gintong Narra)</w:t>
      </w:r>
      <w:r>
        <w:rPr>
          <w:rFonts w:hint="default" w:ascii="Times New Roman" w:hAnsi="Times New Roman" w:eastAsia="SimSun" w:cs="Times New Roman"/>
          <w:i w:val="0"/>
          <w:iCs w:val="0"/>
          <w:sz w:val="24"/>
          <w:szCs w:val="24"/>
        </w:rPr>
        <w:t xml:space="preserve"> showcase exemplary leadership, youth development advocacy, and institutional impact. These awards collectively reflect the MPA program’s contribution to graduates’ development of professional excellence, leadership skills, and public service values, aligning with literature that links postgraduate education to enhanced job performance and recognition in both government and community service (Teichler, 2007; Schomburg, 2010).</w:t>
      </w:r>
    </w:p>
    <w:p w14:paraId="05D453B3">
      <w:pPr>
        <w:pStyle w:val="8"/>
        <w:keepNext w:val="0"/>
        <w:keepLines w:val="0"/>
        <w:widowControl/>
        <w:suppressLineNumbers w:val="0"/>
        <w:jc w:val="both"/>
      </w:pPr>
      <w:r>
        <w:rPr>
          <w:rStyle w:val="9"/>
        </w:rPr>
        <w:t>Conclusion</w:t>
      </w:r>
      <w:r>
        <w:br w:type="textWrapping"/>
      </w:r>
      <w:r>
        <w:t>The tracer study on the career outcomes of Master in Public Administration (MPA) graduates from North Eastern Mindanao State University (NEMSU) demonstrates the program’s substantial contribution to professional growth, promotion readiness, and recognition in public service. The graduates’ demographic profile indicates a predominance of married individuals (60.0%), suggesting that many are in stable life situations conducive to long-term career engagement. The higher participation of women (60.0%) reflects the growing role of women in governance and leadership, consistent with global trends toward gender inclusivity in public administration (United Nations, 2020). Age distribution data reveal that most graduates are in their early to mid-career stage, underscoring the MPA program’s relevance in equipping professionals with advanced competencies for managerial and leadership positions.</w:t>
      </w:r>
    </w:p>
    <w:p w14:paraId="13BBB525">
      <w:pPr>
        <w:pStyle w:val="8"/>
        <w:keepNext w:val="0"/>
        <w:keepLines w:val="0"/>
        <w:widowControl/>
        <w:suppressLineNumbers w:val="0"/>
        <w:jc w:val="both"/>
      </w:pPr>
      <w:r>
        <w:t>In terms of compensation, the majority of graduates are positioned within Salary Grades 11–15, corresponding to mid-level professional roles in government service. The presence of graduates in higher salary grades (SG 16–20 and SG 21–25) confirms the program’s impact on career advancement, while representation at executive-level salary grades, though limited, suggests that such positions typically require additional tenure and competitive selection processes (CSC, 2023).</w:t>
      </w:r>
    </w:p>
    <w:p w14:paraId="5FC44918">
      <w:pPr>
        <w:pStyle w:val="8"/>
        <w:keepNext w:val="0"/>
        <w:keepLines w:val="0"/>
        <w:widowControl/>
        <w:suppressLineNumbers w:val="0"/>
        <w:jc w:val="both"/>
      </w:pPr>
      <w:r>
        <w:t>Promotion data reflect a consistent pattern of upward mobility, with graduates transitioning from entry-level or technical roles to supervisory, managerial, and even executive positions across various sectors, including academe, local governance, law enforcement, administration, and public health. These advancements align with the Civil Service Commission’s and CHED’s emphasis on educational attainment as a key criterion for promotion and higher-level appointments.</w:t>
      </w:r>
    </w:p>
    <w:p w14:paraId="17CFC0C8">
      <w:pPr>
        <w:pStyle w:val="8"/>
        <w:keepNext w:val="0"/>
        <w:keepLines w:val="0"/>
        <w:widowControl/>
        <w:suppressLineNumbers w:val="0"/>
        <w:jc w:val="both"/>
      </w:pPr>
      <w:r>
        <w:t>The study also highlights the strong professional performance of graduates, as evidenced by awards in operational efficiency, community facilitation, sectoral excellence, and leadership. These recognitions illustrate the graduates’ capacity to apply MPA-acquired competencies—such as strategic planning, resource management, and stakeholder engagement—in delivering impactful public service.</w:t>
      </w:r>
    </w:p>
    <w:p w14:paraId="412FB7E7">
      <w:pPr>
        <w:pStyle w:val="8"/>
        <w:keepNext w:val="0"/>
        <w:keepLines w:val="0"/>
        <w:widowControl/>
        <w:suppressLineNumbers w:val="0"/>
        <w:jc w:val="both"/>
      </w:pPr>
      <w:r>
        <w:t>Overall, the findings affirm that the NEMSU MPA program effectively enhances its graduates’ employability, career progression, and public service contributions. By fostering leadership capabilities, administrative expertise, and a strong commitment to community development, the program positions its graduates to meet the evolving demands of governance. Sustained curriculum enhancement, sectoral linkages, and leadership training will further strengthen the program’s role in shaping competent, ethical, and innovative public leaders.</w:t>
      </w:r>
    </w:p>
    <w:p w14:paraId="2B2F0500">
      <w:pPr>
        <w:pStyle w:val="8"/>
        <w:keepNext w:val="0"/>
        <w:keepLines w:val="0"/>
        <w:widowControl/>
        <w:suppressLineNumbers w:val="0"/>
        <w:jc w:val="both"/>
      </w:pPr>
    </w:p>
    <w:p w14:paraId="07E1730F">
      <w:pPr>
        <w:pStyle w:val="8"/>
        <w:keepNext w:val="0"/>
        <w:keepLines w:val="0"/>
        <w:widowControl/>
        <w:suppressLineNumbers w:val="0"/>
        <w:jc w:val="both"/>
      </w:pPr>
    </w:p>
    <w:p w14:paraId="2CDD4A22">
      <w:pPr>
        <w:pStyle w:val="8"/>
        <w:keepNext w:val="0"/>
        <w:keepLines w:val="0"/>
        <w:widowControl/>
        <w:suppressLineNumbers w:val="0"/>
        <w:jc w:val="both"/>
      </w:pPr>
    </w:p>
    <w:p w14:paraId="1BFE5519">
      <w:pPr>
        <w:pStyle w:val="8"/>
        <w:keepNext w:val="0"/>
        <w:keepLines w:val="0"/>
        <w:widowControl/>
        <w:suppressLineNumbers w:val="0"/>
        <w:jc w:val="both"/>
      </w:pPr>
    </w:p>
    <w:p w14:paraId="5CADF682">
      <w:pPr>
        <w:pStyle w:val="8"/>
        <w:keepNext w:val="0"/>
        <w:keepLines w:val="0"/>
        <w:widowControl/>
        <w:suppressLineNumbers w:val="0"/>
        <w:jc w:val="both"/>
      </w:pPr>
    </w:p>
    <w:p w14:paraId="5EBC717D">
      <w:pPr>
        <w:pStyle w:val="8"/>
        <w:keepNext w:val="0"/>
        <w:keepLines w:val="0"/>
        <w:widowControl/>
        <w:suppressLineNumbers w:val="0"/>
      </w:pPr>
      <w:r>
        <w:rPr>
          <w:rStyle w:val="9"/>
        </w:rPr>
        <w:t>References</w:t>
      </w:r>
    </w:p>
    <w:p w14:paraId="5344B716">
      <w:pPr>
        <w:pStyle w:val="8"/>
        <w:keepNext w:val="0"/>
        <w:keepLines w:val="0"/>
        <w:widowControl/>
        <w:suppressLineNumbers w:val="0"/>
        <w:jc w:val="both"/>
      </w:pPr>
      <w:r>
        <w:rPr>
          <w:rFonts w:hint="default"/>
          <w:lang w:val="en-PH"/>
        </w:rPr>
        <w:t xml:space="preserve">[1] </w:t>
      </w:r>
      <w:r>
        <w:t xml:space="preserve">Altbach, P. G., Reisberg, L., &amp; Rumbley, L. E. (2009). </w:t>
      </w:r>
      <w:r>
        <w:rPr>
          <w:rStyle w:val="6"/>
        </w:rPr>
        <w:t>Trends in Global Higher Education: Tracking an Academic Revolution</w:t>
      </w:r>
      <w:r>
        <w:t>. UNESCO.</w:t>
      </w:r>
    </w:p>
    <w:p w14:paraId="39255DFA">
      <w:pPr>
        <w:pStyle w:val="8"/>
        <w:keepNext w:val="0"/>
        <w:keepLines w:val="0"/>
        <w:widowControl/>
        <w:suppressLineNumbers w:val="0"/>
        <w:jc w:val="both"/>
      </w:pPr>
      <w:r>
        <w:rPr>
          <w:rFonts w:hint="default"/>
          <w:lang w:val="en-PH"/>
        </w:rPr>
        <w:t xml:space="preserve">[2] </w:t>
      </w:r>
      <w:r>
        <w:t xml:space="preserve">Schomburg, H. (2010). </w:t>
      </w:r>
      <w:r>
        <w:rPr>
          <w:rStyle w:val="6"/>
        </w:rPr>
        <w:t>Employability and Mobility of Bachelor Graduates in Europe</w:t>
      </w:r>
      <w:r>
        <w:t>. CHEERS Project.</w:t>
      </w:r>
    </w:p>
    <w:p w14:paraId="3487E85B">
      <w:pPr>
        <w:pStyle w:val="8"/>
        <w:keepNext w:val="0"/>
        <w:keepLines w:val="0"/>
        <w:widowControl/>
        <w:suppressLineNumbers w:val="0"/>
        <w:jc w:val="both"/>
      </w:pPr>
      <w:r>
        <w:rPr>
          <w:rFonts w:hint="default"/>
          <w:lang w:val="en-PH"/>
        </w:rPr>
        <w:t xml:space="preserve">[3] </w:t>
      </w:r>
      <w:r>
        <w:t xml:space="preserve">Teichler, U. (2007). </w:t>
      </w:r>
      <w:r>
        <w:rPr>
          <w:rStyle w:val="6"/>
        </w:rPr>
        <w:t>Graduate Employment and Work</w:t>
      </w:r>
      <w:r>
        <w:t>. Springer.</w:t>
      </w:r>
    </w:p>
    <w:p w14:paraId="7CBD2A22">
      <w:pPr>
        <w:pStyle w:val="8"/>
        <w:keepNext w:val="0"/>
        <w:keepLines w:val="0"/>
        <w:widowControl/>
        <w:suppressLineNumbers w:val="0"/>
        <w:jc w:val="both"/>
      </w:pPr>
      <w:r>
        <w:rPr>
          <w:rFonts w:hint="default"/>
          <w:lang w:val="en-PH"/>
        </w:rPr>
        <w:t xml:space="preserve">[4] </w:t>
      </w:r>
      <w:r>
        <w:t xml:space="preserve">United Nations. (2020). </w:t>
      </w:r>
      <w:r>
        <w:rPr>
          <w:rStyle w:val="6"/>
        </w:rPr>
        <w:t>The World's Women 2020: Trends and Statistics</w:t>
      </w:r>
    </w:p>
    <w:p w14:paraId="4F2F1420">
      <w:pPr>
        <w:pStyle w:val="8"/>
        <w:keepNext w:val="0"/>
        <w:keepLines w:val="0"/>
        <w:widowControl/>
        <w:suppressLineNumbers w:val="0"/>
        <w:jc w:val="both"/>
      </w:pPr>
      <w:r>
        <w:rPr>
          <w:rFonts w:hint="default"/>
          <w:lang w:val="en-PH"/>
        </w:rPr>
        <w:t>[5]C</w:t>
      </w:r>
      <w:r>
        <w:t xml:space="preserve">ommission on Higher Education (CHED). (2017). </w:t>
      </w:r>
      <w:r>
        <w:rPr>
          <w:rStyle w:val="6"/>
        </w:rPr>
        <w:t>Policies, Standards and Guidelines for Graduate Education</w:t>
      </w:r>
      <w:r>
        <w:t>. CHED Memorandum Order.</w:t>
      </w:r>
    </w:p>
    <w:p w14:paraId="35931CE4">
      <w:pPr>
        <w:pStyle w:val="8"/>
        <w:keepNext w:val="0"/>
        <w:keepLines w:val="0"/>
        <w:widowControl/>
        <w:suppressLineNumbers w:val="0"/>
        <w:jc w:val="both"/>
      </w:pPr>
      <w:r>
        <w:rPr>
          <w:rFonts w:hint="default"/>
          <w:lang w:val="en-PH"/>
        </w:rPr>
        <w:t>[6]</w:t>
      </w:r>
      <w:r>
        <w:t xml:space="preserve">Civil Service Commission (CSC). (2023). </w:t>
      </w:r>
      <w:r>
        <w:rPr>
          <w:rStyle w:val="6"/>
        </w:rPr>
        <w:t>Compensation and Position Classification System</w:t>
      </w:r>
      <w:r>
        <w:t>.</w:t>
      </w:r>
    </w:p>
    <w:p w14:paraId="3216429D">
      <w:pPr>
        <w:pStyle w:val="8"/>
        <w:keepNext w:val="0"/>
        <w:keepLines w:val="0"/>
        <w:widowControl/>
        <w:suppressLineNumbers w:val="0"/>
      </w:pPr>
      <w:r>
        <w:rPr>
          <w:rFonts w:hint="default"/>
          <w:lang w:val="en-PH"/>
        </w:rPr>
        <w:t xml:space="preserve">[7] </w:t>
      </w:r>
      <w:r>
        <w:t xml:space="preserve">Denhardt, R. B., &amp; Denhardt, J. V. (2015). </w:t>
      </w:r>
      <w:r>
        <w:rPr>
          <w:rStyle w:val="6"/>
        </w:rPr>
        <w:t>The New Public Service: Serving, Not Steering</w:t>
      </w:r>
      <w:r>
        <w:t>. Routledge.</w:t>
      </w:r>
    </w:p>
    <w:p w14:paraId="080BCCCE">
      <w:pPr>
        <w:pStyle w:val="8"/>
        <w:keepNext w:val="0"/>
        <w:keepLines w:val="0"/>
        <w:widowControl/>
        <w:suppressLineNumbers w:val="0"/>
      </w:pPr>
      <w:r>
        <w:rPr>
          <w:rFonts w:hint="default"/>
          <w:lang w:val="en-PH"/>
        </w:rPr>
        <w:t xml:space="preserve">[8] </w:t>
      </w:r>
      <w:r>
        <w:t xml:space="preserve">Philippine National Police (PNP). (2022). </w:t>
      </w:r>
      <w:r>
        <w:rPr>
          <w:rStyle w:val="6"/>
        </w:rPr>
        <w:t>PNP Promotion and Awards System Guidelines</w:t>
      </w:r>
      <w:r>
        <w:t>.</w:t>
      </w:r>
    </w:p>
    <w:p w14:paraId="364B3498">
      <w:pPr>
        <w:pStyle w:val="8"/>
        <w:keepNext w:val="0"/>
        <w:keepLines w:val="0"/>
        <w:widowControl/>
        <w:suppressLineNumbers w:val="0"/>
      </w:pPr>
      <w:r>
        <w:rPr>
          <w:rFonts w:hint="default"/>
          <w:lang w:val="en-PH"/>
        </w:rPr>
        <w:t xml:space="preserve">[9] </w:t>
      </w:r>
      <w:r>
        <w:t xml:space="preserve">Schomburg, H. (2010). </w:t>
      </w:r>
      <w:r>
        <w:rPr>
          <w:rStyle w:val="6"/>
        </w:rPr>
        <w:t>Employability and Mobility of Bachelor Graduates in Europe</w:t>
      </w:r>
      <w:r>
        <w:t>. CHEERS Project.</w:t>
      </w:r>
    </w:p>
    <w:p w14:paraId="0B5DFE8E">
      <w:pPr>
        <w:pStyle w:val="8"/>
        <w:keepNext w:val="0"/>
        <w:keepLines w:val="0"/>
        <w:widowControl/>
        <w:suppressLineNumbers w:val="0"/>
      </w:pPr>
      <w:r>
        <w:rPr>
          <w:rFonts w:hint="default"/>
          <w:lang w:val="en-PH"/>
        </w:rPr>
        <w:t>[10]</w:t>
      </w:r>
      <w:r>
        <w:t>Creswell JW. Research design: Qualitative, quantitative, and mixed methods approaches. 4th ed. Thousand Oaks (CA): Sage; 2014.</w:t>
      </w:r>
    </w:p>
    <w:p w14:paraId="420D5803">
      <w:pPr>
        <w:pStyle w:val="8"/>
        <w:keepNext w:val="0"/>
        <w:keepLines w:val="0"/>
        <w:widowControl/>
        <w:suppressLineNumbers w:val="0"/>
        <w:ind w:left="720"/>
      </w:pPr>
    </w:p>
    <w:p w14:paraId="10A07C98">
      <w:pPr>
        <w:pStyle w:val="8"/>
        <w:keepNext w:val="0"/>
        <w:keepLines w:val="0"/>
        <w:widowControl/>
        <w:suppressLineNumbers w:val="0"/>
        <w:ind w:left="720"/>
      </w:pPr>
    </w:p>
    <w:p w14:paraId="0F9C7038">
      <w:pPr>
        <w:pStyle w:val="8"/>
        <w:keepNext w:val="0"/>
        <w:keepLines w:val="0"/>
        <w:widowControl/>
        <w:suppressLineNumbers w:val="0"/>
        <w:ind w:left="720"/>
        <w:jc w:val="both"/>
      </w:pPr>
    </w:p>
    <w:p w14:paraId="0B877A31">
      <w:pPr>
        <w:jc w:val="both"/>
        <w:rPr>
          <w:rFonts w:hint="default" w:ascii="Times New Roman" w:hAnsi="Times New Roman" w:eastAsia="SimSu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7215D"/>
    <w:rsid w:val="123C3B43"/>
    <w:rsid w:val="12B6399B"/>
    <w:rsid w:val="146412C6"/>
    <w:rsid w:val="1BB7215D"/>
    <w:rsid w:val="2EC40E47"/>
    <w:rsid w:val="31202449"/>
    <w:rsid w:val="3F7A0C07"/>
    <w:rsid w:val="4D7A36CB"/>
    <w:rsid w:val="508C65FD"/>
    <w:rsid w:val="64C13CCB"/>
    <w:rsid w:val="750F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qFormat/>
    <w:uiPriority w:val="0"/>
    <w:rPr>
      <w:color w:val="0000FF"/>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4"/>
    <w:qFormat/>
    <w:uiPriority w:val="0"/>
    <w:rPr>
      <w:b/>
      <w:bCs/>
    </w:rPr>
  </w:style>
  <w:style w:type="table" w:styleId="10">
    <w:name w:val="Table Grid"/>
    <w:basedOn w:val="5"/>
    <w:qFormat/>
    <w:uiPriority w:val="39"/>
    <w:pPr>
      <w:spacing w:after="0" w:line="240" w:lineRule="auto"/>
    </w:pPr>
    <w:rPr>
      <w:sz w:val="20"/>
      <w:szCs w:val="20"/>
      <w:lang w:eastAsia="en-PH"/>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1">
    <w:name w:val="Light Shading Accent 1"/>
    <w:basedOn w:val="5"/>
    <w:qFormat/>
    <w:uiPriority w:val="60"/>
    <w:pPr>
      <w:spacing w:after="0" w:line="240" w:lineRule="auto"/>
    </w:pPr>
    <w:rPr>
      <w:rFonts w:eastAsiaTheme="minorEastAsia"/>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12">
    <w:name w:val="List Table 7 Colorful"/>
    <w:basedOn w:val="5"/>
    <w:qFormat/>
    <w:uiPriority w:val="52"/>
    <w:pPr>
      <w:spacing w:after="0" w:line="240" w:lineRule="auto"/>
    </w:pPr>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13">
    <w:name w:val="Decimal Aligned"/>
    <w:basedOn w:val="1"/>
    <w:qFormat/>
    <w:uiPriority w:val="40"/>
    <w:pPr>
      <w:tabs>
        <w:tab w:val="decimal" w:pos="360"/>
      </w:tabs>
    </w:pPr>
    <w:rPr>
      <w:rFonts w:cs="Times New Roman" w:eastAsiaTheme="minorEastAsia"/>
    </w:rPr>
  </w:style>
  <w:style w:type="paragraph" w:styleId="14">
    <w:name w:val="No Spacing"/>
    <w:qFormat/>
    <w:uiPriority w:val="1"/>
    <w:pPr>
      <w:spacing w:after="0" w:line="240" w:lineRule="auto"/>
    </w:pPr>
    <w:rPr>
      <w:rFonts w:ascii="Calibri" w:hAnsi="Calibri" w:eastAsia="Calibri" w:cs="Calibri"/>
      <w:sz w:val="22"/>
      <w:szCs w:val="22"/>
      <w:lang w:val="en-PH"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2608</Words>
  <Characters>16693</Characters>
  <Lines>0</Lines>
  <Paragraphs>0</Paragraphs>
  <TotalTime>220</TotalTime>
  <ScaleCrop>false</ScaleCrop>
  <LinksUpToDate>false</LinksUpToDate>
  <CharactersWithSpaces>19109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2025-08-10T07:31:00Z</dcterms:created>
  <dc:creator>May Larena</dc:creator>
  <cp:lastModifiedBy>Flordeliza Torrico</cp:lastModifiedBy>
  <cp:lastPrinted>2025-08-18T03:50:00Z</cp:lastPrinted>
  <dcterms:modified xsi:type="dcterms:W3CDTF">2026-06-23T06:32:06Z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C893227845B14D12B331E6E9A229FED8_13</vt:lpwstr>
  </property>
  <property fmtid="{D5CDD505-2E9C-101B-9397-08002B2CF9AE}" pid="4" name="KSOTemplateDocerSaveRecord">
    <vt:lpwstr>eyJoZGlkIjoiZjJmN2QwYjFlMjFiMTkxM2NhNjQ2YzFmYzNiNTk2YTEiLCJ1c2VySWQiOiI4ODEzNzY5MTQ0NjQxIn0=</vt:lpwstr>
  </property>
</Properties>
</file>