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8B4D1B" w14:textId="77777777" w:rsidR="00A644D8" w:rsidRDefault="00000000">
      <w:pPr>
        <w:pStyle w:val="Els-1storder-head"/>
        <w:numPr>
          <w:ilvl w:val="0"/>
          <w:numId w:val="0"/>
        </w:numPr>
        <w:spacing w:line="240" w:lineRule="auto"/>
        <w:jc w:val="center"/>
        <w:rPr>
          <w:sz w:val="28"/>
          <w:szCs w:val="28"/>
        </w:rPr>
      </w:pPr>
      <w:r>
        <w:rPr>
          <w:sz w:val="28"/>
          <w:szCs w:val="28"/>
        </w:rPr>
        <w:t>INVESTIGATION OF SUSTAINABLE DESIGN STRATEGIES IMPLEMENTED IN SELECTED YOUTH CENTRES IN NIGERIA</w:t>
      </w:r>
    </w:p>
    <w:p w14:paraId="2039C4B3" w14:textId="2D0CF391" w:rsidR="00A644D8" w:rsidRPr="00FE34A6" w:rsidRDefault="00000000" w:rsidP="00FE34A6">
      <w:pPr>
        <w:jc w:val="center"/>
        <w:rPr>
          <w:rFonts w:ascii="Times New Roman" w:hAnsi="Times New Roman" w:cs="Times New Roman"/>
          <w:b/>
          <w:sz w:val="24"/>
          <w:szCs w:val="24"/>
          <w:lang w:val="en-US"/>
        </w:rPr>
      </w:pPr>
      <w:r>
        <w:rPr>
          <w:rFonts w:ascii="Times New Roman" w:hAnsi="Times New Roman" w:cs="Times New Roman"/>
          <w:sz w:val="20"/>
          <w:szCs w:val="20"/>
          <w:vertAlign w:val="superscript"/>
          <w:lang w:val="en-US"/>
        </w:rPr>
        <w:t>1</w:t>
      </w:r>
      <w:r>
        <w:rPr>
          <w:rFonts w:ascii="Times New Roman" w:hAnsi="Times New Roman" w:cs="Times New Roman"/>
          <w:sz w:val="20"/>
          <w:szCs w:val="20"/>
        </w:rPr>
        <w:t xml:space="preserve">Osahon James EDIAE*, </w:t>
      </w:r>
      <w:r w:rsidRPr="00FE34A6">
        <w:rPr>
          <w:rFonts w:ascii="Times New Roman" w:hAnsi="Times New Roman" w:cs="Times New Roman"/>
          <w:sz w:val="20"/>
          <w:szCs w:val="20"/>
          <w:vertAlign w:val="superscript"/>
          <w:lang w:val="en-US"/>
        </w:rPr>
        <w:t>2</w:t>
      </w:r>
      <w:r w:rsidR="00FE34A6" w:rsidRPr="00FE34A6">
        <w:rPr>
          <w:rFonts w:ascii="Times New Roman" w:hAnsi="Times New Roman" w:cs="Times New Roman"/>
          <w:sz w:val="20"/>
          <w:szCs w:val="20"/>
          <w:lang w:val="en-US"/>
        </w:rPr>
        <w:t>Thaddeus ORIGHO</w:t>
      </w:r>
      <w:r>
        <w:rPr>
          <w:rFonts w:ascii="Times New Roman" w:hAnsi="Times New Roman" w:cs="Times New Roman"/>
          <w:sz w:val="20"/>
          <w:szCs w:val="20"/>
          <w:lang w:val="en-US"/>
        </w:rPr>
        <w:t xml:space="preserve">, </w:t>
      </w:r>
      <w:r>
        <w:rPr>
          <w:rFonts w:ascii="Times New Roman" w:hAnsi="Times New Roman" w:cs="Times New Roman"/>
          <w:sz w:val="20"/>
          <w:szCs w:val="20"/>
          <w:vertAlign w:val="superscript"/>
          <w:lang w:val="en-US"/>
        </w:rPr>
        <w:t>3</w:t>
      </w:r>
      <w:r>
        <w:rPr>
          <w:rFonts w:ascii="Times New Roman" w:hAnsi="Times New Roman" w:cs="Times New Roman"/>
          <w:sz w:val="20"/>
          <w:szCs w:val="20"/>
        </w:rPr>
        <w:t>Olubunmi Oluchi EGWU-CHUKWU,</w:t>
      </w:r>
      <w:r>
        <w:rPr>
          <w:rFonts w:ascii="Times New Roman" w:hAnsi="Times New Roman" w:cs="Times New Roman"/>
          <w:b/>
          <w:bCs/>
          <w:sz w:val="20"/>
          <w:szCs w:val="20"/>
        </w:rPr>
        <w:t xml:space="preserve"> </w:t>
      </w:r>
      <w:r>
        <w:rPr>
          <w:rFonts w:ascii="Times New Roman" w:hAnsi="Times New Roman" w:cs="Times New Roman"/>
          <w:b/>
          <w:bCs/>
          <w:sz w:val="20"/>
          <w:szCs w:val="20"/>
          <w:vertAlign w:val="superscript"/>
          <w:lang w:val="en-US"/>
        </w:rPr>
        <w:t>4</w:t>
      </w:r>
      <w:r>
        <w:rPr>
          <w:rFonts w:ascii="Times New Roman" w:hAnsi="Times New Roman" w:cs="Times New Roman"/>
          <w:bCs/>
          <w:sz w:val="20"/>
          <w:szCs w:val="20"/>
        </w:rPr>
        <w:t>Chukwuemeke Ufeli OVILI</w:t>
      </w:r>
      <w:r>
        <w:rPr>
          <w:rFonts w:ascii="Times New Roman" w:hAnsi="Times New Roman" w:cs="Times New Roman"/>
          <w:bCs/>
          <w:sz w:val="20"/>
          <w:szCs w:val="20"/>
          <w:lang w:val="en-US"/>
        </w:rPr>
        <w:t xml:space="preserve"> </w:t>
      </w:r>
      <w:r w:rsidR="00FE34A6">
        <w:rPr>
          <w:rFonts w:ascii="Times New Roman" w:hAnsi="Times New Roman" w:cs="Times New Roman"/>
          <w:bCs/>
          <w:sz w:val="20"/>
          <w:szCs w:val="20"/>
          <w:lang w:val="en-US"/>
        </w:rPr>
        <w:t xml:space="preserve">and </w:t>
      </w:r>
      <w:r w:rsidR="00FE34A6" w:rsidRPr="00FE34A6">
        <w:rPr>
          <w:rFonts w:ascii="Times New Roman" w:hAnsi="Times New Roman" w:cs="Times New Roman"/>
          <w:bCs/>
          <w:sz w:val="20"/>
          <w:szCs w:val="20"/>
          <w:vertAlign w:val="superscript"/>
          <w:lang w:val="en-US"/>
        </w:rPr>
        <w:t>5</w:t>
      </w:r>
      <w:r w:rsidR="00FE34A6" w:rsidRPr="00FE34A6">
        <w:rPr>
          <w:rFonts w:ascii="Times New Roman" w:hAnsi="Times New Roman" w:cs="Times New Roman"/>
          <w:bCs/>
          <w:sz w:val="20"/>
          <w:szCs w:val="20"/>
          <w:lang w:val="en-US"/>
        </w:rPr>
        <w:t>Olawumi Adekunle ADEYEMO</w:t>
      </w:r>
    </w:p>
    <w:p w14:paraId="633BB78B" w14:textId="71B2F68A" w:rsidR="00A644D8" w:rsidRDefault="00000000">
      <w:pPr>
        <w:jc w:val="both"/>
        <w:rPr>
          <w:rFonts w:ascii="Times New Roman" w:hAnsi="Times New Roman" w:cs="Times New Roman"/>
          <w:sz w:val="20"/>
          <w:szCs w:val="20"/>
          <w:lang w:val="en-US"/>
        </w:rPr>
      </w:pPr>
      <w:r>
        <w:rPr>
          <w:rFonts w:ascii="Times New Roman" w:hAnsi="Times New Roman" w:cs="Times New Roman"/>
          <w:sz w:val="20"/>
          <w:szCs w:val="20"/>
          <w:vertAlign w:val="superscript"/>
          <w:lang w:val="en-US"/>
        </w:rPr>
        <w:t>1&amp;</w:t>
      </w:r>
      <w:r w:rsidR="00FE34A6">
        <w:rPr>
          <w:rFonts w:ascii="Times New Roman" w:hAnsi="Times New Roman" w:cs="Times New Roman"/>
          <w:sz w:val="20"/>
          <w:szCs w:val="20"/>
          <w:vertAlign w:val="superscript"/>
          <w:lang w:val="en-US"/>
        </w:rPr>
        <w:t>4</w:t>
      </w:r>
      <w:r>
        <w:rPr>
          <w:rFonts w:ascii="Times New Roman" w:hAnsi="Times New Roman" w:cs="Times New Roman"/>
          <w:sz w:val="20"/>
          <w:szCs w:val="20"/>
          <w:lang w:val="en-US"/>
        </w:rPr>
        <w:t xml:space="preserve">Department of Architecture, University of Delta, Agbor, Delta State, Nigeria. </w:t>
      </w:r>
    </w:p>
    <w:p w14:paraId="7FCCE283" w14:textId="2C376B2C" w:rsidR="00A644D8" w:rsidRDefault="00FE34A6">
      <w:pPr>
        <w:jc w:val="both"/>
        <w:rPr>
          <w:rFonts w:ascii="Times New Roman" w:hAnsi="Times New Roman" w:cs="Times New Roman"/>
          <w:bCs/>
          <w:sz w:val="20"/>
          <w:szCs w:val="20"/>
          <w:lang w:val="en-US"/>
        </w:rPr>
      </w:pPr>
      <w:r>
        <w:rPr>
          <w:rFonts w:ascii="Times New Roman" w:hAnsi="Times New Roman" w:cs="Times New Roman"/>
          <w:sz w:val="20"/>
          <w:szCs w:val="20"/>
          <w:vertAlign w:val="superscript"/>
          <w:lang w:val="en-US"/>
        </w:rPr>
        <w:t>2</w:t>
      </w:r>
      <w:r>
        <w:rPr>
          <w:rFonts w:ascii="Times New Roman" w:hAnsi="Times New Roman" w:cs="Times New Roman"/>
          <w:sz w:val="20"/>
          <w:szCs w:val="20"/>
          <w:lang w:val="en-US"/>
        </w:rPr>
        <w:t xml:space="preserve">Department </w:t>
      </w:r>
      <w:r>
        <w:rPr>
          <w:rFonts w:ascii="Times New Roman" w:hAnsi="Times New Roman" w:cs="Times New Roman"/>
          <w:bCs/>
          <w:sz w:val="20"/>
          <w:szCs w:val="20"/>
          <w:lang w:val="en-US"/>
        </w:rPr>
        <w:t xml:space="preserve">of Geography and </w:t>
      </w:r>
      <w:r w:rsidR="002C323B" w:rsidRPr="002C323B">
        <w:rPr>
          <w:rFonts w:ascii="Times New Roman" w:hAnsi="Times New Roman" w:cs="Times New Roman"/>
          <w:bCs/>
          <w:sz w:val="20"/>
          <w:szCs w:val="20"/>
          <w:lang w:val="en-US"/>
        </w:rPr>
        <w:t xml:space="preserve">Environmental </w:t>
      </w:r>
      <w:r>
        <w:rPr>
          <w:rFonts w:ascii="Times New Roman" w:hAnsi="Times New Roman" w:cs="Times New Roman"/>
          <w:bCs/>
          <w:sz w:val="20"/>
          <w:szCs w:val="20"/>
          <w:lang w:val="en-US"/>
        </w:rPr>
        <w:t xml:space="preserve">Management, </w:t>
      </w:r>
      <w:r>
        <w:rPr>
          <w:rFonts w:ascii="Times New Roman" w:hAnsi="Times New Roman" w:cs="Times New Roman"/>
          <w:bCs/>
          <w:sz w:val="20"/>
          <w:szCs w:val="20"/>
        </w:rPr>
        <w:t>Faculty of Environmental Sciences, University of Delta, Agbor.</w:t>
      </w:r>
    </w:p>
    <w:p w14:paraId="600FA231" w14:textId="32CCE7A3" w:rsidR="00FE34A6" w:rsidRPr="00FE34A6" w:rsidRDefault="00FE34A6">
      <w:pPr>
        <w:jc w:val="both"/>
        <w:rPr>
          <w:rFonts w:ascii="Times New Roman" w:hAnsi="Times New Roman" w:cs="Times New Roman"/>
          <w:bCs/>
          <w:sz w:val="20"/>
          <w:szCs w:val="20"/>
          <w:lang w:val="en-US"/>
        </w:rPr>
      </w:pPr>
      <w:r w:rsidRPr="00FE34A6">
        <w:rPr>
          <w:rFonts w:ascii="Times New Roman" w:hAnsi="Times New Roman" w:cs="Times New Roman"/>
          <w:bCs/>
          <w:sz w:val="20"/>
          <w:szCs w:val="20"/>
          <w:vertAlign w:val="superscript"/>
          <w:lang w:val="en-US"/>
        </w:rPr>
        <w:t>3</w:t>
      </w:r>
      <w:r w:rsidRPr="00FE34A6">
        <w:rPr>
          <w:rFonts w:ascii="Times New Roman" w:hAnsi="Times New Roman" w:cs="Times New Roman"/>
          <w:bCs/>
          <w:sz w:val="20"/>
          <w:szCs w:val="20"/>
          <w:lang w:val="en-US"/>
        </w:rPr>
        <w:t>Department of Architecture, College of Science and Technology, Covenant University, Ota.</w:t>
      </w:r>
    </w:p>
    <w:p w14:paraId="2CE3FD5B" w14:textId="79DF2F0E" w:rsidR="00FE34A6" w:rsidRPr="00FE34A6" w:rsidRDefault="00FE34A6">
      <w:pPr>
        <w:jc w:val="both"/>
        <w:rPr>
          <w:rFonts w:ascii="Times New Roman" w:hAnsi="Times New Roman" w:cs="Times New Roman"/>
          <w:bCs/>
          <w:sz w:val="20"/>
          <w:szCs w:val="20"/>
          <w:lang w:val="en-US"/>
        </w:rPr>
      </w:pPr>
      <w:r w:rsidRPr="00FE34A6">
        <w:rPr>
          <w:rFonts w:ascii="Times New Roman" w:hAnsi="Times New Roman" w:cs="Times New Roman"/>
          <w:bCs/>
          <w:sz w:val="20"/>
          <w:szCs w:val="20"/>
          <w:vertAlign w:val="superscript"/>
          <w:lang w:val="en-US"/>
        </w:rPr>
        <w:t>4</w:t>
      </w:r>
      <w:r w:rsidRPr="00FE34A6">
        <w:rPr>
          <w:rFonts w:ascii="Times New Roman" w:hAnsi="Times New Roman" w:cs="Times New Roman"/>
          <w:bCs/>
          <w:sz w:val="20"/>
          <w:szCs w:val="20"/>
          <w:lang w:val="en-US"/>
        </w:rPr>
        <w:t xml:space="preserve">Department of Architecture, Faculty of Environmental Design and Management, Oduduwa University, </w:t>
      </w:r>
      <w:proofErr w:type="spellStart"/>
      <w:r w:rsidRPr="00FE34A6">
        <w:rPr>
          <w:rFonts w:ascii="Times New Roman" w:hAnsi="Times New Roman" w:cs="Times New Roman"/>
          <w:bCs/>
          <w:sz w:val="20"/>
          <w:szCs w:val="20"/>
          <w:lang w:val="en-US"/>
        </w:rPr>
        <w:t>Ipetumodu</w:t>
      </w:r>
      <w:proofErr w:type="spellEnd"/>
      <w:r w:rsidRPr="00FE34A6">
        <w:rPr>
          <w:rFonts w:ascii="Times New Roman" w:hAnsi="Times New Roman" w:cs="Times New Roman"/>
          <w:bCs/>
          <w:sz w:val="20"/>
          <w:szCs w:val="20"/>
          <w:lang w:val="en-US"/>
        </w:rPr>
        <w:t>.</w:t>
      </w:r>
    </w:p>
    <w:p w14:paraId="721AB80B" w14:textId="77777777" w:rsidR="00A644D8" w:rsidRDefault="00A644D8">
      <w:pPr>
        <w:spacing w:after="0" w:line="240" w:lineRule="auto"/>
        <w:jc w:val="center"/>
        <w:rPr>
          <w:rFonts w:ascii="Times New Roman" w:hAnsi="Times New Roman" w:cs="Times New Roman"/>
          <w:sz w:val="20"/>
          <w:szCs w:val="20"/>
          <w:lang w:val="en-US"/>
        </w:rPr>
      </w:pPr>
    </w:p>
    <w:p w14:paraId="061372F7" w14:textId="26A5E364" w:rsidR="00A644D8" w:rsidRDefault="00000000">
      <w:pPr>
        <w:spacing w:line="240" w:lineRule="auto"/>
        <w:jc w:val="center"/>
        <w:rPr>
          <w:rFonts w:ascii="Times New Roman" w:hAnsi="Times New Roman" w:cs="Times New Roman"/>
          <w:sz w:val="20"/>
          <w:szCs w:val="20"/>
          <w:lang w:val="en-US"/>
        </w:rPr>
      </w:pPr>
      <w:r>
        <w:rPr>
          <w:rFonts w:ascii="Times New Roman" w:hAnsi="Times New Roman" w:cs="Times New Roman"/>
          <w:sz w:val="20"/>
          <w:szCs w:val="20"/>
          <w:vertAlign w:val="superscript"/>
          <w:lang w:val="en-US"/>
        </w:rPr>
        <w:t>1</w:t>
      </w:r>
      <w:r>
        <w:rPr>
          <w:rFonts w:ascii="Times New Roman" w:hAnsi="Times New Roman" w:cs="Times New Roman"/>
          <w:sz w:val="20"/>
          <w:szCs w:val="20"/>
          <w:lang w:val="en-US"/>
        </w:rPr>
        <w:t xml:space="preserve"> </w:t>
      </w:r>
      <w:hyperlink r:id="rId8" w:history="1">
        <w:r w:rsidR="00A644D8">
          <w:rPr>
            <w:rStyle w:val="Hyperlink"/>
            <w:rFonts w:ascii="Times New Roman" w:hAnsi="Times New Roman" w:cs="Times New Roman"/>
            <w:color w:val="000000" w:themeColor="text1"/>
            <w:sz w:val="20"/>
            <w:szCs w:val="20"/>
            <w:u w:val="none"/>
            <w:lang w:val="en-US"/>
          </w:rPr>
          <w:t>osahon.ediae@unidel.edu.ng</w:t>
        </w:r>
      </w:hyperlink>
      <w:r>
        <w:rPr>
          <w:rFonts w:ascii="Times New Roman" w:hAnsi="Times New Roman" w:cs="Times New Roman"/>
          <w:color w:val="000000" w:themeColor="text1"/>
          <w:sz w:val="20"/>
          <w:szCs w:val="20"/>
          <w:lang w:val="en-US"/>
        </w:rPr>
        <w:t xml:space="preserve">; </w:t>
      </w:r>
      <w:hyperlink r:id="rId9" w:history="1">
        <w:r w:rsidR="00A644D8">
          <w:rPr>
            <w:rStyle w:val="Hyperlink"/>
            <w:rFonts w:ascii="Times New Roman" w:hAnsi="Times New Roman" w:cs="Times New Roman"/>
            <w:sz w:val="20"/>
            <w:szCs w:val="20"/>
            <w:lang w:val="en-US"/>
          </w:rPr>
          <w:t>mansahon@gmail.com;</w:t>
        </w:r>
      </w:hyperlink>
      <w:r>
        <w:rPr>
          <w:rFonts w:ascii="Times New Roman" w:hAnsi="Times New Roman" w:cs="Times New Roman"/>
          <w:color w:val="000000" w:themeColor="text1"/>
          <w:sz w:val="20"/>
          <w:szCs w:val="20"/>
          <w:lang w:val="en-US"/>
        </w:rPr>
        <w:t xml:space="preserve"> </w:t>
      </w:r>
      <w:r>
        <w:rPr>
          <w:rFonts w:ascii="Times New Roman" w:hAnsi="Times New Roman" w:cs="Times New Roman"/>
          <w:color w:val="000000" w:themeColor="text1"/>
          <w:sz w:val="20"/>
          <w:szCs w:val="20"/>
          <w:vertAlign w:val="superscript"/>
          <w:lang w:val="en-US"/>
        </w:rPr>
        <w:t>2</w:t>
      </w:r>
      <w:r>
        <w:rPr>
          <w:rFonts w:ascii="Times New Roman" w:hAnsi="Times New Roman" w:cs="Times New Roman"/>
          <w:color w:val="000000" w:themeColor="text1"/>
          <w:sz w:val="20"/>
          <w:szCs w:val="20"/>
          <w:lang w:val="en-US"/>
        </w:rPr>
        <w:t xml:space="preserve"> </w:t>
      </w:r>
      <w:r w:rsidR="00C03497">
        <w:rPr>
          <w:rFonts w:ascii="Times New Roman" w:hAnsi="Times New Roman" w:cs="Times New Roman"/>
          <w:color w:val="000000" w:themeColor="text1"/>
          <w:sz w:val="20"/>
          <w:szCs w:val="20"/>
          <w:lang w:val="en-US"/>
        </w:rPr>
        <w:t>thaddeus.origho</w:t>
      </w:r>
      <w:r>
        <w:rPr>
          <w:rFonts w:ascii="Times New Roman" w:hAnsi="Times New Roman" w:cs="Times New Roman"/>
          <w:color w:val="000000" w:themeColor="text1"/>
          <w:sz w:val="20"/>
          <w:szCs w:val="20"/>
          <w:lang w:val="en-US"/>
        </w:rPr>
        <w:t>@unidel.</w:t>
      </w:r>
      <w:proofErr w:type="spellStart"/>
      <w:r>
        <w:rPr>
          <w:rFonts w:ascii="Times New Roman" w:hAnsi="Times New Roman" w:cs="Times New Roman"/>
          <w:color w:val="000000" w:themeColor="text1"/>
          <w:sz w:val="20"/>
          <w:szCs w:val="20"/>
          <w:lang w:val="en-US"/>
        </w:rPr>
        <w:t>edu</w:t>
      </w:r>
      <w:proofErr w:type="spellEnd"/>
      <w:r>
        <w:rPr>
          <w:rFonts w:ascii="Times New Roman" w:hAnsi="Times New Roman" w:cs="Times New Roman"/>
          <w:color w:val="000000" w:themeColor="text1"/>
          <w:sz w:val="20"/>
          <w:szCs w:val="20"/>
          <w:lang w:val="en-US"/>
        </w:rPr>
        <w:t>..ng</w:t>
      </w:r>
      <w:r>
        <w:rPr>
          <w:rFonts w:ascii="Times New Roman" w:hAnsi="Times New Roman" w:cs="Times New Roman"/>
          <w:color w:val="000000" w:themeColor="text1"/>
          <w:sz w:val="20"/>
          <w:szCs w:val="20"/>
          <w:vertAlign w:val="subscript"/>
          <w:lang w:val="en-US"/>
        </w:rPr>
        <w:t xml:space="preserve">  </w:t>
      </w:r>
      <w:r>
        <w:rPr>
          <w:rFonts w:ascii="Times New Roman" w:hAnsi="Times New Roman" w:cs="Times New Roman"/>
          <w:color w:val="000000" w:themeColor="text1"/>
          <w:sz w:val="20"/>
          <w:szCs w:val="20"/>
          <w:vertAlign w:val="superscript"/>
          <w:lang w:val="en-US"/>
        </w:rPr>
        <w:t>3</w:t>
      </w:r>
      <w:hyperlink r:id="rId10" w:history="1">
        <w:r w:rsidR="00A644D8">
          <w:rPr>
            <w:rStyle w:val="Hyperlink"/>
            <w:rFonts w:ascii="Times New Roman" w:hAnsi="Times New Roman" w:cs="Times New Roman"/>
            <w:color w:val="000000" w:themeColor="text1"/>
            <w:sz w:val="20"/>
            <w:szCs w:val="20"/>
            <w:u w:val="none"/>
            <w:lang w:val="en-US"/>
          </w:rPr>
          <w:t>olubunmi.egwu-chukwupgs@stu.cu.edu.ng</w:t>
        </w:r>
      </w:hyperlink>
      <w:r w:rsidR="00C03497">
        <w:rPr>
          <w:lang w:val="en-US"/>
        </w:rPr>
        <w:t xml:space="preserve">; </w:t>
      </w:r>
      <w:r w:rsidR="00C03497" w:rsidRPr="00C03497">
        <w:rPr>
          <w:rFonts w:ascii="Times New Roman" w:hAnsi="Times New Roman" w:cs="Times New Roman"/>
          <w:sz w:val="20"/>
          <w:szCs w:val="20"/>
          <w:vertAlign w:val="superscript"/>
          <w:lang w:val="en-US"/>
        </w:rPr>
        <w:t>4</w:t>
      </w:r>
      <w:r w:rsidR="00C03497" w:rsidRPr="00C03497">
        <w:rPr>
          <w:rFonts w:ascii="Times New Roman" w:hAnsi="Times New Roman" w:cs="Times New Roman"/>
          <w:sz w:val="20"/>
          <w:szCs w:val="20"/>
          <w:lang w:val="en-US"/>
        </w:rPr>
        <w:t>chukwuemeka.ovili@unidel.edu.ng</w:t>
      </w:r>
      <w:r w:rsidR="00C03497" w:rsidRPr="00C03497">
        <w:rPr>
          <w:rFonts w:ascii="Times New Roman" w:hAnsi="Times New Roman" w:cs="Times New Roman"/>
          <w:lang w:val="en-US"/>
        </w:rPr>
        <w:t xml:space="preserve"> </w:t>
      </w:r>
      <w:r w:rsidRPr="00C03497">
        <w:rPr>
          <w:rFonts w:ascii="Times New Roman" w:hAnsi="Times New Roman" w:cs="Times New Roman"/>
          <w:color w:val="000000" w:themeColor="text1"/>
          <w:sz w:val="20"/>
          <w:szCs w:val="20"/>
          <w:lang w:val="en-US"/>
        </w:rPr>
        <w:t xml:space="preserve">&amp; </w:t>
      </w:r>
      <w:r w:rsidRPr="00C03497">
        <w:rPr>
          <w:rFonts w:ascii="Times New Roman" w:hAnsi="Times New Roman" w:cs="Times New Roman"/>
          <w:color w:val="000000" w:themeColor="text1"/>
          <w:sz w:val="20"/>
          <w:szCs w:val="20"/>
          <w:vertAlign w:val="superscript"/>
          <w:lang w:val="en-US"/>
        </w:rPr>
        <w:t>5</w:t>
      </w:r>
      <w:r w:rsidR="00C03497" w:rsidRPr="00C03497">
        <w:rPr>
          <w:rFonts w:ascii="Times New Roman" w:hAnsi="Times New Roman" w:cs="Times New Roman"/>
          <w:color w:val="0000FF"/>
          <w:sz w:val="20"/>
          <w:szCs w:val="20"/>
          <w:lang w:val="en-US"/>
        </w:rPr>
        <w:t>adeyemokay1@gmail.com</w:t>
      </w:r>
    </w:p>
    <w:p w14:paraId="332E0FAD" w14:textId="77777777" w:rsidR="00A644D8" w:rsidRDefault="00000000">
      <w:pPr>
        <w:pStyle w:val="Els-1storder-head"/>
        <w:numPr>
          <w:ilvl w:val="0"/>
          <w:numId w:val="0"/>
        </w:numPr>
        <w:spacing w:after="0" w:line="240" w:lineRule="auto"/>
        <w:rPr>
          <w:sz w:val="28"/>
          <w:szCs w:val="28"/>
          <w:vertAlign w:val="superscript"/>
        </w:rPr>
      </w:pPr>
      <w:r>
        <w:rPr>
          <w:sz w:val="28"/>
          <w:szCs w:val="28"/>
        </w:rPr>
        <w:t xml:space="preserve">ABSTRACT      </w:t>
      </w:r>
    </w:p>
    <w:p w14:paraId="091C1E31" w14:textId="77777777" w:rsidR="00A644D8" w:rsidRDefault="00000000">
      <w:pPr>
        <w:pStyle w:val="Els-1storder-head"/>
        <w:numPr>
          <w:ilvl w:val="0"/>
          <w:numId w:val="0"/>
        </w:numPr>
        <w:spacing w:line="240" w:lineRule="auto"/>
        <w:jc w:val="both"/>
        <w:rPr>
          <w:sz w:val="22"/>
          <w:szCs w:val="22"/>
        </w:rPr>
      </w:pPr>
      <w:bookmarkStart w:id="0" w:name="_Hlk134390413"/>
      <w:r>
        <w:rPr>
          <w:b w:val="0"/>
          <w:bCs/>
          <w:color w:val="222222"/>
          <w:sz w:val="22"/>
          <w:szCs w:val="22"/>
          <w:shd w:val="clear" w:color="auto" w:fill="FFFFFF"/>
        </w:rPr>
        <w:t>This study investigates the sustainable design strategies implemented in selected youth centers in Nigeria, aiming to evaluate their contribution to environmental sustainability. A systematic review of existing literature served as the primary method for data collection, employing qualitative research techniques. The search utilized multiple search engines, including ResearchGate and Google Scholar, along with additional websites with relevant information on sustainable design strategies in youth centers. This review was limited to publications from the past ten years. The gathered data underwent content analysis, which was subsequently presented through thematic analysis. The findings indicate that none of the case studies sufficiently incorporated all necessary sustainable design strategies, particularly regarding energy efficiency and sustainable site utilization. This research underscores the significance of sustainable design strategies in promoting environmental sustainability in public buildings. Implementing these strategies not only reduces energy consumption but also offers additional environmental benefits, positively affecting both public health and stakeholder finances. Ultimately, this study aims to contribute to the development of a framework that empowers building stakeholders to integrate sustainable design strategies at every stage of the building project life-cycle. </w:t>
      </w:r>
      <w:bookmarkEnd w:id="0"/>
    </w:p>
    <w:p w14:paraId="16BEF613" w14:textId="77777777" w:rsidR="00A644D8" w:rsidRDefault="00000000">
      <w:pPr>
        <w:spacing w:line="240" w:lineRule="auto"/>
        <w:jc w:val="both"/>
        <w:rPr>
          <w:rFonts w:ascii="Times New Roman" w:hAnsi="Times New Roman" w:cs="Times New Roman"/>
          <w:b/>
          <w:iCs/>
          <w:lang w:val="en-US"/>
        </w:rPr>
      </w:pPr>
      <w:r>
        <w:rPr>
          <w:rFonts w:ascii="Times New Roman" w:hAnsi="Times New Roman" w:cs="Times New Roman"/>
          <w:b/>
          <w:iCs/>
        </w:rPr>
        <w:t xml:space="preserve">Keywords: </w:t>
      </w:r>
      <w:r>
        <w:rPr>
          <w:rFonts w:ascii="Times New Roman" w:hAnsi="Times New Roman" w:cs="Times New Roman"/>
          <w:b/>
          <w:iCs/>
          <w:lang w:val="en-US"/>
        </w:rPr>
        <w:t xml:space="preserve">Investigation, </w:t>
      </w:r>
      <w:r>
        <w:rPr>
          <w:rFonts w:ascii="Times New Roman" w:hAnsi="Times New Roman" w:cs="Times New Roman"/>
          <w:b/>
          <w:iCs/>
        </w:rPr>
        <w:t>Sustainable Design</w:t>
      </w:r>
      <w:r>
        <w:rPr>
          <w:rFonts w:ascii="Times New Roman" w:hAnsi="Times New Roman" w:cs="Times New Roman"/>
          <w:b/>
          <w:iCs/>
          <w:lang w:val="en-US"/>
        </w:rPr>
        <w:t>,</w:t>
      </w:r>
      <w:r>
        <w:rPr>
          <w:rFonts w:ascii="Times New Roman" w:hAnsi="Times New Roman" w:cs="Times New Roman"/>
          <w:b/>
          <w:iCs/>
        </w:rPr>
        <w:t xml:space="preserve"> Strategies</w:t>
      </w:r>
      <w:r>
        <w:rPr>
          <w:rFonts w:ascii="Times New Roman" w:hAnsi="Times New Roman" w:cs="Times New Roman"/>
          <w:b/>
          <w:iCs/>
          <w:lang w:val="en-US"/>
        </w:rPr>
        <w:t xml:space="preserve"> </w:t>
      </w:r>
      <w:proofErr w:type="spellStart"/>
      <w:r>
        <w:rPr>
          <w:rFonts w:ascii="Times New Roman" w:hAnsi="Times New Roman" w:cs="Times New Roman"/>
          <w:b/>
          <w:iCs/>
          <w:lang w:val="en-US"/>
        </w:rPr>
        <w:t>Implimented</w:t>
      </w:r>
      <w:proofErr w:type="spellEnd"/>
      <w:r>
        <w:rPr>
          <w:rFonts w:ascii="Times New Roman" w:hAnsi="Times New Roman" w:cs="Times New Roman"/>
          <w:b/>
          <w:iCs/>
          <w:lang w:val="en-US"/>
        </w:rPr>
        <w:t xml:space="preserve">, Selected, </w:t>
      </w:r>
      <w:r>
        <w:rPr>
          <w:rFonts w:ascii="Times New Roman" w:hAnsi="Times New Roman" w:cs="Times New Roman"/>
          <w:b/>
          <w:iCs/>
        </w:rPr>
        <w:t>Youth Centres</w:t>
      </w:r>
      <w:r>
        <w:rPr>
          <w:rFonts w:ascii="Times New Roman" w:hAnsi="Times New Roman" w:cs="Times New Roman"/>
          <w:b/>
          <w:iCs/>
          <w:lang w:val="en-US"/>
        </w:rPr>
        <w:t>.</w:t>
      </w:r>
    </w:p>
    <w:p w14:paraId="36F2FA30" w14:textId="77777777" w:rsidR="00A644D8" w:rsidRDefault="00A644D8">
      <w:pPr>
        <w:spacing w:line="240" w:lineRule="auto"/>
        <w:jc w:val="both"/>
        <w:rPr>
          <w:rFonts w:ascii="Times New Roman" w:hAnsi="Times New Roman" w:cs="Times New Roman"/>
          <w:b/>
          <w:iCs/>
          <w:lang w:val="en-US"/>
        </w:rPr>
      </w:pPr>
    </w:p>
    <w:p w14:paraId="2274E1A0" w14:textId="77777777" w:rsidR="00A644D8" w:rsidRDefault="00000000">
      <w:pPr>
        <w:pStyle w:val="ListParagraph"/>
        <w:numPr>
          <w:ilvl w:val="0"/>
          <w:numId w:val="2"/>
        </w:numPr>
        <w:spacing w:line="240" w:lineRule="auto"/>
        <w:ind w:hanging="1080"/>
        <w:jc w:val="both"/>
        <w:rPr>
          <w:rFonts w:ascii="Times New Roman" w:hAnsi="Times New Roman" w:cs="Times New Roman"/>
          <w:b/>
          <w:bCs/>
          <w:iCs/>
        </w:rPr>
      </w:pPr>
      <w:r>
        <w:rPr>
          <w:rFonts w:ascii="Times New Roman" w:hAnsi="Times New Roman" w:cs="Times New Roman"/>
          <w:b/>
          <w:bCs/>
          <w:iCs/>
          <w:lang w:val="en-US"/>
        </w:rPr>
        <w:t>Introduction</w:t>
      </w:r>
    </w:p>
    <w:p w14:paraId="790076F6" w14:textId="77777777" w:rsidR="00A644D8" w:rsidRDefault="00000000">
      <w:pPr>
        <w:spacing w:line="240" w:lineRule="auto"/>
        <w:jc w:val="both"/>
        <w:rPr>
          <w:rFonts w:ascii="Times New Roman" w:hAnsi="Times New Roman" w:cs="Times New Roman"/>
          <w:iCs/>
          <w:lang w:val="en-US"/>
        </w:rPr>
      </w:pPr>
      <w:r>
        <w:rPr>
          <w:rFonts w:ascii="Times New Roman" w:hAnsi="Times New Roman" w:cs="Times New Roman"/>
          <w:iCs/>
          <w:lang w:val="en-US"/>
        </w:rPr>
        <w:t>A nation’s greatest asset is its youth, whose potential is intrinsically linked to its growth and development</w:t>
      </w:r>
      <w:r>
        <w:rPr>
          <w:rFonts w:ascii="Times New Roman" w:hAnsi="Times New Roman" w:cs="Times New Roman"/>
          <w:lang w:val="en-US"/>
        </w:rPr>
        <w:t xml:space="preserve"> </w:t>
      </w:r>
      <w:r>
        <w:rPr>
          <w:rFonts w:ascii="Times New Roman" w:hAnsi="Times New Roman" w:cs="Times New Roman"/>
          <w:b/>
          <w:bCs/>
          <w:iCs/>
          <w:lang w:val="en-US"/>
        </w:rPr>
        <w:fldChar w:fldCharType="begin"/>
      </w:r>
      <w:r>
        <w:rPr>
          <w:rFonts w:ascii="Times New Roman" w:hAnsi="Times New Roman" w:cs="Times New Roman"/>
          <w:b/>
          <w:bCs/>
          <w:iCs/>
          <w:lang w:val="en-US"/>
        </w:rPr>
        <w:instrText xml:space="preserve"> ADDIN ZOTERO_ITEM CSL_CITATION {"citationID":"HqnDcgT9","properties":{"formattedCitation":"(Idike &amp; Eme, 2015)","plainCitation":"(Idike &amp; Eme, 2015)","noteIndex":0},"citationItems":[{"id":176,"uris":["http://zotero.org/users/local/7lcSuQLw/items/VAWW77LI"],"itemData":{"id":176,"type":"article-journal","container-title":"Journal of Policy and Development Studies","DOI":"10.12816/0018243","ISSN":"15979385","issue":"5","journalAbbreviation":"JPDS","language":"en","page":"50-71","source":"DOI.org (Crossref)","title":"Role of the Youths in Nation Building","volume":"9","author":[{"family":"Idike","given":"Adeline"},{"family":"Eme","given":"Okechukwu Innocent"}],"issued":{"date-parts":[["2015",11]]}}}],"schema":"https://github.com/citation-style-language/schema/raw/master/csl-citation.json"} </w:instrText>
      </w:r>
      <w:r>
        <w:rPr>
          <w:rFonts w:ascii="Times New Roman" w:hAnsi="Times New Roman" w:cs="Times New Roman"/>
          <w:b/>
          <w:bCs/>
          <w:iCs/>
          <w:lang w:val="en-US"/>
        </w:rPr>
        <w:fldChar w:fldCharType="separate"/>
      </w:r>
      <w:r>
        <w:rPr>
          <w:rFonts w:ascii="Times New Roman" w:hAnsi="Times New Roman" w:cs="Times New Roman"/>
        </w:rPr>
        <w:t>(Idike &amp; Eme, 2015)</w:t>
      </w:r>
      <w:r>
        <w:rPr>
          <w:rFonts w:ascii="Times New Roman" w:hAnsi="Times New Roman" w:cs="Times New Roman"/>
          <w:b/>
          <w:bCs/>
          <w:iCs/>
          <w:lang w:val="en-US"/>
        </w:rPr>
        <w:fldChar w:fldCharType="end"/>
      </w:r>
      <w:r>
        <w:rPr>
          <w:rFonts w:ascii="Times New Roman" w:hAnsi="Times New Roman" w:cs="Times New Roman"/>
          <w:b/>
          <w:bCs/>
          <w:iCs/>
          <w:lang w:val="en-US"/>
        </w:rPr>
        <w:t xml:space="preserve">. </w:t>
      </w:r>
      <w:r>
        <w:rPr>
          <w:rFonts w:ascii="Times New Roman" w:hAnsi="Times New Roman" w:cs="Times New Roman"/>
          <w:iCs/>
          <w:lang w:val="en-US"/>
        </w:rPr>
        <w:t xml:space="preserve">However, the rapid increase in youth unemployment poses a significant challenge. Ample opportunities should be made available for the youth to live decently and contribute meaningfully to society </w:t>
      </w:r>
      <w:r>
        <w:rPr>
          <w:rFonts w:ascii="Times New Roman" w:hAnsi="Times New Roman" w:cs="Times New Roman"/>
          <w:iCs/>
          <w:lang w:val="en-US"/>
        </w:rPr>
        <w:fldChar w:fldCharType="begin"/>
      </w:r>
      <w:r>
        <w:rPr>
          <w:rFonts w:ascii="Times New Roman" w:hAnsi="Times New Roman" w:cs="Times New Roman"/>
          <w:iCs/>
          <w:lang w:val="en-US"/>
        </w:rPr>
        <w:instrText xml:space="preserve"> ADDIN ZOTERO_ITEM CSL_CITATION {"citationID":"UYcOUjID","properties":{"formattedCitation":"(Odoh &amp; Innocent, 2014)","plainCitation":"(Odoh &amp; Innocent, 2014)","noteIndex":0},"citationItems":[{"id":146,"uris":["http://zotero.org/users/local/7lcSuQLw/items/2YFJRFDB"],"itemData":{"id":146,"type":"article-journal","container-title":"Singaporean Journal of Business , Economics and Management Studies","DOI":"10.12816/0007349","ISSN":"23013621","issue":"2","journalAbbreviation":"SJBEMS","language":"en","page":"164-181","source":"DOI.org (Crossref)","title":"Role of the Youths in National Development","volume":"3","author":[{"family":"Odoh","given":"Rt. Hon. Eugene"},{"family":"Innocent","given":"Eme Okechukwu"}],"issued":{"date-parts":[["2014",9]]}}}],"schema":"https://github.com/citation-style-language/schema/raw/master/csl-citation.json"} </w:instrText>
      </w:r>
      <w:r>
        <w:rPr>
          <w:rFonts w:ascii="Times New Roman" w:hAnsi="Times New Roman" w:cs="Times New Roman"/>
          <w:iCs/>
          <w:lang w:val="en-US"/>
        </w:rPr>
        <w:fldChar w:fldCharType="separate"/>
      </w:r>
      <w:r>
        <w:rPr>
          <w:rFonts w:ascii="Times New Roman" w:hAnsi="Times New Roman" w:cs="Times New Roman"/>
        </w:rPr>
        <w:t>(Odoh &amp; Innocent, 2014)</w:t>
      </w:r>
      <w:r>
        <w:rPr>
          <w:rFonts w:ascii="Times New Roman" w:hAnsi="Times New Roman" w:cs="Times New Roman"/>
          <w:iCs/>
          <w:lang w:val="en-US"/>
        </w:rPr>
        <w:fldChar w:fldCharType="end"/>
      </w:r>
      <w:r>
        <w:rPr>
          <w:rFonts w:ascii="Times New Roman" w:hAnsi="Times New Roman" w:cs="Times New Roman"/>
          <w:iCs/>
          <w:lang w:val="en-US"/>
        </w:rPr>
        <w:t>. Catering to the development of the youth is not solely dependent on providing them with access to quality education but vocational training programs which can be facilitated through the establishment of youth centres</w:t>
      </w:r>
      <w:bookmarkStart w:id="1" w:name="_Hlk135485211"/>
      <w:r>
        <w:rPr>
          <w:rFonts w:ascii="Times New Roman" w:hAnsi="Times New Roman" w:cs="Times New Roman"/>
          <w:iCs/>
          <w:lang w:val="en-US"/>
        </w:rPr>
        <w:t xml:space="preserve"> </w:t>
      </w:r>
      <w:r>
        <w:rPr>
          <w:rFonts w:ascii="Times New Roman" w:hAnsi="Times New Roman" w:cs="Times New Roman"/>
          <w:iCs/>
          <w:lang w:val="en-US"/>
        </w:rPr>
        <w:fldChar w:fldCharType="begin"/>
      </w:r>
      <w:r>
        <w:rPr>
          <w:rFonts w:ascii="Times New Roman" w:hAnsi="Times New Roman" w:cs="Times New Roman"/>
          <w:iCs/>
          <w:lang w:val="en-US"/>
        </w:rPr>
        <w:instrText xml:space="preserve"> ADDIN ZOTERO_ITEM CSL_CITATION {"citationID":"JXKyLklc","properties":{"unsorted":true,"formattedCitation":"(Pardo-Garcia &amp; Barac, 2020)","plainCitation":"(Pardo-Garcia &amp; Barac, 2020)","noteIndex":0},"citationItems":[{"id":148,"uris":["http://zotero.org/users/local/7lcSuQLw/items/2JYDV8QP"],"itemData":{"id":148,"type":"article-journal","abstract":"How can higher education increase the employability of university students? We present a case study on an innovative training itinerary aimed to promote the participation of teaching staff to stimulate the creativity of students and enhance their employability skills. Students acquire the entrepreneurship competences by applying the problem-solving methodology to their innovative projects based on sustainable development. The participation in the contest shows a growing importance, with topics ranging from the more technical ones, such as nutrition innovation, science innovation, or sustainability, to the social projects, related to social services, inclusion, or services against gender violence, harassment, and bullying. The percentage of multidisciplinary teams increased from 38% in 2015 to 76% in 2019 and even more in finalist teams, a positive trend in improving soft skills. According to some testimonies, the acquisition of these entrepreneurship competences partially compensates for students’ lack of professional experience by enriching their curriculum vitae (CV) and, for some students, lays the groundwork for establishing a real business after their participation in the contest.","container-title":"Sustainability","DOI":"10.3390/su12104004","ISSN":"2071-1050","issue":"10","language":"en","license":"http://creativecommons.org/licenses/by/3.0/","note":"number: 10\npublisher: Multidisciplinary Digital Publishing Institute","page":"4004","source":"www.mdpi.com","title":"Promoting Employability in Higher Education: A Case Study on Boosting Entrepreneurship Skills","title-short":"Promoting Employability in Higher Education","volume":"12","author":[{"family":"Pardo-Garcia","given":"Cristina"},{"family":"Barac","given":"Maja"}],"issued":{"date-parts":[["2020",1]]}}}],"schema":"https://github.com/citation-style-language/schema/raw/master/csl-citation.json"} </w:instrText>
      </w:r>
      <w:r>
        <w:rPr>
          <w:rFonts w:ascii="Times New Roman" w:hAnsi="Times New Roman" w:cs="Times New Roman"/>
          <w:iCs/>
          <w:lang w:val="en-US"/>
        </w:rPr>
        <w:fldChar w:fldCharType="separate"/>
      </w:r>
      <w:r>
        <w:rPr>
          <w:rFonts w:ascii="Times New Roman" w:hAnsi="Times New Roman" w:cs="Times New Roman"/>
        </w:rPr>
        <w:t>(Pardo-Garcia &amp; Barac, 2020)</w:t>
      </w:r>
      <w:r>
        <w:rPr>
          <w:rFonts w:ascii="Times New Roman" w:hAnsi="Times New Roman" w:cs="Times New Roman"/>
          <w:iCs/>
          <w:lang w:val="en-US"/>
        </w:rPr>
        <w:fldChar w:fldCharType="end"/>
      </w:r>
      <w:bookmarkEnd w:id="1"/>
      <w:r>
        <w:rPr>
          <w:rFonts w:ascii="Times New Roman" w:hAnsi="Times New Roman" w:cs="Times New Roman"/>
          <w:iCs/>
          <w:lang w:val="en-US"/>
        </w:rPr>
        <w:t>.</w:t>
      </w:r>
    </w:p>
    <w:p w14:paraId="21E0B248" w14:textId="77777777" w:rsidR="00A644D8" w:rsidRDefault="00000000">
      <w:pPr>
        <w:spacing w:line="240" w:lineRule="auto"/>
        <w:jc w:val="both"/>
        <w:rPr>
          <w:rFonts w:ascii="Times New Roman" w:hAnsi="Times New Roman" w:cs="Times New Roman"/>
          <w:iCs/>
          <w:lang w:val="en-US"/>
        </w:rPr>
      </w:pPr>
      <w:r>
        <w:rPr>
          <w:rFonts w:ascii="Times New Roman" w:hAnsi="Times New Roman" w:cs="Times New Roman"/>
          <w:iCs/>
          <w:lang w:val="en-US"/>
        </w:rPr>
        <w:t xml:space="preserve">Youth centres are community-based facilities that actively engage, nurture, and empower young individuals, fostering their growth, development, and social interaction among themselves </w:t>
      </w:r>
      <w:r>
        <w:rPr>
          <w:rFonts w:ascii="Times New Roman" w:hAnsi="Times New Roman" w:cs="Times New Roman"/>
          <w:iCs/>
          <w:lang w:val="en-US"/>
        </w:rPr>
        <w:fldChar w:fldCharType="begin"/>
      </w:r>
      <w:r>
        <w:rPr>
          <w:rFonts w:ascii="Times New Roman" w:hAnsi="Times New Roman" w:cs="Times New Roman"/>
          <w:iCs/>
          <w:lang w:val="en-US"/>
        </w:rPr>
        <w:instrText xml:space="preserve"> ADDIN ZOTERO_ITEM CSL_CITATION {"citationID":"2Wvzl66A","properties":{"formattedCitation":"(Obiadi &amp; Onuorah, 2022)","plainCitation":"(Obiadi &amp; Onuorah, 2022)","noteIndex":0},"citationItems":[{"id":179,"uris":["http://zotero.org/users/local/7lcSuQLw/items/LUGGC2HD"],"itemData":{"id":179,"type":"article-journal","abstract":"Ohanaeze Ndigbo is an apex Igbo socio-cultural group in Nigeria. The group represents all Igbo communities within and outside Nigeria. The Igbos are the second largest group of people living in southern Nigeria and devastated by the Nigerian Civil War of 1967 also known as the Biafran War.\nFollowing the civil war, the need for a voice for Ndigbo arose and that gave birth to Ohaneze Indigbo.\nOhaneze Ndigbo, an umbrella organization of Ndigbo has been in existence for over three decades and without a well developed youth organization and a development center. It is the interest of this paper to bring and create awareness to the need, to establish and build a well deserving Ohanaeze Ndigbo youth development centre for the youths of the Idigbo. This paper investigated and documented the history and none preservation of Ndigbo history and tradition because of inappropriate museum centers in southeast region as a result, adopted content base analysis that laid emphasized on the opinions of previous studies by different authors. The Ohanaeze Ndigbo youths, need to keep growing along with their heritage and traditional values hence, the need for a well developed centre, to be established and build for them. They should be encouraged to pay attention to their historical past through preservation of their records and activities in a museum setup and tourism development.\n\nKey words: Enugu, Biafran war, history, growth, architecture, preservation","source":"ResearchGate","title":"ARCHITECTURE, TOURISM AND HOUSING: OHANEZE NDIGBO YOUTH CENTRE FOR CULTURAL EDIFICATION","title-short":"ARCHITECTURE, TOURISM AND HOUSING","author":[{"family":"Obiadi","given":"Bons"},{"family":"Onuorah","given":"Ikenna"}],"issued":{"date-parts":[["2022",3,23]]}}}],"schema":"https://github.com/citation-style-language/schema/raw/master/csl-citation.json"} </w:instrText>
      </w:r>
      <w:r>
        <w:rPr>
          <w:rFonts w:ascii="Times New Roman" w:hAnsi="Times New Roman" w:cs="Times New Roman"/>
          <w:iCs/>
          <w:lang w:val="en-US"/>
        </w:rPr>
        <w:fldChar w:fldCharType="separate"/>
      </w:r>
      <w:r>
        <w:rPr>
          <w:rFonts w:ascii="Times New Roman" w:hAnsi="Times New Roman" w:cs="Times New Roman"/>
        </w:rPr>
        <w:t>(Obiadi &amp; Onuorah, 2022)</w:t>
      </w:r>
      <w:r>
        <w:rPr>
          <w:rFonts w:ascii="Times New Roman" w:hAnsi="Times New Roman" w:cs="Times New Roman"/>
          <w:iCs/>
          <w:lang w:val="en-US"/>
        </w:rPr>
        <w:fldChar w:fldCharType="end"/>
      </w:r>
      <w:r>
        <w:rPr>
          <w:rFonts w:ascii="Times New Roman" w:hAnsi="Times New Roman" w:cs="Times New Roman"/>
          <w:iCs/>
          <w:lang w:val="en-US"/>
        </w:rPr>
        <w:t xml:space="preserve">. As a community space, its design and operation should incorporate sustainable practices which minimize their environmental impact, educate and inspire young individuals to become environmentally conscious citizens </w:t>
      </w:r>
      <w:r>
        <w:rPr>
          <w:rFonts w:ascii="Times New Roman" w:hAnsi="Times New Roman" w:cs="Times New Roman"/>
          <w:iCs/>
          <w:lang w:val="en-US"/>
        </w:rPr>
        <w:fldChar w:fldCharType="begin"/>
      </w:r>
      <w:r>
        <w:rPr>
          <w:rFonts w:ascii="Times New Roman" w:hAnsi="Times New Roman" w:cs="Times New Roman"/>
          <w:iCs/>
          <w:lang w:val="en-US"/>
        </w:rPr>
        <w:instrText xml:space="preserve"> ADDIN ZOTERO_ITEM CSL_CITATION {"citationID":"23504Rji","properties":{"formattedCitation":"(Pauw et al., 2015)","plainCitation":"(Pauw et al., 2015)","dontUpdate":true,"noteIndex":0},"citationItems":[{"id":182,"uris":["http://zotero.org/users/local/7lcSuQLw/items/JSU3J7A6"],"itemData":{"id":182,"type":"article-journal","abstract":"Perhaps the most important issue in our time is how to sustain our planet’s resources, while developing wealth and well-being for a growing population. This monumental task has been defined in the concept of sustainable development (SD). During the last few decades the world communities have agreed upon addressing SD through international treaties. As a response Education for Sustainable Development (ESD) has been launched as an answer to cope with sustainability. However, empirical studies are a missing link in the discourse around ESD, where decisions and implementation strategies are heavily based on policy recommendations and gut feelings by practitioners. We used data from 2413 students in grades 6, 9, and 12 from 51 schools across Sweden to study the effectiveness of ESD. In line with the current debate on the definition of ESD, we quantified the extent to which teaching can be labeled as holistic and/or pluralistic. Through a series of descriptive analyses and the estimation of structural equation models, our results indicate that ESD can indeed impact on student outcomes in terms of their sustainability consciousness. The results of this study reveal the key role ESD plays in addressing SD, paving the way for a more sustainable future.","container-title":"Sustainability","DOI":"10.3390/su71115693","ISSN":"2071-1050","issue":"11","language":"en","license":"http://creativecommons.org/licenses/by/3.0/","note":"number: 11\npublisher: Multidisciplinary Digital Publishing Institute","page":"15693-15717","source":"www.mdpi.com","title":"The Effectiveness of Education for Sustainable Development","volume":"7","author":[{"family":"Pauw","given":"Jelle Boeve-de"},{"family":"Gericke","given":"Niklas"},{"family":"Olsson","given":"Daniel"},{"family":"Berglund","given":"Teresa"}],"issued":{"date-parts":[["2015",11]]}}}],"schema":"https://github.com/citation-style-language/schema/raw/master/csl-citation.json"} </w:instrText>
      </w:r>
      <w:r>
        <w:rPr>
          <w:rFonts w:ascii="Times New Roman" w:hAnsi="Times New Roman" w:cs="Times New Roman"/>
          <w:iCs/>
          <w:lang w:val="en-US"/>
        </w:rPr>
        <w:fldChar w:fldCharType="separate"/>
      </w:r>
      <w:r>
        <w:rPr>
          <w:rFonts w:ascii="Times New Roman" w:hAnsi="Times New Roman" w:cs="Times New Roman"/>
        </w:rPr>
        <w:t>(Pauw</w:t>
      </w:r>
      <w:r>
        <w:rPr>
          <w:rFonts w:ascii="Times New Roman" w:hAnsi="Times New Roman" w:cs="Times New Roman"/>
          <w:lang w:val="en-US"/>
        </w:rPr>
        <w:t>, Gericke, Olsson &amp; Berglund</w:t>
      </w:r>
      <w:r>
        <w:rPr>
          <w:rFonts w:ascii="Times New Roman" w:hAnsi="Times New Roman" w:cs="Times New Roman"/>
        </w:rPr>
        <w:t>, 2015)</w:t>
      </w:r>
      <w:r>
        <w:rPr>
          <w:rFonts w:ascii="Times New Roman" w:hAnsi="Times New Roman" w:cs="Times New Roman"/>
          <w:iCs/>
          <w:lang w:val="en-US"/>
        </w:rPr>
        <w:fldChar w:fldCharType="end"/>
      </w:r>
      <w:r>
        <w:rPr>
          <w:rFonts w:ascii="Times New Roman" w:hAnsi="Times New Roman" w:cs="Times New Roman"/>
          <w:iCs/>
          <w:lang w:val="en-US"/>
        </w:rPr>
        <w:t xml:space="preserve">. Adopting sustainable design strategies in planning and constructing youth centres yields numerous benefits </w:t>
      </w:r>
      <w:r>
        <w:rPr>
          <w:rFonts w:ascii="Times New Roman" w:hAnsi="Times New Roman" w:cs="Times New Roman"/>
          <w:iCs/>
          <w:lang w:val="en-US"/>
        </w:rPr>
        <w:lastRenderedPageBreak/>
        <w:t xml:space="preserve">besides promoting environmental sustainability. These strategies include energy efficiency, sustainable site, water conservation, a good indoor environment, and renewable materials (Mohammed &amp; </w:t>
      </w:r>
      <w:proofErr w:type="spellStart"/>
      <w:r>
        <w:rPr>
          <w:rFonts w:ascii="Times New Roman" w:hAnsi="Times New Roman" w:cs="Times New Roman"/>
          <w:iCs/>
          <w:lang w:val="en-US"/>
        </w:rPr>
        <w:t>Abbakyari</w:t>
      </w:r>
      <w:proofErr w:type="spellEnd"/>
      <w:r>
        <w:rPr>
          <w:rFonts w:ascii="Times New Roman" w:hAnsi="Times New Roman" w:cs="Times New Roman"/>
          <w:iCs/>
          <w:lang w:val="en-US"/>
        </w:rPr>
        <w:t xml:space="preserve">, 2016). </w:t>
      </w:r>
      <w:r>
        <w:rPr>
          <w:rFonts w:ascii="Times New Roman" w:hAnsi="Times New Roman" w:cs="Times New Roman"/>
          <w:iCs/>
          <w:lang w:val="en-US"/>
        </w:rPr>
        <w:tab/>
      </w:r>
    </w:p>
    <w:p w14:paraId="442431D3" w14:textId="77777777" w:rsidR="00A644D8" w:rsidRDefault="00000000">
      <w:pPr>
        <w:spacing w:line="240" w:lineRule="auto"/>
        <w:jc w:val="both"/>
        <w:rPr>
          <w:rFonts w:ascii="Times New Roman" w:hAnsi="Times New Roman" w:cs="Times New Roman"/>
          <w:lang w:val="en-US"/>
        </w:rPr>
      </w:pPr>
      <w:r>
        <w:rPr>
          <w:rFonts w:ascii="Times New Roman" w:hAnsi="Times New Roman" w:cs="Times New Roman"/>
          <w:iCs/>
          <w:lang w:val="en-US"/>
        </w:rPr>
        <w:t xml:space="preserve">Energy-efficient technologies, such as LED lighting and smart energy management systems, can significantly reduce energy consumption and greenhouse gas emissions </w:t>
      </w:r>
      <w:r>
        <w:rPr>
          <w:rFonts w:ascii="Times New Roman" w:hAnsi="Times New Roman" w:cs="Times New Roman"/>
          <w:iCs/>
          <w:lang w:val="en-US"/>
        </w:rPr>
        <w:fldChar w:fldCharType="begin"/>
      </w:r>
      <w:r>
        <w:rPr>
          <w:rFonts w:ascii="Times New Roman" w:hAnsi="Times New Roman" w:cs="Times New Roman"/>
          <w:iCs/>
          <w:lang w:val="en-US"/>
        </w:rPr>
        <w:instrText xml:space="preserve"> ADDIN ZOTERO_ITEM CSL_CITATION {"citationID":"vjvtj2za","properties":{"formattedCitation":"(Gouldson et al., 2016)","plainCitation":"(Gouldson et al., 2016)","dontUpdate":true,"noteIndex":0},"citationItems":[{"id":156,"uris":["http://zotero.org/users/local/7lcSuQLw/items/53DIGM7Y"],"itemData":{"id":156,"type":"article-journal","abstract":"Cities are central to the fight against climate change, but the IPCC recently noted that many cities — and particularly those in the developing world — lack the institutional, financial and technical capacities needed to switch to low emission development paths. Based on detailed case studies of three Asian cities, this paper finds that the adoption of low emission development strategies (LEDS) at the urban level could be economically attractive. However, it also argues that without a coordinated multi-level, cross-sectoral governance framework these opportunities for low carbon urban development are likely to be left unexploited. As these governance conditions are frequently not in place, we argue that these case study cities, and cities in similar contexts, are likely to miss even the economically attractive low carbon development opportunities and become increasingly locked in to higher cost, higher carbon development paths. Due to their growing size and importance, we conclude that the presence or absence of governance arrangements that enable the adoption of low carbon development strategies in Asian cities will have global implications for climate change.","collection-title":"Cities, Energy and Climate Change Mitigation","container-title":"Cities","DOI":"10.1016/j.cities.2015.10.010","ISSN":"0264-2751","journalAbbreviation":"Cities","language":"en","page":"11-19","source":"ScienceDirect","title":"Cities and climate change mitigation: Economic opportunities and governance challenges in Asia","title-short":"Cities and climate change mitigation","volume":"54","author":[{"family":"Gouldson","given":"Andy"},{"family":"Colenbrander","given":"Sarah"},{"family":"Sudmant","given":"Andrew"},{"family":"Papargyropoulou","given":"Effie"},{"family":"Kerr","given":"Niall"},{"family":"McAnulla","given":"Faye"},{"family":"Hall","given":"Stephen"}],"issued":{"date-parts":[["2016",5,1]]}}}],"schema":"https://github.com/citation-style-language/schema/raw/master/csl-citation.json"} </w:instrText>
      </w:r>
      <w:r>
        <w:rPr>
          <w:rFonts w:ascii="Times New Roman" w:hAnsi="Times New Roman" w:cs="Times New Roman"/>
          <w:iCs/>
          <w:lang w:val="en-US"/>
        </w:rPr>
        <w:fldChar w:fldCharType="separate"/>
      </w:r>
      <w:r>
        <w:rPr>
          <w:rFonts w:ascii="Times New Roman" w:hAnsi="Times New Roman" w:cs="Times New Roman"/>
        </w:rPr>
        <w:t>(Gouldson, Colenbrander, Sudmant, Papargyropoulou, Kerr, McAnulla &amp; Hall, 2016)</w:t>
      </w:r>
      <w:r>
        <w:rPr>
          <w:rFonts w:ascii="Times New Roman" w:hAnsi="Times New Roman" w:cs="Times New Roman"/>
          <w:iCs/>
          <w:lang w:val="en-US"/>
        </w:rPr>
        <w:fldChar w:fldCharType="end"/>
      </w:r>
      <w:r>
        <w:rPr>
          <w:rFonts w:ascii="Times New Roman" w:hAnsi="Times New Roman" w:cs="Times New Roman"/>
          <w:iCs/>
          <w:lang w:val="en-US"/>
        </w:rPr>
        <w:t xml:space="preserve">. Rainwater harvesting and efficient water fixtures can conserve water resources, while waste management practices, such as recycling and composting, contribute to a circular economy </w:t>
      </w:r>
      <w:r>
        <w:rPr>
          <w:rFonts w:ascii="Times New Roman" w:hAnsi="Times New Roman" w:cs="Times New Roman"/>
          <w:iCs/>
          <w:lang w:val="en-US"/>
        </w:rPr>
        <w:fldChar w:fldCharType="begin"/>
      </w:r>
      <w:r>
        <w:rPr>
          <w:rFonts w:ascii="Times New Roman" w:hAnsi="Times New Roman" w:cs="Times New Roman"/>
          <w:iCs/>
          <w:lang w:val="en-US"/>
        </w:rPr>
        <w:instrText xml:space="preserve"> ADDIN ZOTERO_ITEM CSL_CITATION {"citationID":"tRgaMi97","properties":{"formattedCitation":"(Morseletto et al., 2022)","plainCitation":"(Morseletto et al., 2022)","dontUpdate":true,"noteIndex":0},"citationItems":[{"id":196,"uris":["http://zotero.org/users/local/7lcSuQLw/items/WK4PSEGP"],"itemData":{"id":196,"type":"article-journal","abstract":"The circular economy has attracted considerable attention also in relation to water, an indispensable element to the sustainment of life and a critical input resource for the world economy. Despite a growing body of research on the circular economy of water (CEW), a consistent terminology and a clear conceptualisation of CEW strategies are lacking. Without such aspects, decision-makers, scientists and professionals may be hindered in developing a shared understanding of problems and solutions and exploiting new opportunities in the domain of the CEW. Furthermore, we argue that water is a unique element in the circular economy because it is a resource, a product and a service with no equivalent in the economic system and should be considered and valued as such in the CEW. Accordingly, we provide the definition of the CEW as an economic framework for reducing, preserving and optimising the use of water through waste avoidance, efficient utilisation and quality retention while ensuring environmental protection and conservation. Building on an analysis of academic literature and cases studies, we outline and illustrate a set of nine CEW strategies, including Rethink, Avoid, Reduce, Replace, Reuse, Recycle, Cascade, Store and Recover. Finally, we identify normative (legislation), governance (roles and responsibilities) and implementation (barriers and opportunities for application) challenges that need to be addressed to facilitate the transition to a comprehensive CEW.","container-title":"Circular Economy and Sustainability","DOI":"10.1007/s43615-022-00165-x","ISSN":"2730-5988","issue":"4","journalAbbreviation":"Circ.Econ.Sust.","language":"en","page":"1463-1477","source":"Springer Link","title":"Circular Economy of Water: Definition, Strategies and Challenges","title-short":"Circular Economy of Water","volume":"2","author":[{"family":"Morseletto","given":"Piero"},{"family":"Mooren","given":"Caro Eline"},{"family":"Munaretto","given":"Stefania"}],"issued":{"date-parts":[["2022",12,1]]}}}],"schema":"https://github.com/citation-style-language/schema/raw/master/csl-citation.json"} </w:instrText>
      </w:r>
      <w:r>
        <w:rPr>
          <w:rFonts w:ascii="Times New Roman" w:hAnsi="Times New Roman" w:cs="Times New Roman"/>
          <w:iCs/>
          <w:lang w:val="en-US"/>
        </w:rPr>
        <w:fldChar w:fldCharType="separate"/>
      </w:r>
      <w:r>
        <w:rPr>
          <w:rFonts w:ascii="Times New Roman" w:hAnsi="Times New Roman" w:cs="Times New Roman"/>
        </w:rPr>
        <w:t>(Morseletto</w:t>
      </w:r>
      <w:r>
        <w:rPr>
          <w:rFonts w:ascii="Times New Roman" w:hAnsi="Times New Roman" w:cs="Times New Roman"/>
          <w:lang w:val="en-US"/>
        </w:rPr>
        <w:t xml:space="preserve">, </w:t>
      </w:r>
      <w:r>
        <w:rPr>
          <w:rFonts w:ascii="Times New Roman" w:hAnsi="Times New Roman" w:cs="Times New Roman"/>
        </w:rPr>
        <w:t>Mooren</w:t>
      </w:r>
      <w:r>
        <w:rPr>
          <w:rFonts w:ascii="Times New Roman" w:hAnsi="Times New Roman" w:cs="Times New Roman"/>
          <w:lang w:val="en-US"/>
        </w:rPr>
        <w:t xml:space="preserve"> </w:t>
      </w:r>
      <w:r>
        <w:rPr>
          <w:rFonts w:ascii="Times New Roman" w:hAnsi="Times New Roman" w:cs="Times New Roman"/>
        </w:rPr>
        <w:t>&amp; Munaretto, 2022</w:t>
      </w:r>
      <w:r>
        <w:rPr>
          <w:rFonts w:ascii="Times New Roman" w:hAnsi="Times New Roman" w:cs="Times New Roman"/>
          <w:lang w:val="en-US"/>
        </w:rPr>
        <w:t>; Yang, Chen, Wang, Msigwa, Osman, Fawzy, Rooney &amp; Yap, 2023</w:t>
      </w:r>
      <w:r>
        <w:rPr>
          <w:rFonts w:ascii="Times New Roman" w:hAnsi="Times New Roman" w:cs="Times New Roman"/>
        </w:rPr>
        <w:t>)</w:t>
      </w:r>
      <w:r>
        <w:rPr>
          <w:rFonts w:ascii="Times New Roman" w:hAnsi="Times New Roman" w:cs="Times New Roman"/>
          <w:iCs/>
          <w:lang w:val="en-US"/>
        </w:rPr>
        <w:fldChar w:fldCharType="end"/>
      </w:r>
      <w:r>
        <w:rPr>
          <w:rFonts w:ascii="Times New Roman" w:hAnsi="Times New Roman" w:cs="Times New Roman"/>
          <w:iCs/>
          <w:lang w:val="en-US"/>
        </w:rPr>
        <w:t xml:space="preserve">. Renewable materials, such as recycled or low-impact materials, minimize the carbon footprint associated with construction and contribute to the development of sustainable supply chains </w:t>
      </w:r>
      <w:r>
        <w:rPr>
          <w:rFonts w:ascii="Times New Roman" w:hAnsi="Times New Roman" w:cs="Times New Roman"/>
          <w:iCs/>
          <w:lang w:val="en-US"/>
        </w:rPr>
        <w:fldChar w:fldCharType="begin"/>
      </w:r>
      <w:r>
        <w:rPr>
          <w:rFonts w:ascii="Times New Roman" w:hAnsi="Times New Roman" w:cs="Times New Roman"/>
          <w:iCs/>
          <w:lang w:val="en-US"/>
        </w:rPr>
        <w:instrText xml:space="preserve"> ADDIN ZOTERO_ITEM CSL_CITATION {"citationID":"Oy1yk0T4","properties":{"formattedCitation":"(Labaran et al., 2022)","plainCitation":"(Labaran et al., 2022)","dontUpdate":true,"noteIndex":0},"citationItems":[{"id":193,"uris":["http://zotero.org/users/local/7lcSuQLw/items/RQQ433HB"],"itemData":{"id":193,"type":"article-journal","abstract":"Climate change is happening now, it is increasing presently, it is affecting us even more, and it will have a massive impact on us unless immediate and systemic action is taken to reduce and respond to its devastating consequences. One of such actions is the management of carbon emission from the construction industry, as it is one of the major sectors that contributes a substantial amount of greenhouse gases into our environment. Several efforts were made by many researchers towards developing various standards, techniques, and tools to assist in the management of the greenhouse gas emission from the industry. Some of these efforts include the green building concept itself, development of various rating systems, and sustainable construction materials. As such, this paper reviewed the several contributions of these researchers across the globe towards this dimension. And, after a thoroughly analysis of some of these contributions, it was found that there are inadequate research findings on the interconnected relationship between different drivers that are linked to low-carbon construction, highlighting the significant need for the establishment of an internationally recognized rating system under the United Nations which will include the measurements and quantification of the carbon footprint as one of its main parameters.","container-title":"Cleaner Engineering and Technology","DOI":"10.1016/j.clet.2022.100531","ISSN":"2666-7908","journalAbbreviation":"Cleaner Engineering and Technology","language":"en","page":"100531","source":"ScienceDirect","title":"Carbon footprint management: A review of construction industry","title-short":"Carbon footprint management","volume":"9","author":[{"family":"Labaran","given":"Yahaya Hassan"},{"family":"Mathur","given":"Vivek Shankar"},{"family":"Muhammad","given":"Shehu Usman"},{"family":"Musa","given":"Auwal Alhassan"}],"issued":{"date-parts":[["2022",8,1]]}}}],"schema":"https://github.com/citation-style-language/schema/raw/master/csl-citation.json"} </w:instrText>
      </w:r>
      <w:r>
        <w:rPr>
          <w:rFonts w:ascii="Times New Roman" w:hAnsi="Times New Roman" w:cs="Times New Roman"/>
          <w:iCs/>
          <w:lang w:val="en-US"/>
        </w:rPr>
        <w:fldChar w:fldCharType="separate"/>
      </w:r>
      <w:r>
        <w:rPr>
          <w:rFonts w:ascii="Times New Roman" w:hAnsi="Times New Roman" w:cs="Times New Roman"/>
        </w:rPr>
        <w:t>(Labaran</w:t>
      </w:r>
      <w:r>
        <w:rPr>
          <w:rFonts w:ascii="Times New Roman" w:hAnsi="Times New Roman" w:cs="Times New Roman"/>
          <w:lang w:val="en-US"/>
        </w:rPr>
        <w:t>,</w:t>
      </w:r>
      <w:r>
        <w:rPr>
          <w:rFonts w:ascii="Times New Roman" w:hAnsi="Times New Roman" w:cs="Times New Roman"/>
        </w:rPr>
        <w:t xml:space="preserve"> Mathur, Muhammad &amp; Musa, 2022)</w:t>
      </w:r>
      <w:r>
        <w:rPr>
          <w:rFonts w:ascii="Times New Roman" w:hAnsi="Times New Roman" w:cs="Times New Roman"/>
          <w:iCs/>
          <w:lang w:val="en-US"/>
        </w:rPr>
        <w:fldChar w:fldCharType="end"/>
      </w:r>
      <w:r>
        <w:rPr>
          <w:rFonts w:ascii="Times New Roman" w:hAnsi="Times New Roman" w:cs="Times New Roman"/>
          <w:iCs/>
          <w:lang w:val="en-US"/>
        </w:rPr>
        <w:t xml:space="preserve">. Proper ventilation systems, air purification technologies, and the use of low-emission building materials enhances indoor air quality </w:t>
      </w:r>
      <w:r>
        <w:rPr>
          <w:rFonts w:ascii="Times New Roman" w:hAnsi="Times New Roman" w:cs="Times New Roman"/>
          <w:iCs/>
          <w:lang w:val="en-US"/>
        </w:rPr>
        <w:fldChar w:fldCharType="begin"/>
      </w:r>
      <w:r>
        <w:rPr>
          <w:rFonts w:ascii="Times New Roman" w:hAnsi="Times New Roman" w:cs="Times New Roman"/>
          <w:iCs/>
          <w:lang w:val="en-US"/>
        </w:rPr>
        <w:instrText xml:space="preserve"> ADDIN ZOTERO_ITEM CSL_CITATION {"citationID":"FsYtxUy1","properties":{"formattedCitation":"(Kelly &amp; Fussell, 2019)","plainCitation":"(Kelly &amp; Fussell, 2019)","noteIndex":0},"citationItems":[{"id":183,"uris":["http://zotero.org/users/local/7lcSuQLw/items/JDGAQQF9"],"itemData":{"id":183,"type":"article-journal","abstract":"In today's 'indoor generation', most human activities take place within an enclosed space, characterised by a chemically diverse and complex air quality. Although source control is the universally preferred approach to reduce contaminants, this is becoming increasingly insufficient, technically unfeasible or economically unviable. The provision of adequate ventilation is also being challenged by invariably poor outdoor air quality and our quest for a low carbon economy. Whilst the former directly adds to the burden of indoor air pollution, both factors attract mitigation measures that are leading to efforts to seal off indoor spaces, which can increase exposure to endogenous indoor air pollutants, heighten health risks and curtail concentration, learning and productivity. Research to date on the role of air purification technologies in key indoor microenvironments demonstrates that air filtration produces clear reductions in indoor pollution concentrations. To confirm the optimistic modelled health/performance benefits associated with air purification further research is required, evaluating longer term interventions particularly in vulnerable populations, employing real-time sensors to quantitatively assess complete exposure profiles and optimizing technologies/strategies to remove specific indoor air pollutants (eg infiltrated versus endogenous particles, gases, chemically transformed organics) within the unique spaces where people live, learn, work and travel.","container-title":"Atmospheric Environment","DOI":"10.1016/j.atmosenv.2018.11.058","ISSN":"1352-2310","journalAbbreviation":"Atmospheric Environment","language":"en","page":"90-109","source":"ScienceDirect","title":"Improving indoor air quality, health and performance within environments where people live, travel, learn and work","volume":"200","author":[{"family":"Kelly","given":"Frank J."},{"family":"Fussell","given":"Julia C."}],"issued":{"date-parts":[["2019",3,1]]}}}],"schema":"https://github.com/citation-style-language/schema/raw/master/csl-citation.json"} </w:instrText>
      </w:r>
      <w:r>
        <w:rPr>
          <w:rFonts w:ascii="Times New Roman" w:hAnsi="Times New Roman" w:cs="Times New Roman"/>
          <w:iCs/>
          <w:lang w:val="en-US"/>
        </w:rPr>
        <w:fldChar w:fldCharType="separate"/>
      </w:r>
      <w:r>
        <w:rPr>
          <w:rFonts w:ascii="Times New Roman" w:hAnsi="Times New Roman" w:cs="Times New Roman"/>
        </w:rPr>
        <w:t>(Kelly &amp; Fussell, 2019)</w:t>
      </w:r>
      <w:r>
        <w:rPr>
          <w:rFonts w:ascii="Times New Roman" w:hAnsi="Times New Roman" w:cs="Times New Roman"/>
          <w:iCs/>
          <w:lang w:val="en-US"/>
        </w:rPr>
        <w:fldChar w:fldCharType="end"/>
      </w:r>
      <w:r>
        <w:rPr>
          <w:rFonts w:ascii="Times New Roman" w:hAnsi="Times New Roman" w:cs="Times New Roman"/>
          <w:iCs/>
          <w:lang w:val="en-US"/>
        </w:rPr>
        <w:t xml:space="preserve"> whereas  green spaces, native vegetation, and sustainable landscaping practices enhances biodiversity, improve stormwater management, and provide a resilient site </w:t>
      </w:r>
      <w:r>
        <w:rPr>
          <w:rFonts w:ascii="Times New Roman" w:hAnsi="Times New Roman" w:cs="Times New Roman"/>
          <w:iCs/>
          <w:lang w:val="en-US"/>
        </w:rPr>
        <w:fldChar w:fldCharType="begin"/>
      </w:r>
      <w:r>
        <w:rPr>
          <w:rFonts w:ascii="Times New Roman" w:hAnsi="Times New Roman" w:cs="Times New Roman"/>
          <w:iCs/>
          <w:lang w:val="en-US"/>
        </w:rPr>
        <w:instrText xml:space="preserve"> ADDIN ZOTERO_ITEM CSL_CITATION {"citationID":"e9xMfwSS","properties":{"formattedCitation":"(Mayrand &amp; Clergeau, 2018)","plainCitation":"(Mayrand &amp; Clergeau, 2018)","dontUpdate":true,"noteIndex":0},"citationItems":[{"id":189,"uris":["http://zotero.org/users/local/7lcSuQLw/items/S27P7T5V"],"itemData":{"id":189,"type":"article-journal","abstract":"Green roofs and walls have recently emerged as conservation tools, and they offer promising additional opportunities to enhance biodiversity in cities. However, their ecological conditions remain poorly considered when planning wildlife corridors. To discuss the role of vegetated buildings in landscape connectivity, we reviewed the ecological and technical specificities of green walls and green roofs in light of the key factors concerning urban wildlife (patch size, quality, abundance, and isolation). Green roofs and walls show limited patch sizes, distinct habitat quality at the building scale, and limited redundancy of patch quality within the landscape. We also highlight that the abundance of roof and wall patches is often low. Future research is needed to establish if walls can be vertical corridors for wildlife, thereby reducing the isolation of green roofs. We argue that creating 3D ecological connectivity within the city requires substantial modifications of the design and maintenance of existing green building systems. We suggest that research is needed to integrate the biotic and abiotic characteristics of green buildings to make them more closely resemble those of open green spaces.","container-title":"Sustainability","DOI":"10.3390/su10040985","ISSN":"2071-1050","issue":"4","language":"en","license":"http://creativecommons.org/licenses/by/3.0/","note":"number: 4\npublisher: Multidisciplinary Digital Publishing Institute","page":"985","source":"www.mdpi.com","title":"Green Roofs and Green Walls for Biodiversity Conservation: A Contribution to Urban Connectivity?","title-short":"Green Roofs and Green Walls for Biodiversity Conservation","volume":"10","author":[{"family":"Mayrand","given":"Flavie"},{"family":"Clergeau","given":"Philippe"}],"issued":{"date-parts":[["2018",4]]}}}],"schema":"https://github.com/citation-style-language/schema/raw/master/csl-citation.json"} </w:instrText>
      </w:r>
      <w:r>
        <w:rPr>
          <w:rFonts w:ascii="Times New Roman" w:hAnsi="Times New Roman" w:cs="Times New Roman"/>
          <w:iCs/>
          <w:lang w:val="en-US"/>
        </w:rPr>
        <w:fldChar w:fldCharType="separate"/>
      </w:r>
      <w:r>
        <w:rPr>
          <w:rFonts w:ascii="Times New Roman" w:hAnsi="Times New Roman" w:cs="Times New Roman"/>
        </w:rPr>
        <w:t>(Mayrand &amp; Clergeau, 2018</w:t>
      </w:r>
      <w:r>
        <w:rPr>
          <w:rFonts w:ascii="Times New Roman" w:hAnsi="Times New Roman" w:cs="Times New Roman"/>
          <w:lang w:val="en-US"/>
        </w:rPr>
        <w:t>;</w:t>
      </w:r>
      <w:r>
        <w:rPr>
          <w:rFonts w:ascii="Times New Roman" w:hAnsi="Times New Roman" w:cs="Times New Roman"/>
        </w:rPr>
        <w:t xml:space="preserve"> </w:t>
      </w:r>
      <w:r>
        <w:rPr>
          <w:rFonts w:ascii="Times New Roman" w:hAnsi="Times New Roman" w:cs="Times New Roman"/>
          <w:lang w:val="en-US"/>
        </w:rPr>
        <w:t xml:space="preserve">Darkhani, Tahir &amp; Ibrahim, 2019). </w:t>
      </w:r>
    </w:p>
    <w:p w14:paraId="3B9831F0" w14:textId="77777777" w:rsidR="00A644D8" w:rsidRDefault="00000000">
      <w:pPr>
        <w:spacing w:line="240" w:lineRule="auto"/>
        <w:jc w:val="both"/>
        <w:rPr>
          <w:rFonts w:ascii="Times New Roman" w:hAnsi="Times New Roman" w:cs="Times New Roman"/>
          <w:lang w:val="en-US"/>
        </w:rPr>
      </w:pPr>
      <w:r>
        <w:rPr>
          <w:rFonts w:ascii="Times New Roman" w:hAnsi="Times New Roman" w:cs="Times New Roman"/>
          <w:iCs/>
          <w:lang w:val="en-US"/>
        </w:rPr>
        <w:fldChar w:fldCharType="end"/>
      </w:r>
      <w:bookmarkStart w:id="2" w:name="_Hlk136207544"/>
      <w:r>
        <w:rPr>
          <w:rFonts w:ascii="Times New Roman" w:hAnsi="Times New Roman" w:cs="Times New Roman"/>
          <w:lang w:val="en-US"/>
        </w:rPr>
        <w:t xml:space="preserve">The purpose of this research is to evaluate and </w:t>
      </w:r>
      <w:proofErr w:type="spellStart"/>
      <w:r>
        <w:rPr>
          <w:rFonts w:ascii="Times New Roman" w:hAnsi="Times New Roman" w:cs="Times New Roman"/>
          <w:lang w:val="en-US"/>
        </w:rPr>
        <w:t>analyse</w:t>
      </w:r>
      <w:proofErr w:type="spellEnd"/>
      <w:r>
        <w:rPr>
          <w:rFonts w:ascii="Times New Roman" w:hAnsi="Times New Roman" w:cs="Times New Roman"/>
          <w:lang w:val="en-US"/>
        </w:rPr>
        <w:t xml:space="preserve"> sustainable design strategies adopted in selected youth and convention centres in Nigeria. To achieve this aim, two research questions were developed: What specific sustainable design strategies are implemented in these youth and convention centres, and how effective are these strategies in improving environmental sustainability? To provide thorough answers to these questions, two objectives were established. The first is to identify the sustainable design strategies implemented in the selected youth and convention centres, and the second is to assess the effectiveness of the strategies in improving environmental sustainability. </w:t>
      </w:r>
    </w:p>
    <w:p w14:paraId="58C08633" w14:textId="77777777" w:rsidR="00A644D8" w:rsidRDefault="00000000">
      <w:pPr>
        <w:spacing w:line="240" w:lineRule="auto"/>
        <w:jc w:val="both"/>
        <w:rPr>
          <w:rFonts w:ascii="Times New Roman" w:hAnsi="Times New Roman" w:cs="Times New Roman"/>
          <w:iCs/>
          <w:lang w:val="en-US"/>
        </w:rPr>
      </w:pPr>
      <w:r>
        <w:rPr>
          <w:rFonts w:ascii="Times New Roman" w:hAnsi="Times New Roman" w:cs="Times New Roman"/>
        </w:rPr>
        <w:t>This research encompasses an exploration of both energy-efficient practices and sustainable site strategies implemented in the selected youth centers. The investigation focused on three carefully chosen youth centers in Nigeria as the units of examination and observation for sustainable design strategies. The outcomes of this study hold significant value in increasing awareness among designers, students, and stakeholders regarding the practical application of sustainable design strategies for public buildings, thereby contributing to improved environmental sustainability. Additionally, researchers can utilize this study as a valuable resource for reference, appraisal, and further advancement in the field. The research manuscript is readily accessible, aligning with the promotion of specific targets outlined in the 17 Sustainable Development Goals (SDGs), including the well-being of users, inclusive learning opportunities, and the establishment of sustainable communities.</w:t>
      </w:r>
    </w:p>
    <w:bookmarkEnd w:id="2"/>
    <w:p w14:paraId="6CE92D57" w14:textId="77777777" w:rsidR="00A644D8" w:rsidRDefault="00000000">
      <w:pPr>
        <w:spacing w:line="240" w:lineRule="auto"/>
        <w:jc w:val="both"/>
        <w:rPr>
          <w:rFonts w:ascii="Times New Roman" w:hAnsi="Times New Roman" w:cs="Times New Roman"/>
          <w:b/>
          <w:bCs/>
          <w:iCs/>
          <w:lang w:val="en-US"/>
        </w:rPr>
      </w:pPr>
      <w:r>
        <w:rPr>
          <w:rFonts w:ascii="Times New Roman" w:hAnsi="Times New Roman" w:cs="Times New Roman"/>
          <w:b/>
          <w:bCs/>
          <w:iCs/>
          <w:lang w:val="en-US"/>
        </w:rPr>
        <w:t>2.0</w:t>
      </w:r>
      <w:r>
        <w:rPr>
          <w:rFonts w:ascii="Times New Roman" w:hAnsi="Times New Roman" w:cs="Times New Roman"/>
          <w:b/>
          <w:bCs/>
          <w:iCs/>
          <w:lang w:val="en-US"/>
        </w:rPr>
        <w:tab/>
        <w:t>Literature Review</w:t>
      </w:r>
    </w:p>
    <w:p w14:paraId="487D4224" w14:textId="77777777" w:rsidR="00A644D8" w:rsidRDefault="00000000">
      <w:pPr>
        <w:spacing w:line="240" w:lineRule="auto"/>
        <w:jc w:val="both"/>
        <w:rPr>
          <w:rFonts w:ascii="Times New Roman" w:hAnsi="Times New Roman" w:cs="Times New Roman"/>
          <w:iCs/>
          <w:lang w:val="en-US"/>
        </w:rPr>
      </w:pPr>
      <w:r>
        <w:rPr>
          <w:rFonts w:ascii="Times New Roman" w:hAnsi="Times New Roman" w:cs="Times New Roman"/>
          <w:iCs/>
          <w:lang w:val="en-US"/>
        </w:rPr>
        <w:t>Sustainability is a broad scope that involves the nurture and preservation of the environment to ensure the well-being of present and future generation (</w:t>
      </w:r>
      <w:proofErr w:type="spellStart"/>
      <w:r>
        <w:rPr>
          <w:rFonts w:ascii="Times New Roman" w:hAnsi="Times New Roman" w:cs="Times New Roman"/>
          <w:iCs/>
          <w:lang w:val="en-US"/>
        </w:rPr>
        <w:t>Elleuch</w:t>
      </w:r>
      <w:proofErr w:type="spellEnd"/>
      <w:r>
        <w:rPr>
          <w:rFonts w:ascii="Times New Roman" w:hAnsi="Times New Roman" w:cs="Times New Roman"/>
          <w:iCs/>
          <w:lang w:val="en-US"/>
        </w:rPr>
        <w:t xml:space="preserve">, </w:t>
      </w:r>
      <w:proofErr w:type="spellStart"/>
      <w:r>
        <w:rPr>
          <w:rFonts w:ascii="Times New Roman" w:hAnsi="Times New Roman" w:cs="Times New Roman"/>
          <w:iCs/>
          <w:lang w:val="en-US"/>
        </w:rPr>
        <w:t>Bouhamed</w:t>
      </w:r>
      <w:proofErr w:type="spellEnd"/>
      <w:r>
        <w:rPr>
          <w:rFonts w:ascii="Times New Roman" w:hAnsi="Times New Roman" w:cs="Times New Roman"/>
          <w:iCs/>
          <w:lang w:val="en-US"/>
        </w:rPr>
        <w:t xml:space="preserve">, </w:t>
      </w:r>
      <w:proofErr w:type="spellStart"/>
      <w:r>
        <w:rPr>
          <w:rFonts w:ascii="Times New Roman" w:hAnsi="Times New Roman" w:cs="Times New Roman"/>
          <w:iCs/>
          <w:lang w:val="en-US"/>
        </w:rPr>
        <w:t>Elloussaief</w:t>
      </w:r>
      <w:proofErr w:type="spellEnd"/>
      <w:r>
        <w:rPr>
          <w:rFonts w:ascii="Times New Roman" w:hAnsi="Times New Roman" w:cs="Times New Roman"/>
          <w:iCs/>
          <w:lang w:val="en-US"/>
        </w:rPr>
        <w:t xml:space="preserve"> &amp; Jaghbir, 2018). It ensures that human activities do not exceed the capacity of the environment to support them, promoting balance and harmony between social, economic, and environmental aspects of life (Erhun, 2015). Human activities such as industrial emissions, improper waste disposal, chemical use in agriculture, and urbanization contribute to air, water, soil, and noise pollution. These actions have detrimental effects on ecosystems, human health, and the overall environmental equilibrium </w:t>
      </w:r>
      <w:r>
        <w:rPr>
          <w:rFonts w:ascii="Times New Roman" w:hAnsi="Times New Roman" w:cs="Times New Roman"/>
          <w:iCs/>
          <w:lang w:val="en-US"/>
        </w:rPr>
        <w:fldChar w:fldCharType="begin"/>
      </w:r>
      <w:r>
        <w:rPr>
          <w:rFonts w:ascii="Times New Roman" w:hAnsi="Times New Roman" w:cs="Times New Roman"/>
          <w:iCs/>
          <w:lang w:val="en-US"/>
        </w:rPr>
        <w:instrText xml:space="preserve"> ADDIN ZOTERO_ITEM CSL_CITATION {"citationID":"lhsNh0wU","properties":{"formattedCitation":"(Manisalidis et al., 2020)","plainCitation":"(Manisalidis et al., 2020)","dontUpdate":true,"noteIndex":0},"citationItems":[{"id":212,"uris":["http://zotero.org/users/local/7lcSuQLw/items/7RIRQFP7"],"itemData":{"id":212,"type":"article-journal","abstract":"One of our era's greatest scourges is air pollution, on account not only of its impact on climate change but also its impact on public and individual health due to increasing morbidity and mortality. There are many pollutants that are major factors in disease in humans. Among them, Particulate Matter (PM), particles of variable but very small diameter, penetrate the respiratory system via inhalation, causing respiratory and cardiovascular diseases, reproductive and central nervous system dysfunctions, and cancer. Despite the fact that ozone in the stratosphere plays a protective role against ultraviolet irradiation, it is harmful when in high concentration at ground level, also affecting the respiratory and cardiovascular system. Furthermore, nitrogen oxide, sulfur dioxide, Volatile Organic Compounds (VOCs), dioxins, and polycyclic aromatic hydrocarbons (PAHs) are all considered air pollutants that are harmful to humans. Carbon monoxide can even provoke direct poisoning when breathed in at high levels. Heavy metals such as lead, when absorbed into the human body, can lead to direct poisoning or chronic intoxication, depending on exposure. Diseases occurring from the aforementioned substances include principally respiratory problems such as Chronic Obstructive Pulmonary Disease (COPD), asthma, bronchiolitis, and also lung cancer, cardiovascular events, central nervous system dysfunctions, and cutaneous diseases. Last but not least, climate change resulting from environmental pollution affects the geographical distribution of many infectious diseases, as do natural disasters. The only way to tackle this problem is through public awareness coupled with a multidisciplinary approach by scientific experts; national and international organizations must address the emergence of this threat and propose sustainable solutions.","container-title":"Frontiers in Public Health","DOI":"10.3389/fpubh.2020.00014","ISSN":"2296-2565","journalAbbreviation":"Front Public Health","note":"PMID: 32154200\nPMCID: PMC7044178","page":"14","source":"PubMed Central","title":"Environmental and Health Impacts of Air Pollution: A Review","title-short":"Environmental and Health Impacts of Air Pollution","volume":"8","author":[{"family":"Manisalidis","given":"Ioannis"},{"family":"Stavropoulou","given":"Elisavet"},{"family":"Stavropoulos","given":"Agathangelos"},{"family":"Bezirtzoglou","given":"Eugenia"}],"issued":{"date-parts":[["2020",2,20]]}}}],"schema":"https://github.com/citation-style-language/schema/raw/master/csl-citation.json"} </w:instrText>
      </w:r>
      <w:r>
        <w:rPr>
          <w:rFonts w:ascii="Times New Roman" w:hAnsi="Times New Roman" w:cs="Times New Roman"/>
          <w:iCs/>
          <w:lang w:val="en-US"/>
        </w:rPr>
        <w:fldChar w:fldCharType="separate"/>
      </w:r>
      <w:r>
        <w:rPr>
          <w:rFonts w:ascii="Times New Roman" w:hAnsi="Times New Roman" w:cs="Times New Roman"/>
        </w:rPr>
        <w:t>(Manisalidis</w:t>
      </w:r>
      <w:r>
        <w:rPr>
          <w:rFonts w:ascii="Times New Roman" w:hAnsi="Times New Roman" w:cs="Times New Roman"/>
          <w:lang w:val="en-US"/>
        </w:rPr>
        <w:t>,</w:t>
      </w:r>
      <w:r>
        <w:rPr>
          <w:rFonts w:ascii="Times New Roman" w:hAnsi="Times New Roman" w:cs="Times New Roman"/>
        </w:rPr>
        <w:t xml:space="preserve"> Stavropoulou, Stavropoulos &amp; Bezirtzoglou,  2020)</w:t>
      </w:r>
      <w:r>
        <w:rPr>
          <w:rFonts w:ascii="Times New Roman" w:hAnsi="Times New Roman" w:cs="Times New Roman"/>
          <w:iCs/>
          <w:lang w:val="en-US"/>
        </w:rPr>
        <w:fldChar w:fldCharType="end"/>
      </w:r>
      <w:r>
        <w:rPr>
          <w:rFonts w:ascii="Times New Roman" w:hAnsi="Times New Roman" w:cs="Times New Roman"/>
          <w:iCs/>
          <w:lang w:val="en-US"/>
        </w:rPr>
        <w:t xml:space="preserve">. </w:t>
      </w:r>
    </w:p>
    <w:p w14:paraId="085F2956" w14:textId="77777777" w:rsidR="00A644D8" w:rsidRDefault="00000000">
      <w:pPr>
        <w:spacing w:line="240" w:lineRule="auto"/>
        <w:jc w:val="both"/>
        <w:rPr>
          <w:rFonts w:ascii="Times New Roman" w:hAnsi="Times New Roman" w:cs="Times New Roman"/>
          <w:iCs/>
          <w:lang w:val="en-US"/>
        </w:rPr>
      </w:pPr>
      <w:r>
        <w:rPr>
          <w:rFonts w:ascii="Times New Roman" w:hAnsi="Times New Roman" w:cs="Times New Roman"/>
          <w:iCs/>
          <w:lang w:val="en-US"/>
        </w:rPr>
        <w:t xml:space="preserve">The importance of environmental sustainability extends to many facets of our daily lives. It helps to preserve ecosystems and protect biodiversity, ensuring that all living things, including humans, can thrive </w:t>
      </w:r>
      <w:bookmarkStart w:id="3" w:name="_Hlk136180234"/>
      <w:r>
        <w:rPr>
          <w:rFonts w:ascii="Times New Roman" w:hAnsi="Times New Roman" w:cs="Times New Roman"/>
          <w:iCs/>
          <w:lang w:val="en-US"/>
        </w:rPr>
        <w:fldChar w:fldCharType="begin"/>
      </w:r>
      <w:r>
        <w:rPr>
          <w:rFonts w:ascii="Times New Roman" w:hAnsi="Times New Roman" w:cs="Times New Roman"/>
          <w:iCs/>
          <w:lang w:val="en-US"/>
        </w:rPr>
        <w:instrText xml:space="preserve"> ADDIN ZOTERO_ITEM CSL_CITATION {"citationID":"suAPIsk1","properties":{"formattedCitation":"(Vasseur et al., 2017)","plainCitation":"(Vasseur et al., 2017)","noteIndex":0},"citationItems":[{"id":230,"uris":["http://zotero.org/users/local/7lcSuQLw/items/JPJMLNAV"],"itemData":{"id":230,"type":"article-journal","abstract":"Sustainable development aims at addressing economic, social, and environmental concerns, but the current lack of responsive environmental governance hinders progress. Short-term economic development has led to limited actions, unsustainable resource management, and degraded ecosystems. The UN Sustainable Development Goals (SDGs) may continue to fall short of achieving significant progress without a better understanding of how ecosystems contribute to achieving sustainability for all people. Ecosystem governance is an approach that integrates the social and ecological components for improved sustainability and includes principles such as adaptive ecosystem co-management, subsidiarity, and telecoupling framework, as well as principles of democracy and accountability. We explain the importance of ecosystem governance in achieving the SDGs, and suggest some ways to ensure that ecosystem services are meaningfully considered. This paper reflects on how integration of these approaches into policies can enhance the current agenda of sustainability.","container-title":"Ambio","DOI":"10.1007/s13280-017-0918-6","ISSN":"0044-7447","issue":"7","journalAbbreviation":"Ambio","note":"PMID: 28434184\nPMCID: PMC5622882","page":"731-742","source":"PubMed Central","title":"Complex problems and unchallenged solutions: Bringing ecosystem governance to the forefront of the UN sustainable development goals","title-short":"Complex problems and unchallenged solutions","volume":"46","author":[{"family":"Vasseur","given":"Liette"},{"family":"Horning","given":"Darwin"},{"family":"Thornbush","given":"Mary"},{"family":"Cohen-Shacham","given":"Emmanuelle"},{"family":"Andrade","given":"Angela"},{"family":"Barrow","given":"Ed"},{"family":"Edwards","given":"Steve R."},{"family":"Wit","given":"Piet"},{"family":"Jones","given":"Mike"}],"issued":{"date-parts":[["2017",11]]}}}],"schema":"https://github.com/citation-style-language/schema/raw/master/csl-citation.json"} </w:instrText>
      </w:r>
      <w:r>
        <w:rPr>
          <w:rFonts w:ascii="Times New Roman" w:hAnsi="Times New Roman" w:cs="Times New Roman"/>
          <w:iCs/>
          <w:lang w:val="en-US"/>
        </w:rPr>
        <w:fldChar w:fldCharType="separate"/>
      </w:r>
      <w:r>
        <w:rPr>
          <w:rFonts w:ascii="Times New Roman" w:hAnsi="Times New Roman" w:cs="Times New Roman"/>
        </w:rPr>
        <w:t>(Vasseur, Horning, Thornbush, Cohen-Shacham, Andrade, Barrow, Edwards, Wit &amp; Jones, 2017)</w:t>
      </w:r>
      <w:r>
        <w:rPr>
          <w:rFonts w:ascii="Times New Roman" w:hAnsi="Times New Roman" w:cs="Times New Roman"/>
          <w:iCs/>
          <w:lang w:val="en-US"/>
        </w:rPr>
        <w:fldChar w:fldCharType="end"/>
      </w:r>
      <w:r>
        <w:rPr>
          <w:rFonts w:ascii="Times New Roman" w:hAnsi="Times New Roman" w:cs="Times New Roman"/>
          <w:iCs/>
          <w:lang w:val="en-US"/>
        </w:rPr>
        <w:t>.</w:t>
      </w:r>
      <w:bookmarkEnd w:id="3"/>
      <w:r>
        <w:rPr>
          <w:rFonts w:ascii="Times New Roman" w:hAnsi="Times New Roman" w:cs="Times New Roman"/>
          <w:iCs/>
          <w:lang w:val="en-US"/>
        </w:rPr>
        <w:t xml:space="preserve"> It also helps reduce greenhouse gas emissions and boost the planet's ability to adapt to climate-related occurrences and other hazards (Malhi, Franklin, Seddon, Solan, Turner, Field &amp; Knowlton, 2020). Everyone play a crucial role in achieving a sustainable environment from the government down to businesses and private individuals </w:t>
      </w:r>
      <w:r>
        <w:rPr>
          <w:rFonts w:ascii="Times New Roman" w:hAnsi="Times New Roman" w:cs="Times New Roman"/>
          <w:iCs/>
          <w:lang w:val="en-US"/>
        </w:rPr>
        <w:fldChar w:fldCharType="begin"/>
      </w:r>
      <w:r>
        <w:rPr>
          <w:rFonts w:ascii="Times New Roman" w:hAnsi="Times New Roman" w:cs="Times New Roman"/>
          <w:iCs/>
          <w:lang w:val="en-US"/>
        </w:rPr>
        <w:instrText xml:space="preserve"> ADDIN ZOTERO_ITEM CSL_CITATION {"citationID":"5O5q01co","properties":{"formattedCitation":"(Kraft, 2017)","plainCitation":"(Kraft, 2017)","noteIndex":0},"citationItems":[{"id":235,"uris":["http://zotero.org/users/local/7lcSuQLw/items/EK7Q5P93"],"itemData":{"id":235,"type":"book","abstract":"Covering global threats such as climate change, population growth, and loss of biodiversity, as well as national, state, and local problems of environmental pollution, energy use, and natural resource use and conservation, Environmental Policy and Politics provides a comprehensive overview of U.S. policymaking processes, the legislative and administrative settings for policy decisions, the role of interest groups and public opinion in environmental politics, and the public policies that result. It helps readers understand modern environmental policy and its implications, including the need for a comprehensive and integrated approach to problem-solving.  New to the Seventh Edition  Each chapter includes the latest information about environmental challenges and governmental responses to them, with extensive citation of sources and websites that allow students to find the most recent studies and reports. Each chapter covers key political and policy decisions through early 2017, including presidential appointments, budgetary decisions, major legislative initiatives, and congressional actions. Each chapter introduction includes new statements about learning objectives to facilitate student understanding of key concepts and their applications, arguments advanced over environmental challenges and policies, and the goals and methods of environmental policy analysis. Chapters compare decisions about major environmental, energy, and natural resource policies among the presidential administrations of George W. Bush, Barack Obama, and Donald Trump, to the extent possible. Each chapter’s case studies have been changed or updated to include the latest developments and examples that should improve their appeal to students. These include controversies over the Keystone XL and Dakota Access pipelines, the EPA’s Clean Power Plan and new fuel economy standards, new policies on toxic chemicals, the role of environmental and energy policies in the 2016 elections, changes in the nation’s reliance on energy resources, standards for evaluating environmental and resource policies, and the Paris Agreement on climate change. Summaries of scientific studies, government reports, and policy analyses have been updated throughout the text to reflect the most current research and information in the field. All chapters include revised discussion questions and new suggested readings. The writing and flow of material have been improved throughout to make the chapters more accessible and useful to students.","ISBN":"978-1-315-43704-0","language":"en","note":"Google-Books-ID: CkYrDwAAQBAJ","number-of-pages":"421","publisher":"Taylor &amp; Francis","source":"Google Books","title":"Environmental Policy and Politics","author":[{"family":"Kraft","given":"Michael E."}],"issued":{"date-parts":[["2017",7,6]]}}}],"schema":"https://github.com/citation-style-language/schema/raw/master/csl-citation.json"} </w:instrText>
      </w:r>
      <w:r>
        <w:rPr>
          <w:rFonts w:ascii="Times New Roman" w:hAnsi="Times New Roman" w:cs="Times New Roman"/>
          <w:iCs/>
          <w:lang w:val="en-US"/>
        </w:rPr>
        <w:fldChar w:fldCharType="separate"/>
      </w:r>
      <w:r>
        <w:rPr>
          <w:rFonts w:ascii="Times New Roman" w:hAnsi="Times New Roman" w:cs="Times New Roman"/>
        </w:rPr>
        <w:t>(Kraft, 2017</w:t>
      </w:r>
      <w:r>
        <w:rPr>
          <w:rFonts w:ascii="Times New Roman" w:hAnsi="Times New Roman" w:cs="Times New Roman"/>
          <w:lang w:val="en-US"/>
        </w:rPr>
        <w:t>; Ogbo, Eneh, Agbaeze, Chukwu &amp; Isijola, 2017; Stojanović, Milošević, Arsić, Mihajlović &amp; Đorđević, 2018).</w:t>
      </w:r>
      <w:r>
        <w:rPr>
          <w:rFonts w:ascii="Times New Roman" w:hAnsi="Times New Roman" w:cs="Times New Roman"/>
          <w:iCs/>
          <w:lang w:val="en-US"/>
        </w:rPr>
        <w:fldChar w:fldCharType="end"/>
      </w:r>
      <w:r>
        <w:rPr>
          <w:rFonts w:ascii="Times New Roman" w:hAnsi="Times New Roman" w:cs="Times New Roman"/>
          <w:iCs/>
          <w:lang w:val="en-US"/>
        </w:rPr>
        <w:t xml:space="preserve"> The government should enforce policies that encourage sustainable development, conservation, and the transition to renewable energy sources while as businesses ought to employ sustainable practices, implement eco-friendly </w:t>
      </w:r>
      <w:r>
        <w:rPr>
          <w:rFonts w:ascii="Times New Roman" w:hAnsi="Times New Roman" w:cs="Times New Roman"/>
          <w:iCs/>
          <w:lang w:val="en-US"/>
        </w:rPr>
        <w:lastRenderedPageBreak/>
        <w:t>technologies, and embrace circular economy principles; and individuals should adopt sustainable lifestyles, practice responsible consumption, and spread awareness about environmental issues.</w:t>
      </w:r>
    </w:p>
    <w:p w14:paraId="45C17BF1" w14:textId="77777777" w:rsidR="00A644D8" w:rsidRDefault="00000000">
      <w:pPr>
        <w:spacing w:line="240" w:lineRule="auto"/>
        <w:jc w:val="both"/>
        <w:rPr>
          <w:rFonts w:ascii="Times New Roman" w:hAnsi="Times New Roman" w:cs="Times New Roman"/>
          <w:iCs/>
          <w:lang w:val="en-US"/>
        </w:rPr>
      </w:pPr>
      <w:r>
        <w:rPr>
          <w:rFonts w:ascii="Times New Roman" w:hAnsi="Times New Roman" w:cs="Times New Roman"/>
          <w:iCs/>
          <w:lang w:val="en-US"/>
        </w:rPr>
        <w:t xml:space="preserve">Sustainable design strategies prioritize environmental, social, and economic considerations in the design, construction, and operation of buildings. These strategies aim to enhance energy efficiency, promote resource conservation, and create healthy and comfortable spaces for occupants </w:t>
      </w:r>
      <w:r>
        <w:rPr>
          <w:rFonts w:ascii="Times New Roman" w:hAnsi="Times New Roman" w:cs="Times New Roman"/>
          <w:iCs/>
          <w:lang w:val="en-US"/>
        </w:rPr>
        <w:fldChar w:fldCharType="begin"/>
      </w:r>
      <w:r>
        <w:rPr>
          <w:rFonts w:ascii="Times New Roman" w:hAnsi="Times New Roman" w:cs="Times New Roman"/>
          <w:iCs/>
          <w:lang w:val="en-US"/>
        </w:rPr>
        <w:instrText xml:space="preserve"> ADDIN ZOTERO_ITEM CSL_CITATION {"citationID":"ALhgI31S","properties":{"formattedCitation":"(Mohammed &amp; Abbakyari, 2016)","plainCitation":"(Mohammed &amp; Abbakyari, 2016)","noteIndex":0},"citationItems":[{"id":169,"uris":["http://zotero.org/users/local/7lcSuQLw/items/WA3ZFF5Q"],"itemData":{"id":169,"type":"article-journal","abstract":"Sustainable development has been in the forefront of debates because of the far reaching effect of climate change on this earth. This is principally due to the activities of industries that pollute the atmosphere and use up non-renewable resources to fuel our growth and development. As a consequence of this, it has become necessary for all major consumers of resources including the building industry to adopt sustainable development measures as a way of prudently using our scarce resources. Nigeria does not have a sustainable development action plan that encapsulates strategies for attaining sustainability in the built environment. This is an attempt at proposing some strategies of achieving sustainable building design and construction focusing on the principles of sustainable design and construction and the technologies for their achievement. These strategies revolve round the five principles of Sustainable Site Design; Water Conservation and Quality; Energy and Environment; Indoor Environmental Quality; and Conservation of Materials and Resources.","container-title":"Ideal jouranal of Engineering and applied Sciences","journalAbbreviation":"Ideal jouranal of Engineering and applied Sciences","page":"103-108","source":"ResearchGate","title":"STRATEGIES FOR ACHIEVING SUSTAINABILITY IN THE NIGERIAN BUILDING DESIGN AND CONSTRUCTION INDUSTRY","volume":"2","author":[{"family":"Mohammed","given":"Abbagana"},{"family":"Abbakyari","given":"Maryam"}],"issued":{"date-parts":[["2016",6,17]]}}}],"schema":"https://github.com/citation-style-language/schema/raw/master/csl-citation.json"} </w:instrText>
      </w:r>
      <w:r>
        <w:rPr>
          <w:rFonts w:ascii="Times New Roman" w:hAnsi="Times New Roman" w:cs="Times New Roman"/>
          <w:iCs/>
          <w:lang w:val="en-US"/>
        </w:rPr>
        <w:fldChar w:fldCharType="separate"/>
      </w:r>
      <w:r>
        <w:rPr>
          <w:rFonts w:ascii="Times New Roman" w:hAnsi="Times New Roman" w:cs="Times New Roman"/>
        </w:rPr>
        <w:t>(Mohammed &amp; Abbakyari, 2016)</w:t>
      </w:r>
      <w:r>
        <w:rPr>
          <w:rFonts w:ascii="Times New Roman" w:hAnsi="Times New Roman" w:cs="Times New Roman"/>
          <w:iCs/>
          <w:lang w:val="en-US"/>
        </w:rPr>
        <w:fldChar w:fldCharType="end"/>
      </w:r>
      <w:r>
        <w:rPr>
          <w:rFonts w:ascii="Times New Roman" w:hAnsi="Times New Roman" w:cs="Times New Roman"/>
          <w:iCs/>
          <w:lang w:val="en-US"/>
        </w:rPr>
        <w:t xml:space="preserve">. Public buildings, including government offices, schools, hospitals, and community centers, serve as influential landmarks within their communities, presenting an opportunity to establish a benchmark for sustainable practices. By incorporating sustainable design strategies and adopting measures such as renewable energy systems, energy-efficient technologies, green spaces, and sustainable materials, public buildings does not only educate citizens on sustainable practices but also set a model for other structures to follow suit </w:t>
      </w:r>
      <w:r>
        <w:rPr>
          <w:rFonts w:ascii="Times New Roman" w:hAnsi="Times New Roman" w:cs="Times New Roman"/>
          <w:iCs/>
          <w:lang w:val="en-US"/>
        </w:rPr>
        <w:fldChar w:fldCharType="begin"/>
      </w:r>
      <w:r>
        <w:rPr>
          <w:rFonts w:ascii="Times New Roman" w:hAnsi="Times New Roman" w:cs="Times New Roman"/>
          <w:iCs/>
          <w:lang w:val="en-US"/>
        </w:rPr>
        <w:instrText xml:space="preserve"> ADDIN ZOTERO_ITEM CSL_CITATION {"citationID":"aLrK2Kzi","properties":{"formattedCitation":"(Kaur &amp; Garg, 2019)","plainCitation":"(Kaur &amp; Garg, 2019)","noteIndex":0},"citationItems":[{"id":237,"uris":["http://zotero.org/users/local/7lcSuQLw/items/5986ZB8B"],"itemData":{"id":237,"type":"article-journal","abstract":"This paper presents a comprehensive review of literature on most widely used urban sustainability assessment tools. The aim of this paper is to understand the similarities and differences in existing urban sustainability assessment tools and identify the gaps so as to find out whether these are capable of and suitable for addressing multiple issues of urban sustainability in multiple contexts, including settlements in diverse geo-climatic and ecologically sensitive regions such as the Himalayan hill regions of India. Qualitative Content Analysis (QCA) is employed in this study to identify various themes/categories associated with various dimensions of sustainability. A total of 2594 articles were selected, of which 105 have been analysed in detail. The research reviews six most widely used urban sustainability assessment tools i.e., Building Research Establishment Environmental Assessment Method (BREEAM)for Communities, Comprehensive Assessment System for Built Environment Efficiency (CASBEE) for Urban Development, Green Building Index (GBI)for Township, Leadership in Energy and Environmental Design (LEED) for Neighbourhood Development that are used in other countries, and Indian Green Building Council (IGBC)for Green Townships and Green Rating for Integrated Habitat Assessment (GRIHA) for Large Development which are used in India. Analysis of these assessment tools reveals that most of them view sustainability from different perspectives by laying more emphasis on some aspects like infrastructure and resource management while ignoring others like cultural, business and innovation. The findings of the analysis highlight that certain aspects are given more importance in all the urban sustainability assessment tools reviewed and certain other aspects are given much lower or no consideration in all tools reflecting an incomprehensive understanding of urban sustainability on one hand; most tools reviewed do not address all context-specific aspects on the other. Further, it is observed that these tools are unable to address the complex relationships among various criteria and categories and each criterion is assessed in isolation irrespective of the fact that it can influence or be influenced by other criteria.","container-title":"Journal of Cleaner Production","DOI":"10.1016/j.jclepro.2018.11.009","ISSN":"0959-6526","journalAbbreviation":"Journal of Cleaner Production","language":"en","page":"146-158","source":"ScienceDirect","title":"Urban sustainability assessment tools: A review","title-short":"Urban sustainability assessment tools","volume":"210","author":[{"family":"Kaur","given":"Harsimran"},{"family":"Garg","given":"Pushplata"}],"issued":{"date-parts":[["2019",2,10]]}}}],"schema":"https://github.com/citation-style-language/schema/raw/master/csl-citation.json"} </w:instrText>
      </w:r>
      <w:r>
        <w:rPr>
          <w:rFonts w:ascii="Times New Roman" w:hAnsi="Times New Roman" w:cs="Times New Roman"/>
          <w:iCs/>
          <w:lang w:val="en-US"/>
        </w:rPr>
        <w:fldChar w:fldCharType="separate"/>
      </w:r>
      <w:r>
        <w:rPr>
          <w:rFonts w:ascii="Times New Roman" w:hAnsi="Times New Roman" w:cs="Times New Roman"/>
        </w:rPr>
        <w:t>(</w:t>
      </w:r>
      <w:r>
        <w:rPr>
          <w:rFonts w:ascii="Times New Roman" w:hAnsi="Times New Roman" w:cs="Times New Roman"/>
          <w:iCs/>
          <w:lang w:val="en-US"/>
        </w:rPr>
        <w:t xml:space="preserve">Leicht, Heiss &amp; Byun, 2018; </w:t>
      </w:r>
      <w:r>
        <w:rPr>
          <w:rFonts w:ascii="Times New Roman" w:hAnsi="Times New Roman" w:cs="Times New Roman"/>
        </w:rPr>
        <w:t>Kaur &amp; Garg, 2019)</w:t>
      </w:r>
      <w:r>
        <w:rPr>
          <w:rFonts w:ascii="Times New Roman" w:hAnsi="Times New Roman" w:cs="Times New Roman"/>
          <w:iCs/>
          <w:lang w:val="en-US"/>
        </w:rPr>
        <w:fldChar w:fldCharType="end"/>
      </w:r>
      <w:r>
        <w:rPr>
          <w:rFonts w:ascii="Times New Roman" w:hAnsi="Times New Roman" w:cs="Times New Roman"/>
          <w:iCs/>
          <w:lang w:val="en-US"/>
        </w:rPr>
        <w:t>. This collective effort contributes to creating a more environmentally conscious society and fostering a sustainable future.</w:t>
      </w:r>
    </w:p>
    <w:p w14:paraId="2ABCB321" w14:textId="77777777" w:rsidR="00A644D8" w:rsidRDefault="00000000">
      <w:pPr>
        <w:spacing w:line="240" w:lineRule="auto"/>
        <w:jc w:val="both"/>
        <w:rPr>
          <w:rFonts w:ascii="Times New Roman" w:hAnsi="Times New Roman" w:cs="Times New Roman"/>
          <w:iCs/>
          <w:lang w:val="en-US"/>
        </w:rPr>
      </w:pPr>
      <w:r>
        <w:rPr>
          <w:rFonts w:ascii="Times New Roman" w:hAnsi="Times New Roman" w:cs="Times New Roman"/>
          <w:iCs/>
          <w:lang w:val="en-US"/>
        </w:rPr>
        <w:t xml:space="preserve">The increase in population results in a surge in the demand of natural resources, particularly energy and water, with adverse effects on human health </w:t>
      </w:r>
      <w:r>
        <w:rPr>
          <w:rFonts w:ascii="Times New Roman" w:hAnsi="Times New Roman" w:cs="Times New Roman"/>
          <w:iCs/>
          <w:lang w:val="en-US"/>
        </w:rPr>
        <w:fldChar w:fldCharType="begin"/>
      </w:r>
      <w:r>
        <w:rPr>
          <w:rFonts w:ascii="Times New Roman" w:hAnsi="Times New Roman" w:cs="Times New Roman"/>
          <w:iCs/>
          <w:lang w:val="en-US"/>
        </w:rPr>
        <w:instrText xml:space="preserve"> ADDIN ZOTERO_ITEM CSL_CITATION {"citationID":"SK7slaAE","properties":{"formattedCitation":"(Semeraro et al., 2021)","plainCitation":"(Semeraro et al., 2021)","dontUpdate":true,"noteIndex":0},"citationItems":[{"id":191,"uris":["http://zotero.org/users/local/7lcSuQLw/items/VAB8SMF9"],"itemData":{"id":191,"type":"article-journal","abstract":"In the context of urban land-use growth and the consequent impacts on the environment, green spaces provide ecosystem services for human health. The ecosystem services concept synthesises human–environmental interactions through a series of combined components of biodiversity and abiotic elements, linking ecological processes and functions. The concept of green infrastructure (GI) in the urban context emphasises the quality and quantity of urban and peri-urban green spaces and natural areas. In dense urban contexts, the applications of GI are limited and not applied to the potential urban spaces such as roofs and gardens. Often, roofs are characterised by impermeable paved surfaces with negative effects on human well-being, whereas garden designs do not consider social needs and environmental interactions. The role of urban stressors or the urban context as a driving force or pressure of urban green space is not always well understood and employed in the planning of green spaces. This is partly due to a knowledge gap between different science disciplines that operate on different scales, from single processes of the plants (which focus on plant responses to environmental stresses affecting human well-being) to urban ecosystems (which focus on the biodiversity and urban space planning–human well-being relationship). This can create a paradox, as green spaces that are not adequately designed might not produce the expected effects. In this paper, an overview of benefits and limitations of applying the ecosystem services approach when designing green spaces is presented. The focus is on the main urban ecosystem services provided by green roofs and community gardens such as GI that can represent strategies to provide ecological and social multifunctionality to waterproofed surfaces connected to the buildings and low-exploited gardens being the main areas that affect dense urban settlements, and thus, increasing the ecosystem services in the urban environment, such as reducing the Urban Heat Island, as well as flooding events. Specifically, the paper highlights (i) feedback between ecological processes and functions that support ecosystem services, (ii) urban environmental stresses in relation to disservices that these can create for human well-being and (iii) key issues that should be considered in the planning and design of urban ecosystem services. Such a new vision of urban ecosystem services highlights the need to look at GI as an active part of the urban space design in the built environment.","container-title":"Land","DOI":"10.3390/land10020105","ISSN":"2073-445X","issue":"2","language":"en","license":"http://creativecommons.org/licenses/by/3.0/","note":"number: 2\npublisher: Multidisciplinary Digital Publishing Institute","page":"105","source":"www.mdpi.com","title":"Planning of Urban Green Spaces: An Ecological Perspective on Human Benefits","title-short":"Planning of Urban Green Spaces","volume":"10","author":[{"family":"Semeraro","given":"Teodoro"},{"family":"Scarano","given":"Aurelia"},{"family":"Buccolieri","given":"Riccardo"},{"family":"Santino","given":"Angelo"},{"family":"Aarrevaara","given":"Eeva"}],"issued":{"date-parts":[["2021",2]]}}}],"schema":"https://github.com/citation-style-language/schema/raw/master/csl-citation.json"} </w:instrText>
      </w:r>
      <w:r>
        <w:rPr>
          <w:rFonts w:ascii="Times New Roman" w:hAnsi="Times New Roman" w:cs="Times New Roman"/>
          <w:iCs/>
          <w:lang w:val="en-US"/>
        </w:rPr>
        <w:fldChar w:fldCharType="separate"/>
      </w:r>
      <w:r>
        <w:rPr>
          <w:rFonts w:ascii="Times New Roman" w:hAnsi="Times New Roman" w:cs="Times New Roman"/>
        </w:rPr>
        <w:t>(Semeraro</w:t>
      </w:r>
      <w:r>
        <w:rPr>
          <w:rFonts w:ascii="Times New Roman" w:hAnsi="Times New Roman" w:cs="Times New Roman"/>
          <w:lang w:val="en-US"/>
        </w:rPr>
        <w:t xml:space="preserve">, </w:t>
      </w:r>
      <w:r>
        <w:rPr>
          <w:rFonts w:ascii="Times New Roman" w:hAnsi="Times New Roman" w:cs="Times New Roman"/>
        </w:rPr>
        <w:t>Scarano,</w:t>
      </w:r>
      <w:r>
        <w:rPr>
          <w:rFonts w:ascii="Times New Roman" w:hAnsi="Times New Roman" w:cs="Times New Roman"/>
          <w:lang w:val="en-US"/>
        </w:rPr>
        <w:t xml:space="preserve"> </w:t>
      </w:r>
      <w:r>
        <w:rPr>
          <w:rFonts w:ascii="Times New Roman" w:hAnsi="Times New Roman" w:cs="Times New Roman"/>
        </w:rPr>
        <w:t>Buccolieri, Santino</w:t>
      </w:r>
      <w:r>
        <w:rPr>
          <w:rFonts w:ascii="Times New Roman" w:hAnsi="Times New Roman" w:cs="Times New Roman"/>
          <w:lang w:val="en-US"/>
        </w:rPr>
        <w:t xml:space="preserve"> </w:t>
      </w:r>
      <w:r>
        <w:rPr>
          <w:rFonts w:ascii="Times New Roman" w:hAnsi="Times New Roman" w:cs="Times New Roman"/>
        </w:rPr>
        <w:t xml:space="preserve">&amp; Aarrevaara, </w:t>
      </w:r>
      <w:r>
        <w:rPr>
          <w:rFonts w:ascii="Times New Roman" w:hAnsi="Times New Roman" w:cs="Times New Roman"/>
          <w:lang w:val="en-US"/>
        </w:rPr>
        <w:t xml:space="preserve"> 2</w:t>
      </w:r>
      <w:r>
        <w:rPr>
          <w:rFonts w:ascii="Times New Roman" w:hAnsi="Times New Roman" w:cs="Times New Roman"/>
        </w:rPr>
        <w:t>021)</w:t>
      </w:r>
      <w:r>
        <w:rPr>
          <w:rFonts w:ascii="Times New Roman" w:hAnsi="Times New Roman" w:cs="Times New Roman"/>
          <w:iCs/>
          <w:lang w:val="en-US"/>
        </w:rPr>
        <w:fldChar w:fldCharType="end"/>
      </w:r>
      <w:r>
        <w:rPr>
          <w:rFonts w:ascii="Times New Roman" w:hAnsi="Times New Roman" w:cs="Times New Roman"/>
          <w:iCs/>
          <w:lang w:val="en-US"/>
        </w:rPr>
        <w:t xml:space="preserve">. Consequently, there is a pressing need to formulate principles, strategies, and policies that address these concerns and promote sustainable resource management. The building industry which is the foremost energy consumer in the society, utilizes approximately 40% of the total energy produced (Mohammed et al., 2016). This high energy consumption stems from various lighting, heating, cooling, ventilation, and other energy-intensive processes (Bekele &amp; </w:t>
      </w:r>
      <w:proofErr w:type="spellStart"/>
      <w:r>
        <w:rPr>
          <w:rFonts w:ascii="Times New Roman" w:hAnsi="Times New Roman" w:cs="Times New Roman"/>
          <w:iCs/>
          <w:lang w:val="en-US"/>
        </w:rPr>
        <w:t>Atakara</w:t>
      </w:r>
      <w:proofErr w:type="spellEnd"/>
      <w:r>
        <w:rPr>
          <w:rFonts w:ascii="Times New Roman" w:hAnsi="Times New Roman" w:cs="Times New Roman"/>
          <w:iCs/>
          <w:lang w:val="en-US"/>
        </w:rPr>
        <w:t xml:space="preserve">, 2023). </w:t>
      </w:r>
    </w:p>
    <w:p w14:paraId="2430C604" w14:textId="77777777" w:rsidR="00A644D8" w:rsidRDefault="00000000">
      <w:pPr>
        <w:spacing w:line="240" w:lineRule="auto"/>
        <w:jc w:val="both"/>
        <w:rPr>
          <w:rFonts w:ascii="Times New Roman" w:hAnsi="Times New Roman" w:cs="Times New Roman"/>
          <w:iCs/>
          <w:lang w:val="en-US"/>
        </w:rPr>
      </w:pPr>
      <w:r>
        <w:rPr>
          <w:rFonts w:ascii="Times New Roman" w:hAnsi="Times New Roman" w:cs="Times New Roman"/>
          <w:iCs/>
          <w:lang w:val="en-US"/>
        </w:rPr>
        <w:t xml:space="preserve">Energy efficiency strategies </w:t>
      </w:r>
      <w:proofErr w:type="gramStart"/>
      <w:r>
        <w:rPr>
          <w:rFonts w:ascii="Times New Roman" w:hAnsi="Times New Roman" w:cs="Times New Roman"/>
          <w:iCs/>
          <w:lang w:val="en-US"/>
        </w:rPr>
        <w:t>focuses</w:t>
      </w:r>
      <w:proofErr w:type="gramEnd"/>
      <w:r>
        <w:rPr>
          <w:rFonts w:ascii="Times New Roman" w:hAnsi="Times New Roman" w:cs="Times New Roman"/>
          <w:iCs/>
          <w:lang w:val="en-US"/>
        </w:rPr>
        <w:t xml:space="preserve"> on optimizing building performance while reducing energy consumption by adopting passive design strategies for energy conservation, integrating renewable energy sources, efficient lighting systems, and HVAC systems (</w:t>
      </w:r>
      <w:r>
        <w:rPr>
          <w:rFonts w:ascii="Times New Roman" w:hAnsi="Times New Roman" w:cs="Times New Roman"/>
        </w:rPr>
        <w:t>Karimi, Adibhesami, Bazazzadeh &amp; Movafagh,</w:t>
      </w:r>
      <w:r>
        <w:rPr>
          <w:rFonts w:ascii="Times New Roman" w:hAnsi="Times New Roman" w:cs="Times New Roman"/>
          <w:lang w:val="en-US"/>
        </w:rPr>
        <w:t xml:space="preserve"> </w:t>
      </w:r>
      <w:r>
        <w:rPr>
          <w:rFonts w:ascii="Times New Roman" w:hAnsi="Times New Roman" w:cs="Times New Roman"/>
        </w:rPr>
        <w:t>2023</w:t>
      </w:r>
      <w:r>
        <w:rPr>
          <w:rFonts w:ascii="Times New Roman" w:hAnsi="Times New Roman" w:cs="Times New Roman"/>
          <w:lang w:val="en-US"/>
        </w:rPr>
        <w:t>)</w:t>
      </w:r>
      <w:r>
        <w:rPr>
          <w:rFonts w:ascii="Times New Roman" w:hAnsi="Times New Roman" w:cs="Times New Roman"/>
          <w:iCs/>
          <w:lang w:val="en-US"/>
        </w:rPr>
        <w:t>.</w:t>
      </w:r>
      <w:r>
        <w:rPr>
          <w:rFonts w:ascii="Times New Roman" w:hAnsi="Times New Roman" w:cs="Times New Roman"/>
          <w:b/>
          <w:bCs/>
          <w:iCs/>
          <w:lang w:val="en-US"/>
        </w:rPr>
        <w:t xml:space="preserve"> </w:t>
      </w:r>
      <w:r>
        <w:rPr>
          <w:rFonts w:ascii="Times New Roman" w:hAnsi="Times New Roman" w:cs="Times New Roman"/>
          <w:iCs/>
          <w:lang w:val="en-US"/>
        </w:rPr>
        <w:t xml:space="preserve">Passive design strategies are incorporated from the initial design phase to minimize the need for mechanical heating and cooling thereby reducing energy demand and associated greenhouse gas emissions (Bekele &amp; </w:t>
      </w:r>
      <w:proofErr w:type="spellStart"/>
      <w:r>
        <w:rPr>
          <w:rFonts w:ascii="Times New Roman" w:hAnsi="Times New Roman" w:cs="Times New Roman"/>
          <w:iCs/>
          <w:lang w:val="en-US"/>
        </w:rPr>
        <w:t>Atakara</w:t>
      </w:r>
      <w:proofErr w:type="spellEnd"/>
      <w:r>
        <w:rPr>
          <w:rFonts w:ascii="Times New Roman" w:hAnsi="Times New Roman" w:cs="Times New Roman"/>
          <w:iCs/>
          <w:lang w:val="en-US"/>
        </w:rPr>
        <w:t xml:space="preserve">, 2023). These strategies include optimizing building orientation for solar gain and daylighting, employing natural ventilation systems, utilizing high-performance windows, incorporating high-performance building envelope, effective insulation (wall and roof), and shading devices </w:t>
      </w:r>
      <w:r>
        <w:rPr>
          <w:rFonts w:ascii="Times New Roman" w:hAnsi="Times New Roman" w:cs="Times New Roman"/>
          <w:iCs/>
          <w:lang w:val="en-US"/>
        </w:rPr>
        <w:fldChar w:fldCharType="begin"/>
      </w:r>
      <w:r>
        <w:rPr>
          <w:rFonts w:ascii="Times New Roman" w:hAnsi="Times New Roman" w:cs="Times New Roman"/>
          <w:iCs/>
          <w:lang w:val="en-US"/>
        </w:rPr>
        <w:instrText xml:space="preserve"> ADDIN ZOTERO_ITEM CSL_CITATION {"citationID":"8s7Kaflm","properties":{"formattedCitation":"(Somasundaram et al., 2020)","plainCitation":"(Somasundaram et al., 2020)","dontUpdate":true,"noteIndex":0},"citationItems":[{"id":167,"uris":["http://zotero.org/users/local/7lcSuQLw/items/H8Z7U765"],"itemData":{"id":167,"type":"article-journal","abstract":"Double glazed facades are a well established feature for buildings located in cold ambient climate. In tropical climate there has been some penetration of Double Glazing Units (DGU) to reduce air-conditioning load. However, for existing buildings with older glass (usually having lower thermal insulation and higher solar transmission) a simple retrofit solution is to attach a low-e (hard coat) coated glass internally in the building without an explicit air tight seal. To analyse the proposed retrofit double glazing solution, experiments were conducted in a fully instrumented living lab to observe the performance viz: energy saving potential, Lux levels, and mean radiant temperature. Simulation using an energy model was conducted to estimate the annual energy savings. It is observed that retrofit hard coat low-e double glazing saves up to about 9% of daily energy consumption of Air conditioners (with annual average of 3% for Singapore weather conditions), when installed on all three sides (SE,SW,NW), for clear glass with window to wall ratio of 20% and air change rate of 1 ACH. For the same conditions the annual average energy savings can go up to 7.5% when installed on an existing grey tinted glass.","container-title":"Energy and Buildings","DOI":"10.1016/j.enbuild.2019.109570","ISSN":"0378-7788","journalAbbreviation":"Energy and Buildings","language":"en","page":"109570","source":"ScienceDirect","title":"Energy saving potential of low-e coating based retrofit double glazing for tropical climate","volume":"206","author":[{"family":"Somasundaram","given":"Sivanand"},{"family":"Chong","given":"Alex"},{"family":"Wei","given":"Zhang"},{"family":"Thangavelu","given":"Sundar Raj"}],"issued":{"date-parts":[["2020",1,1]]}}}],"schema":"https://github.com/citation-style-language/schema/raw/master/csl-citation.json"} </w:instrText>
      </w:r>
      <w:r>
        <w:rPr>
          <w:rFonts w:ascii="Times New Roman" w:hAnsi="Times New Roman" w:cs="Times New Roman"/>
          <w:iCs/>
          <w:lang w:val="en-US"/>
        </w:rPr>
        <w:fldChar w:fldCharType="separate"/>
      </w:r>
      <w:r>
        <w:rPr>
          <w:rFonts w:ascii="Times New Roman" w:hAnsi="Times New Roman" w:cs="Times New Roman"/>
        </w:rPr>
        <w:t>(</w:t>
      </w:r>
      <w:r>
        <w:rPr>
          <w:rFonts w:ascii="Times New Roman" w:hAnsi="Times New Roman" w:cs="Times New Roman"/>
          <w:iCs/>
          <w:lang w:val="en-US"/>
        </w:rPr>
        <w:t xml:space="preserve">Alagbe, Caiafas, Olayemi &amp; Joel, 2019; </w:t>
      </w:r>
      <w:r>
        <w:rPr>
          <w:rFonts w:ascii="Times New Roman" w:hAnsi="Times New Roman" w:cs="Times New Roman"/>
        </w:rPr>
        <w:t>Somasundaram, Chong,</w:t>
      </w:r>
      <w:r>
        <w:rPr>
          <w:rFonts w:ascii="Times New Roman" w:hAnsi="Times New Roman" w:cs="Times New Roman"/>
          <w:lang w:val="en-US"/>
        </w:rPr>
        <w:t xml:space="preserve"> </w:t>
      </w:r>
      <w:r>
        <w:rPr>
          <w:rFonts w:ascii="Times New Roman" w:hAnsi="Times New Roman" w:cs="Times New Roman"/>
        </w:rPr>
        <w:t>Wei &amp; Thangavelu, 2020)</w:t>
      </w:r>
      <w:r>
        <w:rPr>
          <w:rFonts w:ascii="Times New Roman" w:hAnsi="Times New Roman" w:cs="Times New Roman"/>
          <w:iCs/>
          <w:lang w:val="en-US"/>
        </w:rPr>
        <w:fldChar w:fldCharType="end"/>
      </w:r>
      <w:r>
        <w:rPr>
          <w:rFonts w:ascii="Times New Roman" w:hAnsi="Times New Roman" w:cs="Times New Roman"/>
          <w:iCs/>
          <w:lang w:val="en-US"/>
        </w:rPr>
        <w:t xml:space="preserve">. </w:t>
      </w:r>
    </w:p>
    <w:p w14:paraId="7E2956CC" w14:textId="77777777" w:rsidR="00A644D8" w:rsidRDefault="00000000">
      <w:pPr>
        <w:spacing w:line="240" w:lineRule="auto"/>
        <w:jc w:val="both"/>
        <w:rPr>
          <w:rFonts w:ascii="Times New Roman" w:hAnsi="Times New Roman" w:cs="Times New Roman"/>
          <w:iCs/>
          <w:lang w:val="en-US"/>
        </w:rPr>
      </w:pPr>
      <w:r>
        <w:rPr>
          <w:rFonts w:ascii="Times New Roman" w:hAnsi="Times New Roman" w:cs="Times New Roman"/>
          <w:iCs/>
          <w:lang w:val="en-US"/>
        </w:rPr>
        <w:t xml:space="preserve">Sustainable site design strategies are vital for fostering environmental sustainability in the built environment. It involves the selection of site and planning in respect to its proximity to public transportation, minimizing site disturbance and preserving natural habitats (Kibert, 2016). The incorporation of sustainable landscape practices such as utilizing native vegetation, implementing efficient irrigation systems, use of permeable paving materials, integrating green roofs to enhance storm water management; and green spaces enhance biodiversity, improve air quality, and enhance the overall aesthetic value of the site </w:t>
      </w:r>
      <w:r>
        <w:rPr>
          <w:rFonts w:ascii="Times New Roman" w:hAnsi="Times New Roman" w:cs="Times New Roman"/>
          <w:iCs/>
          <w:lang w:val="en-US"/>
        </w:rPr>
        <w:fldChar w:fldCharType="begin"/>
      </w:r>
      <w:r>
        <w:rPr>
          <w:rFonts w:ascii="Times New Roman" w:hAnsi="Times New Roman" w:cs="Times New Roman"/>
          <w:iCs/>
          <w:lang w:val="en-US"/>
        </w:rPr>
        <w:instrText xml:space="preserve"> ADDIN ZOTERO_ITEM CSL_CITATION {"citationID":"SBal1XX4","properties":{"formattedCitation":"(Mohammed &amp; Abbakyari, 2016)","plainCitation":"(Mohammed &amp; Abbakyari, 2016)","noteIndex":0},"citationItems":[{"id":169,"uris":["http://zotero.org/users/local/7lcSuQLw/items/WA3ZFF5Q"],"itemData":{"id":169,"type":"article-journal","abstract":"Sustainable development has been in the forefront of debates because of the far reaching effect of climate change on this earth. This is principally due to the activities of industries that pollute the atmosphere and use up non-renewable resources to fuel our growth and development. As a consequence of this, it has become necessary for all major consumers of resources including the building industry to adopt sustainable development measures as a way of prudently using our scarce resources. Nigeria does not have a sustainable development action plan that encapsulates strategies for attaining sustainability in the built environment. This is an attempt at proposing some strategies of achieving sustainable building design and construction focusing on the principles of sustainable design and construction and the technologies for their achievement. These strategies revolve round the five principles of Sustainable Site Design; Water Conservation and Quality; Energy and Environment; Indoor Environmental Quality; and Conservation of Materials and Resources.","container-title":"Ideal jouranal of Engineering and applied Sciences","journalAbbreviation":"Ideal jouranal of Engineering and applied Sciences","page":"103-108","source":"ResearchGate","title":"STRATEGIES FOR ACHIEVING SUSTAINABILITY IN THE NIGERIAN BUILDING DESIGN AND CONSTRUCTION INDUSTRY","volume":"2","author":[{"family":"Mohammed","given":"Abbagana"},{"family":"Abbakyari","given":"Maryam"}],"issued":{"date-parts":[["2016",6,17]]}}}],"schema":"https://github.com/citation-style-language/schema/raw/master/csl-citation.json"} </w:instrText>
      </w:r>
      <w:r>
        <w:rPr>
          <w:rFonts w:ascii="Times New Roman" w:hAnsi="Times New Roman" w:cs="Times New Roman"/>
          <w:iCs/>
          <w:lang w:val="en-US"/>
        </w:rPr>
        <w:fldChar w:fldCharType="separate"/>
      </w:r>
      <w:r>
        <w:rPr>
          <w:rFonts w:ascii="Times New Roman" w:hAnsi="Times New Roman" w:cs="Times New Roman"/>
        </w:rPr>
        <w:t>(</w:t>
      </w:r>
      <w:r>
        <w:rPr>
          <w:rFonts w:ascii="Times New Roman" w:hAnsi="Times New Roman" w:cs="Times New Roman"/>
          <w:iCs/>
          <w:lang w:val="en-US"/>
        </w:rPr>
        <w:t xml:space="preserve"> Barthel, Colding &amp; 2013; </w:t>
      </w:r>
      <w:r>
        <w:rPr>
          <w:rFonts w:ascii="Times New Roman" w:hAnsi="Times New Roman" w:cs="Times New Roman"/>
        </w:rPr>
        <w:t>Mohammed &amp; Abbakyari, 2016</w:t>
      </w:r>
      <w:r>
        <w:rPr>
          <w:rFonts w:ascii="Times New Roman" w:hAnsi="Times New Roman" w:cs="Times New Roman"/>
          <w:lang w:val="en-US"/>
        </w:rPr>
        <w:t xml:space="preserve">; </w:t>
      </w:r>
      <w:r>
        <w:rPr>
          <w:rFonts w:ascii="Times New Roman" w:hAnsi="Times New Roman" w:cs="Times New Roman"/>
          <w:iCs/>
          <w:lang w:val="en-US"/>
        </w:rPr>
        <w:t xml:space="preserve">Labaran </w:t>
      </w:r>
      <w:r>
        <w:rPr>
          <w:rFonts w:ascii="Times New Roman" w:hAnsi="Times New Roman" w:cs="Times New Roman"/>
          <w:i/>
          <w:lang w:val="en-US"/>
        </w:rPr>
        <w:t xml:space="preserve">et al., </w:t>
      </w:r>
      <w:r>
        <w:rPr>
          <w:rFonts w:ascii="Times New Roman" w:hAnsi="Times New Roman" w:cs="Times New Roman"/>
          <w:iCs/>
          <w:lang w:val="en-US"/>
        </w:rPr>
        <w:t>2022</w:t>
      </w:r>
      <w:r>
        <w:rPr>
          <w:rFonts w:ascii="Times New Roman" w:hAnsi="Times New Roman" w:cs="Times New Roman"/>
        </w:rPr>
        <w:t>)</w:t>
      </w:r>
      <w:r>
        <w:rPr>
          <w:rFonts w:ascii="Times New Roman" w:hAnsi="Times New Roman" w:cs="Times New Roman"/>
          <w:iCs/>
          <w:lang w:val="en-US"/>
        </w:rPr>
        <w:fldChar w:fldCharType="end"/>
      </w:r>
      <w:r>
        <w:rPr>
          <w:rFonts w:ascii="Times New Roman" w:hAnsi="Times New Roman" w:cs="Times New Roman"/>
          <w:iCs/>
          <w:lang w:val="en-US"/>
        </w:rPr>
        <w:t>.</w:t>
      </w:r>
      <w:r>
        <w:rPr>
          <w:rFonts w:ascii="Times New Roman" w:hAnsi="Times New Roman" w:cs="Times New Roman"/>
        </w:rPr>
        <w:t xml:space="preserve"> </w:t>
      </w:r>
      <w:r>
        <w:rPr>
          <w:rFonts w:ascii="Times New Roman" w:hAnsi="Times New Roman" w:cs="Times New Roman"/>
          <w:lang w:val="en-US"/>
        </w:rPr>
        <w:t>F</w:t>
      </w:r>
      <w:r>
        <w:rPr>
          <w:rFonts w:ascii="Times New Roman" w:hAnsi="Times New Roman" w:cs="Times New Roman"/>
          <w:iCs/>
          <w:lang w:val="en-US"/>
        </w:rPr>
        <w:t>inancial constraints, Lack of awareness, legislative constraints, limited availability of sustainable materials and technologies poses as challenges to the implementation of sustainable design strategies (</w:t>
      </w:r>
      <w:proofErr w:type="spellStart"/>
      <w:r>
        <w:rPr>
          <w:rFonts w:ascii="Times New Roman" w:hAnsi="Times New Roman" w:cs="Times New Roman"/>
          <w:iCs/>
          <w:lang w:val="en-US"/>
        </w:rPr>
        <w:t>Aghimien</w:t>
      </w:r>
      <w:proofErr w:type="spellEnd"/>
      <w:r>
        <w:rPr>
          <w:rFonts w:ascii="Times New Roman" w:hAnsi="Times New Roman" w:cs="Times New Roman"/>
          <w:iCs/>
          <w:lang w:val="en-US"/>
        </w:rPr>
        <w:t xml:space="preserve">, </w:t>
      </w:r>
      <w:proofErr w:type="spellStart"/>
      <w:r>
        <w:rPr>
          <w:rFonts w:ascii="Times New Roman" w:hAnsi="Times New Roman" w:cs="Times New Roman"/>
          <w:iCs/>
          <w:lang w:val="en-US"/>
        </w:rPr>
        <w:t>Adegbembo</w:t>
      </w:r>
      <w:proofErr w:type="spellEnd"/>
      <w:r>
        <w:rPr>
          <w:rFonts w:ascii="Times New Roman" w:hAnsi="Times New Roman" w:cs="Times New Roman"/>
          <w:iCs/>
          <w:lang w:val="en-US"/>
        </w:rPr>
        <w:t xml:space="preserve">, </w:t>
      </w:r>
      <w:proofErr w:type="spellStart"/>
      <w:r>
        <w:rPr>
          <w:rFonts w:ascii="Times New Roman" w:hAnsi="Times New Roman" w:cs="Times New Roman"/>
          <w:iCs/>
          <w:lang w:val="en-US"/>
        </w:rPr>
        <w:t>Aghimien</w:t>
      </w:r>
      <w:proofErr w:type="spellEnd"/>
      <w:r>
        <w:rPr>
          <w:rFonts w:ascii="Times New Roman" w:hAnsi="Times New Roman" w:cs="Times New Roman"/>
          <w:iCs/>
          <w:lang w:val="en-US"/>
        </w:rPr>
        <w:t xml:space="preserve"> &amp; </w:t>
      </w:r>
      <w:proofErr w:type="spellStart"/>
      <w:r>
        <w:rPr>
          <w:rFonts w:ascii="Times New Roman" w:hAnsi="Times New Roman" w:cs="Times New Roman"/>
          <w:iCs/>
          <w:lang w:val="en-US"/>
        </w:rPr>
        <w:t>Awodele</w:t>
      </w:r>
      <w:proofErr w:type="spellEnd"/>
      <w:r>
        <w:rPr>
          <w:rFonts w:ascii="Times New Roman" w:hAnsi="Times New Roman" w:cs="Times New Roman"/>
          <w:iCs/>
          <w:lang w:val="en-US"/>
        </w:rPr>
        <w:t xml:space="preserve">, 2018; Koko &amp; Bello, 2020). </w:t>
      </w:r>
    </w:p>
    <w:p w14:paraId="12F3DE07" w14:textId="77777777" w:rsidR="00A644D8" w:rsidRDefault="00000000">
      <w:pPr>
        <w:spacing w:line="240" w:lineRule="auto"/>
        <w:jc w:val="both"/>
        <w:rPr>
          <w:rFonts w:ascii="Times New Roman" w:hAnsi="Times New Roman" w:cs="Times New Roman"/>
          <w:b/>
          <w:bCs/>
          <w:iCs/>
          <w:lang w:val="en-US"/>
        </w:rPr>
      </w:pPr>
      <w:r>
        <w:rPr>
          <w:rFonts w:ascii="Times New Roman" w:hAnsi="Times New Roman" w:cs="Times New Roman"/>
          <w:b/>
          <w:bCs/>
          <w:iCs/>
          <w:lang w:val="en-US"/>
        </w:rPr>
        <w:t>3.0</w:t>
      </w:r>
      <w:r>
        <w:rPr>
          <w:rFonts w:ascii="Times New Roman" w:hAnsi="Times New Roman" w:cs="Times New Roman"/>
          <w:b/>
          <w:bCs/>
          <w:iCs/>
          <w:lang w:val="en-US"/>
        </w:rPr>
        <w:tab/>
        <w:t>Methodology</w:t>
      </w:r>
    </w:p>
    <w:p w14:paraId="30996738" w14:textId="77777777" w:rsidR="00A644D8" w:rsidRDefault="00000000">
      <w:pPr>
        <w:spacing w:after="0" w:line="240" w:lineRule="auto"/>
        <w:jc w:val="both"/>
        <w:rPr>
          <w:rFonts w:ascii="Times New Roman" w:hAnsi="Times New Roman" w:cs="Times New Roman"/>
          <w:iCs/>
          <w:lang w:val="en-US"/>
        </w:rPr>
      </w:pPr>
      <w:r>
        <w:rPr>
          <w:rFonts w:ascii="Times New Roman" w:hAnsi="Times New Roman" w:cs="Times New Roman"/>
          <w:iCs/>
          <w:lang w:val="en-US"/>
        </w:rPr>
        <w:t xml:space="preserve">The study was conducted to evaluate and </w:t>
      </w:r>
      <w:proofErr w:type="spellStart"/>
      <w:r>
        <w:rPr>
          <w:rFonts w:ascii="Times New Roman" w:hAnsi="Times New Roman" w:cs="Times New Roman"/>
          <w:iCs/>
          <w:lang w:val="en-US"/>
        </w:rPr>
        <w:t>analyse</w:t>
      </w:r>
      <w:proofErr w:type="spellEnd"/>
      <w:r>
        <w:rPr>
          <w:rFonts w:ascii="Times New Roman" w:hAnsi="Times New Roman" w:cs="Times New Roman"/>
          <w:iCs/>
          <w:lang w:val="en-US"/>
        </w:rPr>
        <w:t xml:space="preserve"> sustainable design strategies adopted in selected youth and convention centres. Two objectives were established to attain the aim of the study. The study adopted a pragmatic research approach. This means that the most suitable research approach to address each objective was considered and adopted. This necessitated the use of a mixed research method that employed both qualitative and quantitative research methods to conduct. Three buildings that were purposely designed for the development of youth were purposively selected for the study. The buildings include two youth centres and one convention </w:t>
      </w:r>
      <w:proofErr w:type="spellStart"/>
      <w:r>
        <w:rPr>
          <w:rFonts w:ascii="Times New Roman" w:hAnsi="Times New Roman" w:cs="Times New Roman"/>
          <w:iCs/>
          <w:lang w:val="en-US"/>
        </w:rPr>
        <w:t>centre</w:t>
      </w:r>
      <w:proofErr w:type="spellEnd"/>
      <w:r>
        <w:rPr>
          <w:rFonts w:ascii="Times New Roman" w:hAnsi="Times New Roman" w:cs="Times New Roman"/>
          <w:iCs/>
          <w:lang w:val="en-US"/>
        </w:rPr>
        <w:t xml:space="preserve"> in Lagos, Abuja and Calabar respectively. Table 1 shows the selected youth centres and one convention </w:t>
      </w:r>
      <w:proofErr w:type="spellStart"/>
      <w:r>
        <w:rPr>
          <w:rFonts w:ascii="Times New Roman" w:hAnsi="Times New Roman" w:cs="Times New Roman"/>
          <w:iCs/>
          <w:lang w:val="en-US"/>
        </w:rPr>
        <w:t>centre</w:t>
      </w:r>
      <w:proofErr w:type="spellEnd"/>
      <w:r>
        <w:rPr>
          <w:rFonts w:ascii="Times New Roman" w:hAnsi="Times New Roman" w:cs="Times New Roman"/>
          <w:iCs/>
          <w:lang w:val="en-US"/>
        </w:rPr>
        <w:t xml:space="preserve">, as well as their locations. </w:t>
      </w:r>
      <w:r>
        <w:rPr>
          <w:rFonts w:ascii="Times New Roman" w:hAnsi="Times New Roman" w:cs="Times New Roman"/>
          <w:iCs/>
          <w:lang w:val="en-US"/>
        </w:rPr>
        <w:cr/>
      </w:r>
    </w:p>
    <w:p w14:paraId="08199D6C" w14:textId="77777777" w:rsidR="00A644D8" w:rsidRDefault="00A644D8">
      <w:pPr>
        <w:spacing w:after="0" w:line="240" w:lineRule="auto"/>
        <w:jc w:val="both"/>
        <w:rPr>
          <w:rFonts w:ascii="Times New Roman" w:hAnsi="Times New Roman" w:cs="Times New Roman"/>
          <w:iCs/>
          <w:lang w:val="en-US"/>
        </w:rPr>
      </w:pPr>
    </w:p>
    <w:p w14:paraId="59B8F60D" w14:textId="77777777" w:rsidR="00A644D8" w:rsidRDefault="00A644D8">
      <w:pPr>
        <w:spacing w:after="0" w:line="240" w:lineRule="auto"/>
        <w:jc w:val="both"/>
        <w:rPr>
          <w:rFonts w:ascii="Times New Roman" w:hAnsi="Times New Roman" w:cs="Times New Roman"/>
          <w:iCs/>
          <w:lang w:val="en-US"/>
        </w:rPr>
      </w:pPr>
    </w:p>
    <w:p w14:paraId="27C424F2" w14:textId="77777777" w:rsidR="00A644D8" w:rsidRDefault="00A644D8">
      <w:pPr>
        <w:spacing w:after="0" w:line="240" w:lineRule="auto"/>
        <w:jc w:val="both"/>
        <w:rPr>
          <w:rFonts w:ascii="Times New Roman" w:hAnsi="Times New Roman" w:cs="Times New Roman"/>
          <w:iCs/>
          <w:lang w:val="en-US"/>
        </w:rPr>
      </w:pPr>
    </w:p>
    <w:p w14:paraId="2ACA11AF" w14:textId="77777777" w:rsidR="00A644D8" w:rsidRDefault="00000000">
      <w:pPr>
        <w:spacing w:after="0" w:line="240" w:lineRule="auto"/>
        <w:jc w:val="both"/>
        <w:rPr>
          <w:rFonts w:ascii="Times New Roman" w:hAnsi="Times New Roman" w:cs="Times New Roman"/>
          <w:iCs/>
          <w:lang w:val="en-US"/>
        </w:rPr>
      </w:pPr>
      <w:r>
        <w:rPr>
          <w:rFonts w:ascii="Times New Roman" w:hAnsi="Times New Roman" w:cs="Times New Roman"/>
          <w:b/>
          <w:bCs/>
          <w:iCs/>
          <w:lang w:val="en-US"/>
        </w:rPr>
        <w:t>Table 1: Selected Youth and Convention Centres in Nigeria</w:t>
      </w:r>
    </w:p>
    <w:tbl>
      <w:tblPr>
        <w:tblStyle w:val="PlainTable31"/>
        <w:tblW w:w="0" w:type="auto"/>
        <w:tblLook w:val="04A0" w:firstRow="1" w:lastRow="0" w:firstColumn="1" w:lastColumn="0" w:noHBand="0" w:noVBand="1"/>
      </w:tblPr>
      <w:tblGrid>
        <w:gridCol w:w="817"/>
        <w:gridCol w:w="5344"/>
        <w:gridCol w:w="3081"/>
      </w:tblGrid>
      <w:tr w:rsidR="00A644D8" w14:paraId="05238257" w14:textId="77777777" w:rsidTr="00A644D8">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817" w:type="dxa"/>
          </w:tcPr>
          <w:p w14:paraId="25154223" w14:textId="77777777" w:rsidR="00A644D8" w:rsidRDefault="00000000">
            <w:pPr>
              <w:spacing w:after="0" w:line="240" w:lineRule="auto"/>
              <w:jc w:val="both"/>
              <w:rPr>
                <w:rFonts w:ascii="Times New Roman" w:hAnsi="Times New Roman" w:cs="Times New Roman"/>
                <w:b w:val="0"/>
                <w:bCs w:val="0"/>
                <w:iCs/>
                <w:caps w:val="0"/>
                <w:lang w:val="en-US"/>
              </w:rPr>
            </w:pPr>
            <w:r>
              <w:rPr>
                <w:rFonts w:ascii="Times New Roman" w:hAnsi="Times New Roman" w:cs="Times New Roman"/>
                <w:iCs/>
                <w:lang w:val="en-US"/>
              </w:rPr>
              <w:t>S/N</w:t>
            </w:r>
          </w:p>
        </w:tc>
        <w:tc>
          <w:tcPr>
            <w:tcW w:w="5344" w:type="dxa"/>
          </w:tcPr>
          <w:p w14:paraId="3B971135" w14:textId="77777777" w:rsidR="00A644D8" w:rsidRDefault="00000000">
            <w:pPr>
              <w:spacing w:after="0" w:line="24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iCs/>
                <w:caps w:val="0"/>
                <w:lang w:val="en-US"/>
              </w:rPr>
            </w:pPr>
            <w:r>
              <w:rPr>
                <w:rFonts w:ascii="Times New Roman" w:hAnsi="Times New Roman" w:cs="Times New Roman"/>
                <w:iCs/>
                <w:caps w:val="0"/>
                <w:lang w:val="en-US"/>
              </w:rPr>
              <w:t>Name of Centres</w:t>
            </w:r>
          </w:p>
        </w:tc>
        <w:tc>
          <w:tcPr>
            <w:tcW w:w="3081" w:type="dxa"/>
          </w:tcPr>
          <w:p w14:paraId="2D7BE596" w14:textId="77777777" w:rsidR="00A644D8" w:rsidRDefault="00000000">
            <w:pPr>
              <w:spacing w:after="0" w:line="24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iCs/>
                <w:caps w:val="0"/>
                <w:lang w:val="en-US"/>
              </w:rPr>
            </w:pPr>
            <w:r>
              <w:rPr>
                <w:rFonts w:ascii="Times New Roman" w:hAnsi="Times New Roman" w:cs="Times New Roman"/>
                <w:iCs/>
                <w:caps w:val="0"/>
                <w:lang w:val="en-US"/>
              </w:rPr>
              <w:t>Location</w:t>
            </w:r>
          </w:p>
        </w:tc>
      </w:tr>
      <w:tr w:rsidR="00A644D8" w14:paraId="60F7B555" w14:textId="77777777" w:rsidTr="00A644D8">
        <w:tc>
          <w:tcPr>
            <w:cnfStyle w:val="001000000000" w:firstRow="0" w:lastRow="0" w:firstColumn="1" w:lastColumn="0" w:oddVBand="0" w:evenVBand="0" w:oddHBand="0" w:evenHBand="0" w:firstRowFirstColumn="0" w:firstRowLastColumn="0" w:lastRowFirstColumn="0" w:lastRowLastColumn="0"/>
            <w:tcW w:w="817" w:type="dxa"/>
            <w:shd w:val="clear" w:color="auto" w:fill="F2F2F2" w:themeFill="background1" w:themeFillShade="F2"/>
          </w:tcPr>
          <w:p w14:paraId="3E4BE4B9" w14:textId="77777777" w:rsidR="00A644D8" w:rsidRDefault="00000000">
            <w:pPr>
              <w:spacing w:after="0" w:line="240" w:lineRule="auto"/>
              <w:jc w:val="both"/>
              <w:rPr>
                <w:rFonts w:ascii="Times New Roman" w:hAnsi="Times New Roman" w:cs="Times New Roman"/>
                <w:iCs/>
                <w:caps w:val="0"/>
                <w:lang w:val="en-US"/>
              </w:rPr>
            </w:pPr>
            <w:r>
              <w:rPr>
                <w:rFonts w:ascii="Times New Roman" w:hAnsi="Times New Roman" w:cs="Times New Roman"/>
                <w:b w:val="0"/>
                <w:bCs w:val="0"/>
                <w:iCs/>
                <w:lang w:val="en-US"/>
              </w:rPr>
              <w:t>1</w:t>
            </w:r>
          </w:p>
        </w:tc>
        <w:tc>
          <w:tcPr>
            <w:tcW w:w="5344" w:type="dxa"/>
            <w:shd w:val="clear" w:color="auto" w:fill="F2F2F2" w:themeFill="background1" w:themeFillShade="F2"/>
          </w:tcPr>
          <w:p w14:paraId="009271FD" w14:textId="77777777" w:rsidR="00A644D8" w:rsidRDefault="00000000">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lang w:val="en-US"/>
              </w:rPr>
            </w:pPr>
            <w:r>
              <w:rPr>
                <w:rFonts w:ascii="Times New Roman" w:hAnsi="Times New Roman" w:cs="Times New Roman"/>
                <w:iCs/>
                <w:lang w:val="en-US"/>
              </w:rPr>
              <w:t xml:space="preserve">Ikeja Youth Centre </w:t>
            </w:r>
          </w:p>
        </w:tc>
        <w:tc>
          <w:tcPr>
            <w:tcW w:w="3081" w:type="dxa"/>
            <w:shd w:val="clear" w:color="auto" w:fill="F2F2F2" w:themeFill="background1" w:themeFillShade="F2"/>
          </w:tcPr>
          <w:p w14:paraId="0D2BB627" w14:textId="77777777" w:rsidR="00A644D8" w:rsidRDefault="00000000">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lang w:val="en-US"/>
              </w:rPr>
            </w:pPr>
            <w:r>
              <w:rPr>
                <w:rFonts w:ascii="Times New Roman" w:hAnsi="Times New Roman" w:cs="Times New Roman"/>
                <w:iCs/>
                <w:lang w:val="en-US"/>
              </w:rPr>
              <w:t>Ikeja, Lagos</w:t>
            </w:r>
          </w:p>
        </w:tc>
      </w:tr>
      <w:tr w:rsidR="00A644D8" w14:paraId="7C095125" w14:textId="77777777" w:rsidTr="00A644D8">
        <w:tc>
          <w:tcPr>
            <w:cnfStyle w:val="001000000000" w:firstRow="0" w:lastRow="0" w:firstColumn="1" w:lastColumn="0" w:oddVBand="0" w:evenVBand="0" w:oddHBand="0" w:evenHBand="0" w:firstRowFirstColumn="0" w:firstRowLastColumn="0" w:lastRowFirstColumn="0" w:lastRowLastColumn="0"/>
            <w:tcW w:w="817" w:type="dxa"/>
          </w:tcPr>
          <w:p w14:paraId="19F467F1" w14:textId="77777777" w:rsidR="00A644D8" w:rsidRDefault="00000000">
            <w:pPr>
              <w:spacing w:after="0" w:line="240" w:lineRule="auto"/>
              <w:jc w:val="both"/>
              <w:rPr>
                <w:rFonts w:ascii="Times New Roman" w:hAnsi="Times New Roman" w:cs="Times New Roman"/>
                <w:iCs/>
                <w:caps w:val="0"/>
                <w:lang w:val="en-US"/>
              </w:rPr>
            </w:pPr>
            <w:r>
              <w:rPr>
                <w:rFonts w:ascii="Times New Roman" w:hAnsi="Times New Roman" w:cs="Times New Roman"/>
                <w:b w:val="0"/>
                <w:bCs w:val="0"/>
                <w:iCs/>
                <w:lang w:val="en-US"/>
              </w:rPr>
              <w:t>2</w:t>
            </w:r>
          </w:p>
        </w:tc>
        <w:tc>
          <w:tcPr>
            <w:tcW w:w="5344" w:type="dxa"/>
          </w:tcPr>
          <w:p w14:paraId="5044537A" w14:textId="77777777" w:rsidR="00A644D8" w:rsidRDefault="00000000">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lang w:val="en-US"/>
              </w:rPr>
            </w:pPr>
            <w:r>
              <w:rPr>
                <w:rFonts w:ascii="Times New Roman" w:hAnsi="Times New Roman" w:cs="Times New Roman"/>
                <w:iCs/>
                <w:lang w:val="en-US"/>
              </w:rPr>
              <w:t>FCT Ultra-Modern Youth Support Centre</w:t>
            </w:r>
          </w:p>
        </w:tc>
        <w:tc>
          <w:tcPr>
            <w:tcW w:w="3081" w:type="dxa"/>
          </w:tcPr>
          <w:p w14:paraId="684361BC" w14:textId="77777777" w:rsidR="00A644D8" w:rsidRDefault="00000000">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lang w:val="en-US"/>
              </w:rPr>
            </w:pPr>
            <w:proofErr w:type="spellStart"/>
            <w:r>
              <w:rPr>
                <w:rFonts w:ascii="Times New Roman" w:hAnsi="Times New Roman" w:cs="Times New Roman"/>
                <w:iCs/>
                <w:lang w:val="en-US"/>
              </w:rPr>
              <w:t>Nyanya</w:t>
            </w:r>
            <w:proofErr w:type="spellEnd"/>
            <w:r>
              <w:rPr>
                <w:rFonts w:ascii="Times New Roman" w:hAnsi="Times New Roman" w:cs="Times New Roman"/>
                <w:iCs/>
                <w:lang w:val="en-US"/>
              </w:rPr>
              <w:t>, Abuja</w:t>
            </w:r>
          </w:p>
        </w:tc>
      </w:tr>
      <w:tr w:rsidR="00A644D8" w14:paraId="218AEF2B" w14:textId="77777777" w:rsidTr="00A644D8">
        <w:tc>
          <w:tcPr>
            <w:cnfStyle w:val="001000000000" w:firstRow="0" w:lastRow="0" w:firstColumn="1" w:lastColumn="0" w:oddVBand="0" w:evenVBand="0" w:oddHBand="0" w:evenHBand="0" w:firstRowFirstColumn="0" w:firstRowLastColumn="0" w:lastRowFirstColumn="0" w:lastRowLastColumn="0"/>
            <w:tcW w:w="817" w:type="dxa"/>
            <w:shd w:val="clear" w:color="auto" w:fill="F2F2F2" w:themeFill="background1" w:themeFillShade="F2"/>
          </w:tcPr>
          <w:p w14:paraId="0C7AEF35" w14:textId="77777777" w:rsidR="00A644D8" w:rsidRDefault="00000000">
            <w:pPr>
              <w:spacing w:after="0" w:line="240" w:lineRule="auto"/>
              <w:jc w:val="both"/>
              <w:rPr>
                <w:rFonts w:ascii="Times New Roman" w:hAnsi="Times New Roman" w:cs="Times New Roman"/>
                <w:iCs/>
                <w:caps w:val="0"/>
                <w:lang w:val="en-US"/>
              </w:rPr>
            </w:pPr>
            <w:r>
              <w:rPr>
                <w:rFonts w:ascii="Times New Roman" w:hAnsi="Times New Roman" w:cs="Times New Roman"/>
                <w:b w:val="0"/>
                <w:bCs w:val="0"/>
                <w:iCs/>
                <w:lang w:val="en-US"/>
              </w:rPr>
              <w:t>3</w:t>
            </w:r>
          </w:p>
        </w:tc>
        <w:tc>
          <w:tcPr>
            <w:tcW w:w="5344" w:type="dxa"/>
            <w:shd w:val="clear" w:color="auto" w:fill="F2F2F2" w:themeFill="background1" w:themeFillShade="F2"/>
          </w:tcPr>
          <w:p w14:paraId="633773FB" w14:textId="77777777" w:rsidR="00A644D8" w:rsidRDefault="00000000">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lang w:val="en-US"/>
              </w:rPr>
            </w:pPr>
            <w:r>
              <w:rPr>
                <w:rFonts w:ascii="Times New Roman" w:hAnsi="Times New Roman" w:cs="Times New Roman"/>
                <w:iCs/>
                <w:lang w:val="en-US"/>
              </w:rPr>
              <w:t>Calabar International Convention Centre</w:t>
            </w:r>
          </w:p>
        </w:tc>
        <w:tc>
          <w:tcPr>
            <w:tcW w:w="3081" w:type="dxa"/>
            <w:shd w:val="clear" w:color="auto" w:fill="F2F2F2" w:themeFill="background1" w:themeFillShade="F2"/>
          </w:tcPr>
          <w:p w14:paraId="61695912" w14:textId="77777777" w:rsidR="00A644D8" w:rsidRDefault="00000000">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lang w:val="en-US"/>
              </w:rPr>
            </w:pPr>
            <w:r>
              <w:rPr>
                <w:rFonts w:ascii="Times New Roman" w:hAnsi="Times New Roman" w:cs="Times New Roman"/>
                <w:iCs/>
                <w:lang w:val="en-US"/>
              </w:rPr>
              <w:t>Calabar, Cross River</w:t>
            </w:r>
          </w:p>
        </w:tc>
      </w:tr>
    </w:tbl>
    <w:p w14:paraId="6A06001D" w14:textId="77777777" w:rsidR="00A644D8" w:rsidRDefault="00000000">
      <w:pPr>
        <w:spacing w:before="240" w:line="240" w:lineRule="auto"/>
        <w:jc w:val="both"/>
        <w:rPr>
          <w:rFonts w:ascii="Times New Roman" w:hAnsi="Times New Roman" w:cs="Times New Roman"/>
          <w:iCs/>
          <w:lang w:val="en-US"/>
        </w:rPr>
      </w:pPr>
      <w:r>
        <w:rPr>
          <w:rFonts w:ascii="Times New Roman" w:hAnsi="Times New Roman" w:cs="Times New Roman"/>
          <w:iCs/>
          <w:lang w:val="en-US"/>
        </w:rPr>
        <w:t>Field data was collected to address the study's objectives, which involved identifying sustainable design strategies implemented in selected youth and convention centres. Qualitative research methods were used, including an observation guide, to gather data on the functionality and availability of these strategies. The collected data was analyzed through content analysis. Additionally, a quantitative approach was adopted to assess the effectiveness of the strategies in improving environmental sustainability. Questionnaires were distributed to visitors, and the data was analyzed using Likert scales and Statistical Product and Service Solutions software. The results were presented descriptively using charts and tables for clarity.</w:t>
      </w:r>
    </w:p>
    <w:p w14:paraId="033F3AEC" w14:textId="77777777" w:rsidR="00A644D8" w:rsidRDefault="00000000">
      <w:pPr>
        <w:spacing w:after="0" w:line="240" w:lineRule="auto"/>
        <w:jc w:val="both"/>
        <w:rPr>
          <w:rFonts w:ascii="Times New Roman" w:hAnsi="Times New Roman" w:cs="Times New Roman"/>
          <w:b/>
          <w:bCs/>
          <w:iCs/>
          <w:lang w:val="en-US"/>
        </w:rPr>
      </w:pPr>
      <w:r>
        <w:rPr>
          <w:rFonts w:ascii="Times New Roman" w:hAnsi="Times New Roman" w:cs="Times New Roman"/>
          <w:b/>
          <w:bCs/>
          <w:iCs/>
          <w:lang w:val="en-US"/>
        </w:rPr>
        <w:t>4.0</w:t>
      </w:r>
      <w:r>
        <w:rPr>
          <w:rFonts w:ascii="Times New Roman" w:hAnsi="Times New Roman" w:cs="Times New Roman"/>
          <w:b/>
          <w:bCs/>
          <w:iCs/>
          <w:lang w:val="en-US"/>
        </w:rPr>
        <w:tab/>
        <w:t>Result and Discussion</w:t>
      </w:r>
    </w:p>
    <w:p w14:paraId="2BC40FCE" w14:textId="77777777" w:rsidR="00A644D8" w:rsidRDefault="00000000">
      <w:pPr>
        <w:spacing w:line="240" w:lineRule="auto"/>
        <w:jc w:val="both"/>
        <w:rPr>
          <w:rFonts w:ascii="Times New Roman" w:hAnsi="Times New Roman" w:cs="Times New Roman"/>
          <w:b/>
          <w:bCs/>
          <w:i/>
          <w:lang w:val="en-US"/>
        </w:rPr>
      </w:pPr>
      <w:r>
        <w:rPr>
          <w:rFonts w:ascii="Times New Roman" w:hAnsi="Times New Roman" w:cs="Times New Roman"/>
          <w:iCs/>
          <w:lang w:val="en-US"/>
        </w:rPr>
        <w:t>The results of the data analysis are as follows:</w:t>
      </w:r>
    </w:p>
    <w:p w14:paraId="1B9F21CA" w14:textId="77777777" w:rsidR="00A644D8" w:rsidRDefault="00000000">
      <w:pPr>
        <w:spacing w:line="240" w:lineRule="auto"/>
        <w:jc w:val="both"/>
        <w:rPr>
          <w:rFonts w:ascii="Times New Roman" w:hAnsi="Times New Roman" w:cs="Times New Roman"/>
          <w:b/>
          <w:bCs/>
          <w:i/>
          <w:lang w:val="en-US"/>
        </w:rPr>
      </w:pPr>
      <w:r>
        <w:rPr>
          <w:rFonts w:ascii="Times New Roman" w:hAnsi="Times New Roman" w:cs="Times New Roman"/>
          <w:b/>
          <w:bCs/>
          <w:i/>
          <w:lang w:val="en-US"/>
        </w:rPr>
        <w:t>4.1</w:t>
      </w:r>
      <w:r>
        <w:rPr>
          <w:rFonts w:ascii="Times New Roman" w:hAnsi="Times New Roman" w:cs="Times New Roman"/>
          <w:b/>
          <w:bCs/>
          <w:i/>
          <w:lang w:val="en-US"/>
        </w:rPr>
        <w:tab/>
        <w:t>Overview of the Selected Youth and Convention Centres</w:t>
      </w:r>
    </w:p>
    <w:p w14:paraId="42E00598" w14:textId="77777777" w:rsidR="00A644D8" w:rsidRDefault="00000000">
      <w:pPr>
        <w:spacing w:after="0" w:line="240" w:lineRule="auto"/>
        <w:jc w:val="both"/>
        <w:rPr>
          <w:rFonts w:ascii="Times New Roman" w:hAnsi="Times New Roman" w:cs="Times New Roman"/>
          <w:b/>
          <w:bCs/>
          <w:i/>
          <w:lang w:val="en-US"/>
        </w:rPr>
      </w:pPr>
      <w:r>
        <w:rPr>
          <w:rFonts w:ascii="Times New Roman" w:hAnsi="Times New Roman" w:cs="Times New Roman"/>
          <w:b/>
          <w:bCs/>
          <w:i/>
          <w:lang w:val="en-US"/>
        </w:rPr>
        <w:t>4.1.1</w:t>
      </w:r>
      <w:r>
        <w:rPr>
          <w:rFonts w:ascii="Times New Roman" w:hAnsi="Times New Roman" w:cs="Times New Roman"/>
          <w:b/>
          <w:bCs/>
          <w:i/>
          <w:lang w:val="en-US"/>
        </w:rPr>
        <w:tab/>
        <w:t>Ikeja Youth Centre</w:t>
      </w:r>
    </w:p>
    <w:p w14:paraId="27436F70" w14:textId="77777777" w:rsidR="00A644D8" w:rsidRDefault="00000000">
      <w:pPr>
        <w:spacing w:line="240" w:lineRule="auto"/>
        <w:jc w:val="both"/>
        <w:rPr>
          <w:rFonts w:ascii="Times New Roman" w:hAnsi="Times New Roman" w:cs="Times New Roman"/>
          <w:iCs/>
          <w:lang w:val="en-US"/>
        </w:rPr>
      </w:pPr>
      <w:r>
        <w:rPr>
          <w:rFonts w:ascii="Times New Roman" w:hAnsi="Times New Roman" w:cs="Times New Roman"/>
          <w:iCs/>
          <w:lang w:val="en-US"/>
        </w:rPr>
        <w:t>The Ikeja Youth Centre located at Ikeja, Lagos, Nigeria. It serves as an energetic and dynamic hub for youth engagement and development initiatives. It offers a diverse range of facilities and resources aimed at empowering young individuals and nurturing their overall well-being.</w:t>
      </w:r>
    </w:p>
    <w:p w14:paraId="6116DFA5" w14:textId="77777777" w:rsidR="00A644D8" w:rsidRDefault="00000000">
      <w:pPr>
        <w:spacing w:after="0" w:line="240" w:lineRule="auto"/>
        <w:jc w:val="both"/>
        <w:rPr>
          <w:rFonts w:ascii="Times New Roman" w:hAnsi="Times New Roman" w:cs="Times New Roman"/>
          <w:b/>
          <w:bCs/>
          <w:i/>
          <w:lang w:val="en-US"/>
        </w:rPr>
      </w:pPr>
      <w:r>
        <w:rPr>
          <w:rFonts w:ascii="Times New Roman" w:hAnsi="Times New Roman" w:cs="Times New Roman"/>
          <w:b/>
          <w:bCs/>
          <w:i/>
          <w:lang w:val="en-US"/>
        </w:rPr>
        <w:t>4.1.2</w:t>
      </w:r>
      <w:r>
        <w:rPr>
          <w:rFonts w:ascii="Times New Roman" w:hAnsi="Times New Roman" w:cs="Times New Roman"/>
          <w:b/>
          <w:bCs/>
          <w:i/>
          <w:lang w:val="en-US"/>
        </w:rPr>
        <w:tab/>
        <w:t>FCT Ultra-Modern Youth Support Centre</w:t>
      </w:r>
    </w:p>
    <w:p w14:paraId="458EB37A" w14:textId="77777777" w:rsidR="00A644D8" w:rsidRDefault="00000000">
      <w:pPr>
        <w:spacing w:line="240" w:lineRule="auto"/>
        <w:jc w:val="both"/>
        <w:rPr>
          <w:rFonts w:ascii="Times New Roman" w:hAnsi="Times New Roman" w:cs="Times New Roman"/>
          <w:iCs/>
          <w:lang w:val="en-US"/>
        </w:rPr>
      </w:pPr>
      <w:r>
        <w:rPr>
          <w:rFonts w:ascii="Times New Roman" w:hAnsi="Times New Roman" w:cs="Times New Roman"/>
          <w:iCs/>
          <w:lang w:val="en-US"/>
        </w:rPr>
        <w:t xml:space="preserve">The FCT Ultra-Modern Youth Support Centre is located at </w:t>
      </w:r>
      <w:proofErr w:type="spellStart"/>
      <w:r>
        <w:rPr>
          <w:rFonts w:ascii="Times New Roman" w:hAnsi="Times New Roman" w:cs="Times New Roman"/>
          <w:iCs/>
          <w:lang w:val="en-US"/>
        </w:rPr>
        <w:t>Nyanya</w:t>
      </w:r>
      <w:proofErr w:type="spellEnd"/>
      <w:r>
        <w:rPr>
          <w:rFonts w:ascii="Times New Roman" w:hAnsi="Times New Roman" w:cs="Times New Roman"/>
          <w:iCs/>
          <w:lang w:val="en-US"/>
        </w:rPr>
        <w:t>, Abuja, Nigeria. It stands as a dedicated institution committed to providing unwavering support and empowerment to the local youth community. Through its comprehensive programs and initiatives, the center aims to enhance their skills, foster positive relationships, and create pathways for personal and professional growth.</w:t>
      </w:r>
    </w:p>
    <w:p w14:paraId="0E8836CD" w14:textId="77777777" w:rsidR="00A644D8" w:rsidRDefault="00000000">
      <w:pPr>
        <w:spacing w:after="0" w:line="240" w:lineRule="auto"/>
        <w:jc w:val="both"/>
        <w:rPr>
          <w:rFonts w:ascii="Times New Roman" w:hAnsi="Times New Roman" w:cs="Times New Roman"/>
          <w:b/>
          <w:bCs/>
          <w:i/>
          <w:lang w:val="en-US"/>
        </w:rPr>
      </w:pPr>
      <w:r>
        <w:rPr>
          <w:rFonts w:ascii="Times New Roman" w:hAnsi="Times New Roman" w:cs="Times New Roman"/>
          <w:b/>
          <w:bCs/>
          <w:i/>
          <w:lang w:val="en-US"/>
        </w:rPr>
        <w:t>4.1.3</w:t>
      </w:r>
      <w:r>
        <w:rPr>
          <w:rFonts w:ascii="Times New Roman" w:hAnsi="Times New Roman" w:cs="Times New Roman"/>
          <w:b/>
          <w:bCs/>
          <w:i/>
          <w:lang w:val="en-US"/>
        </w:rPr>
        <w:tab/>
        <w:t>Calabar International Convention Centre</w:t>
      </w:r>
    </w:p>
    <w:p w14:paraId="1AAB0408" w14:textId="77777777" w:rsidR="00A644D8" w:rsidRDefault="00000000">
      <w:pPr>
        <w:spacing w:line="240" w:lineRule="auto"/>
        <w:jc w:val="both"/>
        <w:rPr>
          <w:rFonts w:ascii="Times New Roman" w:hAnsi="Times New Roman" w:cs="Times New Roman"/>
          <w:iCs/>
          <w:lang w:val="en-US"/>
        </w:rPr>
      </w:pPr>
      <w:r>
        <w:rPr>
          <w:rFonts w:ascii="Times New Roman" w:hAnsi="Times New Roman" w:cs="Times New Roman"/>
          <w:iCs/>
          <w:lang w:val="en-US"/>
        </w:rPr>
        <w:t>It is located at Calabar, Cross River State, Nigeria. It is a cutting-edge venue that plays host to a multitude of prestigious conferences, exhibitions, and events. With its state-of-the-art facilities, the center serves as an invaluable platform for knowledge exchange, networking opportunities, and fruitful collaborations, attracting participants from both national and international spheres.</w:t>
      </w:r>
    </w:p>
    <w:p w14:paraId="2DC66B2B" w14:textId="77777777" w:rsidR="00A644D8" w:rsidRDefault="00000000">
      <w:pPr>
        <w:spacing w:line="240" w:lineRule="auto"/>
        <w:jc w:val="both"/>
        <w:rPr>
          <w:rFonts w:ascii="Times New Roman" w:hAnsi="Times New Roman" w:cs="Times New Roman"/>
          <w:b/>
          <w:bCs/>
          <w:iCs/>
          <w:lang w:val="en-US"/>
        </w:rPr>
      </w:pPr>
      <w:r>
        <w:rPr>
          <w:rFonts w:ascii="Times New Roman" w:hAnsi="Times New Roman" w:cs="Times New Roman"/>
          <w:b/>
          <w:bCs/>
          <w:iCs/>
          <w:lang w:val="en-US"/>
        </w:rPr>
        <w:t xml:space="preserve">Table 2: Physical Characteristics </w:t>
      </w:r>
    </w:p>
    <w:tbl>
      <w:tblPr>
        <w:tblStyle w:val="ListTable6Colorful-Accent31"/>
        <w:tblW w:w="9242" w:type="dxa"/>
        <w:tblLayout w:type="fixed"/>
        <w:tblLook w:val="04A0" w:firstRow="1" w:lastRow="0" w:firstColumn="1" w:lastColumn="0" w:noHBand="0" w:noVBand="1"/>
      </w:tblPr>
      <w:tblGrid>
        <w:gridCol w:w="675"/>
        <w:gridCol w:w="1985"/>
        <w:gridCol w:w="1984"/>
        <w:gridCol w:w="2127"/>
        <w:gridCol w:w="2471"/>
      </w:tblGrid>
      <w:tr w:rsidR="00A644D8" w14:paraId="479DF95C" w14:textId="77777777" w:rsidTr="00A644D8">
        <w:trPr>
          <w:cnfStyle w:val="100000000000" w:firstRow="1" w:lastRow="0" w:firstColumn="0" w:lastColumn="0" w:oddVBand="0" w:evenVBand="0" w:oddHBand="0" w:evenHBand="0" w:firstRowFirstColumn="0" w:firstRowLastColumn="0" w:lastRowFirstColumn="0" w:lastRowLastColumn="0"/>
          <w:trHeight w:val="253"/>
        </w:trPr>
        <w:tc>
          <w:tcPr>
            <w:cnfStyle w:val="001000000000" w:firstRow="0" w:lastRow="0" w:firstColumn="1" w:lastColumn="0" w:oddVBand="0" w:evenVBand="0" w:oddHBand="0" w:evenHBand="0" w:firstRowFirstColumn="0" w:firstRowLastColumn="0" w:lastRowFirstColumn="0" w:lastRowLastColumn="0"/>
            <w:tcW w:w="675" w:type="dxa"/>
          </w:tcPr>
          <w:p w14:paraId="300A164E" w14:textId="77777777" w:rsidR="00A644D8" w:rsidRDefault="00000000">
            <w:pPr>
              <w:pStyle w:val="TableParagraph"/>
              <w:rPr>
                <w:rFonts w:ascii="Times New Roman" w:hAnsi="Times New Roman" w:cs="Times New Roman"/>
                <w:bCs w:val="0"/>
              </w:rPr>
            </w:pPr>
            <w:r>
              <w:rPr>
                <w:rFonts w:ascii="Times New Roman" w:hAnsi="Times New Roman" w:cs="Times New Roman"/>
                <w:b w:val="0"/>
              </w:rPr>
              <w:t>S/N</w:t>
            </w:r>
          </w:p>
        </w:tc>
        <w:tc>
          <w:tcPr>
            <w:tcW w:w="1985" w:type="dxa"/>
            <w:vMerge w:val="restart"/>
            <w:shd w:val="clear" w:color="auto" w:fill="EDEDED" w:themeFill="accent3" w:themeFillTint="33"/>
          </w:tcPr>
          <w:p w14:paraId="0E068555" w14:textId="77777777" w:rsidR="00A644D8" w:rsidRDefault="00000000">
            <w:pPr>
              <w:pStyle w:val="TableParagrap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rPr>
            </w:pPr>
            <w:r>
              <w:rPr>
                <w:rFonts w:ascii="Times New Roman" w:hAnsi="Times New Roman" w:cs="Times New Roman"/>
              </w:rPr>
              <w:t>CHECKLIST</w:t>
            </w:r>
          </w:p>
        </w:tc>
        <w:tc>
          <w:tcPr>
            <w:tcW w:w="6582" w:type="dxa"/>
            <w:gridSpan w:val="3"/>
            <w:tcBorders>
              <w:right w:val="nil"/>
            </w:tcBorders>
          </w:tcPr>
          <w:p w14:paraId="2B35BCEF" w14:textId="77777777" w:rsidR="00A644D8" w:rsidRDefault="00000000">
            <w:pPr>
              <w:pStyle w:val="TableParagraph"/>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rPr>
            </w:pPr>
            <w:r>
              <w:rPr>
                <w:rFonts w:ascii="Times New Roman" w:hAnsi="Times New Roman" w:cs="Times New Roman"/>
                <w:b w:val="0"/>
              </w:rPr>
              <w:t>Centres</w:t>
            </w:r>
          </w:p>
        </w:tc>
      </w:tr>
      <w:tr w:rsidR="00A644D8" w14:paraId="6FE74468" w14:textId="77777777" w:rsidTr="00A644D8">
        <w:trPr>
          <w:trHeight w:val="639"/>
        </w:trPr>
        <w:tc>
          <w:tcPr>
            <w:cnfStyle w:val="001000000000" w:firstRow="0" w:lastRow="0" w:firstColumn="1" w:lastColumn="0" w:oddVBand="0" w:evenVBand="0" w:oddHBand="0" w:evenHBand="0" w:firstRowFirstColumn="0" w:firstRowLastColumn="0" w:lastRowFirstColumn="0" w:lastRowLastColumn="0"/>
            <w:tcW w:w="675" w:type="dxa"/>
            <w:shd w:val="clear" w:color="auto" w:fill="EDEDED" w:themeFill="accent3" w:themeFillTint="33"/>
          </w:tcPr>
          <w:p w14:paraId="127424C7" w14:textId="77777777" w:rsidR="00A644D8" w:rsidRDefault="00A644D8">
            <w:pPr>
              <w:spacing w:after="0" w:line="240" w:lineRule="auto"/>
              <w:rPr>
                <w:rFonts w:ascii="Times New Roman" w:eastAsia="Times New Roman" w:hAnsi="Times New Roman" w:cs="Times New Roman"/>
                <w:b w:val="0"/>
                <w:bCs w:val="0"/>
              </w:rPr>
            </w:pPr>
          </w:p>
        </w:tc>
        <w:tc>
          <w:tcPr>
            <w:tcW w:w="1985" w:type="dxa"/>
            <w:vMerge/>
            <w:shd w:val="clear" w:color="auto" w:fill="EDEDED" w:themeFill="accent3" w:themeFillTint="33"/>
          </w:tcPr>
          <w:p w14:paraId="0CB39E6B" w14:textId="77777777" w:rsidR="00A644D8" w:rsidRDefault="00A644D8">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p>
        </w:tc>
        <w:tc>
          <w:tcPr>
            <w:tcW w:w="1984" w:type="dxa"/>
            <w:shd w:val="clear" w:color="auto" w:fill="EDEDED" w:themeFill="accent3" w:themeFillTint="33"/>
          </w:tcPr>
          <w:p w14:paraId="61D12438" w14:textId="77777777" w:rsidR="00A644D8" w:rsidRDefault="00000000">
            <w:pPr>
              <w:pStyle w:val="TableParagraph"/>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i/>
              </w:rPr>
            </w:pPr>
            <w:r>
              <w:rPr>
                <w:rFonts w:ascii="Times New Roman" w:hAnsi="Times New Roman" w:cs="Times New Roman"/>
                <w:b/>
                <w:bCs/>
                <w:i/>
              </w:rPr>
              <w:t>Ikeja Youth Centre</w:t>
            </w:r>
          </w:p>
        </w:tc>
        <w:tc>
          <w:tcPr>
            <w:tcW w:w="2127" w:type="dxa"/>
            <w:tcBorders>
              <w:right w:val="nil"/>
            </w:tcBorders>
            <w:shd w:val="clear" w:color="auto" w:fill="EDEDED" w:themeFill="accent3" w:themeFillTint="33"/>
          </w:tcPr>
          <w:p w14:paraId="2F675EC6" w14:textId="77777777" w:rsidR="00A644D8" w:rsidRDefault="00000000">
            <w:pPr>
              <w:pStyle w:val="TableParagraph"/>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i/>
              </w:rPr>
            </w:pPr>
            <w:r>
              <w:rPr>
                <w:rFonts w:ascii="Times New Roman" w:hAnsi="Times New Roman" w:cs="Times New Roman"/>
                <w:b/>
                <w:bCs/>
                <w:i/>
              </w:rPr>
              <w:t>FCT Ultra-Modern Youth Support Centre</w:t>
            </w:r>
          </w:p>
        </w:tc>
        <w:tc>
          <w:tcPr>
            <w:tcW w:w="2471" w:type="dxa"/>
            <w:tcBorders>
              <w:right w:val="nil"/>
            </w:tcBorders>
            <w:shd w:val="clear" w:color="auto" w:fill="EDEDED" w:themeFill="accent3" w:themeFillTint="33"/>
          </w:tcPr>
          <w:p w14:paraId="2BAB9105" w14:textId="77777777" w:rsidR="00A644D8" w:rsidRDefault="00000000">
            <w:pPr>
              <w:pStyle w:val="TableParagraph"/>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i/>
              </w:rPr>
            </w:pPr>
            <w:r>
              <w:rPr>
                <w:rFonts w:ascii="Times New Roman" w:hAnsi="Times New Roman" w:cs="Times New Roman"/>
                <w:b/>
                <w:bCs/>
                <w:i/>
              </w:rPr>
              <w:t>Calabar International Convention Centre</w:t>
            </w:r>
          </w:p>
        </w:tc>
      </w:tr>
      <w:tr w:rsidR="00A644D8" w14:paraId="2BADC9E4" w14:textId="77777777" w:rsidTr="00A644D8">
        <w:trPr>
          <w:trHeight w:val="251"/>
        </w:trPr>
        <w:tc>
          <w:tcPr>
            <w:cnfStyle w:val="001000000000" w:firstRow="0" w:lastRow="0" w:firstColumn="1" w:lastColumn="0" w:oddVBand="0" w:evenVBand="0" w:oddHBand="0" w:evenHBand="0" w:firstRowFirstColumn="0" w:firstRowLastColumn="0" w:lastRowFirstColumn="0" w:lastRowLastColumn="0"/>
            <w:tcW w:w="675" w:type="dxa"/>
            <w:vAlign w:val="center"/>
          </w:tcPr>
          <w:p w14:paraId="16383096" w14:textId="77777777" w:rsidR="00A644D8" w:rsidRDefault="00A644D8">
            <w:pPr>
              <w:pStyle w:val="TableParagraph"/>
              <w:numPr>
                <w:ilvl w:val="0"/>
                <w:numId w:val="3"/>
              </w:numPr>
              <w:jc w:val="right"/>
              <w:rPr>
                <w:rFonts w:ascii="Times New Roman" w:hAnsi="Times New Roman" w:cs="Times New Roman"/>
                <w:b w:val="0"/>
                <w:bCs w:val="0"/>
              </w:rPr>
            </w:pPr>
          </w:p>
        </w:tc>
        <w:tc>
          <w:tcPr>
            <w:tcW w:w="1985" w:type="dxa"/>
            <w:shd w:val="clear" w:color="auto" w:fill="EDEDED" w:themeFill="accent3" w:themeFillTint="33"/>
          </w:tcPr>
          <w:p w14:paraId="04ACA610" w14:textId="77777777" w:rsidR="00A644D8" w:rsidRDefault="00000000">
            <w:pPr>
              <w:pStyle w:val="TableParagrap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Windows</w:t>
            </w:r>
          </w:p>
        </w:tc>
        <w:tc>
          <w:tcPr>
            <w:tcW w:w="1984" w:type="dxa"/>
          </w:tcPr>
          <w:p w14:paraId="6E6B76CC" w14:textId="77777777" w:rsidR="00A644D8" w:rsidRDefault="00000000">
            <w:pPr>
              <w:pStyle w:val="TableParagrap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Moderate</w:t>
            </w:r>
          </w:p>
        </w:tc>
        <w:tc>
          <w:tcPr>
            <w:tcW w:w="2127" w:type="dxa"/>
            <w:shd w:val="clear" w:color="auto" w:fill="EDEDED" w:themeFill="accent3" w:themeFillTint="33"/>
          </w:tcPr>
          <w:p w14:paraId="2BB958C9" w14:textId="77777777" w:rsidR="00A644D8" w:rsidRDefault="00000000">
            <w:pPr>
              <w:pStyle w:val="TableParagrap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Moderate</w:t>
            </w:r>
          </w:p>
        </w:tc>
        <w:tc>
          <w:tcPr>
            <w:tcW w:w="2471" w:type="dxa"/>
          </w:tcPr>
          <w:p w14:paraId="008FE76C" w14:textId="77777777" w:rsidR="00A644D8" w:rsidRDefault="00000000">
            <w:pPr>
              <w:pStyle w:val="TableParagrap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High</w:t>
            </w:r>
          </w:p>
        </w:tc>
      </w:tr>
      <w:tr w:rsidR="00A644D8" w14:paraId="44992A7A" w14:textId="77777777" w:rsidTr="00A644D8">
        <w:trPr>
          <w:trHeight w:val="253"/>
        </w:trPr>
        <w:tc>
          <w:tcPr>
            <w:cnfStyle w:val="001000000000" w:firstRow="0" w:lastRow="0" w:firstColumn="1" w:lastColumn="0" w:oddVBand="0" w:evenVBand="0" w:oddHBand="0" w:evenHBand="0" w:firstRowFirstColumn="0" w:firstRowLastColumn="0" w:lastRowFirstColumn="0" w:lastRowLastColumn="0"/>
            <w:tcW w:w="675" w:type="dxa"/>
            <w:shd w:val="clear" w:color="auto" w:fill="EDEDED" w:themeFill="accent3" w:themeFillTint="33"/>
            <w:vAlign w:val="center"/>
          </w:tcPr>
          <w:p w14:paraId="4526F763" w14:textId="77777777" w:rsidR="00A644D8" w:rsidRDefault="00A644D8">
            <w:pPr>
              <w:pStyle w:val="TableParagraph"/>
              <w:numPr>
                <w:ilvl w:val="0"/>
                <w:numId w:val="3"/>
              </w:numPr>
              <w:jc w:val="right"/>
              <w:rPr>
                <w:rFonts w:ascii="Times New Roman" w:hAnsi="Times New Roman" w:cs="Times New Roman"/>
                <w:b w:val="0"/>
                <w:bCs w:val="0"/>
              </w:rPr>
            </w:pPr>
          </w:p>
        </w:tc>
        <w:tc>
          <w:tcPr>
            <w:tcW w:w="1985" w:type="dxa"/>
            <w:shd w:val="clear" w:color="auto" w:fill="EDEDED" w:themeFill="accent3" w:themeFillTint="33"/>
          </w:tcPr>
          <w:p w14:paraId="02ED61DB" w14:textId="77777777" w:rsidR="00A644D8" w:rsidRDefault="00000000">
            <w:pPr>
              <w:pStyle w:val="TableParagrap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Doors</w:t>
            </w:r>
          </w:p>
        </w:tc>
        <w:tc>
          <w:tcPr>
            <w:tcW w:w="1984" w:type="dxa"/>
            <w:shd w:val="clear" w:color="auto" w:fill="EDEDED" w:themeFill="accent3" w:themeFillTint="33"/>
          </w:tcPr>
          <w:p w14:paraId="67CFB1EC" w14:textId="77777777" w:rsidR="00A644D8" w:rsidRDefault="00000000">
            <w:pPr>
              <w:pStyle w:val="TableParagrap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Moderate</w:t>
            </w:r>
          </w:p>
        </w:tc>
        <w:tc>
          <w:tcPr>
            <w:tcW w:w="2127" w:type="dxa"/>
            <w:shd w:val="clear" w:color="auto" w:fill="EDEDED" w:themeFill="accent3" w:themeFillTint="33"/>
          </w:tcPr>
          <w:p w14:paraId="25E9A0C0" w14:textId="77777777" w:rsidR="00A644D8" w:rsidRDefault="00000000">
            <w:pPr>
              <w:pStyle w:val="TableParagrap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Moderate</w:t>
            </w:r>
          </w:p>
        </w:tc>
        <w:tc>
          <w:tcPr>
            <w:tcW w:w="2471" w:type="dxa"/>
            <w:shd w:val="clear" w:color="auto" w:fill="EDEDED" w:themeFill="accent3" w:themeFillTint="33"/>
          </w:tcPr>
          <w:p w14:paraId="0EC8B374" w14:textId="77777777" w:rsidR="00A644D8" w:rsidRDefault="00000000">
            <w:pPr>
              <w:pStyle w:val="TableParagrap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High</w:t>
            </w:r>
          </w:p>
        </w:tc>
      </w:tr>
      <w:tr w:rsidR="00A644D8" w14:paraId="7E1C103F" w14:textId="77777777" w:rsidTr="00A644D8">
        <w:trPr>
          <w:trHeight w:val="253"/>
        </w:trPr>
        <w:tc>
          <w:tcPr>
            <w:cnfStyle w:val="001000000000" w:firstRow="0" w:lastRow="0" w:firstColumn="1" w:lastColumn="0" w:oddVBand="0" w:evenVBand="0" w:oddHBand="0" w:evenHBand="0" w:firstRowFirstColumn="0" w:firstRowLastColumn="0" w:lastRowFirstColumn="0" w:lastRowLastColumn="0"/>
            <w:tcW w:w="675" w:type="dxa"/>
            <w:vAlign w:val="center"/>
          </w:tcPr>
          <w:p w14:paraId="42FF7325" w14:textId="77777777" w:rsidR="00A644D8" w:rsidRDefault="00A644D8">
            <w:pPr>
              <w:pStyle w:val="TableParagraph"/>
              <w:numPr>
                <w:ilvl w:val="0"/>
                <w:numId w:val="3"/>
              </w:numPr>
              <w:jc w:val="right"/>
              <w:rPr>
                <w:rFonts w:ascii="Times New Roman" w:hAnsi="Times New Roman" w:cs="Times New Roman"/>
                <w:b w:val="0"/>
                <w:bCs w:val="0"/>
              </w:rPr>
            </w:pPr>
          </w:p>
        </w:tc>
        <w:tc>
          <w:tcPr>
            <w:tcW w:w="1985" w:type="dxa"/>
            <w:shd w:val="clear" w:color="auto" w:fill="EDEDED" w:themeFill="accent3" w:themeFillTint="33"/>
          </w:tcPr>
          <w:p w14:paraId="5CF130B3" w14:textId="77777777" w:rsidR="00A644D8" w:rsidRDefault="00000000">
            <w:pPr>
              <w:pStyle w:val="TableParagrap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Artificial</w:t>
            </w:r>
            <w:r>
              <w:rPr>
                <w:rFonts w:ascii="Times New Roman" w:hAnsi="Times New Roman" w:cs="Times New Roman"/>
                <w:spacing w:val="-4"/>
              </w:rPr>
              <w:t xml:space="preserve"> </w:t>
            </w:r>
            <w:r>
              <w:rPr>
                <w:rFonts w:ascii="Times New Roman" w:hAnsi="Times New Roman" w:cs="Times New Roman"/>
              </w:rPr>
              <w:t>lighting</w:t>
            </w:r>
          </w:p>
        </w:tc>
        <w:tc>
          <w:tcPr>
            <w:tcW w:w="1984" w:type="dxa"/>
          </w:tcPr>
          <w:p w14:paraId="2BE63033" w14:textId="77777777" w:rsidR="00A644D8" w:rsidRDefault="00000000">
            <w:pPr>
              <w:pStyle w:val="TableParagrap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Moderate</w:t>
            </w:r>
          </w:p>
        </w:tc>
        <w:tc>
          <w:tcPr>
            <w:tcW w:w="2127" w:type="dxa"/>
            <w:shd w:val="clear" w:color="auto" w:fill="EDEDED" w:themeFill="accent3" w:themeFillTint="33"/>
          </w:tcPr>
          <w:p w14:paraId="38D3E0F4" w14:textId="77777777" w:rsidR="00A644D8" w:rsidRDefault="00000000">
            <w:pPr>
              <w:pStyle w:val="TableParagrap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Moderate</w:t>
            </w:r>
          </w:p>
        </w:tc>
        <w:tc>
          <w:tcPr>
            <w:tcW w:w="2471" w:type="dxa"/>
          </w:tcPr>
          <w:p w14:paraId="3369D4F8" w14:textId="77777777" w:rsidR="00A644D8" w:rsidRDefault="00000000">
            <w:pPr>
              <w:pStyle w:val="TableParagrap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Moderate</w:t>
            </w:r>
          </w:p>
        </w:tc>
      </w:tr>
      <w:tr w:rsidR="00A644D8" w14:paraId="3ACD271A" w14:textId="77777777" w:rsidTr="00A644D8">
        <w:trPr>
          <w:trHeight w:val="253"/>
        </w:trPr>
        <w:tc>
          <w:tcPr>
            <w:cnfStyle w:val="001000000000" w:firstRow="0" w:lastRow="0" w:firstColumn="1" w:lastColumn="0" w:oddVBand="0" w:evenVBand="0" w:oddHBand="0" w:evenHBand="0" w:firstRowFirstColumn="0" w:firstRowLastColumn="0" w:lastRowFirstColumn="0" w:lastRowLastColumn="0"/>
            <w:tcW w:w="675" w:type="dxa"/>
            <w:shd w:val="clear" w:color="auto" w:fill="EDEDED" w:themeFill="accent3" w:themeFillTint="33"/>
            <w:vAlign w:val="center"/>
          </w:tcPr>
          <w:p w14:paraId="15A83F25" w14:textId="77777777" w:rsidR="00A644D8" w:rsidRDefault="00A644D8">
            <w:pPr>
              <w:pStyle w:val="TableParagraph"/>
              <w:numPr>
                <w:ilvl w:val="0"/>
                <w:numId w:val="3"/>
              </w:numPr>
              <w:jc w:val="right"/>
              <w:rPr>
                <w:rFonts w:ascii="Times New Roman" w:hAnsi="Times New Roman" w:cs="Times New Roman"/>
                <w:b w:val="0"/>
                <w:bCs w:val="0"/>
              </w:rPr>
            </w:pPr>
          </w:p>
        </w:tc>
        <w:tc>
          <w:tcPr>
            <w:tcW w:w="1985" w:type="dxa"/>
            <w:shd w:val="clear" w:color="auto" w:fill="EDEDED" w:themeFill="accent3" w:themeFillTint="33"/>
          </w:tcPr>
          <w:p w14:paraId="728B2476" w14:textId="77777777" w:rsidR="00A644D8" w:rsidRDefault="00000000">
            <w:pPr>
              <w:pStyle w:val="TableParagrap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Maintenance</w:t>
            </w:r>
          </w:p>
        </w:tc>
        <w:tc>
          <w:tcPr>
            <w:tcW w:w="1984" w:type="dxa"/>
            <w:shd w:val="clear" w:color="auto" w:fill="EDEDED" w:themeFill="accent3" w:themeFillTint="33"/>
          </w:tcPr>
          <w:p w14:paraId="5F02C1A5" w14:textId="77777777" w:rsidR="00A644D8" w:rsidRDefault="00000000">
            <w:pPr>
              <w:pStyle w:val="TableParagrap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Low</w:t>
            </w:r>
          </w:p>
        </w:tc>
        <w:tc>
          <w:tcPr>
            <w:tcW w:w="2127" w:type="dxa"/>
            <w:shd w:val="clear" w:color="auto" w:fill="EDEDED" w:themeFill="accent3" w:themeFillTint="33"/>
          </w:tcPr>
          <w:p w14:paraId="07CBBDAC" w14:textId="77777777" w:rsidR="00A644D8" w:rsidRDefault="00000000">
            <w:pPr>
              <w:pStyle w:val="TableParagrap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Low</w:t>
            </w:r>
          </w:p>
        </w:tc>
        <w:tc>
          <w:tcPr>
            <w:tcW w:w="2471" w:type="dxa"/>
            <w:shd w:val="clear" w:color="auto" w:fill="EDEDED" w:themeFill="accent3" w:themeFillTint="33"/>
          </w:tcPr>
          <w:p w14:paraId="2E382416" w14:textId="77777777" w:rsidR="00A644D8" w:rsidRDefault="00000000">
            <w:pPr>
              <w:pStyle w:val="TableParagrap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Moderate</w:t>
            </w:r>
          </w:p>
        </w:tc>
      </w:tr>
      <w:tr w:rsidR="00A644D8" w14:paraId="418C67A3" w14:textId="77777777" w:rsidTr="00A644D8">
        <w:trPr>
          <w:trHeight w:val="251"/>
        </w:trPr>
        <w:tc>
          <w:tcPr>
            <w:cnfStyle w:val="001000000000" w:firstRow="0" w:lastRow="0" w:firstColumn="1" w:lastColumn="0" w:oddVBand="0" w:evenVBand="0" w:oddHBand="0" w:evenHBand="0" w:firstRowFirstColumn="0" w:firstRowLastColumn="0" w:lastRowFirstColumn="0" w:lastRowLastColumn="0"/>
            <w:tcW w:w="675" w:type="dxa"/>
            <w:vAlign w:val="center"/>
          </w:tcPr>
          <w:p w14:paraId="6B61D261" w14:textId="77777777" w:rsidR="00A644D8" w:rsidRDefault="00A644D8">
            <w:pPr>
              <w:pStyle w:val="TableParagraph"/>
              <w:numPr>
                <w:ilvl w:val="0"/>
                <w:numId w:val="3"/>
              </w:numPr>
              <w:jc w:val="right"/>
              <w:rPr>
                <w:rFonts w:ascii="Times New Roman" w:hAnsi="Times New Roman" w:cs="Times New Roman"/>
                <w:b w:val="0"/>
                <w:bCs w:val="0"/>
              </w:rPr>
            </w:pPr>
          </w:p>
        </w:tc>
        <w:tc>
          <w:tcPr>
            <w:tcW w:w="1985" w:type="dxa"/>
            <w:shd w:val="clear" w:color="auto" w:fill="EDEDED" w:themeFill="accent3" w:themeFillTint="33"/>
          </w:tcPr>
          <w:p w14:paraId="22D0CD73" w14:textId="77777777" w:rsidR="00A644D8" w:rsidRDefault="00000000">
            <w:pPr>
              <w:pStyle w:val="TableParagrap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Doors</w:t>
            </w:r>
          </w:p>
        </w:tc>
        <w:tc>
          <w:tcPr>
            <w:tcW w:w="1984" w:type="dxa"/>
          </w:tcPr>
          <w:p w14:paraId="3F667225" w14:textId="77777777" w:rsidR="00A644D8" w:rsidRDefault="00000000">
            <w:pPr>
              <w:pStyle w:val="TableParagrap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Moderate</w:t>
            </w:r>
          </w:p>
        </w:tc>
        <w:tc>
          <w:tcPr>
            <w:tcW w:w="2127" w:type="dxa"/>
            <w:shd w:val="clear" w:color="auto" w:fill="EDEDED" w:themeFill="accent3" w:themeFillTint="33"/>
          </w:tcPr>
          <w:p w14:paraId="5835C637" w14:textId="77777777" w:rsidR="00A644D8" w:rsidRDefault="00000000">
            <w:pPr>
              <w:pStyle w:val="TableParagrap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Moderate</w:t>
            </w:r>
          </w:p>
        </w:tc>
        <w:tc>
          <w:tcPr>
            <w:tcW w:w="2471" w:type="dxa"/>
          </w:tcPr>
          <w:p w14:paraId="2201FE7B" w14:textId="77777777" w:rsidR="00A644D8" w:rsidRDefault="00000000">
            <w:pPr>
              <w:pStyle w:val="TableParagrap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High</w:t>
            </w:r>
          </w:p>
        </w:tc>
      </w:tr>
      <w:tr w:rsidR="00A644D8" w14:paraId="012F8CEF" w14:textId="77777777" w:rsidTr="00A644D8">
        <w:trPr>
          <w:trHeight w:val="253"/>
        </w:trPr>
        <w:tc>
          <w:tcPr>
            <w:cnfStyle w:val="001000000000" w:firstRow="0" w:lastRow="0" w:firstColumn="1" w:lastColumn="0" w:oddVBand="0" w:evenVBand="0" w:oddHBand="0" w:evenHBand="0" w:firstRowFirstColumn="0" w:firstRowLastColumn="0" w:lastRowFirstColumn="0" w:lastRowLastColumn="0"/>
            <w:tcW w:w="675" w:type="dxa"/>
            <w:shd w:val="clear" w:color="auto" w:fill="EDEDED" w:themeFill="accent3" w:themeFillTint="33"/>
            <w:vAlign w:val="center"/>
          </w:tcPr>
          <w:p w14:paraId="42709F79" w14:textId="77777777" w:rsidR="00A644D8" w:rsidRDefault="00A644D8">
            <w:pPr>
              <w:pStyle w:val="TableParagraph"/>
              <w:numPr>
                <w:ilvl w:val="0"/>
                <w:numId w:val="3"/>
              </w:numPr>
              <w:jc w:val="right"/>
              <w:rPr>
                <w:rFonts w:ascii="Times New Roman" w:hAnsi="Times New Roman" w:cs="Times New Roman"/>
                <w:b w:val="0"/>
                <w:bCs w:val="0"/>
              </w:rPr>
            </w:pPr>
          </w:p>
        </w:tc>
        <w:tc>
          <w:tcPr>
            <w:tcW w:w="1985" w:type="dxa"/>
            <w:shd w:val="clear" w:color="auto" w:fill="EDEDED" w:themeFill="accent3" w:themeFillTint="33"/>
          </w:tcPr>
          <w:p w14:paraId="75A2B4D4" w14:textId="77777777" w:rsidR="00A644D8" w:rsidRDefault="00000000">
            <w:pPr>
              <w:pStyle w:val="TableParagrap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Natural</w:t>
            </w:r>
            <w:r>
              <w:rPr>
                <w:rFonts w:ascii="Times New Roman" w:hAnsi="Times New Roman" w:cs="Times New Roman"/>
                <w:spacing w:val="-3"/>
              </w:rPr>
              <w:t xml:space="preserve"> </w:t>
            </w:r>
            <w:r>
              <w:rPr>
                <w:rFonts w:ascii="Times New Roman" w:hAnsi="Times New Roman" w:cs="Times New Roman"/>
              </w:rPr>
              <w:t>lighting</w:t>
            </w:r>
          </w:p>
        </w:tc>
        <w:tc>
          <w:tcPr>
            <w:tcW w:w="1984" w:type="dxa"/>
            <w:shd w:val="clear" w:color="auto" w:fill="EDEDED" w:themeFill="accent3" w:themeFillTint="33"/>
          </w:tcPr>
          <w:p w14:paraId="7E001AFA" w14:textId="77777777" w:rsidR="00A644D8" w:rsidRDefault="00000000">
            <w:pPr>
              <w:pStyle w:val="TableParagrap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High</w:t>
            </w:r>
          </w:p>
        </w:tc>
        <w:tc>
          <w:tcPr>
            <w:tcW w:w="2127" w:type="dxa"/>
            <w:shd w:val="clear" w:color="auto" w:fill="EDEDED" w:themeFill="accent3" w:themeFillTint="33"/>
          </w:tcPr>
          <w:p w14:paraId="6517F3A9" w14:textId="77777777" w:rsidR="00A644D8" w:rsidRDefault="00000000">
            <w:pPr>
              <w:pStyle w:val="TableParagrap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Moderate</w:t>
            </w:r>
          </w:p>
        </w:tc>
        <w:tc>
          <w:tcPr>
            <w:tcW w:w="2471" w:type="dxa"/>
            <w:shd w:val="clear" w:color="auto" w:fill="EDEDED" w:themeFill="accent3" w:themeFillTint="33"/>
          </w:tcPr>
          <w:p w14:paraId="62EB8A8F" w14:textId="77777777" w:rsidR="00A644D8" w:rsidRDefault="00000000">
            <w:pPr>
              <w:pStyle w:val="TableParagrap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Moderate</w:t>
            </w:r>
          </w:p>
        </w:tc>
      </w:tr>
      <w:tr w:rsidR="00A644D8" w14:paraId="74A09C92" w14:textId="77777777" w:rsidTr="00A644D8">
        <w:trPr>
          <w:trHeight w:val="251"/>
        </w:trPr>
        <w:tc>
          <w:tcPr>
            <w:cnfStyle w:val="001000000000" w:firstRow="0" w:lastRow="0" w:firstColumn="1" w:lastColumn="0" w:oddVBand="0" w:evenVBand="0" w:oddHBand="0" w:evenHBand="0" w:firstRowFirstColumn="0" w:firstRowLastColumn="0" w:lastRowFirstColumn="0" w:lastRowLastColumn="0"/>
            <w:tcW w:w="675" w:type="dxa"/>
            <w:vAlign w:val="center"/>
          </w:tcPr>
          <w:p w14:paraId="183E5F67" w14:textId="77777777" w:rsidR="00A644D8" w:rsidRDefault="00A644D8">
            <w:pPr>
              <w:pStyle w:val="TableParagraph"/>
              <w:numPr>
                <w:ilvl w:val="0"/>
                <w:numId w:val="3"/>
              </w:numPr>
              <w:jc w:val="right"/>
              <w:rPr>
                <w:rFonts w:ascii="Times New Roman" w:hAnsi="Times New Roman" w:cs="Times New Roman"/>
                <w:b w:val="0"/>
                <w:bCs w:val="0"/>
              </w:rPr>
            </w:pPr>
          </w:p>
        </w:tc>
        <w:tc>
          <w:tcPr>
            <w:tcW w:w="1985" w:type="dxa"/>
            <w:shd w:val="clear" w:color="auto" w:fill="EDEDED" w:themeFill="accent3" w:themeFillTint="33"/>
          </w:tcPr>
          <w:p w14:paraId="2BDEBD33" w14:textId="77777777" w:rsidR="00A644D8" w:rsidRDefault="00000000">
            <w:pPr>
              <w:pStyle w:val="TableParagrap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Artificial</w:t>
            </w:r>
            <w:r>
              <w:rPr>
                <w:rFonts w:ascii="Times New Roman" w:hAnsi="Times New Roman" w:cs="Times New Roman"/>
                <w:spacing w:val="-4"/>
              </w:rPr>
              <w:t xml:space="preserve"> </w:t>
            </w:r>
            <w:r>
              <w:rPr>
                <w:rFonts w:ascii="Times New Roman" w:hAnsi="Times New Roman" w:cs="Times New Roman"/>
              </w:rPr>
              <w:t>lighting</w:t>
            </w:r>
          </w:p>
        </w:tc>
        <w:tc>
          <w:tcPr>
            <w:tcW w:w="1984" w:type="dxa"/>
          </w:tcPr>
          <w:p w14:paraId="1B0D1726" w14:textId="77777777" w:rsidR="00A644D8" w:rsidRDefault="00000000">
            <w:pPr>
              <w:pStyle w:val="TableParagrap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Moderate</w:t>
            </w:r>
          </w:p>
        </w:tc>
        <w:tc>
          <w:tcPr>
            <w:tcW w:w="2127" w:type="dxa"/>
            <w:shd w:val="clear" w:color="auto" w:fill="EDEDED" w:themeFill="accent3" w:themeFillTint="33"/>
          </w:tcPr>
          <w:p w14:paraId="603DBED1" w14:textId="77777777" w:rsidR="00A644D8" w:rsidRDefault="00000000">
            <w:pPr>
              <w:pStyle w:val="TableParagrap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Moderate</w:t>
            </w:r>
          </w:p>
        </w:tc>
        <w:tc>
          <w:tcPr>
            <w:tcW w:w="2471" w:type="dxa"/>
          </w:tcPr>
          <w:p w14:paraId="3BCE4E5A" w14:textId="77777777" w:rsidR="00A644D8" w:rsidRDefault="00000000">
            <w:pPr>
              <w:pStyle w:val="TableParagrap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Moderate</w:t>
            </w:r>
          </w:p>
        </w:tc>
      </w:tr>
      <w:tr w:rsidR="00A644D8" w14:paraId="093D2819" w14:textId="77777777" w:rsidTr="00A644D8">
        <w:trPr>
          <w:trHeight w:val="253"/>
        </w:trPr>
        <w:tc>
          <w:tcPr>
            <w:cnfStyle w:val="001000000000" w:firstRow="0" w:lastRow="0" w:firstColumn="1" w:lastColumn="0" w:oddVBand="0" w:evenVBand="0" w:oddHBand="0" w:evenHBand="0" w:firstRowFirstColumn="0" w:firstRowLastColumn="0" w:lastRowFirstColumn="0" w:lastRowLastColumn="0"/>
            <w:tcW w:w="675" w:type="dxa"/>
            <w:shd w:val="clear" w:color="auto" w:fill="EDEDED" w:themeFill="accent3" w:themeFillTint="33"/>
            <w:vAlign w:val="center"/>
          </w:tcPr>
          <w:p w14:paraId="50A390FD" w14:textId="77777777" w:rsidR="00A644D8" w:rsidRDefault="00A644D8">
            <w:pPr>
              <w:pStyle w:val="TableParagraph"/>
              <w:numPr>
                <w:ilvl w:val="0"/>
                <w:numId w:val="3"/>
              </w:numPr>
              <w:jc w:val="right"/>
              <w:rPr>
                <w:rFonts w:ascii="Times New Roman" w:hAnsi="Times New Roman" w:cs="Times New Roman"/>
                <w:b w:val="0"/>
                <w:bCs w:val="0"/>
              </w:rPr>
            </w:pPr>
          </w:p>
        </w:tc>
        <w:tc>
          <w:tcPr>
            <w:tcW w:w="1985" w:type="dxa"/>
            <w:shd w:val="clear" w:color="auto" w:fill="EDEDED" w:themeFill="accent3" w:themeFillTint="33"/>
          </w:tcPr>
          <w:p w14:paraId="2DFE0ECE" w14:textId="77777777" w:rsidR="00A644D8" w:rsidRDefault="00000000">
            <w:pPr>
              <w:pStyle w:val="TableParagrap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Space</w:t>
            </w:r>
            <w:r>
              <w:rPr>
                <w:rFonts w:ascii="Times New Roman" w:hAnsi="Times New Roman" w:cs="Times New Roman"/>
                <w:spacing w:val="-3"/>
              </w:rPr>
              <w:t xml:space="preserve"> </w:t>
            </w:r>
            <w:r>
              <w:rPr>
                <w:rFonts w:ascii="Times New Roman" w:hAnsi="Times New Roman" w:cs="Times New Roman"/>
              </w:rPr>
              <w:t>organization</w:t>
            </w:r>
          </w:p>
        </w:tc>
        <w:tc>
          <w:tcPr>
            <w:tcW w:w="1984" w:type="dxa"/>
            <w:shd w:val="clear" w:color="auto" w:fill="EDEDED" w:themeFill="accent3" w:themeFillTint="33"/>
          </w:tcPr>
          <w:p w14:paraId="068AC6F6" w14:textId="77777777" w:rsidR="00A644D8" w:rsidRDefault="00000000">
            <w:pPr>
              <w:pStyle w:val="TableParagrap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Moderate</w:t>
            </w:r>
          </w:p>
        </w:tc>
        <w:tc>
          <w:tcPr>
            <w:tcW w:w="2127" w:type="dxa"/>
            <w:shd w:val="clear" w:color="auto" w:fill="EDEDED" w:themeFill="accent3" w:themeFillTint="33"/>
          </w:tcPr>
          <w:p w14:paraId="14FF81D8" w14:textId="77777777" w:rsidR="00A644D8" w:rsidRDefault="00000000">
            <w:pPr>
              <w:pStyle w:val="TableParagrap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Moderate</w:t>
            </w:r>
          </w:p>
        </w:tc>
        <w:tc>
          <w:tcPr>
            <w:tcW w:w="2471" w:type="dxa"/>
            <w:shd w:val="clear" w:color="auto" w:fill="EDEDED" w:themeFill="accent3" w:themeFillTint="33"/>
          </w:tcPr>
          <w:p w14:paraId="2924F0F8" w14:textId="77777777" w:rsidR="00A644D8" w:rsidRDefault="00000000">
            <w:pPr>
              <w:pStyle w:val="TableParagrap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High</w:t>
            </w:r>
          </w:p>
        </w:tc>
      </w:tr>
      <w:tr w:rsidR="00A644D8" w14:paraId="455BB22E" w14:textId="77777777" w:rsidTr="00A644D8">
        <w:trPr>
          <w:trHeight w:val="251"/>
        </w:trPr>
        <w:tc>
          <w:tcPr>
            <w:cnfStyle w:val="001000000000" w:firstRow="0" w:lastRow="0" w:firstColumn="1" w:lastColumn="0" w:oddVBand="0" w:evenVBand="0" w:oddHBand="0" w:evenHBand="0" w:firstRowFirstColumn="0" w:firstRowLastColumn="0" w:lastRowFirstColumn="0" w:lastRowLastColumn="0"/>
            <w:tcW w:w="675" w:type="dxa"/>
            <w:vAlign w:val="center"/>
          </w:tcPr>
          <w:p w14:paraId="0A37FDEF" w14:textId="77777777" w:rsidR="00A644D8" w:rsidRDefault="00A644D8">
            <w:pPr>
              <w:pStyle w:val="TableParagraph"/>
              <w:numPr>
                <w:ilvl w:val="0"/>
                <w:numId w:val="3"/>
              </w:numPr>
              <w:jc w:val="right"/>
              <w:rPr>
                <w:rFonts w:ascii="Times New Roman" w:hAnsi="Times New Roman" w:cs="Times New Roman"/>
                <w:b w:val="0"/>
                <w:bCs w:val="0"/>
              </w:rPr>
            </w:pPr>
          </w:p>
        </w:tc>
        <w:tc>
          <w:tcPr>
            <w:tcW w:w="1985" w:type="dxa"/>
            <w:shd w:val="clear" w:color="auto" w:fill="EDEDED" w:themeFill="accent3" w:themeFillTint="33"/>
          </w:tcPr>
          <w:p w14:paraId="21156BCE" w14:textId="77777777" w:rsidR="00A644D8" w:rsidRDefault="00000000">
            <w:pPr>
              <w:pStyle w:val="TableParagrap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Perimeter</w:t>
            </w:r>
            <w:r>
              <w:rPr>
                <w:rFonts w:ascii="Times New Roman" w:hAnsi="Times New Roman" w:cs="Times New Roman"/>
                <w:spacing w:val="-1"/>
              </w:rPr>
              <w:t xml:space="preserve"> </w:t>
            </w:r>
            <w:r>
              <w:rPr>
                <w:rFonts w:ascii="Times New Roman" w:hAnsi="Times New Roman" w:cs="Times New Roman"/>
              </w:rPr>
              <w:t>fencing</w:t>
            </w:r>
          </w:p>
        </w:tc>
        <w:tc>
          <w:tcPr>
            <w:tcW w:w="1984" w:type="dxa"/>
          </w:tcPr>
          <w:p w14:paraId="4DD5773B" w14:textId="77777777" w:rsidR="00A644D8" w:rsidRDefault="00000000">
            <w:pPr>
              <w:pStyle w:val="TableParagrap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Moderate</w:t>
            </w:r>
          </w:p>
        </w:tc>
        <w:tc>
          <w:tcPr>
            <w:tcW w:w="2127" w:type="dxa"/>
            <w:shd w:val="clear" w:color="auto" w:fill="EDEDED" w:themeFill="accent3" w:themeFillTint="33"/>
          </w:tcPr>
          <w:p w14:paraId="114BF185" w14:textId="77777777" w:rsidR="00A644D8" w:rsidRDefault="00000000">
            <w:pPr>
              <w:pStyle w:val="TableParagrap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Moderate</w:t>
            </w:r>
          </w:p>
        </w:tc>
        <w:tc>
          <w:tcPr>
            <w:tcW w:w="2471" w:type="dxa"/>
          </w:tcPr>
          <w:p w14:paraId="297D420D" w14:textId="77777777" w:rsidR="00A644D8" w:rsidRDefault="00000000">
            <w:pPr>
              <w:pStyle w:val="TableParagrap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High</w:t>
            </w:r>
          </w:p>
        </w:tc>
      </w:tr>
      <w:tr w:rsidR="00A644D8" w14:paraId="25E2424C" w14:textId="77777777" w:rsidTr="00A644D8">
        <w:trPr>
          <w:trHeight w:val="251"/>
        </w:trPr>
        <w:tc>
          <w:tcPr>
            <w:cnfStyle w:val="001000000000" w:firstRow="0" w:lastRow="0" w:firstColumn="1" w:lastColumn="0" w:oddVBand="0" w:evenVBand="0" w:oddHBand="0" w:evenHBand="0" w:firstRowFirstColumn="0" w:firstRowLastColumn="0" w:lastRowFirstColumn="0" w:lastRowLastColumn="0"/>
            <w:tcW w:w="675" w:type="dxa"/>
            <w:shd w:val="clear" w:color="auto" w:fill="EDEDED" w:themeFill="accent3" w:themeFillTint="33"/>
            <w:vAlign w:val="center"/>
          </w:tcPr>
          <w:p w14:paraId="69CF7729" w14:textId="77777777" w:rsidR="00A644D8" w:rsidRDefault="00A644D8">
            <w:pPr>
              <w:pStyle w:val="TableParagraph"/>
              <w:numPr>
                <w:ilvl w:val="0"/>
                <w:numId w:val="3"/>
              </w:numPr>
              <w:jc w:val="right"/>
              <w:rPr>
                <w:rFonts w:ascii="Times New Roman" w:hAnsi="Times New Roman" w:cs="Times New Roman"/>
                <w:b w:val="0"/>
                <w:bCs w:val="0"/>
              </w:rPr>
            </w:pPr>
          </w:p>
        </w:tc>
        <w:tc>
          <w:tcPr>
            <w:tcW w:w="1985" w:type="dxa"/>
            <w:shd w:val="clear" w:color="auto" w:fill="EDEDED" w:themeFill="accent3" w:themeFillTint="33"/>
          </w:tcPr>
          <w:p w14:paraId="571B41AD" w14:textId="77777777" w:rsidR="00A644D8" w:rsidRDefault="00000000">
            <w:pPr>
              <w:pStyle w:val="TableParagrap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Carparks</w:t>
            </w:r>
          </w:p>
        </w:tc>
        <w:tc>
          <w:tcPr>
            <w:tcW w:w="1984" w:type="dxa"/>
            <w:shd w:val="clear" w:color="auto" w:fill="EDEDED" w:themeFill="accent3" w:themeFillTint="33"/>
          </w:tcPr>
          <w:p w14:paraId="4BB36543" w14:textId="77777777" w:rsidR="00A644D8" w:rsidRDefault="00000000">
            <w:pPr>
              <w:pStyle w:val="TableParagrap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Moderate</w:t>
            </w:r>
          </w:p>
        </w:tc>
        <w:tc>
          <w:tcPr>
            <w:tcW w:w="2127" w:type="dxa"/>
            <w:shd w:val="clear" w:color="auto" w:fill="EDEDED" w:themeFill="accent3" w:themeFillTint="33"/>
          </w:tcPr>
          <w:p w14:paraId="3C4085E5" w14:textId="77777777" w:rsidR="00A644D8" w:rsidRDefault="00000000">
            <w:pPr>
              <w:pStyle w:val="TableParagrap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Moderate</w:t>
            </w:r>
          </w:p>
        </w:tc>
        <w:tc>
          <w:tcPr>
            <w:tcW w:w="2471" w:type="dxa"/>
            <w:shd w:val="clear" w:color="auto" w:fill="EDEDED" w:themeFill="accent3" w:themeFillTint="33"/>
          </w:tcPr>
          <w:p w14:paraId="125D71C5" w14:textId="77777777" w:rsidR="00A644D8" w:rsidRDefault="00000000">
            <w:pPr>
              <w:pStyle w:val="TableParagrap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Moderate</w:t>
            </w:r>
          </w:p>
        </w:tc>
      </w:tr>
      <w:tr w:rsidR="00A644D8" w14:paraId="58D0578A" w14:textId="77777777" w:rsidTr="00A644D8">
        <w:trPr>
          <w:trHeight w:val="253"/>
        </w:trPr>
        <w:tc>
          <w:tcPr>
            <w:cnfStyle w:val="001000000000" w:firstRow="0" w:lastRow="0" w:firstColumn="1" w:lastColumn="0" w:oddVBand="0" w:evenVBand="0" w:oddHBand="0" w:evenHBand="0" w:firstRowFirstColumn="0" w:firstRowLastColumn="0" w:lastRowFirstColumn="0" w:lastRowLastColumn="0"/>
            <w:tcW w:w="675" w:type="dxa"/>
            <w:vAlign w:val="center"/>
          </w:tcPr>
          <w:p w14:paraId="74162C22" w14:textId="77777777" w:rsidR="00A644D8" w:rsidRDefault="00A644D8">
            <w:pPr>
              <w:pStyle w:val="TableParagraph"/>
              <w:numPr>
                <w:ilvl w:val="0"/>
                <w:numId w:val="3"/>
              </w:numPr>
              <w:jc w:val="right"/>
              <w:rPr>
                <w:rFonts w:ascii="Times New Roman" w:hAnsi="Times New Roman" w:cs="Times New Roman"/>
                <w:b w:val="0"/>
                <w:bCs w:val="0"/>
              </w:rPr>
            </w:pPr>
          </w:p>
        </w:tc>
        <w:tc>
          <w:tcPr>
            <w:tcW w:w="1985" w:type="dxa"/>
            <w:shd w:val="clear" w:color="auto" w:fill="EDEDED" w:themeFill="accent3" w:themeFillTint="33"/>
          </w:tcPr>
          <w:p w14:paraId="11A7FBFB" w14:textId="77777777" w:rsidR="00A644D8" w:rsidRDefault="00000000">
            <w:pPr>
              <w:pStyle w:val="TableParagrap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Open</w:t>
            </w:r>
            <w:r>
              <w:rPr>
                <w:rFonts w:ascii="Times New Roman" w:hAnsi="Times New Roman" w:cs="Times New Roman"/>
                <w:spacing w:val="-1"/>
              </w:rPr>
              <w:t xml:space="preserve"> </w:t>
            </w:r>
            <w:r>
              <w:rPr>
                <w:rFonts w:ascii="Times New Roman" w:hAnsi="Times New Roman" w:cs="Times New Roman"/>
              </w:rPr>
              <w:t>spaces</w:t>
            </w:r>
          </w:p>
        </w:tc>
        <w:tc>
          <w:tcPr>
            <w:tcW w:w="1984" w:type="dxa"/>
          </w:tcPr>
          <w:p w14:paraId="747A87C0" w14:textId="77777777" w:rsidR="00A644D8" w:rsidRDefault="00000000">
            <w:pPr>
              <w:pStyle w:val="TableParagrap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High</w:t>
            </w:r>
          </w:p>
        </w:tc>
        <w:tc>
          <w:tcPr>
            <w:tcW w:w="2127" w:type="dxa"/>
            <w:shd w:val="clear" w:color="auto" w:fill="EDEDED" w:themeFill="accent3" w:themeFillTint="33"/>
          </w:tcPr>
          <w:p w14:paraId="1BB6BA1A" w14:textId="77777777" w:rsidR="00A644D8" w:rsidRDefault="00000000">
            <w:pPr>
              <w:pStyle w:val="TableParagrap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Moderate</w:t>
            </w:r>
          </w:p>
        </w:tc>
        <w:tc>
          <w:tcPr>
            <w:tcW w:w="2471" w:type="dxa"/>
          </w:tcPr>
          <w:p w14:paraId="4C0E39E8" w14:textId="77777777" w:rsidR="00A644D8" w:rsidRDefault="00000000">
            <w:pPr>
              <w:pStyle w:val="TableParagrap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High</w:t>
            </w:r>
          </w:p>
        </w:tc>
      </w:tr>
      <w:tr w:rsidR="00A644D8" w14:paraId="5C979F62" w14:textId="77777777" w:rsidTr="00A644D8">
        <w:trPr>
          <w:trHeight w:val="251"/>
        </w:trPr>
        <w:tc>
          <w:tcPr>
            <w:cnfStyle w:val="001000000000" w:firstRow="0" w:lastRow="0" w:firstColumn="1" w:lastColumn="0" w:oddVBand="0" w:evenVBand="0" w:oddHBand="0" w:evenHBand="0" w:firstRowFirstColumn="0" w:firstRowLastColumn="0" w:lastRowFirstColumn="0" w:lastRowLastColumn="0"/>
            <w:tcW w:w="675" w:type="dxa"/>
            <w:shd w:val="clear" w:color="auto" w:fill="EDEDED" w:themeFill="accent3" w:themeFillTint="33"/>
            <w:vAlign w:val="center"/>
          </w:tcPr>
          <w:p w14:paraId="4BBB364E" w14:textId="77777777" w:rsidR="00A644D8" w:rsidRDefault="00A644D8">
            <w:pPr>
              <w:pStyle w:val="TableParagraph"/>
              <w:numPr>
                <w:ilvl w:val="0"/>
                <w:numId w:val="3"/>
              </w:numPr>
              <w:jc w:val="right"/>
              <w:rPr>
                <w:rFonts w:ascii="Times New Roman" w:hAnsi="Times New Roman" w:cs="Times New Roman"/>
                <w:b w:val="0"/>
                <w:bCs w:val="0"/>
              </w:rPr>
            </w:pPr>
          </w:p>
        </w:tc>
        <w:tc>
          <w:tcPr>
            <w:tcW w:w="1985" w:type="dxa"/>
            <w:shd w:val="clear" w:color="auto" w:fill="EDEDED" w:themeFill="accent3" w:themeFillTint="33"/>
          </w:tcPr>
          <w:p w14:paraId="681F1AC3" w14:textId="77777777" w:rsidR="00A644D8" w:rsidRDefault="00000000">
            <w:pPr>
              <w:pStyle w:val="TableParagrap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Landscaping</w:t>
            </w:r>
          </w:p>
        </w:tc>
        <w:tc>
          <w:tcPr>
            <w:tcW w:w="1984" w:type="dxa"/>
            <w:shd w:val="clear" w:color="auto" w:fill="EDEDED" w:themeFill="accent3" w:themeFillTint="33"/>
          </w:tcPr>
          <w:p w14:paraId="0C528F2C" w14:textId="77777777" w:rsidR="00A644D8" w:rsidRDefault="00000000">
            <w:pPr>
              <w:pStyle w:val="TableParagrap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Moderate</w:t>
            </w:r>
          </w:p>
        </w:tc>
        <w:tc>
          <w:tcPr>
            <w:tcW w:w="2127" w:type="dxa"/>
            <w:shd w:val="clear" w:color="auto" w:fill="EDEDED" w:themeFill="accent3" w:themeFillTint="33"/>
          </w:tcPr>
          <w:p w14:paraId="564B46C7" w14:textId="77777777" w:rsidR="00A644D8" w:rsidRDefault="00000000">
            <w:pPr>
              <w:pStyle w:val="TableParagrap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Low</w:t>
            </w:r>
          </w:p>
        </w:tc>
        <w:tc>
          <w:tcPr>
            <w:tcW w:w="2471" w:type="dxa"/>
            <w:shd w:val="clear" w:color="auto" w:fill="EDEDED" w:themeFill="accent3" w:themeFillTint="33"/>
          </w:tcPr>
          <w:p w14:paraId="20E71830" w14:textId="77777777" w:rsidR="00A644D8" w:rsidRDefault="00000000">
            <w:pPr>
              <w:pStyle w:val="TableParagrap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Moderate</w:t>
            </w:r>
          </w:p>
        </w:tc>
      </w:tr>
      <w:tr w:rsidR="00A644D8" w14:paraId="415E4032" w14:textId="77777777" w:rsidTr="00A644D8">
        <w:trPr>
          <w:trHeight w:val="253"/>
        </w:trPr>
        <w:tc>
          <w:tcPr>
            <w:cnfStyle w:val="001000000000" w:firstRow="0" w:lastRow="0" w:firstColumn="1" w:lastColumn="0" w:oddVBand="0" w:evenVBand="0" w:oddHBand="0" w:evenHBand="0" w:firstRowFirstColumn="0" w:firstRowLastColumn="0" w:lastRowFirstColumn="0" w:lastRowLastColumn="0"/>
            <w:tcW w:w="675" w:type="dxa"/>
            <w:vAlign w:val="center"/>
          </w:tcPr>
          <w:p w14:paraId="3FCA6A6A" w14:textId="77777777" w:rsidR="00A644D8" w:rsidRDefault="00A644D8">
            <w:pPr>
              <w:pStyle w:val="TableParagraph"/>
              <w:numPr>
                <w:ilvl w:val="0"/>
                <w:numId w:val="3"/>
              </w:numPr>
              <w:jc w:val="right"/>
              <w:rPr>
                <w:rFonts w:ascii="Times New Roman" w:hAnsi="Times New Roman" w:cs="Times New Roman"/>
                <w:b w:val="0"/>
                <w:bCs w:val="0"/>
              </w:rPr>
            </w:pPr>
          </w:p>
        </w:tc>
        <w:tc>
          <w:tcPr>
            <w:tcW w:w="1985" w:type="dxa"/>
            <w:shd w:val="clear" w:color="auto" w:fill="EDEDED" w:themeFill="accent3" w:themeFillTint="33"/>
          </w:tcPr>
          <w:p w14:paraId="536128FE" w14:textId="77777777" w:rsidR="00A644D8" w:rsidRDefault="00000000">
            <w:pPr>
              <w:pStyle w:val="TableParagrap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Facility</w:t>
            </w:r>
            <w:r>
              <w:rPr>
                <w:rFonts w:ascii="Times New Roman" w:hAnsi="Times New Roman" w:cs="Times New Roman"/>
                <w:spacing w:val="-2"/>
              </w:rPr>
              <w:t xml:space="preserve"> </w:t>
            </w:r>
            <w:r>
              <w:rPr>
                <w:rFonts w:ascii="Times New Roman" w:hAnsi="Times New Roman" w:cs="Times New Roman"/>
              </w:rPr>
              <w:t>zoning</w:t>
            </w:r>
          </w:p>
        </w:tc>
        <w:tc>
          <w:tcPr>
            <w:tcW w:w="1984" w:type="dxa"/>
          </w:tcPr>
          <w:p w14:paraId="516E72DC" w14:textId="77777777" w:rsidR="00A644D8" w:rsidRDefault="00000000">
            <w:pPr>
              <w:pStyle w:val="TableParagrap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High</w:t>
            </w:r>
          </w:p>
        </w:tc>
        <w:tc>
          <w:tcPr>
            <w:tcW w:w="2127" w:type="dxa"/>
            <w:shd w:val="clear" w:color="auto" w:fill="EDEDED" w:themeFill="accent3" w:themeFillTint="33"/>
          </w:tcPr>
          <w:p w14:paraId="153952EB" w14:textId="77777777" w:rsidR="00A644D8" w:rsidRDefault="00000000">
            <w:pPr>
              <w:pStyle w:val="TableParagrap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Low</w:t>
            </w:r>
          </w:p>
        </w:tc>
        <w:tc>
          <w:tcPr>
            <w:tcW w:w="2471" w:type="dxa"/>
          </w:tcPr>
          <w:p w14:paraId="532EB18D" w14:textId="77777777" w:rsidR="00A644D8" w:rsidRDefault="00000000">
            <w:pPr>
              <w:pStyle w:val="TableParagrap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High</w:t>
            </w:r>
          </w:p>
        </w:tc>
      </w:tr>
      <w:tr w:rsidR="00A644D8" w14:paraId="5D624197" w14:textId="77777777" w:rsidTr="00A644D8">
        <w:trPr>
          <w:trHeight w:val="253"/>
        </w:trPr>
        <w:tc>
          <w:tcPr>
            <w:cnfStyle w:val="001000000000" w:firstRow="0" w:lastRow="0" w:firstColumn="1" w:lastColumn="0" w:oddVBand="0" w:evenVBand="0" w:oddHBand="0" w:evenHBand="0" w:firstRowFirstColumn="0" w:firstRowLastColumn="0" w:lastRowFirstColumn="0" w:lastRowLastColumn="0"/>
            <w:tcW w:w="675" w:type="dxa"/>
            <w:shd w:val="clear" w:color="auto" w:fill="EDEDED" w:themeFill="accent3" w:themeFillTint="33"/>
            <w:vAlign w:val="center"/>
          </w:tcPr>
          <w:p w14:paraId="57D18D10" w14:textId="77777777" w:rsidR="00A644D8" w:rsidRDefault="00A644D8">
            <w:pPr>
              <w:pStyle w:val="TableParagraph"/>
              <w:numPr>
                <w:ilvl w:val="0"/>
                <w:numId w:val="3"/>
              </w:numPr>
              <w:jc w:val="right"/>
              <w:rPr>
                <w:rFonts w:ascii="Times New Roman" w:hAnsi="Times New Roman" w:cs="Times New Roman"/>
                <w:b w:val="0"/>
                <w:bCs w:val="0"/>
              </w:rPr>
            </w:pPr>
          </w:p>
        </w:tc>
        <w:tc>
          <w:tcPr>
            <w:tcW w:w="1985" w:type="dxa"/>
            <w:shd w:val="clear" w:color="auto" w:fill="EDEDED" w:themeFill="accent3" w:themeFillTint="33"/>
          </w:tcPr>
          <w:p w14:paraId="1D1D82EB" w14:textId="77777777" w:rsidR="00A644D8" w:rsidRDefault="00000000">
            <w:pPr>
              <w:pStyle w:val="TableParagrap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Roads</w:t>
            </w:r>
          </w:p>
        </w:tc>
        <w:tc>
          <w:tcPr>
            <w:tcW w:w="1984" w:type="dxa"/>
            <w:shd w:val="clear" w:color="auto" w:fill="EDEDED" w:themeFill="accent3" w:themeFillTint="33"/>
          </w:tcPr>
          <w:p w14:paraId="10343EA0" w14:textId="77777777" w:rsidR="00A644D8" w:rsidRDefault="00000000">
            <w:pPr>
              <w:pStyle w:val="TableParagrap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Moderate</w:t>
            </w:r>
          </w:p>
        </w:tc>
        <w:tc>
          <w:tcPr>
            <w:tcW w:w="2127" w:type="dxa"/>
            <w:shd w:val="clear" w:color="auto" w:fill="EDEDED" w:themeFill="accent3" w:themeFillTint="33"/>
          </w:tcPr>
          <w:p w14:paraId="3F533E04" w14:textId="77777777" w:rsidR="00A644D8" w:rsidRDefault="00000000">
            <w:pPr>
              <w:pStyle w:val="TableParagrap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Moderate</w:t>
            </w:r>
          </w:p>
        </w:tc>
        <w:tc>
          <w:tcPr>
            <w:tcW w:w="2471" w:type="dxa"/>
            <w:shd w:val="clear" w:color="auto" w:fill="EDEDED" w:themeFill="accent3" w:themeFillTint="33"/>
          </w:tcPr>
          <w:p w14:paraId="777EFAA3" w14:textId="77777777" w:rsidR="00A644D8" w:rsidRDefault="00000000">
            <w:pPr>
              <w:pStyle w:val="TableParagrap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High</w:t>
            </w:r>
          </w:p>
        </w:tc>
      </w:tr>
      <w:tr w:rsidR="00A644D8" w14:paraId="45E2EE2D" w14:textId="77777777" w:rsidTr="00A644D8">
        <w:trPr>
          <w:trHeight w:val="251"/>
        </w:trPr>
        <w:tc>
          <w:tcPr>
            <w:cnfStyle w:val="001000000000" w:firstRow="0" w:lastRow="0" w:firstColumn="1" w:lastColumn="0" w:oddVBand="0" w:evenVBand="0" w:oddHBand="0" w:evenHBand="0" w:firstRowFirstColumn="0" w:firstRowLastColumn="0" w:lastRowFirstColumn="0" w:lastRowLastColumn="0"/>
            <w:tcW w:w="675" w:type="dxa"/>
            <w:vAlign w:val="center"/>
          </w:tcPr>
          <w:p w14:paraId="1D7B19CB" w14:textId="77777777" w:rsidR="00A644D8" w:rsidRDefault="00A644D8">
            <w:pPr>
              <w:pStyle w:val="TableParagraph"/>
              <w:numPr>
                <w:ilvl w:val="0"/>
                <w:numId w:val="3"/>
              </w:numPr>
              <w:jc w:val="right"/>
              <w:rPr>
                <w:rFonts w:ascii="Times New Roman" w:hAnsi="Times New Roman" w:cs="Times New Roman"/>
                <w:b w:val="0"/>
                <w:bCs w:val="0"/>
              </w:rPr>
            </w:pPr>
          </w:p>
        </w:tc>
        <w:tc>
          <w:tcPr>
            <w:tcW w:w="1985" w:type="dxa"/>
            <w:shd w:val="clear" w:color="auto" w:fill="EDEDED" w:themeFill="accent3" w:themeFillTint="33"/>
          </w:tcPr>
          <w:p w14:paraId="169955B8" w14:textId="77777777" w:rsidR="00A644D8" w:rsidRDefault="00000000">
            <w:pPr>
              <w:pStyle w:val="TableParagrap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Walkways</w:t>
            </w:r>
          </w:p>
        </w:tc>
        <w:tc>
          <w:tcPr>
            <w:tcW w:w="1984" w:type="dxa"/>
          </w:tcPr>
          <w:p w14:paraId="137A2693" w14:textId="77777777" w:rsidR="00A644D8" w:rsidRDefault="00000000">
            <w:pPr>
              <w:pStyle w:val="TableParagrap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Moderate</w:t>
            </w:r>
          </w:p>
        </w:tc>
        <w:tc>
          <w:tcPr>
            <w:tcW w:w="2127" w:type="dxa"/>
            <w:shd w:val="clear" w:color="auto" w:fill="EDEDED" w:themeFill="accent3" w:themeFillTint="33"/>
          </w:tcPr>
          <w:p w14:paraId="502687C1" w14:textId="77777777" w:rsidR="00A644D8" w:rsidRDefault="00000000">
            <w:pPr>
              <w:pStyle w:val="TableParagrap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Moderate</w:t>
            </w:r>
          </w:p>
        </w:tc>
        <w:tc>
          <w:tcPr>
            <w:tcW w:w="2471" w:type="dxa"/>
          </w:tcPr>
          <w:p w14:paraId="7132D359" w14:textId="77777777" w:rsidR="00A644D8" w:rsidRDefault="00000000">
            <w:pPr>
              <w:pStyle w:val="TableParagrap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Low</w:t>
            </w:r>
          </w:p>
        </w:tc>
      </w:tr>
      <w:tr w:rsidR="00A644D8" w14:paraId="5258C0C6" w14:textId="77777777" w:rsidTr="00A644D8">
        <w:trPr>
          <w:trHeight w:val="253"/>
        </w:trPr>
        <w:tc>
          <w:tcPr>
            <w:cnfStyle w:val="001000000000" w:firstRow="0" w:lastRow="0" w:firstColumn="1" w:lastColumn="0" w:oddVBand="0" w:evenVBand="0" w:oddHBand="0" w:evenHBand="0" w:firstRowFirstColumn="0" w:firstRowLastColumn="0" w:lastRowFirstColumn="0" w:lastRowLastColumn="0"/>
            <w:tcW w:w="675" w:type="dxa"/>
            <w:shd w:val="clear" w:color="auto" w:fill="EDEDED" w:themeFill="accent3" w:themeFillTint="33"/>
            <w:vAlign w:val="center"/>
          </w:tcPr>
          <w:p w14:paraId="2DD7FD1B" w14:textId="77777777" w:rsidR="00A644D8" w:rsidRDefault="00A644D8">
            <w:pPr>
              <w:pStyle w:val="TableParagraph"/>
              <w:numPr>
                <w:ilvl w:val="0"/>
                <w:numId w:val="3"/>
              </w:numPr>
              <w:jc w:val="right"/>
              <w:rPr>
                <w:rFonts w:ascii="Times New Roman" w:hAnsi="Times New Roman" w:cs="Times New Roman"/>
                <w:b w:val="0"/>
                <w:bCs w:val="0"/>
              </w:rPr>
            </w:pPr>
          </w:p>
        </w:tc>
        <w:tc>
          <w:tcPr>
            <w:tcW w:w="1985" w:type="dxa"/>
            <w:shd w:val="clear" w:color="auto" w:fill="EDEDED" w:themeFill="accent3" w:themeFillTint="33"/>
          </w:tcPr>
          <w:p w14:paraId="5215B698" w14:textId="77777777" w:rsidR="00A644D8" w:rsidRDefault="00000000">
            <w:pPr>
              <w:pStyle w:val="TableParagrap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Access</w:t>
            </w:r>
            <w:r>
              <w:rPr>
                <w:rFonts w:ascii="Times New Roman" w:hAnsi="Times New Roman" w:cs="Times New Roman"/>
                <w:spacing w:val="-3"/>
              </w:rPr>
              <w:t xml:space="preserve"> </w:t>
            </w:r>
            <w:r>
              <w:rPr>
                <w:rFonts w:ascii="Times New Roman" w:hAnsi="Times New Roman" w:cs="Times New Roman"/>
              </w:rPr>
              <w:t>route</w:t>
            </w:r>
          </w:p>
        </w:tc>
        <w:tc>
          <w:tcPr>
            <w:tcW w:w="1984" w:type="dxa"/>
            <w:shd w:val="clear" w:color="auto" w:fill="EDEDED" w:themeFill="accent3" w:themeFillTint="33"/>
          </w:tcPr>
          <w:p w14:paraId="260AD17E" w14:textId="77777777" w:rsidR="00A644D8" w:rsidRDefault="00000000">
            <w:pPr>
              <w:pStyle w:val="TableParagrap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Moderate</w:t>
            </w:r>
          </w:p>
        </w:tc>
        <w:tc>
          <w:tcPr>
            <w:tcW w:w="2127" w:type="dxa"/>
            <w:shd w:val="clear" w:color="auto" w:fill="EDEDED" w:themeFill="accent3" w:themeFillTint="33"/>
          </w:tcPr>
          <w:p w14:paraId="08139450" w14:textId="77777777" w:rsidR="00A644D8" w:rsidRDefault="00000000">
            <w:pPr>
              <w:pStyle w:val="TableParagrap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Moderate</w:t>
            </w:r>
          </w:p>
        </w:tc>
        <w:tc>
          <w:tcPr>
            <w:tcW w:w="2471" w:type="dxa"/>
            <w:shd w:val="clear" w:color="auto" w:fill="EDEDED" w:themeFill="accent3" w:themeFillTint="33"/>
          </w:tcPr>
          <w:p w14:paraId="722D63C0" w14:textId="77777777" w:rsidR="00A644D8" w:rsidRDefault="00000000">
            <w:pPr>
              <w:pStyle w:val="TableParagrap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High</w:t>
            </w:r>
          </w:p>
        </w:tc>
      </w:tr>
      <w:tr w:rsidR="00A644D8" w14:paraId="00B689C5" w14:textId="77777777" w:rsidTr="00A644D8">
        <w:trPr>
          <w:trHeight w:val="253"/>
        </w:trPr>
        <w:tc>
          <w:tcPr>
            <w:cnfStyle w:val="001000000000" w:firstRow="0" w:lastRow="0" w:firstColumn="1" w:lastColumn="0" w:oddVBand="0" w:evenVBand="0" w:oddHBand="0" w:evenHBand="0" w:firstRowFirstColumn="0" w:firstRowLastColumn="0" w:lastRowFirstColumn="0" w:lastRowLastColumn="0"/>
            <w:tcW w:w="675" w:type="dxa"/>
            <w:tcBorders>
              <w:top w:val="double" w:sz="4" w:space="0" w:color="A5A5A5" w:themeColor="accent3"/>
            </w:tcBorders>
            <w:vAlign w:val="center"/>
          </w:tcPr>
          <w:p w14:paraId="31E847DE" w14:textId="77777777" w:rsidR="00A644D8" w:rsidRDefault="00A644D8">
            <w:pPr>
              <w:pStyle w:val="TableParagraph"/>
              <w:numPr>
                <w:ilvl w:val="0"/>
                <w:numId w:val="3"/>
              </w:numPr>
              <w:jc w:val="right"/>
              <w:rPr>
                <w:rFonts w:ascii="Times New Roman" w:hAnsi="Times New Roman" w:cs="Times New Roman"/>
                <w:b w:val="0"/>
                <w:bCs w:val="0"/>
              </w:rPr>
            </w:pPr>
          </w:p>
        </w:tc>
        <w:tc>
          <w:tcPr>
            <w:tcW w:w="1985" w:type="dxa"/>
            <w:tcBorders>
              <w:top w:val="double" w:sz="4" w:space="0" w:color="A5A5A5" w:themeColor="accent3"/>
            </w:tcBorders>
            <w:shd w:val="clear" w:color="auto" w:fill="EDEDED" w:themeFill="accent3" w:themeFillTint="33"/>
          </w:tcPr>
          <w:p w14:paraId="3719E49E" w14:textId="77777777" w:rsidR="00A644D8" w:rsidRDefault="00000000">
            <w:pPr>
              <w:pStyle w:val="TableParagrap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rPr>
            </w:pPr>
            <w:r>
              <w:rPr>
                <w:rFonts w:ascii="Times New Roman" w:hAnsi="Times New Roman" w:cs="Times New Roman"/>
                <w:b/>
                <w:bCs/>
              </w:rPr>
              <w:t>Security</w:t>
            </w:r>
            <w:r>
              <w:rPr>
                <w:rFonts w:ascii="Times New Roman" w:hAnsi="Times New Roman" w:cs="Times New Roman"/>
                <w:b/>
                <w:bCs/>
                <w:spacing w:val="-3"/>
              </w:rPr>
              <w:t xml:space="preserve"> </w:t>
            </w:r>
            <w:r>
              <w:rPr>
                <w:rFonts w:ascii="Times New Roman" w:hAnsi="Times New Roman" w:cs="Times New Roman"/>
                <w:b/>
                <w:bCs/>
              </w:rPr>
              <w:t>posts</w:t>
            </w:r>
          </w:p>
        </w:tc>
        <w:tc>
          <w:tcPr>
            <w:tcW w:w="1984" w:type="dxa"/>
            <w:tcBorders>
              <w:top w:val="double" w:sz="4" w:space="0" w:color="A5A5A5" w:themeColor="accent3"/>
            </w:tcBorders>
          </w:tcPr>
          <w:p w14:paraId="77645A7C" w14:textId="77777777" w:rsidR="00A644D8" w:rsidRDefault="00000000">
            <w:pPr>
              <w:pStyle w:val="TableParagrap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rPr>
            </w:pPr>
            <w:r>
              <w:rPr>
                <w:rFonts w:ascii="Times New Roman" w:hAnsi="Times New Roman" w:cs="Times New Roman"/>
                <w:b/>
                <w:bCs/>
              </w:rPr>
              <w:t>Moderate</w:t>
            </w:r>
          </w:p>
        </w:tc>
        <w:tc>
          <w:tcPr>
            <w:tcW w:w="2127" w:type="dxa"/>
            <w:tcBorders>
              <w:top w:val="double" w:sz="4" w:space="0" w:color="A5A5A5" w:themeColor="accent3"/>
            </w:tcBorders>
            <w:shd w:val="clear" w:color="auto" w:fill="EDEDED" w:themeFill="accent3" w:themeFillTint="33"/>
          </w:tcPr>
          <w:p w14:paraId="5FF04620" w14:textId="77777777" w:rsidR="00A644D8" w:rsidRDefault="00000000">
            <w:pPr>
              <w:pStyle w:val="TableParagrap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Moderate</w:t>
            </w:r>
          </w:p>
        </w:tc>
        <w:tc>
          <w:tcPr>
            <w:tcW w:w="2471" w:type="dxa"/>
            <w:tcBorders>
              <w:top w:val="double" w:sz="4" w:space="0" w:color="A5A5A5" w:themeColor="accent3"/>
            </w:tcBorders>
          </w:tcPr>
          <w:p w14:paraId="1FBF15DD" w14:textId="77777777" w:rsidR="00A644D8" w:rsidRDefault="00000000">
            <w:pPr>
              <w:pStyle w:val="TableParagrap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Moderate</w:t>
            </w:r>
          </w:p>
        </w:tc>
      </w:tr>
    </w:tbl>
    <w:p w14:paraId="75CFECCE" w14:textId="77777777" w:rsidR="00A644D8" w:rsidRDefault="00000000">
      <w:pPr>
        <w:spacing w:after="0" w:line="240" w:lineRule="auto"/>
        <w:jc w:val="both"/>
        <w:rPr>
          <w:rFonts w:ascii="Times New Roman" w:hAnsi="Times New Roman" w:cs="Times New Roman"/>
          <w:iCs/>
          <w:lang w:val="en-US"/>
        </w:rPr>
      </w:pPr>
      <w:r>
        <w:rPr>
          <w:rFonts w:ascii="Times New Roman" w:hAnsi="Times New Roman" w:cs="Times New Roman"/>
          <w:iCs/>
          <w:lang w:val="en-US"/>
        </w:rPr>
        <w:t>The selected buildings physical characteristics in Table 2 shows various variables highlighted under the building interior, exterior, site features and access to the centres.</w:t>
      </w:r>
    </w:p>
    <w:p w14:paraId="44BC9B6A" w14:textId="77777777" w:rsidR="00A644D8" w:rsidRDefault="00000000">
      <w:pPr>
        <w:spacing w:before="240" w:after="0" w:line="240" w:lineRule="auto"/>
        <w:jc w:val="both"/>
        <w:rPr>
          <w:rFonts w:ascii="Times New Roman" w:hAnsi="Times New Roman" w:cs="Times New Roman"/>
          <w:b/>
          <w:bCs/>
          <w:iCs/>
          <w:lang w:val="en-US"/>
        </w:rPr>
      </w:pPr>
      <w:r>
        <w:rPr>
          <w:rFonts w:ascii="Times New Roman" w:hAnsi="Times New Roman" w:cs="Times New Roman"/>
          <w:b/>
          <w:bCs/>
          <w:iCs/>
          <w:lang w:val="en-US"/>
        </w:rPr>
        <w:t>4.2 Sustainable Design Strategies in the Selected Centres</w:t>
      </w:r>
    </w:p>
    <w:p w14:paraId="12A30B33" w14:textId="77777777" w:rsidR="00A644D8" w:rsidRDefault="00000000">
      <w:pPr>
        <w:spacing w:line="240" w:lineRule="auto"/>
        <w:jc w:val="both"/>
        <w:rPr>
          <w:rFonts w:ascii="Times New Roman" w:hAnsi="Times New Roman" w:cs="Times New Roman"/>
          <w:iCs/>
          <w:lang w:val="en-US"/>
        </w:rPr>
      </w:pPr>
      <w:r>
        <w:rPr>
          <w:rFonts w:ascii="Times New Roman" w:hAnsi="Times New Roman" w:cs="Times New Roman"/>
          <w:iCs/>
          <w:lang w:val="en-US"/>
        </w:rPr>
        <w:t>The sustainable design strategies adopted in the youth and conventional centres are as presented in Table 3 (Sustainable Site Strategies) and Table 4 (Energy Efficiency Strategies).</w:t>
      </w:r>
    </w:p>
    <w:p w14:paraId="13F16744" w14:textId="77777777" w:rsidR="00A644D8" w:rsidRDefault="00000000">
      <w:pPr>
        <w:spacing w:after="0" w:line="240" w:lineRule="auto"/>
        <w:jc w:val="both"/>
        <w:rPr>
          <w:rFonts w:ascii="Times New Roman" w:hAnsi="Times New Roman" w:cs="Times New Roman"/>
          <w:b/>
          <w:bCs/>
          <w:iCs/>
          <w:lang w:val="en-US"/>
        </w:rPr>
      </w:pPr>
      <w:r>
        <w:rPr>
          <w:rFonts w:ascii="Times New Roman" w:hAnsi="Times New Roman" w:cs="Times New Roman"/>
          <w:b/>
          <w:bCs/>
          <w:iCs/>
          <w:lang w:val="en-US"/>
        </w:rPr>
        <w:t>Table 3: Sustainable Site Strategies</w:t>
      </w:r>
    </w:p>
    <w:tbl>
      <w:tblPr>
        <w:tblStyle w:val="ListTable6Colorful-Accent31"/>
        <w:tblW w:w="9242" w:type="dxa"/>
        <w:tblLayout w:type="fixed"/>
        <w:tblLook w:val="04A0" w:firstRow="1" w:lastRow="0" w:firstColumn="1" w:lastColumn="0" w:noHBand="0" w:noVBand="1"/>
      </w:tblPr>
      <w:tblGrid>
        <w:gridCol w:w="534"/>
        <w:gridCol w:w="2693"/>
        <w:gridCol w:w="1701"/>
        <w:gridCol w:w="1843"/>
        <w:gridCol w:w="2471"/>
      </w:tblGrid>
      <w:tr w:rsidR="00A644D8" w14:paraId="19544C97" w14:textId="77777777" w:rsidTr="00A644D8">
        <w:trPr>
          <w:cnfStyle w:val="100000000000" w:firstRow="1" w:lastRow="0" w:firstColumn="0" w:lastColumn="0" w:oddVBand="0" w:evenVBand="0" w:oddHBand="0" w:evenHBand="0" w:firstRowFirstColumn="0" w:firstRowLastColumn="0" w:lastRowFirstColumn="0" w:lastRowLastColumn="0"/>
          <w:trHeight w:val="253"/>
        </w:trPr>
        <w:tc>
          <w:tcPr>
            <w:cnfStyle w:val="001000000000" w:firstRow="0" w:lastRow="0" w:firstColumn="1" w:lastColumn="0" w:oddVBand="0" w:evenVBand="0" w:oddHBand="0" w:evenHBand="0" w:firstRowFirstColumn="0" w:firstRowLastColumn="0" w:lastRowFirstColumn="0" w:lastRowLastColumn="0"/>
            <w:tcW w:w="534" w:type="dxa"/>
          </w:tcPr>
          <w:p w14:paraId="2F1356F9" w14:textId="77777777" w:rsidR="00A644D8" w:rsidRDefault="00000000">
            <w:pPr>
              <w:pStyle w:val="TableParagraph"/>
              <w:rPr>
                <w:rFonts w:ascii="Times New Roman" w:hAnsi="Times New Roman" w:cs="Times New Roman"/>
                <w:bCs w:val="0"/>
              </w:rPr>
            </w:pPr>
            <w:r>
              <w:rPr>
                <w:rFonts w:ascii="Times New Roman" w:hAnsi="Times New Roman" w:cs="Times New Roman"/>
                <w:b w:val="0"/>
              </w:rPr>
              <w:t>S/N</w:t>
            </w:r>
          </w:p>
        </w:tc>
        <w:tc>
          <w:tcPr>
            <w:tcW w:w="2693" w:type="dxa"/>
            <w:vMerge w:val="restart"/>
            <w:shd w:val="clear" w:color="auto" w:fill="EDEDED" w:themeFill="accent3" w:themeFillTint="33"/>
          </w:tcPr>
          <w:p w14:paraId="13FC5BF0" w14:textId="77777777" w:rsidR="00A644D8" w:rsidRDefault="00000000">
            <w:pPr>
              <w:pStyle w:val="TableParagrap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rPr>
            </w:pPr>
            <w:r>
              <w:rPr>
                <w:rFonts w:ascii="Times New Roman" w:hAnsi="Times New Roman" w:cs="Times New Roman"/>
              </w:rPr>
              <w:t>CHECKLIST</w:t>
            </w:r>
          </w:p>
        </w:tc>
        <w:tc>
          <w:tcPr>
            <w:tcW w:w="6015" w:type="dxa"/>
            <w:gridSpan w:val="3"/>
            <w:tcBorders>
              <w:right w:val="nil"/>
            </w:tcBorders>
          </w:tcPr>
          <w:p w14:paraId="535FB29E" w14:textId="77777777" w:rsidR="00A644D8" w:rsidRDefault="00000000">
            <w:pPr>
              <w:pStyle w:val="TableParagraph"/>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rPr>
            </w:pPr>
            <w:r>
              <w:rPr>
                <w:rFonts w:ascii="Times New Roman" w:hAnsi="Times New Roman" w:cs="Times New Roman"/>
                <w:b w:val="0"/>
              </w:rPr>
              <w:t>Centres</w:t>
            </w:r>
          </w:p>
        </w:tc>
      </w:tr>
      <w:tr w:rsidR="00A644D8" w14:paraId="3A545F95" w14:textId="77777777" w:rsidTr="00A644D8">
        <w:trPr>
          <w:trHeight w:val="639"/>
        </w:trPr>
        <w:tc>
          <w:tcPr>
            <w:cnfStyle w:val="001000000000" w:firstRow="0" w:lastRow="0" w:firstColumn="1" w:lastColumn="0" w:oddVBand="0" w:evenVBand="0" w:oddHBand="0" w:evenHBand="0" w:firstRowFirstColumn="0" w:firstRowLastColumn="0" w:lastRowFirstColumn="0" w:lastRowLastColumn="0"/>
            <w:tcW w:w="534" w:type="dxa"/>
            <w:shd w:val="clear" w:color="auto" w:fill="EDEDED" w:themeFill="accent3" w:themeFillTint="33"/>
          </w:tcPr>
          <w:p w14:paraId="520AF3A1" w14:textId="77777777" w:rsidR="00A644D8" w:rsidRDefault="00A644D8">
            <w:pPr>
              <w:spacing w:after="0" w:line="240" w:lineRule="auto"/>
              <w:rPr>
                <w:rFonts w:ascii="Times New Roman" w:eastAsia="Times New Roman" w:hAnsi="Times New Roman" w:cs="Times New Roman"/>
                <w:b w:val="0"/>
                <w:bCs w:val="0"/>
              </w:rPr>
            </w:pPr>
          </w:p>
        </w:tc>
        <w:tc>
          <w:tcPr>
            <w:tcW w:w="2693" w:type="dxa"/>
            <w:vMerge/>
            <w:shd w:val="clear" w:color="auto" w:fill="EDEDED" w:themeFill="accent3" w:themeFillTint="33"/>
          </w:tcPr>
          <w:p w14:paraId="093138DD" w14:textId="77777777" w:rsidR="00A644D8" w:rsidRDefault="00A644D8">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p>
        </w:tc>
        <w:tc>
          <w:tcPr>
            <w:tcW w:w="1701" w:type="dxa"/>
            <w:shd w:val="clear" w:color="auto" w:fill="EDEDED" w:themeFill="accent3" w:themeFillTint="33"/>
          </w:tcPr>
          <w:p w14:paraId="405F33CD" w14:textId="77777777" w:rsidR="00A644D8" w:rsidRDefault="00000000">
            <w:pPr>
              <w:pStyle w:val="TableParagraph"/>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i/>
              </w:rPr>
            </w:pPr>
            <w:r>
              <w:rPr>
                <w:rFonts w:ascii="Times New Roman" w:hAnsi="Times New Roman" w:cs="Times New Roman"/>
                <w:b/>
                <w:bCs/>
                <w:i/>
              </w:rPr>
              <w:t>Ikeja Youth Centre</w:t>
            </w:r>
          </w:p>
        </w:tc>
        <w:tc>
          <w:tcPr>
            <w:tcW w:w="1843" w:type="dxa"/>
            <w:tcBorders>
              <w:right w:val="nil"/>
            </w:tcBorders>
            <w:shd w:val="clear" w:color="auto" w:fill="EDEDED" w:themeFill="accent3" w:themeFillTint="33"/>
          </w:tcPr>
          <w:p w14:paraId="1F531E2F" w14:textId="77777777" w:rsidR="00A644D8" w:rsidRDefault="00000000">
            <w:pPr>
              <w:pStyle w:val="TableParagraph"/>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i/>
              </w:rPr>
            </w:pPr>
            <w:r>
              <w:rPr>
                <w:rFonts w:ascii="Times New Roman" w:hAnsi="Times New Roman" w:cs="Times New Roman"/>
                <w:b/>
                <w:bCs/>
                <w:i/>
              </w:rPr>
              <w:t>FCT Ultra-Modern Youth Support Centre</w:t>
            </w:r>
          </w:p>
        </w:tc>
        <w:tc>
          <w:tcPr>
            <w:tcW w:w="2471" w:type="dxa"/>
            <w:tcBorders>
              <w:right w:val="nil"/>
            </w:tcBorders>
            <w:shd w:val="clear" w:color="auto" w:fill="EDEDED" w:themeFill="accent3" w:themeFillTint="33"/>
          </w:tcPr>
          <w:p w14:paraId="52B9BB54" w14:textId="77777777" w:rsidR="00A644D8" w:rsidRDefault="00000000">
            <w:pPr>
              <w:pStyle w:val="TableParagraph"/>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i/>
              </w:rPr>
            </w:pPr>
            <w:r>
              <w:rPr>
                <w:rFonts w:ascii="Times New Roman" w:hAnsi="Times New Roman" w:cs="Times New Roman"/>
                <w:b/>
                <w:bCs/>
                <w:i/>
              </w:rPr>
              <w:t>Calabar International Convention Centre</w:t>
            </w:r>
          </w:p>
        </w:tc>
      </w:tr>
      <w:tr w:rsidR="00A644D8" w14:paraId="6B0F8898" w14:textId="77777777" w:rsidTr="00A644D8">
        <w:trPr>
          <w:trHeight w:val="251"/>
        </w:trPr>
        <w:tc>
          <w:tcPr>
            <w:cnfStyle w:val="001000000000" w:firstRow="0" w:lastRow="0" w:firstColumn="1" w:lastColumn="0" w:oddVBand="0" w:evenVBand="0" w:oddHBand="0" w:evenHBand="0" w:firstRowFirstColumn="0" w:firstRowLastColumn="0" w:lastRowFirstColumn="0" w:lastRowLastColumn="0"/>
            <w:tcW w:w="534" w:type="dxa"/>
            <w:vAlign w:val="center"/>
          </w:tcPr>
          <w:p w14:paraId="51E39757" w14:textId="77777777" w:rsidR="00A644D8" w:rsidRDefault="00A644D8">
            <w:pPr>
              <w:pStyle w:val="TableParagraph"/>
              <w:numPr>
                <w:ilvl w:val="0"/>
                <w:numId w:val="4"/>
              </w:numPr>
              <w:jc w:val="right"/>
              <w:rPr>
                <w:rFonts w:ascii="Times New Roman" w:hAnsi="Times New Roman" w:cs="Times New Roman"/>
                <w:b w:val="0"/>
                <w:bCs w:val="0"/>
              </w:rPr>
            </w:pPr>
          </w:p>
        </w:tc>
        <w:tc>
          <w:tcPr>
            <w:tcW w:w="2693" w:type="dxa"/>
            <w:shd w:val="clear" w:color="auto" w:fill="EDEDED" w:themeFill="accent3" w:themeFillTint="33"/>
          </w:tcPr>
          <w:p w14:paraId="2331D7FF" w14:textId="77777777" w:rsidR="00A644D8" w:rsidRDefault="00000000">
            <w:pPr>
              <w:pStyle w:val="TableParagrap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Native vegetation</w:t>
            </w:r>
          </w:p>
        </w:tc>
        <w:tc>
          <w:tcPr>
            <w:tcW w:w="1701" w:type="dxa"/>
          </w:tcPr>
          <w:p w14:paraId="4A3820FC" w14:textId="77777777" w:rsidR="00A644D8" w:rsidRDefault="00000000">
            <w:pPr>
              <w:pStyle w:val="TableParagrap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Low</w:t>
            </w:r>
          </w:p>
        </w:tc>
        <w:tc>
          <w:tcPr>
            <w:tcW w:w="1843" w:type="dxa"/>
            <w:shd w:val="clear" w:color="auto" w:fill="EDEDED" w:themeFill="accent3" w:themeFillTint="33"/>
          </w:tcPr>
          <w:p w14:paraId="66564B19" w14:textId="77777777" w:rsidR="00A644D8" w:rsidRDefault="00000000">
            <w:pPr>
              <w:pStyle w:val="TableParagrap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Low</w:t>
            </w:r>
          </w:p>
        </w:tc>
        <w:tc>
          <w:tcPr>
            <w:tcW w:w="2471" w:type="dxa"/>
          </w:tcPr>
          <w:p w14:paraId="178BD8F9" w14:textId="77777777" w:rsidR="00A644D8" w:rsidRDefault="00000000">
            <w:pPr>
              <w:pStyle w:val="TableParagrap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Moderate</w:t>
            </w:r>
          </w:p>
        </w:tc>
      </w:tr>
      <w:tr w:rsidR="00A644D8" w14:paraId="5387040F" w14:textId="77777777" w:rsidTr="00A644D8">
        <w:trPr>
          <w:trHeight w:val="253"/>
        </w:trPr>
        <w:tc>
          <w:tcPr>
            <w:cnfStyle w:val="001000000000" w:firstRow="0" w:lastRow="0" w:firstColumn="1" w:lastColumn="0" w:oddVBand="0" w:evenVBand="0" w:oddHBand="0" w:evenHBand="0" w:firstRowFirstColumn="0" w:firstRowLastColumn="0" w:lastRowFirstColumn="0" w:lastRowLastColumn="0"/>
            <w:tcW w:w="534" w:type="dxa"/>
            <w:shd w:val="clear" w:color="auto" w:fill="EDEDED" w:themeFill="accent3" w:themeFillTint="33"/>
            <w:vAlign w:val="center"/>
          </w:tcPr>
          <w:p w14:paraId="4DF81BA4" w14:textId="77777777" w:rsidR="00A644D8" w:rsidRDefault="00A644D8">
            <w:pPr>
              <w:pStyle w:val="TableParagraph"/>
              <w:numPr>
                <w:ilvl w:val="0"/>
                <w:numId w:val="4"/>
              </w:numPr>
              <w:jc w:val="right"/>
              <w:rPr>
                <w:rFonts w:ascii="Times New Roman" w:hAnsi="Times New Roman" w:cs="Times New Roman"/>
                <w:b w:val="0"/>
                <w:bCs w:val="0"/>
              </w:rPr>
            </w:pPr>
          </w:p>
        </w:tc>
        <w:tc>
          <w:tcPr>
            <w:tcW w:w="2693" w:type="dxa"/>
            <w:shd w:val="clear" w:color="auto" w:fill="EDEDED" w:themeFill="accent3" w:themeFillTint="33"/>
          </w:tcPr>
          <w:p w14:paraId="42493620" w14:textId="77777777" w:rsidR="00A644D8" w:rsidRDefault="00000000">
            <w:pPr>
              <w:pStyle w:val="TableParagrap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Future development</w:t>
            </w:r>
          </w:p>
        </w:tc>
        <w:tc>
          <w:tcPr>
            <w:tcW w:w="1701" w:type="dxa"/>
            <w:shd w:val="clear" w:color="auto" w:fill="EDEDED" w:themeFill="accent3" w:themeFillTint="33"/>
          </w:tcPr>
          <w:p w14:paraId="0DAE3169" w14:textId="77777777" w:rsidR="00A644D8" w:rsidRDefault="00000000">
            <w:pPr>
              <w:pStyle w:val="TableParagrap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Absent</w:t>
            </w:r>
          </w:p>
        </w:tc>
        <w:tc>
          <w:tcPr>
            <w:tcW w:w="1843" w:type="dxa"/>
            <w:shd w:val="clear" w:color="auto" w:fill="EDEDED" w:themeFill="accent3" w:themeFillTint="33"/>
          </w:tcPr>
          <w:p w14:paraId="6EAA3D11" w14:textId="77777777" w:rsidR="00A644D8" w:rsidRDefault="00000000">
            <w:pPr>
              <w:pStyle w:val="TableParagrap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Low</w:t>
            </w:r>
          </w:p>
        </w:tc>
        <w:tc>
          <w:tcPr>
            <w:tcW w:w="2471" w:type="dxa"/>
            <w:shd w:val="clear" w:color="auto" w:fill="EDEDED" w:themeFill="accent3" w:themeFillTint="33"/>
          </w:tcPr>
          <w:p w14:paraId="13F5B0A9" w14:textId="77777777" w:rsidR="00A644D8" w:rsidRDefault="00000000">
            <w:pPr>
              <w:pStyle w:val="TableParagrap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Moderate</w:t>
            </w:r>
          </w:p>
        </w:tc>
      </w:tr>
      <w:tr w:rsidR="00A644D8" w14:paraId="0248294E" w14:textId="77777777" w:rsidTr="00A644D8">
        <w:trPr>
          <w:trHeight w:val="253"/>
        </w:trPr>
        <w:tc>
          <w:tcPr>
            <w:cnfStyle w:val="001000000000" w:firstRow="0" w:lastRow="0" w:firstColumn="1" w:lastColumn="0" w:oddVBand="0" w:evenVBand="0" w:oddHBand="0" w:evenHBand="0" w:firstRowFirstColumn="0" w:firstRowLastColumn="0" w:lastRowFirstColumn="0" w:lastRowLastColumn="0"/>
            <w:tcW w:w="534" w:type="dxa"/>
            <w:vAlign w:val="center"/>
          </w:tcPr>
          <w:p w14:paraId="7DB383EB" w14:textId="77777777" w:rsidR="00A644D8" w:rsidRDefault="00A644D8">
            <w:pPr>
              <w:pStyle w:val="TableParagraph"/>
              <w:numPr>
                <w:ilvl w:val="0"/>
                <w:numId w:val="4"/>
              </w:numPr>
              <w:jc w:val="right"/>
              <w:rPr>
                <w:rFonts w:ascii="Times New Roman" w:hAnsi="Times New Roman" w:cs="Times New Roman"/>
                <w:b w:val="0"/>
                <w:bCs w:val="0"/>
              </w:rPr>
            </w:pPr>
          </w:p>
        </w:tc>
        <w:tc>
          <w:tcPr>
            <w:tcW w:w="2693" w:type="dxa"/>
            <w:shd w:val="clear" w:color="auto" w:fill="EDEDED" w:themeFill="accent3" w:themeFillTint="33"/>
          </w:tcPr>
          <w:p w14:paraId="6AD8D1B8" w14:textId="77777777" w:rsidR="00A644D8" w:rsidRDefault="00000000">
            <w:pPr>
              <w:pStyle w:val="TableParagrap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Erosion control</w:t>
            </w:r>
          </w:p>
        </w:tc>
        <w:tc>
          <w:tcPr>
            <w:tcW w:w="1701" w:type="dxa"/>
          </w:tcPr>
          <w:p w14:paraId="1AF269B8" w14:textId="77777777" w:rsidR="00A644D8" w:rsidRDefault="00000000">
            <w:pPr>
              <w:pStyle w:val="TableParagrap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Absent</w:t>
            </w:r>
          </w:p>
        </w:tc>
        <w:tc>
          <w:tcPr>
            <w:tcW w:w="1843" w:type="dxa"/>
            <w:shd w:val="clear" w:color="auto" w:fill="EDEDED" w:themeFill="accent3" w:themeFillTint="33"/>
          </w:tcPr>
          <w:p w14:paraId="60CE84A5" w14:textId="77777777" w:rsidR="00A644D8" w:rsidRDefault="00000000">
            <w:pPr>
              <w:pStyle w:val="TableParagrap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Absent</w:t>
            </w:r>
          </w:p>
        </w:tc>
        <w:tc>
          <w:tcPr>
            <w:tcW w:w="2471" w:type="dxa"/>
          </w:tcPr>
          <w:p w14:paraId="6DC38EBF" w14:textId="77777777" w:rsidR="00A644D8" w:rsidRDefault="00000000">
            <w:pPr>
              <w:pStyle w:val="TableParagrap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Moderate</w:t>
            </w:r>
          </w:p>
        </w:tc>
      </w:tr>
      <w:tr w:rsidR="00A644D8" w14:paraId="1F7D4BF8" w14:textId="77777777" w:rsidTr="00A644D8">
        <w:trPr>
          <w:trHeight w:val="253"/>
        </w:trPr>
        <w:tc>
          <w:tcPr>
            <w:cnfStyle w:val="001000000000" w:firstRow="0" w:lastRow="0" w:firstColumn="1" w:lastColumn="0" w:oddVBand="0" w:evenVBand="0" w:oddHBand="0" w:evenHBand="0" w:firstRowFirstColumn="0" w:firstRowLastColumn="0" w:lastRowFirstColumn="0" w:lastRowLastColumn="0"/>
            <w:tcW w:w="534" w:type="dxa"/>
            <w:shd w:val="clear" w:color="auto" w:fill="EDEDED" w:themeFill="accent3" w:themeFillTint="33"/>
            <w:vAlign w:val="center"/>
          </w:tcPr>
          <w:p w14:paraId="256548D0" w14:textId="77777777" w:rsidR="00A644D8" w:rsidRDefault="00A644D8">
            <w:pPr>
              <w:pStyle w:val="TableParagraph"/>
              <w:numPr>
                <w:ilvl w:val="0"/>
                <w:numId w:val="4"/>
              </w:numPr>
              <w:jc w:val="right"/>
              <w:rPr>
                <w:rFonts w:ascii="Times New Roman" w:hAnsi="Times New Roman" w:cs="Times New Roman"/>
                <w:b w:val="0"/>
                <w:bCs w:val="0"/>
              </w:rPr>
            </w:pPr>
          </w:p>
        </w:tc>
        <w:tc>
          <w:tcPr>
            <w:tcW w:w="2693" w:type="dxa"/>
            <w:shd w:val="clear" w:color="auto" w:fill="EDEDED" w:themeFill="accent3" w:themeFillTint="33"/>
          </w:tcPr>
          <w:p w14:paraId="39A7253D" w14:textId="77777777" w:rsidR="00A644D8" w:rsidRDefault="00000000">
            <w:pPr>
              <w:pStyle w:val="TableParagrap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Pervious materials</w:t>
            </w:r>
          </w:p>
        </w:tc>
        <w:tc>
          <w:tcPr>
            <w:tcW w:w="1701" w:type="dxa"/>
            <w:shd w:val="clear" w:color="auto" w:fill="EDEDED" w:themeFill="accent3" w:themeFillTint="33"/>
          </w:tcPr>
          <w:p w14:paraId="5C4C5F30" w14:textId="77777777" w:rsidR="00A644D8" w:rsidRDefault="00000000">
            <w:pPr>
              <w:pStyle w:val="TableParagrap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Moderate</w:t>
            </w:r>
          </w:p>
        </w:tc>
        <w:tc>
          <w:tcPr>
            <w:tcW w:w="1843" w:type="dxa"/>
            <w:shd w:val="clear" w:color="auto" w:fill="EDEDED" w:themeFill="accent3" w:themeFillTint="33"/>
          </w:tcPr>
          <w:p w14:paraId="78EC9FF5" w14:textId="77777777" w:rsidR="00A644D8" w:rsidRDefault="00000000">
            <w:pPr>
              <w:pStyle w:val="TableParagrap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Moderate</w:t>
            </w:r>
          </w:p>
        </w:tc>
        <w:tc>
          <w:tcPr>
            <w:tcW w:w="2471" w:type="dxa"/>
            <w:shd w:val="clear" w:color="auto" w:fill="EDEDED" w:themeFill="accent3" w:themeFillTint="33"/>
          </w:tcPr>
          <w:p w14:paraId="28C16CF2" w14:textId="77777777" w:rsidR="00A644D8" w:rsidRDefault="00000000">
            <w:pPr>
              <w:pStyle w:val="TableParagrap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rPr>
            </w:pPr>
            <w:r>
              <w:rPr>
                <w:rFonts w:ascii="Times New Roman" w:hAnsi="Times New Roman" w:cs="Times New Roman"/>
              </w:rPr>
              <w:t>Moderate</w:t>
            </w:r>
          </w:p>
        </w:tc>
      </w:tr>
      <w:tr w:rsidR="00A644D8" w14:paraId="0E587FAD" w14:textId="77777777" w:rsidTr="00A644D8">
        <w:trPr>
          <w:trHeight w:val="251"/>
        </w:trPr>
        <w:tc>
          <w:tcPr>
            <w:cnfStyle w:val="001000000000" w:firstRow="0" w:lastRow="0" w:firstColumn="1" w:lastColumn="0" w:oddVBand="0" w:evenVBand="0" w:oddHBand="0" w:evenHBand="0" w:firstRowFirstColumn="0" w:firstRowLastColumn="0" w:lastRowFirstColumn="0" w:lastRowLastColumn="0"/>
            <w:tcW w:w="534" w:type="dxa"/>
            <w:vAlign w:val="center"/>
          </w:tcPr>
          <w:p w14:paraId="24D82A95" w14:textId="77777777" w:rsidR="00A644D8" w:rsidRDefault="00A644D8">
            <w:pPr>
              <w:pStyle w:val="TableParagraph"/>
              <w:numPr>
                <w:ilvl w:val="0"/>
                <w:numId w:val="4"/>
              </w:numPr>
              <w:jc w:val="right"/>
              <w:rPr>
                <w:rFonts w:ascii="Times New Roman" w:hAnsi="Times New Roman" w:cs="Times New Roman"/>
                <w:b w:val="0"/>
                <w:bCs w:val="0"/>
              </w:rPr>
            </w:pPr>
          </w:p>
        </w:tc>
        <w:tc>
          <w:tcPr>
            <w:tcW w:w="2693" w:type="dxa"/>
            <w:shd w:val="clear" w:color="auto" w:fill="EDEDED" w:themeFill="accent3" w:themeFillTint="33"/>
          </w:tcPr>
          <w:p w14:paraId="13E66688" w14:textId="77777777" w:rsidR="00A644D8" w:rsidRDefault="00000000">
            <w:pPr>
              <w:pStyle w:val="TableParagrap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Vegetated roof system</w:t>
            </w:r>
          </w:p>
        </w:tc>
        <w:tc>
          <w:tcPr>
            <w:tcW w:w="1701" w:type="dxa"/>
          </w:tcPr>
          <w:p w14:paraId="08F81F10" w14:textId="77777777" w:rsidR="00A644D8" w:rsidRDefault="00000000">
            <w:pPr>
              <w:pStyle w:val="TableParagrap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Absent</w:t>
            </w:r>
          </w:p>
        </w:tc>
        <w:tc>
          <w:tcPr>
            <w:tcW w:w="1843" w:type="dxa"/>
            <w:shd w:val="clear" w:color="auto" w:fill="EDEDED" w:themeFill="accent3" w:themeFillTint="33"/>
          </w:tcPr>
          <w:p w14:paraId="31CC705F" w14:textId="77777777" w:rsidR="00A644D8" w:rsidRDefault="00000000">
            <w:pPr>
              <w:pStyle w:val="TableParagrap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Absent</w:t>
            </w:r>
          </w:p>
        </w:tc>
        <w:tc>
          <w:tcPr>
            <w:tcW w:w="2471" w:type="dxa"/>
          </w:tcPr>
          <w:p w14:paraId="0AFFB1E6" w14:textId="77777777" w:rsidR="00A644D8" w:rsidRDefault="00000000">
            <w:pPr>
              <w:pStyle w:val="TableParagrap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Absent</w:t>
            </w:r>
          </w:p>
        </w:tc>
      </w:tr>
      <w:tr w:rsidR="00A644D8" w14:paraId="3DB620FC" w14:textId="77777777" w:rsidTr="00A644D8">
        <w:trPr>
          <w:trHeight w:val="253"/>
        </w:trPr>
        <w:tc>
          <w:tcPr>
            <w:cnfStyle w:val="001000000000" w:firstRow="0" w:lastRow="0" w:firstColumn="1" w:lastColumn="0" w:oddVBand="0" w:evenVBand="0" w:oddHBand="0" w:evenHBand="0" w:firstRowFirstColumn="0" w:firstRowLastColumn="0" w:lastRowFirstColumn="0" w:lastRowLastColumn="0"/>
            <w:tcW w:w="534" w:type="dxa"/>
            <w:tcBorders>
              <w:top w:val="double" w:sz="4" w:space="0" w:color="A5A5A5" w:themeColor="accent3"/>
            </w:tcBorders>
            <w:vAlign w:val="center"/>
          </w:tcPr>
          <w:p w14:paraId="7426CF62" w14:textId="77777777" w:rsidR="00A644D8" w:rsidRDefault="00A644D8">
            <w:pPr>
              <w:pStyle w:val="TableParagraph"/>
              <w:numPr>
                <w:ilvl w:val="0"/>
                <w:numId w:val="4"/>
              </w:numPr>
              <w:jc w:val="right"/>
              <w:rPr>
                <w:rFonts w:ascii="Times New Roman" w:hAnsi="Times New Roman" w:cs="Times New Roman"/>
                <w:b w:val="0"/>
                <w:bCs w:val="0"/>
              </w:rPr>
            </w:pPr>
          </w:p>
        </w:tc>
        <w:tc>
          <w:tcPr>
            <w:tcW w:w="2693" w:type="dxa"/>
            <w:tcBorders>
              <w:top w:val="double" w:sz="4" w:space="0" w:color="A5A5A5" w:themeColor="accent3"/>
            </w:tcBorders>
            <w:shd w:val="clear" w:color="auto" w:fill="EDEDED" w:themeFill="accent3" w:themeFillTint="33"/>
          </w:tcPr>
          <w:p w14:paraId="0FEEE402" w14:textId="77777777" w:rsidR="00A644D8" w:rsidRDefault="00000000">
            <w:pPr>
              <w:pStyle w:val="TableParagrap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Non-toxic landscape materials</w:t>
            </w:r>
          </w:p>
        </w:tc>
        <w:tc>
          <w:tcPr>
            <w:tcW w:w="1701" w:type="dxa"/>
            <w:tcBorders>
              <w:top w:val="double" w:sz="4" w:space="0" w:color="A5A5A5" w:themeColor="accent3"/>
            </w:tcBorders>
          </w:tcPr>
          <w:p w14:paraId="5AADC883" w14:textId="77777777" w:rsidR="00A644D8" w:rsidRDefault="00000000">
            <w:pPr>
              <w:pStyle w:val="TableParagrap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Moderate</w:t>
            </w:r>
          </w:p>
        </w:tc>
        <w:tc>
          <w:tcPr>
            <w:tcW w:w="1843" w:type="dxa"/>
            <w:tcBorders>
              <w:top w:val="double" w:sz="4" w:space="0" w:color="A5A5A5" w:themeColor="accent3"/>
            </w:tcBorders>
            <w:shd w:val="clear" w:color="auto" w:fill="EDEDED" w:themeFill="accent3" w:themeFillTint="33"/>
          </w:tcPr>
          <w:p w14:paraId="57F234BC" w14:textId="77777777" w:rsidR="00A644D8" w:rsidRDefault="00000000">
            <w:pPr>
              <w:pStyle w:val="TableParagrap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Moderate</w:t>
            </w:r>
          </w:p>
        </w:tc>
        <w:tc>
          <w:tcPr>
            <w:tcW w:w="2471" w:type="dxa"/>
            <w:tcBorders>
              <w:top w:val="double" w:sz="4" w:space="0" w:color="A5A5A5" w:themeColor="accent3"/>
            </w:tcBorders>
          </w:tcPr>
          <w:p w14:paraId="01DE06C3" w14:textId="77777777" w:rsidR="00A644D8" w:rsidRDefault="00000000">
            <w:pPr>
              <w:pStyle w:val="TableParagrap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Moderate</w:t>
            </w:r>
          </w:p>
        </w:tc>
      </w:tr>
    </w:tbl>
    <w:p w14:paraId="0F1C3B98" w14:textId="77777777" w:rsidR="00A644D8" w:rsidRDefault="00A644D8">
      <w:pPr>
        <w:spacing w:line="240" w:lineRule="auto"/>
        <w:jc w:val="both"/>
        <w:rPr>
          <w:rFonts w:ascii="Times New Roman" w:hAnsi="Times New Roman" w:cs="Times New Roman"/>
          <w:iCs/>
          <w:lang w:val="en-US"/>
        </w:rPr>
      </w:pPr>
    </w:p>
    <w:p w14:paraId="4926EABE" w14:textId="77777777" w:rsidR="00A644D8" w:rsidRDefault="00000000">
      <w:pPr>
        <w:spacing w:after="0" w:line="240" w:lineRule="auto"/>
        <w:jc w:val="both"/>
        <w:rPr>
          <w:rFonts w:ascii="Times New Roman" w:hAnsi="Times New Roman" w:cs="Times New Roman"/>
          <w:b/>
          <w:bCs/>
          <w:iCs/>
          <w:lang w:val="en-US"/>
        </w:rPr>
      </w:pPr>
      <w:r>
        <w:rPr>
          <w:rFonts w:ascii="Times New Roman" w:hAnsi="Times New Roman" w:cs="Times New Roman"/>
          <w:b/>
          <w:bCs/>
          <w:iCs/>
          <w:lang w:val="en-US"/>
        </w:rPr>
        <w:t>Table 4: Energy Efficiency Strategies</w:t>
      </w:r>
    </w:p>
    <w:tbl>
      <w:tblPr>
        <w:tblStyle w:val="ListTable6Colorful-Accent31"/>
        <w:tblW w:w="9242" w:type="dxa"/>
        <w:tblLayout w:type="fixed"/>
        <w:tblLook w:val="04A0" w:firstRow="1" w:lastRow="0" w:firstColumn="1" w:lastColumn="0" w:noHBand="0" w:noVBand="1"/>
      </w:tblPr>
      <w:tblGrid>
        <w:gridCol w:w="534"/>
        <w:gridCol w:w="2835"/>
        <w:gridCol w:w="1701"/>
        <w:gridCol w:w="1842"/>
        <w:gridCol w:w="2330"/>
      </w:tblGrid>
      <w:tr w:rsidR="00A644D8" w14:paraId="1D2E5E0F" w14:textId="77777777" w:rsidTr="00A644D8">
        <w:trPr>
          <w:cnfStyle w:val="100000000000" w:firstRow="1" w:lastRow="0" w:firstColumn="0" w:lastColumn="0" w:oddVBand="0" w:evenVBand="0" w:oddHBand="0" w:evenHBand="0" w:firstRowFirstColumn="0" w:firstRowLastColumn="0" w:lastRowFirstColumn="0" w:lastRowLastColumn="0"/>
          <w:trHeight w:val="253"/>
        </w:trPr>
        <w:tc>
          <w:tcPr>
            <w:cnfStyle w:val="001000000000" w:firstRow="0" w:lastRow="0" w:firstColumn="1" w:lastColumn="0" w:oddVBand="0" w:evenVBand="0" w:oddHBand="0" w:evenHBand="0" w:firstRowFirstColumn="0" w:firstRowLastColumn="0" w:lastRowFirstColumn="0" w:lastRowLastColumn="0"/>
            <w:tcW w:w="534" w:type="dxa"/>
          </w:tcPr>
          <w:p w14:paraId="75086186" w14:textId="77777777" w:rsidR="00A644D8" w:rsidRDefault="00000000">
            <w:pPr>
              <w:pStyle w:val="TableParagraph"/>
              <w:rPr>
                <w:rFonts w:ascii="Times New Roman" w:hAnsi="Times New Roman" w:cs="Times New Roman"/>
                <w:bCs w:val="0"/>
              </w:rPr>
            </w:pPr>
            <w:r>
              <w:rPr>
                <w:rFonts w:ascii="Times New Roman" w:hAnsi="Times New Roman" w:cs="Times New Roman"/>
                <w:b w:val="0"/>
              </w:rPr>
              <w:t>S/N</w:t>
            </w:r>
          </w:p>
        </w:tc>
        <w:tc>
          <w:tcPr>
            <w:tcW w:w="2835" w:type="dxa"/>
            <w:vMerge w:val="restart"/>
            <w:shd w:val="clear" w:color="auto" w:fill="EDEDED" w:themeFill="accent3" w:themeFillTint="33"/>
          </w:tcPr>
          <w:p w14:paraId="5D923E19" w14:textId="77777777" w:rsidR="00A644D8" w:rsidRDefault="00000000">
            <w:pPr>
              <w:pStyle w:val="TableParagrap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rPr>
            </w:pPr>
            <w:r>
              <w:rPr>
                <w:rFonts w:ascii="Times New Roman" w:hAnsi="Times New Roman" w:cs="Times New Roman"/>
              </w:rPr>
              <w:t>CHECKLIST</w:t>
            </w:r>
          </w:p>
        </w:tc>
        <w:tc>
          <w:tcPr>
            <w:tcW w:w="5873" w:type="dxa"/>
            <w:gridSpan w:val="3"/>
            <w:tcBorders>
              <w:right w:val="nil"/>
            </w:tcBorders>
          </w:tcPr>
          <w:p w14:paraId="4E653EFD" w14:textId="77777777" w:rsidR="00A644D8" w:rsidRDefault="00000000">
            <w:pPr>
              <w:pStyle w:val="TableParagraph"/>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rPr>
            </w:pPr>
            <w:r>
              <w:rPr>
                <w:rFonts w:ascii="Times New Roman" w:hAnsi="Times New Roman" w:cs="Times New Roman"/>
                <w:b w:val="0"/>
              </w:rPr>
              <w:t>Centres</w:t>
            </w:r>
          </w:p>
        </w:tc>
      </w:tr>
      <w:tr w:rsidR="00A644D8" w14:paraId="2B420FBF" w14:textId="77777777" w:rsidTr="00A644D8">
        <w:trPr>
          <w:trHeight w:val="639"/>
        </w:trPr>
        <w:tc>
          <w:tcPr>
            <w:cnfStyle w:val="001000000000" w:firstRow="0" w:lastRow="0" w:firstColumn="1" w:lastColumn="0" w:oddVBand="0" w:evenVBand="0" w:oddHBand="0" w:evenHBand="0" w:firstRowFirstColumn="0" w:firstRowLastColumn="0" w:lastRowFirstColumn="0" w:lastRowLastColumn="0"/>
            <w:tcW w:w="534" w:type="dxa"/>
            <w:shd w:val="clear" w:color="auto" w:fill="EDEDED" w:themeFill="accent3" w:themeFillTint="33"/>
            <w:vAlign w:val="center"/>
          </w:tcPr>
          <w:p w14:paraId="16DB1961" w14:textId="77777777" w:rsidR="00A644D8" w:rsidRDefault="00A644D8">
            <w:pPr>
              <w:spacing w:after="0" w:line="240" w:lineRule="auto"/>
              <w:jc w:val="center"/>
              <w:rPr>
                <w:rFonts w:ascii="Times New Roman" w:eastAsia="Times New Roman" w:hAnsi="Times New Roman" w:cs="Times New Roman"/>
                <w:b w:val="0"/>
                <w:bCs w:val="0"/>
              </w:rPr>
            </w:pPr>
          </w:p>
        </w:tc>
        <w:tc>
          <w:tcPr>
            <w:tcW w:w="2835" w:type="dxa"/>
            <w:vMerge/>
            <w:shd w:val="clear" w:color="auto" w:fill="EDEDED" w:themeFill="accent3" w:themeFillTint="33"/>
          </w:tcPr>
          <w:p w14:paraId="6E694CFE" w14:textId="77777777" w:rsidR="00A644D8" w:rsidRDefault="00A644D8">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p>
        </w:tc>
        <w:tc>
          <w:tcPr>
            <w:tcW w:w="1701" w:type="dxa"/>
            <w:shd w:val="clear" w:color="auto" w:fill="EDEDED" w:themeFill="accent3" w:themeFillTint="33"/>
          </w:tcPr>
          <w:p w14:paraId="58BB934C" w14:textId="77777777" w:rsidR="00A644D8" w:rsidRDefault="00000000">
            <w:pPr>
              <w:pStyle w:val="TableParagraph"/>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i/>
              </w:rPr>
            </w:pPr>
            <w:r>
              <w:rPr>
                <w:rFonts w:ascii="Times New Roman" w:hAnsi="Times New Roman" w:cs="Times New Roman"/>
                <w:b/>
                <w:bCs/>
                <w:i/>
              </w:rPr>
              <w:t>Ikeja Youth Centre</w:t>
            </w:r>
          </w:p>
        </w:tc>
        <w:tc>
          <w:tcPr>
            <w:tcW w:w="1842" w:type="dxa"/>
            <w:tcBorders>
              <w:right w:val="nil"/>
            </w:tcBorders>
            <w:shd w:val="clear" w:color="auto" w:fill="EDEDED" w:themeFill="accent3" w:themeFillTint="33"/>
          </w:tcPr>
          <w:p w14:paraId="2F0EC186" w14:textId="77777777" w:rsidR="00A644D8" w:rsidRDefault="00000000">
            <w:pPr>
              <w:pStyle w:val="TableParagraph"/>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i/>
              </w:rPr>
            </w:pPr>
            <w:bookmarkStart w:id="4" w:name="_Hlk136220680"/>
            <w:r>
              <w:rPr>
                <w:rFonts w:ascii="Times New Roman" w:hAnsi="Times New Roman" w:cs="Times New Roman"/>
                <w:b/>
                <w:bCs/>
                <w:i/>
              </w:rPr>
              <w:t>FCT Ultra-Modern Youth Support Centre</w:t>
            </w:r>
            <w:bookmarkEnd w:id="4"/>
          </w:p>
        </w:tc>
        <w:tc>
          <w:tcPr>
            <w:tcW w:w="2330" w:type="dxa"/>
            <w:tcBorders>
              <w:right w:val="nil"/>
            </w:tcBorders>
            <w:shd w:val="clear" w:color="auto" w:fill="EDEDED" w:themeFill="accent3" w:themeFillTint="33"/>
          </w:tcPr>
          <w:p w14:paraId="6422EF45" w14:textId="77777777" w:rsidR="00A644D8" w:rsidRDefault="00000000">
            <w:pPr>
              <w:pStyle w:val="TableParagraph"/>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i/>
              </w:rPr>
            </w:pPr>
            <w:bookmarkStart w:id="5" w:name="_Hlk136220487"/>
            <w:r>
              <w:rPr>
                <w:rFonts w:ascii="Times New Roman" w:hAnsi="Times New Roman" w:cs="Times New Roman"/>
                <w:b/>
                <w:bCs/>
                <w:i/>
              </w:rPr>
              <w:t>Calabar International Convention Centre</w:t>
            </w:r>
            <w:bookmarkEnd w:id="5"/>
          </w:p>
        </w:tc>
      </w:tr>
      <w:tr w:rsidR="00A644D8" w14:paraId="66C8824E" w14:textId="77777777" w:rsidTr="00A644D8">
        <w:trPr>
          <w:trHeight w:val="251"/>
        </w:trPr>
        <w:tc>
          <w:tcPr>
            <w:cnfStyle w:val="001000000000" w:firstRow="0" w:lastRow="0" w:firstColumn="1" w:lastColumn="0" w:oddVBand="0" w:evenVBand="0" w:oddHBand="0" w:evenHBand="0" w:firstRowFirstColumn="0" w:firstRowLastColumn="0" w:lastRowFirstColumn="0" w:lastRowLastColumn="0"/>
            <w:tcW w:w="534" w:type="dxa"/>
            <w:vAlign w:val="center"/>
          </w:tcPr>
          <w:p w14:paraId="2062D886" w14:textId="77777777" w:rsidR="00A644D8" w:rsidRDefault="00A644D8">
            <w:pPr>
              <w:pStyle w:val="TableParagraph"/>
              <w:numPr>
                <w:ilvl w:val="0"/>
                <w:numId w:val="5"/>
              </w:numPr>
              <w:jc w:val="center"/>
              <w:rPr>
                <w:rFonts w:ascii="Times New Roman" w:hAnsi="Times New Roman" w:cs="Times New Roman"/>
                <w:b w:val="0"/>
                <w:bCs w:val="0"/>
              </w:rPr>
            </w:pPr>
          </w:p>
        </w:tc>
        <w:tc>
          <w:tcPr>
            <w:tcW w:w="2835" w:type="dxa"/>
            <w:shd w:val="clear" w:color="auto" w:fill="EDEDED" w:themeFill="accent3" w:themeFillTint="33"/>
          </w:tcPr>
          <w:p w14:paraId="0B1940C2" w14:textId="77777777" w:rsidR="00A644D8" w:rsidRDefault="00000000">
            <w:pPr>
              <w:pStyle w:val="TableParagrap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Building envelope</w:t>
            </w:r>
          </w:p>
        </w:tc>
        <w:tc>
          <w:tcPr>
            <w:tcW w:w="1701" w:type="dxa"/>
          </w:tcPr>
          <w:p w14:paraId="62D60F2B" w14:textId="77777777" w:rsidR="00A644D8" w:rsidRDefault="00000000">
            <w:pPr>
              <w:pStyle w:val="TableParagrap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High</w:t>
            </w:r>
          </w:p>
        </w:tc>
        <w:tc>
          <w:tcPr>
            <w:tcW w:w="1842" w:type="dxa"/>
            <w:shd w:val="clear" w:color="auto" w:fill="EDEDED" w:themeFill="accent3" w:themeFillTint="33"/>
          </w:tcPr>
          <w:p w14:paraId="4910C368" w14:textId="77777777" w:rsidR="00A644D8" w:rsidRDefault="00000000">
            <w:pPr>
              <w:pStyle w:val="TableParagrap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Moderate</w:t>
            </w:r>
          </w:p>
        </w:tc>
        <w:tc>
          <w:tcPr>
            <w:tcW w:w="2330" w:type="dxa"/>
          </w:tcPr>
          <w:p w14:paraId="23253E01" w14:textId="77777777" w:rsidR="00A644D8" w:rsidRDefault="00000000">
            <w:pPr>
              <w:pStyle w:val="TableParagrap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High</w:t>
            </w:r>
          </w:p>
        </w:tc>
      </w:tr>
      <w:tr w:rsidR="00A644D8" w14:paraId="4B3F5B4B" w14:textId="77777777" w:rsidTr="00A644D8">
        <w:trPr>
          <w:trHeight w:val="251"/>
        </w:trPr>
        <w:tc>
          <w:tcPr>
            <w:cnfStyle w:val="001000000000" w:firstRow="0" w:lastRow="0" w:firstColumn="1" w:lastColumn="0" w:oddVBand="0" w:evenVBand="0" w:oddHBand="0" w:evenHBand="0" w:firstRowFirstColumn="0" w:firstRowLastColumn="0" w:lastRowFirstColumn="0" w:lastRowLastColumn="0"/>
            <w:tcW w:w="534" w:type="dxa"/>
            <w:shd w:val="clear" w:color="auto" w:fill="EDEDED" w:themeFill="accent3" w:themeFillTint="33"/>
            <w:vAlign w:val="center"/>
          </w:tcPr>
          <w:p w14:paraId="353BD14A" w14:textId="77777777" w:rsidR="00A644D8" w:rsidRDefault="00A644D8">
            <w:pPr>
              <w:pStyle w:val="TableParagraph"/>
              <w:numPr>
                <w:ilvl w:val="0"/>
                <w:numId w:val="5"/>
              </w:numPr>
              <w:jc w:val="center"/>
              <w:rPr>
                <w:rFonts w:ascii="Times New Roman" w:hAnsi="Times New Roman" w:cs="Times New Roman"/>
                <w:b w:val="0"/>
                <w:bCs w:val="0"/>
              </w:rPr>
            </w:pPr>
          </w:p>
        </w:tc>
        <w:tc>
          <w:tcPr>
            <w:tcW w:w="2835" w:type="dxa"/>
            <w:shd w:val="clear" w:color="auto" w:fill="EDEDED" w:themeFill="accent3" w:themeFillTint="33"/>
          </w:tcPr>
          <w:p w14:paraId="52D8CD63" w14:textId="77777777" w:rsidR="00A644D8" w:rsidRDefault="00000000">
            <w:pPr>
              <w:pStyle w:val="TableParagrap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Daylighting</w:t>
            </w:r>
          </w:p>
        </w:tc>
        <w:tc>
          <w:tcPr>
            <w:tcW w:w="1701" w:type="dxa"/>
            <w:shd w:val="clear" w:color="auto" w:fill="EDEDED" w:themeFill="accent3" w:themeFillTint="33"/>
          </w:tcPr>
          <w:p w14:paraId="624C3012" w14:textId="77777777" w:rsidR="00A644D8" w:rsidRDefault="00000000">
            <w:pPr>
              <w:pStyle w:val="TableParagrap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High</w:t>
            </w:r>
          </w:p>
        </w:tc>
        <w:tc>
          <w:tcPr>
            <w:tcW w:w="1842" w:type="dxa"/>
            <w:shd w:val="clear" w:color="auto" w:fill="EDEDED" w:themeFill="accent3" w:themeFillTint="33"/>
          </w:tcPr>
          <w:p w14:paraId="1FDD0BF7" w14:textId="77777777" w:rsidR="00A644D8" w:rsidRDefault="00000000">
            <w:pPr>
              <w:pStyle w:val="TableParagrap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High</w:t>
            </w:r>
          </w:p>
        </w:tc>
        <w:tc>
          <w:tcPr>
            <w:tcW w:w="2330" w:type="dxa"/>
            <w:shd w:val="clear" w:color="auto" w:fill="EDEDED" w:themeFill="accent3" w:themeFillTint="33"/>
          </w:tcPr>
          <w:p w14:paraId="7E20CC02" w14:textId="77777777" w:rsidR="00A644D8" w:rsidRDefault="00000000">
            <w:pPr>
              <w:pStyle w:val="TableParagrap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Moderate</w:t>
            </w:r>
          </w:p>
        </w:tc>
      </w:tr>
      <w:tr w:rsidR="00A644D8" w14:paraId="7D914E48" w14:textId="77777777" w:rsidTr="00A644D8">
        <w:trPr>
          <w:trHeight w:val="251"/>
        </w:trPr>
        <w:tc>
          <w:tcPr>
            <w:cnfStyle w:val="001000000000" w:firstRow="0" w:lastRow="0" w:firstColumn="1" w:lastColumn="0" w:oddVBand="0" w:evenVBand="0" w:oddHBand="0" w:evenHBand="0" w:firstRowFirstColumn="0" w:firstRowLastColumn="0" w:lastRowFirstColumn="0" w:lastRowLastColumn="0"/>
            <w:tcW w:w="534" w:type="dxa"/>
            <w:vAlign w:val="center"/>
          </w:tcPr>
          <w:p w14:paraId="589E1BBE" w14:textId="77777777" w:rsidR="00A644D8" w:rsidRDefault="00A644D8">
            <w:pPr>
              <w:pStyle w:val="TableParagraph"/>
              <w:numPr>
                <w:ilvl w:val="0"/>
                <w:numId w:val="5"/>
              </w:numPr>
              <w:jc w:val="center"/>
              <w:rPr>
                <w:rFonts w:ascii="Times New Roman" w:hAnsi="Times New Roman" w:cs="Times New Roman"/>
                <w:b w:val="0"/>
                <w:bCs w:val="0"/>
              </w:rPr>
            </w:pPr>
          </w:p>
        </w:tc>
        <w:tc>
          <w:tcPr>
            <w:tcW w:w="2835" w:type="dxa"/>
            <w:shd w:val="clear" w:color="auto" w:fill="EDEDED" w:themeFill="accent3" w:themeFillTint="33"/>
          </w:tcPr>
          <w:p w14:paraId="449B3D83" w14:textId="77777777" w:rsidR="00A644D8" w:rsidRDefault="00000000">
            <w:pPr>
              <w:pStyle w:val="TableParagrap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Window shading devices</w:t>
            </w:r>
          </w:p>
        </w:tc>
        <w:tc>
          <w:tcPr>
            <w:tcW w:w="1701" w:type="dxa"/>
          </w:tcPr>
          <w:p w14:paraId="12939D3D" w14:textId="77777777" w:rsidR="00A644D8" w:rsidRDefault="00000000">
            <w:pPr>
              <w:pStyle w:val="TableParagrap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Moderate</w:t>
            </w:r>
          </w:p>
        </w:tc>
        <w:tc>
          <w:tcPr>
            <w:tcW w:w="1842" w:type="dxa"/>
            <w:shd w:val="clear" w:color="auto" w:fill="EDEDED" w:themeFill="accent3" w:themeFillTint="33"/>
          </w:tcPr>
          <w:p w14:paraId="4403EE0C" w14:textId="77777777" w:rsidR="00A644D8" w:rsidRDefault="00000000">
            <w:pPr>
              <w:pStyle w:val="TableParagrap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Moderate</w:t>
            </w:r>
          </w:p>
        </w:tc>
        <w:tc>
          <w:tcPr>
            <w:tcW w:w="2330" w:type="dxa"/>
          </w:tcPr>
          <w:p w14:paraId="65D027BC" w14:textId="77777777" w:rsidR="00A644D8" w:rsidRDefault="00000000">
            <w:pPr>
              <w:pStyle w:val="TableParagrap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High</w:t>
            </w:r>
          </w:p>
        </w:tc>
      </w:tr>
      <w:tr w:rsidR="00A644D8" w14:paraId="5F45181D" w14:textId="77777777" w:rsidTr="00A644D8">
        <w:trPr>
          <w:trHeight w:val="253"/>
        </w:trPr>
        <w:tc>
          <w:tcPr>
            <w:cnfStyle w:val="001000000000" w:firstRow="0" w:lastRow="0" w:firstColumn="1" w:lastColumn="0" w:oddVBand="0" w:evenVBand="0" w:oddHBand="0" w:evenHBand="0" w:firstRowFirstColumn="0" w:firstRowLastColumn="0" w:lastRowFirstColumn="0" w:lastRowLastColumn="0"/>
            <w:tcW w:w="534" w:type="dxa"/>
            <w:shd w:val="clear" w:color="auto" w:fill="EDEDED" w:themeFill="accent3" w:themeFillTint="33"/>
            <w:vAlign w:val="center"/>
          </w:tcPr>
          <w:p w14:paraId="4A750B14" w14:textId="77777777" w:rsidR="00A644D8" w:rsidRDefault="00A644D8">
            <w:pPr>
              <w:pStyle w:val="TableParagraph"/>
              <w:numPr>
                <w:ilvl w:val="0"/>
                <w:numId w:val="5"/>
              </w:numPr>
              <w:jc w:val="center"/>
              <w:rPr>
                <w:rFonts w:ascii="Times New Roman" w:hAnsi="Times New Roman" w:cs="Times New Roman"/>
                <w:b w:val="0"/>
                <w:bCs w:val="0"/>
              </w:rPr>
            </w:pPr>
          </w:p>
        </w:tc>
        <w:tc>
          <w:tcPr>
            <w:tcW w:w="2835" w:type="dxa"/>
            <w:shd w:val="clear" w:color="auto" w:fill="EDEDED" w:themeFill="accent3" w:themeFillTint="33"/>
          </w:tcPr>
          <w:p w14:paraId="0736DFE7" w14:textId="77777777" w:rsidR="00A644D8" w:rsidRDefault="00000000">
            <w:pPr>
              <w:pStyle w:val="TableParagrap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Building orientation</w:t>
            </w:r>
          </w:p>
        </w:tc>
        <w:tc>
          <w:tcPr>
            <w:tcW w:w="1701" w:type="dxa"/>
            <w:shd w:val="clear" w:color="auto" w:fill="EDEDED" w:themeFill="accent3" w:themeFillTint="33"/>
          </w:tcPr>
          <w:p w14:paraId="5F384807" w14:textId="77777777" w:rsidR="00A644D8" w:rsidRDefault="00000000">
            <w:pPr>
              <w:pStyle w:val="TableParagrap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High</w:t>
            </w:r>
          </w:p>
        </w:tc>
        <w:tc>
          <w:tcPr>
            <w:tcW w:w="1842" w:type="dxa"/>
            <w:shd w:val="clear" w:color="auto" w:fill="EDEDED" w:themeFill="accent3" w:themeFillTint="33"/>
          </w:tcPr>
          <w:p w14:paraId="0D302DB5" w14:textId="77777777" w:rsidR="00A644D8" w:rsidRDefault="00000000">
            <w:pPr>
              <w:pStyle w:val="TableParagrap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Moderate</w:t>
            </w:r>
          </w:p>
        </w:tc>
        <w:tc>
          <w:tcPr>
            <w:tcW w:w="2330" w:type="dxa"/>
            <w:shd w:val="clear" w:color="auto" w:fill="EDEDED" w:themeFill="accent3" w:themeFillTint="33"/>
          </w:tcPr>
          <w:p w14:paraId="0C562138" w14:textId="77777777" w:rsidR="00A644D8" w:rsidRDefault="00000000">
            <w:pPr>
              <w:pStyle w:val="TableParagrap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Moderate</w:t>
            </w:r>
          </w:p>
        </w:tc>
      </w:tr>
      <w:tr w:rsidR="00A644D8" w14:paraId="6E7407C0" w14:textId="77777777" w:rsidTr="00A644D8">
        <w:trPr>
          <w:trHeight w:val="253"/>
        </w:trPr>
        <w:tc>
          <w:tcPr>
            <w:cnfStyle w:val="001000000000" w:firstRow="0" w:lastRow="0" w:firstColumn="1" w:lastColumn="0" w:oddVBand="0" w:evenVBand="0" w:oddHBand="0" w:evenHBand="0" w:firstRowFirstColumn="0" w:firstRowLastColumn="0" w:lastRowFirstColumn="0" w:lastRowLastColumn="0"/>
            <w:tcW w:w="534" w:type="dxa"/>
            <w:vAlign w:val="center"/>
          </w:tcPr>
          <w:p w14:paraId="78BB0844" w14:textId="77777777" w:rsidR="00A644D8" w:rsidRDefault="00A644D8">
            <w:pPr>
              <w:pStyle w:val="TableParagraph"/>
              <w:numPr>
                <w:ilvl w:val="0"/>
                <w:numId w:val="5"/>
              </w:numPr>
              <w:jc w:val="center"/>
              <w:rPr>
                <w:rFonts w:ascii="Times New Roman" w:hAnsi="Times New Roman" w:cs="Times New Roman"/>
                <w:b w:val="0"/>
                <w:bCs w:val="0"/>
              </w:rPr>
            </w:pPr>
          </w:p>
        </w:tc>
        <w:tc>
          <w:tcPr>
            <w:tcW w:w="2835" w:type="dxa"/>
            <w:shd w:val="clear" w:color="auto" w:fill="EDEDED" w:themeFill="accent3" w:themeFillTint="33"/>
          </w:tcPr>
          <w:p w14:paraId="3A3922F2" w14:textId="77777777" w:rsidR="00A644D8" w:rsidRDefault="00000000">
            <w:pPr>
              <w:pStyle w:val="TableParagrap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Clerestory</w:t>
            </w:r>
          </w:p>
        </w:tc>
        <w:tc>
          <w:tcPr>
            <w:tcW w:w="1701" w:type="dxa"/>
          </w:tcPr>
          <w:p w14:paraId="3CFE7CB3" w14:textId="77777777" w:rsidR="00A644D8" w:rsidRDefault="00000000">
            <w:pPr>
              <w:pStyle w:val="TableParagrap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Absent</w:t>
            </w:r>
          </w:p>
        </w:tc>
        <w:tc>
          <w:tcPr>
            <w:tcW w:w="1842" w:type="dxa"/>
            <w:shd w:val="clear" w:color="auto" w:fill="EDEDED" w:themeFill="accent3" w:themeFillTint="33"/>
          </w:tcPr>
          <w:p w14:paraId="0A02B041" w14:textId="77777777" w:rsidR="00A644D8" w:rsidRDefault="00000000">
            <w:pPr>
              <w:pStyle w:val="TableParagrap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Absent</w:t>
            </w:r>
          </w:p>
        </w:tc>
        <w:tc>
          <w:tcPr>
            <w:tcW w:w="2330" w:type="dxa"/>
          </w:tcPr>
          <w:p w14:paraId="24305D32" w14:textId="77777777" w:rsidR="00A644D8" w:rsidRDefault="00000000">
            <w:pPr>
              <w:pStyle w:val="TableParagrap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Absent</w:t>
            </w:r>
          </w:p>
        </w:tc>
      </w:tr>
      <w:tr w:rsidR="00A644D8" w14:paraId="451C44F0" w14:textId="77777777" w:rsidTr="00A644D8">
        <w:trPr>
          <w:trHeight w:val="253"/>
        </w:trPr>
        <w:tc>
          <w:tcPr>
            <w:cnfStyle w:val="001000000000" w:firstRow="0" w:lastRow="0" w:firstColumn="1" w:lastColumn="0" w:oddVBand="0" w:evenVBand="0" w:oddHBand="0" w:evenHBand="0" w:firstRowFirstColumn="0" w:firstRowLastColumn="0" w:lastRowFirstColumn="0" w:lastRowLastColumn="0"/>
            <w:tcW w:w="534" w:type="dxa"/>
            <w:shd w:val="clear" w:color="auto" w:fill="EDEDED" w:themeFill="accent3" w:themeFillTint="33"/>
            <w:vAlign w:val="center"/>
          </w:tcPr>
          <w:p w14:paraId="745A409D" w14:textId="77777777" w:rsidR="00A644D8" w:rsidRDefault="00A644D8">
            <w:pPr>
              <w:pStyle w:val="TableParagraph"/>
              <w:numPr>
                <w:ilvl w:val="0"/>
                <w:numId w:val="5"/>
              </w:numPr>
              <w:jc w:val="center"/>
              <w:rPr>
                <w:rFonts w:ascii="Times New Roman" w:hAnsi="Times New Roman" w:cs="Times New Roman"/>
                <w:b w:val="0"/>
                <w:bCs w:val="0"/>
              </w:rPr>
            </w:pPr>
          </w:p>
        </w:tc>
        <w:tc>
          <w:tcPr>
            <w:tcW w:w="2835" w:type="dxa"/>
            <w:shd w:val="clear" w:color="auto" w:fill="EDEDED" w:themeFill="accent3" w:themeFillTint="33"/>
          </w:tcPr>
          <w:p w14:paraId="456DCE95" w14:textId="77777777" w:rsidR="00A644D8" w:rsidRDefault="00000000">
            <w:pPr>
              <w:pStyle w:val="TableParagrap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LED lighting</w:t>
            </w:r>
          </w:p>
        </w:tc>
        <w:tc>
          <w:tcPr>
            <w:tcW w:w="1701" w:type="dxa"/>
            <w:shd w:val="clear" w:color="auto" w:fill="EDEDED" w:themeFill="accent3" w:themeFillTint="33"/>
          </w:tcPr>
          <w:p w14:paraId="209AF43C" w14:textId="77777777" w:rsidR="00A644D8" w:rsidRDefault="00000000">
            <w:pPr>
              <w:pStyle w:val="TableParagrap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Moderate</w:t>
            </w:r>
          </w:p>
        </w:tc>
        <w:tc>
          <w:tcPr>
            <w:tcW w:w="1842" w:type="dxa"/>
            <w:shd w:val="clear" w:color="auto" w:fill="EDEDED" w:themeFill="accent3" w:themeFillTint="33"/>
          </w:tcPr>
          <w:p w14:paraId="73986DEC" w14:textId="77777777" w:rsidR="00A644D8" w:rsidRDefault="00000000">
            <w:pPr>
              <w:pStyle w:val="TableParagrap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Moderate</w:t>
            </w:r>
          </w:p>
        </w:tc>
        <w:tc>
          <w:tcPr>
            <w:tcW w:w="2330" w:type="dxa"/>
            <w:shd w:val="clear" w:color="auto" w:fill="EDEDED" w:themeFill="accent3" w:themeFillTint="33"/>
          </w:tcPr>
          <w:p w14:paraId="39BDE58E" w14:textId="77777777" w:rsidR="00A644D8" w:rsidRDefault="00000000">
            <w:pPr>
              <w:pStyle w:val="TableParagrap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High</w:t>
            </w:r>
          </w:p>
        </w:tc>
      </w:tr>
      <w:tr w:rsidR="00A644D8" w14:paraId="12998917" w14:textId="77777777" w:rsidTr="00A644D8">
        <w:trPr>
          <w:trHeight w:val="251"/>
        </w:trPr>
        <w:tc>
          <w:tcPr>
            <w:cnfStyle w:val="001000000000" w:firstRow="0" w:lastRow="0" w:firstColumn="1" w:lastColumn="0" w:oddVBand="0" w:evenVBand="0" w:oddHBand="0" w:evenHBand="0" w:firstRowFirstColumn="0" w:firstRowLastColumn="0" w:lastRowFirstColumn="0" w:lastRowLastColumn="0"/>
            <w:tcW w:w="534" w:type="dxa"/>
            <w:vAlign w:val="center"/>
          </w:tcPr>
          <w:p w14:paraId="688D888C" w14:textId="77777777" w:rsidR="00A644D8" w:rsidRDefault="00A644D8">
            <w:pPr>
              <w:pStyle w:val="TableParagraph"/>
              <w:numPr>
                <w:ilvl w:val="0"/>
                <w:numId w:val="5"/>
              </w:numPr>
              <w:jc w:val="center"/>
              <w:rPr>
                <w:rFonts w:ascii="Times New Roman" w:hAnsi="Times New Roman" w:cs="Times New Roman"/>
                <w:b w:val="0"/>
                <w:bCs w:val="0"/>
              </w:rPr>
            </w:pPr>
          </w:p>
        </w:tc>
        <w:tc>
          <w:tcPr>
            <w:tcW w:w="2835" w:type="dxa"/>
            <w:shd w:val="clear" w:color="auto" w:fill="EDEDED" w:themeFill="accent3" w:themeFillTint="33"/>
          </w:tcPr>
          <w:p w14:paraId="18BC4924" w14:textId="77777777" w:rsidR="00A644D8" w:rsidRDefault="00000000">
            <w:pPr>
              <w:pStyle w:val="TableParagrap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Motion sensor</w:t>
            </w:r>
          </w:p>
        </w:tc>
        <w:tc>
          <w:tcPr>
            <w:tcW w:w="1701" w:type="dxa"/>
          </w:tcPr>
          <w:p w14:paraId="0A4E9B3C" w14:textId="77777777" w:rsidR="00A644D8" w:rsidRDefault="00000000">
            <w:pPr>
              <w:pStyle w:val="TableParagrap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Absent</w:t>
            </w:r>
          </w:p>
        </w:tc>
        <w:tc>
          <w:tcPr>
            <w:tcW w:w="1842" w:type="dxa"/>
            <w:shd w:val="clear" w:color="auto" w:fill="EDEDED" w:themeFill="accent3" w:themeFillTint="33"/>
          </w:tcPr>
          <w:p w14:paraId="04A60645" w14:textId="77777777" w:rsidR="00A644D8" w:rsidRDefault="00000000">
            <w:pPr>
              <w:pStyle w:val="TableParagrap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Absent</w:t>
            </w:r>
          </w:p>
        </w:tc>
        <w:tc>
          <w:tcPr>
            <w:tcW w:w="2330" w:type="dxa"/>
          </w:tcPr>
          <w:p w14:paraId="704B44C1" w14:textId="77777777" w:rsidR="00A644D8" w:rsidRDefault="00000000">
            <w:pPr>
              <w:pStyle w:val="TableParagrap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Absent</w:t>
            </w:r>
          </w:p>
        </w:tc>
      </w:tr>
      <w:tr w:rsidR="00A644D8" w14:paraId="6270132E" w14:textId="77777777" w:rsidTr="00A644D8">
        <w:trPr>
          <w:trHeight w:val="253"/>
        </w:trPr>
        <w:tc>
          <w:tcPr>
            <w:cnfStyle w:val="001000000000" w:firstRow="0" w:lastRow="0" w:firstColumn="1" w:lastColumn="0" w:oddVBand="0" w:evenVBand="0" w:oddHBand="0" w:evenHBand="0" w:firstRowFirstColumn="0" w:firstRowLastColumn="0" w:lastRowFirstColumn="0" w:lastRowLastColumn="0"/>
            <w:tcW w:w="534" w:type="dxa"/>
            <w:tcBorders>
              <w:top w:val="double" w:sz="4" w:space="0" w:color="A5A5A5" w:themeColor="accent3"/>
            </w:tcBorders>
            <w:vAlign w:val="center"/>
          </w:tcPr>
          <w:p w14:paraId="272CFD44" w14:textId="77777777" w:rsidR="00A644D8" w:rsidRDefault="00A644D8">
            <w:pPr>
              <w:pStyle w:val="TableParagraph"/>
              <w:numPr>
                <w:ilvl w:val="0"/>
                <w:numId w:val="5"/>
              </w:numPr>
              <w:jc w:val="center"/>
              <w:rPr>
                <w:rFonts w:ascii="Times New Roman" w:hAnsi="Times New Roman" w:cs="Times New Roman"/>
                <w:b w:val="0"/>
                <w:bCs w:val="0"/>
              </w:rPr>
            </w:pPr>
          </w:p>
        </w:tc>
        <w:tc>
          <w:tcPr>
            <w:tcW w:w="2835" w:type="dxa"/>
            <w:tcBorders>
              <w:top w:val="double" w:sz="4" w:space="0" w:color="A5A5A5" w:themeColor="accent3"/>
            </w:tcBorders>
            <w:shd w:val="clear" w:color="auto" w:fill="EDEDED" w:themeFill="accent3" w:themeFillTint="33"/>
          </w:tcPr>
          <w:p w14:paraId="03FCDF3E" w14:textId="77777777" w:rsidR="00A644D8" w:rsidRDefault="00000000">
            <w:pPr>
              <w:pStyle w:val="TableParagrap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Renewable energy</w:t>
            </w:r>
          </w:p>
        </w:tc>
        <w:tc>
          <w:tcPr>
            <w:tcW w:w="1701" w:type="dxa"/>
            <w:tcBorders>
              <w:top w:val="double" w:sz="4" w:space="0" w:color="A5A5A5" w:themeColor="accent3"/>
            </w:tcBorders>
          </w:tcPr>
          <w:p w14:paraId="170CF038" w14:textId="77777777" w:rsidR="00A644D8" w:rsidRDefault="00000000">
            <w:pPr>
              <w:pStyle w:val="TableParagrap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Absent</w:t>
            </w:r>
          </w:p>
        </w:tc>
        <w:tc>
          <w:tcPr>
            <w:tcW w:w="1842" w:type="dxa"/>
            <w:tcBorders>
              <w:top w:val="double" w:sz="4" w:space="0" w:color="A5A5A5" w:themeColor="accent3"/>
            </w:tcBorders>
            <w:shd w:val="clear" w:color="auto" w:fill="EDEDED" w:themeFill="accent3" w:themeFillTint="33"/>
          </w:tcPr>
          <w:p w14:paraId="66684BA4" w14:textId="77777777" w:rsidR="00A644D8" w:rsidRDefault="00000000">
            <w:pPr>
              <w:pStyle w:val="TableParagrap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Absent</w:t>
            </w:r>
          </w:p>
        </w:tc>
        <w:tc>
          <w:tcPr>
            <w:tcW w:w="2330" w:type="dxa"/>
            <w:tcBorders>
              <w:top w:val="double" w:sz="4" w:space="0" w:color="A5A5A5" w:themeColor="accent3"/>
            </w:tcBorders>
          </w:tcPr>
          <w:p w14:paraId="4A2AAE5D" w14:textId="77777777" w:rsidR="00A644D8" w:rsidRDefault="00000000">
            <w:pPr>
              <w:pStyle w:val="TableParagrap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Absent</w:t>
            </w:r>
          </w:p>
        </w:tc>
      </w:tr>
    </w:tbl>
    <w:p w14:paraId="009CAD0C" w14:textId="77777777" w:rsidR="00A644D8" w:rsidRDefault="00A644D8">
      <w:pPr>
        <w:spacing w:line="240" w:lineRule="auto"/>
        <w:jc w:val="both"/>
        <w:rPr>
          <w:rFonts w:ascii="Times New Roman" w:hAnsi="Times New Roman" w:cs="Times New Roman"/>
          <w:lang w:val="en-US"/>
        </w:rPr>
      </w:pPr>
    </w:p>
    <w:p w14:paraId="15A756F7" w14:textId="77777777" w:rsidR="00A644D8" w:rsidRDefault="00000000">
      <w:pPr>
        <w:spacing w:line="240" w:lineRule="auto"/>
        <w:jc w:val="both"/>
        <w:rPr>
          <w:rFonts w:ascii="Times New Roman" w:hAnsi="Times New Roman" w:cs="Times New Roman"/>
          <w:lang w:val="en-US"/>
        </w:rPr>
      </w:pPr>
      <w:r>
        <w:rPr>
          <w:rFonts w:ascii="Times New Roman" w:hAnsi="Times New Roman" w:cs="Times New Roman"/>
          <w:lang w:val="en-US"/>
        </w:rPr>
        <w:t>Ikeja Youth Centre and FCT Ultra-Modern Youth Support Centre implemented more of the energy efficiency strategies in comparison to that of the sustainable site strategies as presented in Table 3 and 4. Whereas, The Calabar International Convention Centre moderately applied majority of the sustainable site strategies and highly integrated a few of the energy efficiency strategies.  From Tables 3 and 4, it shows that the Calabar International Convention Centre adopted more of the strategies when compared with the level of adoption of these strategies by the other centres.</w:t>
      </w:r>
    </w:p>
    <w:p w14:paraId="4FBFFEA6" w14:textId="77777777" w:rsidR="00A644D8" w:rsidRDefault="00A644D8">
      <w:pPr>
        <w:spacing w:line="240" w:lineRule="auto"/>
        <w:jc w:val="both"/>
        <w:rPr>
          <w:rFonts w:ascii="Times New Roman" w:hAnsi="Times New Roman" w:cs="Times New Roman"/>
          <w:iCs/>
          <w:lang w:val="en-US"/>
        </w:rPr>
        <w:sectPr w:rsidR="00A644D8">
          <w:pgSz w:w="11906" w:h="16838"/>
          <w:pgMar w:top="1440" w:right="1440" w:bottom="1440" w:left="1440" w:header="708" w:footer="708" w:gutter="0"/>
          <w:cols w:space="708"/>
          <w:docGrid w:linePitch="360"/>
        </w:sectPr>
      </w:pPr>
    </w:p>
    <w:p w14:paraId="1398FF23" w14:textId="77777777" w:rsidR="00A644D8" w:rsidRDefault="00A644D8">
      <w:pPr>
        <w:spacing w:line="240" w:lineRule="auto"/>
        <w:jc w:val="center"/>
        <w:rPr>
          <w:rFonts w:ascii="Times New Roman" w:hAnsi="Times New Roman" w:cs="Times New Roman"/>
        </w:rPr>
      </w:pPr>
    </w:p>
    <w:p w14:paraId="6F808ED2" w14:textId="77777777" w:rsidR="00A644D8" w:rsidRDefault="00A644D8">
      <w:pPr>
        <w:spacing w:line="240" w:lineRule="auto"/>
        <w:jc w:val="center"/>
        <w:rPr>
          <w:rFonts w:ascii="Times New Roman" w:hAnsi="Times New Roman" w:cs="Times New Roman"/>
        </w:rPr>
      </w:pPr>
    </w:p>
    <w:p w14:paraId="31F3F577" w14:textId="77777777" w:rsidR="00A644D8" w:rsidRDefault="00A644D8">
      <w:pPr>
        <w:spacing w:line="240" w:lineRule="auto"/>
        <w:jc w:val="center"/>
        <w:rPr>
          <w:rFonts w:ascii="Times New Roman" w:hAnsi="Times New Roman" w:cs="Times New Roman"/>
          <w:b/>
          <w:bCs/>
          <w:iCs/>
          <w:lang w:val="en-US"/>
        </w:rPr>
        <w:sectPr w:rsidR="00A644D8">
          <w:type w:val="continuous"/>
          <w:pgSz w:w="11906" w:h="16838"/>
          <w:pgMar w:top="1440" w:right="1440" w:bottom="1440" w:left="1440" w:header="708" w:footer="708" w:gutter="0"/>
          <w:cols w:num="2" w:space="708"/>
          <w:docGrid w:linePitch="360"/>
        </w:sectPr>
      </w:pPr>
    </w:p>
    <w:p w14:paraId="771CB4B6" w14:textId="77777777" w:rsidR="00A644D8" w:rsidRDefault="00000000">
      <w:pPr>
        <w:spacing w:after="0" w:line="240" w:lineRule="auto"/>
        <w:jc w:val="center"/>
        <w:rPr>
          <w:rFonts w:ascii="Times New Roman" w:hAnsi="Times New Roman" w:cs="Times New Roman"/>
          <w:iCs/>
          <w:lang w:val="en-US"/>
        </w:rPr>
      </w:pPr>
      <w:r>
        <w:rPr>
          <w:rFonts w:ascii="Times New Roman" w:hAnsi="Times New Roman" w:cs="Times New Roman"/>
          <w:iCs/>
          <w:noProof/>
          <w:lang w:val="en-US"/>
        </w:rPr>
        <w:drawing>
          <wp:anchor distT="0" distB="0" distL="114300" distR="114300" simplePos="0" relativeHeight="251659264" behindDoc="0" locked="0" layoutInCell="1" allowOverlap="1" wp14:anchorId="45BD438B" wp14:editId="08D506D6">
            <wp:simplePos x="0" y="0"/>
            <wp:positionH relativeFrom="column">
              <wp:posOffset>996950</wp:posOffset>
            </wp:positionH>
            <wp:positionV relativeFrom="paragraph">
              <wp:posOffset>10160</wp:posOffset>
            </wp:positionV>
            <wp:extent cx="3509645" cy="1502410"/>
            <wp:effectExtent l="0" t="0" r="14605" b="2540"/>
            <wp:wrapSquare wrapText="bothSides"/>
            <wp:docPr id="388626997"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8626997" name="Picture 1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3509645" cy="1502410"/>
                    </a:xfrm>
                    <a:prstGeom prst="rect">
                      <a:avLst/>
                    </a:prstGeom>
                    <a:noFill/>
                    <a:ln>
                      <a:noFill/>
                    </a:ln>
                  </pic:spPr>
                </pic:pic>
              </a:graphicData>
            </a:graphic>
          </wp:anchor>
        </w:drawing>
      </w:r>
      <w:r>
        <w:rPr>
          <w:rFonts w:ascii="Times New Roman" w:hAnsi="Times New Roman" w:cs="Times New Roman"/>
          <w:b/>
          <w:bCs/>
          <w:iCs/>
          <w:lang w:val="en-US"/>
        </w:rPr>
        <w:br w:type="textWrapping" w:clear="all"/>
      </w:r>
      <w:r>
        <w:rPr>
          <w:rFonts w:ascii="Times New Roman" w:hAnsi="Times New Roman" w:cs="Times New Roman"/>
          <w:b/>
          <w:bCs/>
          <w:iCs/>
          <w:lang w:val="en-US"/>
        </w:rPr>
        <w:lastRenderedPageBreak/>
        <w:t xml:space="preserve">Plate 1: </w:t>
      </w:r>
      <w:r>
        <w:rPr>
          <w:rFonts w:ascii="Times New Roman" w:hAnsi="Times New Roman" w:cs="Times New Roman"/>
          <w:iCs/>
          <w:lang w:val="en-US"/>
        </w:rPr>
        <w:t>Building envelope, window arrangement</w:t>
      </w:r>
    </w:p>
    <w:p w14:paraId="234DAC32" w14:textId="77777777" w:rsidR="00A644D8" w:rsidRDefault="00000000">
      <w:pPr>
        <w:spacing w:after="0" w:line="240" w:lineRule="auto"/>
        <w:jc w:val="center"/>
        <w:rPr>
          <w:rFonts w:ascii="Times New Roman" w:hAnsi="Times New Roman" w:cs="Times New Roman"/>
          <w:iCs/>
          <w:lang w:val="en-US"/>
        </w:rPr>
      </w:pPr>
      <w:r>
        <w:rPr>
          <w:rFonts w:ascii="Times New Roman" w:hAnsi="Times New Roman" w:cs="Times New Roman"/>
          <w:iCs/>
          <w:lang w:val="en-US"/>
        </w:rPr>
        <w:t>and glazing type of Ikeja Youth Centre</w:t>
      </w:r>
    </w:p>
    <w:p w14:paraId="75D3BA3A" w14:textId="77777777" w:rsidR="00A644D8" w:rsidRDefault="00A644D8">
      <w:pPr>
        <w:spacing w:line="240" w:lineRule="auto"/>
        <w:jc w:val="center"/>
        <w:rPr>
          <w:rFonts w:ascii="Times New Roman" w:hAnsi="Times New Roman" w:cs="Times New Roman"/>
          <w:iCs/>
          <w:lang w:val="en-US"/>
        </w:rPr>
      </w:pPr>
    </w:p>
    <w:p w14:paraId="569C2886" w14:textId="77777777" w:rsidR="00A644D8" w:rsidRDefault="00000000">
      <w:pPr>
        <w:spacing w:line="240" w:lineRule="auto"/>
        <w:jc w:val="center"/>
        <w:rPr>
          <w:rFonts w:ascii="Times New Roman" w:hAnsi="Times New Roman" w:cs="Times New Roman"/>
          <w:iCs/>
          <w:lang w:val="en-US"/>
        </w:rPr>
      </w:pPr>
      <w:r>
        <w:rPr>
          <w:rFonts w:ascii="Times New Roman" w:hAnsi="Times New Roman" w:cs="Times New Roman"/>
          <w:noProof/>
          <w:lang w:val="en-US"/>
        </w:rPr>
        <w:drawing>
          <wp:inline distT="0" distB="0" distL="0" distR="0" wp14:anchorId="6F740353" wp14:editId="50B08136">
            <wp:extent cx="3660775" cy="1884680"/>
            <wp:effectExtent l="0" t="0" r="15875" b="1270"/>
            <wp:docPr id="2058335478" name="Picture 1" descr="A picture containing outdoor, sky, plant, 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8335478" name="Picture 1" descr="A picture containing outdoor, sky, plant, ground&#10;&#10;Description automatically generated"/>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3660775" cy="1884680"/>
                    </a:xfrm>
                    <a:prstGeom prst="rect">
                      <a:avLst/>
                    </a:prstGeom>
                    <a:noFill/>
                    <a:ln>
                      <a:noFill/>
                    </a:ln>
                  </pic:spPr>
                </pic:pic>
              </a:graphicData>
            </a:graphic>
          </wp:inline>
        </w:drawing>
      </w:r>
    </w:p>
    <w:p w14:paraId="3FCB746C" w14:textId="77777777" w:rsidR="00A644D8" w:rsidRDefault="00000000">
      <w:pPr>
        <w:spacing w:line="240" w:lineRule="auto"/>
        <w:jc w:val="center"/>
        <w:rPr>
          <w:rFonts w:ascii="Times New Roman" w:hAnsi="Times New Roman" w:cs="Times New Roman"/>
          <w:iCs/>
          <w:lang w:val="en-US"/>
        </w:rPr>
      </w:pPr>
      <w:r>
        <w:rPr>
          <w:rFonts w:ascii="Times New Roman" w:hAnsi="Times New Roman" w:cs="Times New Roman"/>
          <w:b/>
          <w:bCs/>
          <w:iCs/>
          <w:lang w:val="en-US"/>
        </w:rPr>
        <w:t xml:space="preserve">Plate 2: </w:t>
      </w:r>
      <w:r>
        <w:rPr>
          <w:rFonts w:ascii="Times New Roman" w:hAnsi="Times New Roman" w:cs="Times New Roman"/>
          <w:iCs/>
          <w:lang w:val="en-US"/>
        </w:rPr>
        <w:t>Landscape of Ikeja Youth Centre</w:t>
      </w:r>
    </w:p>
    <w:p w14:paraId="7B3E219B" w14:textId="77777777" w:rsidR="00A644D8" w:rsidRDefault="00000000">
      <w:pPr>
        <w:spacing w:line="240" w:lineRule="auto"/>
        <w:jc w:val="both"/>
        <w:rPr>
          <w:rFonts w:ascii="Times New Roman" w:hAnsi="Times New Roman" w:cs="Times New Roman"/>
          <w:iCs/>
          <w:lang w:val="en-US"/>
        </w:rPr>
      </w:pPr>
      <w:r>
        <w:rPr>
          <w:rFonts w:ascii="Times New Roman" w:hAnsi="Times New Roman" w:cs="Times New Roman"/>
          <w:iCs/>
          <w:lang w:val="en-US"/>
        </w:rPr>
        <w:t>Plate 1 indicates that Ikeja Youth Centre utilized high performance building envelope thereby utilizing daylight and enhancing natural ventilation. It was observed that the glazing of the window reduces solar glare. both natural and artificial lighting was adopted. Plate 2 shows the Landscape and its features that are not well optimized but averagely effective.</w:t>
      </w:r>
    </w:p>
    <w:p w14:paraId="199C375D" w14:textId="77777777" w:rsidR="00A644D8" w:rsidRDefault="00A644D8">
      <w:pPr>
        <w:spacing w:line="240" w:lineRule="auto"/>
        <w:jc w:val="center"/>
        <w:rPr>
          <w:rFonts w:ascii="Times New Roman" w:hAnsi="Times New Roman" w:cs="Times New Roman"/>
          <w:iCs/>
          <w:lang w:val="en-US"/>
        </w:rPr>
      </w:pPr>
    </w:p>
    <w:p w14:paraId="1904AE99" w14:textId="77777777" w:rsidR="00A644D8" w:rsidRDefault="00000000">
      <w:pPr>
        <w:spacing w:after="0" w:line="240" w:lineRule="auto"/>
        <w:jc w:val="center"/>
        <w:rPr>
          <w:rFonts w:ascii="Times New Roman" w:hAnsi="Times New Roman" w:cs="Times New Roman"/>
          <w:iCs/>
          <w:lang w:val="en-US"/>
        </w:rPr>
      </w:pPr>
      <w:r>
        <w:rPr>
          <w:rFonts w:ascii="Times New Roman" w:hAnsi="Times New Roman" w:cs="Times New Roman"/>
          <w:iCs/>
          <w:noProof/>
          <w:lang w:val="en-US"/>
        </w:rPr>
        <w:drawing>
          <wp:inline distT="0" distB="0" distL="0" distR="0" wp14:anchorId="1E59CA6A" wp14:editId="75B6F728">
            <wp:extent cx="3714115" cy="1891030"/>
            <wp:effectExtent l="0" t="0" r="635" b="13970"/>
            <wp:docPr id="32883828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8838289"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3714115" cy="1891030"/>
                    </a:xfrm>
                    <a:prstGeom prst="rect">
                      <a:avLst/>
                    </a:prstGeom>
                    <a:noFill/>
                    <a:ln>
                      <a:noFill/>
                    </a:ln>
                  </pic:spPr>
                </pic:pic>
              </a:graphicData>
            </a:graphic>
          </wp:inline>
        </w:drawing>
      </w:r>
    </w:p>
    <w:p w14:paraId="63AAE5D1" w14:textId="77777777" w:rsidR="00A644D8" w:rsidRDefault="00000000">
      <w:pPr>
        <w:spacing w:after="0" w:line="240" w:lineRule="auto"/>
        <w:jc w:val="center"/>
        <w:rPr>
          <w:rFonts w:ascii="Times New Roman" w:hAnsi="Times New Roman" w:cs="Times New Roman"/>
          <w:iCs/>
          <w:lang w:val="en-US"/>
        </w:rPr>
      </w:pPr>
      <w:r>
        <w:rPr>
          <w:rFonts w:ascii="Times New Roman" w:hAnsi="Times New Roman" w:cs="Times New Roman"/>
          <w:iCs/>
          <w:lang w:val="en-US"/>
        </w:rPr>
        <w:t>Plate 3: Landscape of FCT Ultra-Modern Youth Support Centre</w:t>
      </w:r>
    </w:p>
    <w:p w14:paraId="2E3F72A5" w14:textId="77777777" w:rsidR="00A644D8" w:rsidRDefault="00A644D8">
      <w:pPr>
        <w:spacing w:line="240" w:lineRule="auto"/>
        <w:jc w:val="center"/>
        <w:rPr>
          <w:rFonts w:ascii="Times New Roman" w:hAnsi="Times New Roman" w:cs="Times New Roman"/>
          <w:iCs/>
          <w:lang w:val="en-US"/>
        </w:rPr>
      </w:pPr>
    </w:p>
    <w:p w14:paraId="531DF71C" w14:textId="77777777" w:rsidR="00A644D8" w:rsidRDefault="00000000">
      <w:pPr>
        <w:spacing w:line="240" w:lineRule="auto"/>
        <w:jc w:val="center"/>
        <w:rPr>
          <w:rFonts w:ascii="Times New Roman" w:hAnsi="Times New Roman" w:cs="Times New Roman"/>
          <w:iCs/>
          <w:lang w:val="en-US"/>
        </w:rPr>
      </w:pPr>
      <w:r>
        <w:rPr>
          <w:rFonts w:ascii="Times New Roman" w:hAnsi="Times New Roman" w:cs="Times New Roman"/>
          <w:iCs/>
          <w:noProof/>
          <w:lang w:val="en-US"/>
        </w:rPr>
        <w:drawing>
          <wp:inline distT="0" distB="0" distL="0" distR="0" wp14:anchorId="0734B1A5" wp14:editId="0B8FC104">
            <wp:extent cx="3725545" cy="1948815"/>
            <wp:effectExtent l="0" t="0" r="8255" b="13335"/>
            <wp:docPr id="416709039" name="Picture 10" descr="A picture containing outdoor, building, ground, sk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6709039" name="Picture 10" descr="A picture containing outdoor, building, ground, sky&#10;&#10;Description automatically generated"/>
                    <pic:cNvPicPr>
                      <a:picLocks noChangeAspect="1" noChangeArrowheads="1"/>
                    </pic:cNvPicPr>
                  </pic:nvPicPr>
                  <pic:blipFill>
                    <a:blip r:embed="rId14" cstate="print">
                      <a:extLst>
                        <a:ext uri="{28A0092B-C50C-407E-A947-70E740481C1C}">
                          <a14:useLocalDpi xmlns:a14="http://schemas.microsoft.com/office/drawing/2010/main" val="0"/>
                        </a:ext>
                      </a:extLst>
                    </a:blip>
                    <a:srcRect l="10692" r="5844"/>
                    <a:stretch>
                      <a:fillRect/>
                    </a:stretch>
                  </pic:blipFill>
                  <pic:spPr>
                    <a:xfrm>
                      <a:off x="0" y="0"/>
                      <a:ext cx="3725545" cy="1974010"/>
                    </a:xfrm>
                    <a:prstGeom prst="rect">
                      <a:avLst/>
                    </a:prstGeom>
                    <a:noFill/>
                    <a:ln>
                      <a:noFill/>
                    </a:ln>
                  </pic:spPr>
                </pic:pic>
              </a:graphicData>
            </a:graphic>
          </wp:inline>
        </w:drawing>
      </w:r>
    </w:p>
    <w:p w14:paraId="3F9DDED7" w14:textId="77777777" w:rsidR="00A644D8" w:rsidRDefault="00000000">
      <w:pPr>
        <w:spacing w:line="240" w:lineRule="auto"/>
        <w:jc w:val="center"/>
        <w:rPr>
          <w:rFonts w:ascii="Times New Roman" w:hAnsi="Times New Roman" w:cs="Times New Roman"/>
          <w:iCs/>
          <w:lang w:val="en-US"/>
        </w:rPr>
      </w:pPr>
      <w:r>
        <w:rPr>
          <w:rFonts w:ascii="Times New Roman" w:hAnsi="Times New Roman" w:cs="Times New Roman"/>
          <w:b/>
          <w:bCs/>
          <w:iCs/>
          <w:lang w:val="en-US"/>
        </w:rPr>
        <w:t xml:space="preserve">Plate 4: </w:t>
      </w:r>
      <w:r>
        <w:rPr>
          <w:rFonts w:ascii="Times New Roman" w:hAnsi="Times New Roman" w:cs="Times New Roman"/>
          <w:iCs/>
          <w:lang w:val="en-US"/>
        </w:rPr>
        <w:t>Building envelope, window arrangement of FCT Ultra-Modern Youth Support Centre</w:t>
      </w:r>
    </w:p>
    <w:p w14:paraId="267AA6A3" w14:textId="77777777" w:rsidR="00A644D8" w:rsidRDefault="00000000">
      <w:pPr>
        <w:spacing w:line="240" w:lineRule="auto"/>
        <w:jc w:val="both"/>
        <w:rPr>
          <w:rFonts w:ascii="Times New Roman" w:hAnsi="Times New Roman" w:cs="Times New Roman"/>
          <w:iCs/>
          <w:lang w:val="en-US"/>
        </w:rPr>
      </w:pPr>
      <w:r>
        <w:rPr>
          <w:rFonts w:ascii="Times New Roman" w:hAnsi="Times New Roman" w:cs="Times New Roman"/>
          <w:iCs/>
          <w:lang w:val="en-US"/>
        </w:rPr>
        <w:t xml:space="preserve">Plate 3 and Plate 4, portrays the FCT Ultra-Modern Youth Support Centre that demonstrate a more moderate approach while still valuing the significance of building envelope and window shading. The </w:t>
      </w:r>
      <w:r>
        <w:rPr>
          <w:rFonts w:ascii="Times New Roman" w:hAnsi="Times New Roman" w:cs="Times New Roman"/>
          <w:iCs/>
          <w:lang w:val="en-US"/>
        </w:rPr>
        <w:lastRenderedPageBreak/>
        <w:t>design showcases a prudent utilization of building envelope strategies, striking a balance between functional efficiency and thermal comfort.</w:t>
      </w:r>
    </w:p>
    <w:p w14:paraId="4A578E76" w14:textId="77777777" w:rsidR="00A644D8" w:rsidRDefault="00A644D8">
      <w:pPr>
        <w:spacing w:line="240" w:lineRule="auto"/>
        <w:jc w:val="center"/>
        <w:rPr>
          <w:rFonts w:ascii="Times New Roman" w:hAnsi="Times New Roman" w:cs="Times New Roman"/>
          <w:iCs/>
          <w:lang w:val="en-US"/>
        </w:rPr>
      </w:pPr>
    </w:p>
    <w:p w14:paraId="1C011724" w14:textId="77777777" w:rsidR="00A644D8" w:rsidRDefault="00000000">
      <w:pPr>
        <w:spacing w:line="240" w:lineRule="auto"/>
        <w:jc w:val="center"/>
        <w:rPr>
          <w:rFonts w:ascii="Times New Roman" w:hAnsi="Times New Roman" w:cs="Times New Roman"/>
          <w:iCs/>
          <w:lang w:val="en-US"/>
        </w:rPr>
      </w:pPr>
      <w:r>
        <w:rPr>
          <w:rFonts w:ascii="Times New Roman" w:hAnsi="Times New Roman" w:cs="Times New Roman"/>
          <w:iCs/>
          <w:noProof/>
          <w:lang w:val="en-US"/>
        </w:rPr>
        <w:drawing>
          <wp:inline distT="0" distB="0" distL="0" distR="0" wp14:anchorId="24EC612A" wp14:editId="1B585044">
            <wp:extent cx="3857625" cy="2008505"/>
            <wp:effectExtent l="0" t="0" r="0" b="0"/>
            <wp:docPr id="2581437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814375" name="Picture 3"/>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3903425" cy="2032911"/>
                    </a:xfrm>
                    <a:prstGeom prst="rect">
                      <a:avLst/>
                    </a:prstGeom>
                    <a:noFill/>
                    <a:ln>
                      <a:noFill/>
                    </a:ln>
                  </pic:spPr>
                </pic:pic>
              </a:graphicData>
            </a:graphic>
          </wp:inline>
        </w:drawing>
      </w:r>
    </w:p>
    <w:p w14:paraId="70E1847C" w14:textId="77777777" w:rsidR="00A644D8" w:rsidRDefault="00000000">
      <w:pPr>
        <w:spacing w:after="0" w:line="240" w:lineRule="auto"/>
        <w:jc w:val="center"/>
        <w:rPr>
          <w:rFonts w:ascii="Times New Roman" w:hAnsi="Times New Roman" w:cs="Times New Roman"/>
          <w:iCs/>
          <w:lang w:val="en-US"/>
        </w:rPr>
      </w:pPr>
      <w:r>
        <w:rPr>
          <w:rFonts w:ascii="Times New Roman" w:hAnsi="Times New Roman" w:cs="Times New Roman"/>
          <w:b/>
          <w:bCs/>
          <w:iCs/>
          <w:lang w:val="en-US"/>
        </w:rPr>
        <w:t>Plate 5:</w:t>
      </w:r>
      <w:r>
        <w:rPr>
          <w:rFonts w:ascii="Times New Roman" w:hAnsi="Times New Roman" w:cs="Times New Roman"/>
          <w:iCs/>
          <w:lang w:val="en-US"/>
        </w:rPr>
        <w:t xml:space="preserve"> Building envelope and overhang to the curtain wall system of Calabar International Convention Centre</w:t>
      </w:r>
    </w:p>
    <w:p w14:paraId="16A48308" w14:textId="77777777" w:rsidR="00A644D8" w:rsidRDefault="00A644D8">
      <w:pPr>
        <w:spacing w:after="0" w:line="240" w:lineRule="auto"/>
        <w:jc w:val="center"/>
        <w:rPr>
          <w:rFonts w:ascii="Times New Roman" w:hAnsi="Times New Roman" w:cs="Times New Roman"/>
          <w:iCs/>
          <w:lang w:val="en-US"/>
        </w:rPr>
      </w:pPr>
    </w:p>
    <w:p w14:paraId="404398A8" w14:textId="77777777" w:rsidR="00A644D8" w:rsidRDefault="00A644D8">
      <w:pPr>
        <w:spacing w:after="0" w:line="240" w:lineRule="auto"/>
        <w:jc w:val="center"/>
        <w:rPr>
          <w:rFonts w:ascii="Times New Roman" w:hAnsi="Times New Roman" w:cs="Times New Roman"/>
          <w:iCs/>
          <w:lang w:val="en-US"/>
        </w:rPr>
      </w:pPr>
    </w:p>
    <w:p w14:paraId="7C443B32" w14:textId="77777777" w:rsidR="00A644D8" w:rsidRDefault="00000000">
      <w:pPr>
        <w:spacing w:line="240" w:lineRule="auto"/>
        <w:jc w:val="center"/>
        <w:rPr>
          <w:rFonts w:ascii="Times New Roman" w:hAnsi="Times New Roman" w:cs="Times New Roman"/>
          <w:iCs/>
          <w:lang w:val="en-US"/>
        </w:rPr>
      </w:pPr>
      <w:r>
        <w:rPr>
          <w:rFonts w:ascii="Times New Roman" w:hAnsi="Times New Roman" w:cs="Times New Roman"/>
          <w:iCs/>
          <w:noProof/>
          <w:lang w:val="en-US"/>
        </w:rPr>
        <w:drawing>
          <wp:inline distT="0" distB="0" distL="0" distR="0" wp14:anchorId="260C0989" wp14:editId="36D69587">
            <wp:extent cx="2726690" cy="2557145"/>
            <wp:effectExtent l="0" t="0" r="0" b="0"/>
            <wp:docPr id="143806065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8060653" name="Picture 5"/>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2768205" cy="2595936"/>
                    </a:xfrm>
                    <a:prstGeom prst="rect">
                      <a:avLst/>
                    </a:prstGeom>
                    <a:noFill/>
                    <a:ln>
                      <a:noFill/>
                    </a:ln>
                  </pic:spPr>
                </pic:pic>
              </a:graphicData>
            </a:graphic>
          </wp:inline>
        </w:drawing>
      </w:r>
    </w:p>
    <w:p w14:paraId="609FE905" w14:textId="77777777" w:rsidR="00A644D8" w:rsidRDefault="00000000">
      <w:pPr>
        <w:spacing w:after="0" w:line="240" w:lineRule="auto"/>
        <w:jc w:val="center"/>
        <w:rPr>
          <w:rFonts w:ascii="Times New Roman" w:hAnsi="Times New Roman" w:cs="Times New Roman"/>
          <w:iCs/>
          <w:lang w:val="en-US"/>
        </w:rPr>
      </w:pPr>
      <w:r>
        <w:rPr>
          <w:rFonts w:ascii="Times New Roman" w:hAnsi="Times New Roman" w:cs="Times New Roman"/>
          <w:b/>
          <w:bCs/>
          <w:iCs/>
          <w:lang w:val="en-US"/>
        </w:rPr>
        <w:t>Plate 6:</w:t>
      </w:r>
      <w:r>
        <w:rPr>
          <w:rFonts w:ascii="Times New Roman" w:hAnsi="Times New Roman" w:cs="Times New Roman"/>
          <w:iCs/>
          <w:lang w:val="en-US"/>
        </w:rPr>
        <w:t xml:space="preserve"> Dome skylight at the atrium of Calabar International Convention Centre</w:t>
      </w:r>
    </w:p>
    <w:p w14:paraId="71BB4865" w14:textId="77777777" w:rsidR="00A644D8" w:rsidRDefault="00A644D8">
      <w:pPr>
        <w:spacing w:line="240" w:lineRule="auto"/>
        <w:jc w:val="center"/>
        <w:rPr>
          <w:rFonts w:ascii="Times New Roman" w:hAnsi="Times New Roman" w:cs="Times New Roman"/>
          <w:iCs/>
          <w:lang w:val="en-US"/>
        </w:rPr>
      </w:pPr>
    </w:p>
    <w:p w14:paraId="38D533E4" w14:textId="77777777" w:rsidR="00A644D8" w:rsidRDefault="00A644D8">
      <w:pPr>
        <w:spacing w:line="240" w:lineRule="auto"/>
        <w:jc w:val="center"/>
        <w:rPr>
          <w:rFonts w:ascii="Times New Roman" w:hAnsi="Times New Roman" w:cs="Times New Roman"/>
          <w:iCs/>
          <w:lang w:val="en-US"/>
        </w:rPr>
      </w:pPr>
    </w:p>
    <w:p w14:paraId="66348C90" w14:textId="77777777" w:rsidR="00A644D8" w:rsidRDefault="00000000">
      <w:pPr>
        <w:spacing w:line="240" w:lineRule="auto"/>
        <w:jc w:val="center"/>
        <w:rPr>
          <w:rFonts w:ascii="Times New Roman" w:hAnsi="Times New Roman" w:cs="Times New Roman"/>
          <w:iCs/>
          <w:lang w:val="en-US"/>
        </w:rPr>
      </w:pPr>
      <w:r>
        <w:rPr>
          <w:rFonts w:ascii="Times New Roman" w:hAnsi="Times New Roman" w:cs="Times New Roman"/>
          <w:iCs/>
          <w:noProof/>
          <w:lang w:val="en-US"/>
        </w:rPr>
        <w:lastRenderedPageBreak/>
        <w:drawing>
          <wp:inline distT="0" distB="0" distL="0" distR="0" wp14:anchorId="61331DD4" wp14:editId="010C3A4B">
            <wp:extent cx="2933700" cy="2201545"/>
            <wp:effectExtent l="0" t="0" r="0" b="0"/>
            <wp:docPr id="1626132280"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6132280" name="Picture 6"/>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2941836" cy="2207684"/>
                    </a:xfrm>
                    <a:prstGeom prst="rect">
                      <a:avLst/>
                    </a:prstGeom>
                    <a:noFill/>
                    <a:ln>
                      <a:noFill/>
                    </a:ln>
                  </pic:spPr>
                </pic:pic>
              </a:graphicData>
            </a:graphic>
          </wp:inline>
        </w:drawing>
      </w:r>
    </w:p>
    <w:p w14:paraId="09016F3F" w14:textId="77777777" w:rsidR="00A644D8" w:rsidRDefault="00000000">
      <w:pPr>
        <w:spacing w:after="0" w:line="240" w:lineRule="auto"/>
        <w:jc w:val="center"/>
        <w:rPr>
          <w:rFonts w:ascii="Times New Roman" w:hAnsi="Times New Roman" w:cs="Times New Roman"/>
          <w:iCs/>
          <w:lang w:val="en-US"/>
        </w:rPr>
      </w:pPr>
      <w:r>
        <w:rPr>
          <w:rFonts w:ascii="Times New Roman" w:hAnsi="Times New Roman" w:cs="Times New Roman"/>
          <w:b/>
          <w:bCs/>
          <w:iCs/>
          <w:lang w:val="en-US"/>
        </w:rPr>
        <w:t>Plate 7:</w:t>
      </w:r>
      <w:r>
        <w:rPr>
          <w:rFonts w:ascii="Times New Roman" w:hAnsi="Times New Roman" w:cs="Times New Roman"/>
          <w:iCs/>
          <w:lang w:val="en-US"/>
        </w:rPr>
        <w:t xml:space="preserve"> Reception showing lightwell arrangement of Calabar International Convention Centre</w:t>
      </w:r>
    </w:p>
    <w:p w14:paraId="17156BD4" w14:textId="77777777" w:rsidR="00A644D8" w:rsidRDefault="00000000">
      <w:pPr>
        <w:spacing w:before="240" w:line="240" w:lineRule="auto"/>
        <w:jc w:val="both"/>
        <w:rPr>
          <w:rFonts w:ascii="Times New Roman" w:hAnsi="Times New Roman" w:cs="Times New Roman"/>
          <w:iCs/>
          <w:lang w:val="en-US"/>
        </w:rPr>
      </w:pPr>
      <w:r>
        <w:rPr>
          <w:rFonts w:ascii="Times New Roman" w:hAnsi="Times New Roman" w:cs="Times New Roman"/>
          <w:b/>
          <w:bCs/>
          <w:iCs/>
          <w:lang w:val="en-US"/>
        </w:rPr>
        <w:t xml:space="preserve"> </w:t>
      </w:r>
      <w:r>
        <w:rPr>
          <w:rFonts w:ascii="Times New Roman" w:hAnsi="Times New Roman" w:cs="Times New Roman"/>
          <w:iCs/>
          <w:lang w:val="en-US"/>
        </w:rPr>
        <w:t xml:space="preserve">Plate 5, Plate 6 and Plate 7 </w:t>
      </w:r>
      <w:proofErr w:type="gramStart"/>
      <w:r>
        <w:rPr>
          <w:rFonts w:ascii="Times New Roman" w:hAnsi="Times New Roman" w:cs="Times New Roman"/>
          <w:iCs/>
          <w:lang w:val="en-US"/>
        </w:rPr>
        <w:t>shows</w:t>
      </w:r>
      <w:proofErr w:type="gramEnd"/>
      <w:r>
        <w:rPr>
          <w:rFonts w:ascii="Times New Roman" w:hAnsi="Times New Roman" w:cs="Times New Roman"/>
        </w:rPr>
        <w:t xml:space="preserve"> </w:t>
      </w:r>
      <w:r>
        <w:rPr>
          <w:rFonts w:ascii="Times New Roman" w:hAnsi="Times New Roman" w:cs="Times New Roman"/>
          <w:iCs/>
          <w:lang w:val="en-US"/>
        </w:rPr>
        <w:t>the integrated approach of the design of Calabar International Convention Centre which ensures superior energy performance, mitigates solar glare and maximized the utilization of natural lighting. This design approach can significantly contribute to energy savings, promote a comfortable indoor environment, and enhance the overall sustainability performance of the building.</w:t>
      </w:r>
    </w:p>
    <w:p w14:paraId="2BD65060" w14:textId="77777777" w:rsidR="00A644D8" w:rsidRDefault="00A644D8">
      <w:pPr>
        <w:spacing w:line="240" w:lineRule="auto"/>
        <w:jc w:val="both"/>
        <w:rPr>
          <w:rFonts w:ascii="Times New Roman" w:hAnsi="Times New Roman" w:cs="Times New Roman"/>
          <w:b/>
          <w:bCs/>
          <w:iCs/>
          <w:lang w:val="en-US"/>
        </w:rPr>
      </w:pPr>
    </w:p>
    <w:p w14:paraId="57D63ABB" w14:textId="77777777" w:rsidR="00A644D8" w:rsidRDefault="00000000">
      <w:pPr>
        <w:spacing w:after="0" w:line="240" w:lineRule="auto"/>
        <w:jc w:val="both"/>
        <w:rPr>
          <w:rFonts w:ascii="Times New Roman" w:hAnsi="Times New Roman" w:cs="Times New Roman"/>
          <w:b/>
          <w:bCs/>
          <w:iCs/>
          <w:lang w:val="en-US"/>
        </w:rPr>
      </w:pPr>
      <w:r>
        <w:rPr>
          <w:rFonts w:ascii="Times New Roman" w:hAnsi="Times New Roman" w:cs="Times New Roman"/>
          <w:b/>
          <w:bCs/>
          <w:iCs/>
          <w:lang w:val="en-US"/>
        </w:rPr>
        <w:t>5.0</w:t>
      </w:r>
      <w:r>
        <w:rPr>
          <w:rFonts w:ascii="Times New Roman" w:hAnsi="Times New Roman" w:cs="Times New Roman"/>
          <w:b/>
          <w:bCs/>
          <w:iCs/>
          <w:lang w:val="en-US"/>
        </w:rPr>
        <w:tab/>
        <w:t>Conclusion and Recommendations</w:t>
      </w:r>
    </w:p>
    <w:p w14:paraId="5097F931" w14:textId="77777777" w:rsidR="00A644D8" w:rsidRDefault="00000000">
      <w:pPr>
        <w:spacing w:line="240" w:lineRule="auto"/>
        <w:jc w:val="both"/>
        <w:rPr>
          <w:rFonts w:ascii="Times New Roman" w:hAnsi="Times New Roman" w:cs="Times New Roman"/>
          <w:iCs/>
          <w:lang w:val="en-US"/>
        </w:rPr>
      </w:pPr>
      <w:r>
        <w:rPr>
          <w:rFonts w:ascii="Times New Roman" w:hAnsi="Times New Roman" w:cs="Times New Roman"/>
          <w:iCs/>
          <w:lang w:val="en-US"/>
        </w:rPr>
        <w:t>This study has explored the implementation and effectiveness of sustainable design strategies in youth and convention centers. Through a combination of qualitative and quantitative research methods, valuable insights have been gained regarding the sustainable practices adopted in these centers and their impact on environmental sustainability. The findings shed light on the importance of integrating sustainable design principles in the built environment to mitigate the negative effects of resource consumption and promote a more sustainable future.</w:t>
      </w:r>
    </w:p>
    <w:p w14:paraId="713F9DCC" w14:textId="77777777" w:rsidR="00A644D8" w:rsidRDefault="00000000">
      <w:pPr>
        <w:spacing w:line="240" w:lineRule="auto"/>
        <w:jc w:val="both"/>
        <w:rPr>
          <w:rFonts w:ascii="Times New Roman" w:hAnsi="Times New Roman" w:cs="Times New Roman"/>
          <w:iCs/>
          <w:lang w:val="en-US"/>
        </w:rPr>
      </w:pPr>
      <w:r>
        <w:rPr>
          <w:rFonts w:ascii="Times New Roman" w:hAnsi="Times New Roman" w:cs="Times New Roman"/>
          <w:iCs/>
          <w:lang w:val="en-US"/>
        </w:rPr>
        <w:t>The results indicate that sustainable design strategies such as energy efficiency, and sustainable site practices play a crucial role in reducing environmental impacts and conserving resources. The incorporation of passive design strategies, renewable energy sources, efficient lighting systems, and HVAC systems can significantly contribute to energy savings and greenhouse gas emissions reduction. Additionally, sustainable site practices including site selection, water management, and landscaping contribute to biodiversity preservation, ecosystem services, and overall occupant well-being.</w:t>
      </w:r>
    </w:p>
    <w:p w14:paraId="30958283" w14:textId="77777777" w:rsidR="00A644D8" w:rsidRDefault="00000000">
      <w:pPr>
        <w:spacing w:line="240" w:lineRule="auto"/>
        <w:jc w:val="both"/>
        <w:rPr>
          <w:rFonts w:ascii="Times New Roman" w:hAnsi="Times New Roman" w:cs="Times New Roman"/>
          <w:b/>
          <w:bCs/>
          <w:iCs/>
          <w:lang w:val="en-US"/>
        </w:rPr>
      </w:pPr>
      <w:r>
        <w:rPr>
          <w:rFonts w:ascii="Times New Roman" w:hAnsi="Times New Roman" w:cs="Times New Roman"/>
          <w:iCs/>
          <w:lang w:val="en-US"/>
        </w:rPr>
        <w:t>Based on the study findings, the following recommendations are made towards adopting sustainable design strategies in youth and convention centres: awareness should be raised amongst stakeholders and educational programs can be conducted to enhance one’s understanding and promote the adoption of these sustainable design strategies; collaboration among stakeholders, researchers, and policymakers should be encouraged for sharing of knowledge and innovation in sustainable design should be encouraged; government and regulatory agencies should create sustainable construction codes and make them mandatory to ensure sustainable practices are implemented; and sustainable strategies' efficacy and improvement opportunities should be evaluated on a regular basis through monitoring and evaluation to guarantee the continued optimization of building performance and environmental sustainability.</w:t>
      </w:r>
    </w:p>
    <w:p w14:paraId="72BCA88A" w14:textId="77777777" w:rsidR="00A644D8" w:rsidRDefault="00000000">
      <w:pPr>
        <w:spacing w:line="240" w:lineRule="auto"/>
        <w:jc w:val="both"/>
        <w:rPr>
          <w:rFonts w:ascii="Times New Roman" w:hAnsi="Times New Roman" w:cs="Times New Roman"/>
          <w:b/>
          <w:bCs/>
          <w:iCs/>
          <w:lang w:val="en-US"/>
        </w:rPr>
      </w:pPr>
      <w:r>
        <w:rPr>
          <w:rFonts w:ascii="Times New Roman" w:hAnsi="Times New Roman" w:cs="Times New Roman"/>
          <w:b/>
          <w:bCs/>
          <w:iCs/>
          <w:lang w:val="en-US"/>
        </w:rPr>
        <w:t>REFERENCES</w:t>
      </w:r>
    </w:p>
    <w:p w14:paraId="4A9AA4E0" w14:textId="77777777" w:rsidR="00A644D8" w:rsidRDefault="00000000">
      <w:pPr>
        <w:spacing w:before="240" w:line="240" w:lineRule="auto"/>
        <w:ind w:left="709" w:hanging="709"/>
        <w:jc w:val="both"/>
        <w:rPr>
          <w:rFonts w:ascii="Times New Roman" w:hAnsi="Times New Roman" w:cs="Times New Roman"/>
        </w:rPr>
      </w:pPr>
      <w:r>
        <w:rPr>
          <w:rFonts w:ascii="Times New Roman" w:hAnsi="Times New Roman" w:cs="Times New Roman"/>
        </w:rPr>
        <w:t>Aghimien, D. O., Adegbembo, T. F., Aghimien, E. I., &amp; Awodele, O. A. (2018). Challenges of sustainable construction: a study of educational buildings in Nigeria. International Journal of Built Environment and Sustainability, 5(1).</w:t>
      </w:r>
    </w:p>
    <w:p w14:paraId="29B41133" w14:textId="77777777" w:rsidR="00A644D8" w:rsidRDefault="00000000">
      <w:pPr>
        <w:spacing w:before="240" w:line="240" w:lineRule="auto"/>
        <w:ind w:left="709" w:hanging="709"/>
        <w:jc w:val="both"/>
        <w:rPr>
          <w:rFonts w:ascii="Times New Roman" w:hAnsi="Times New Roman" w:cs="Times New Roman"/>
        </w:rPr>
      </w:pPr>
      <w:r>
        <w:rPr>
          <w:rFonts w:ascii="Times New Roman" w:hAnsi="Times New Roman" w:cs="Times New Roman"/>
        </w:rPr>
        <w:lastRenderedPageBreak/>
        <w:t>Alagbe, O. A., Caiafas, M. A., Olayemi, B. O., &amp; Joel, O. O. (2019, November). Enhancing energy efficiency through passive design: a case study of halls of residence in Covenant University, Ogun State. In IOP Conference Series: Materials Science and Engineering (Vol. 640, No. 1, p. 012017). IOP Publishing.</w:t>
      </w:r>
    </w:p>
    <w:p w14:paraId="7C04939C" w14:textId="77777777" w:rsidR="00A644D8" w:rsidRDefault="00000000">
      <w:pPr>
        <w:spacing w:before="240" w:line="240" w:lineRule="auto"/>
        <w:ind w:left="709" w:hanging="709"/>
        <w:jc w:val="both"/>
        <w:rPr>
          <w:rFonts w:ascii="Times New Roman" w:hAnsi="Times New Roman" w:cs="Times New Roman"/>
        </w:rPr>
      </w:pPr>
      <w:r>
        <w:rPr>
          <w:rFonts w:ascii="Times New Roman" w:hAnsi="Times New Roman" w:cs="Times New Roman"/>
        </w:rPr>
        <w:t>Bekele, M. T., &amp; Atakara, C. (2023). Residential Building Energy Conservation in Mediterranean Climate Zone by Integrating Passive Solar and Energy Efficiency Design Strategies. Buildings, 13(4), 1073.</w:t>
      </w:r>
    </w:p>
    <w:p w14:paraId="569FCFD1" w14:textId="77777777" w:rsidR="00A644D8" w:rsidRDefault="00000000">
      <w:pPr>
        <w:spacing w:before="240" w:line="240" w:lineRule="auto"/>
        <w:ind w:left="709" w:hanging="709"/>
        <w:jc w:val="both"/>
        <w:rPr>
          <w:rFonts w:ascii="Times New Roman" w:hAnsi="Times New Roman" w:cs="Times New Roman"/>
        </w:rPr>
      </w:pPr>
      <w:r>
        <w:rPr>
          <w:rFonts w:ascii="Times New Roman" w:hAnsi="Times New Roman" w:cs="Times New Roman"/>
        </w:rPr>
        <w:t>Darkhani, F., Tahir, O. M., &amp; Ibrahim, R. (2019). Sustainable urban landscape management: An insight into urban green space management practices in three different countries. Journal of Landscape Ecology, 12(1), 37-48.</w:t>
      </w:r>
    </w:p>
    <w:p w14:paraId="4BF4606A" w14:textId="77777777" w:rsidR="00A644D8" w:rsidRDefault="00000000">
      <w:pPr>
        <w:spacing w:before="240" w:line="240" w:lineRule="auto"/>
        <w:ind w:left="709" w:hanging="709"/>
        <w:jc w:val="both"/>
        <w:rPr>
          <w:rFonts w:ascii="Times New Roman" w:hAnsi="Times New Roman" w:cs="Times New Roman"/>
        </w:rPr>
      </w:pPr>
      <w:r>
        <w:rPr>
          <w:rFonts w:ascii="Times New Roman" w:hAnsi="Times New Roman" w:cs="Times New Roman"/>
        </w:rPr>
        <w:t>Elleuch, B., Bouhamed, F., Elloussaief, M., &amp; Jaghbir, M. (2018). Environmental sustainability and pollution prevention. Environmental Science and Pollution Research, 25, 18223-18225.</w:t>
      </w:r>
    </w:p>
    <w:p w14:paraId="79239407" w14:textId="77777777" w:rsidR="00A644D8" w:rsidRDefault="00000000">
      <w:pPr>
        <w:spacing w:before="240" w:line="240" w:lineRule="auto"/>
        <w:ind w:left="709" w:hanging="709"/>
        <w:jc w:val="both"/>
        <w:rPr>
          <w:rFonts w:ascii="Times New Roman" w:hAnsi="Times New Roman" w:cs="Times New Roman"/>
        </w:rPr>
      </w:pPr>
      <w:r>
        <w:rPr>
          <w:rFonts w:ascii="Times New Roman" w:hAnsi="Times New Roman" w:cs="Times New Roman"/>
        </w:rPr>
        <w:t>Erhun, M. O. (2015). A sustainable approach to economic development in Nigeria: a legal perspective. Journal of Economics and Sustainable Development, 6(14), 1-6.</w:t>
      </w:r>
    </w:p>
    <w:p w14:paraId="64F2C25B" w14:textId="77777777" w:rsidR="00A644D8" w:rsidRDefault="00000000">
      <w:pPr>
        <w:spacing w:before="240" w:line="240" w:lineRule="auto"/>
        <w:ind w:left="709" w:hanging="709"/>
        <w:jc w:val="both"/>
        <w:rPr>
          <w:rFonts w:ascii="Times New Roman" w:hAnsi="Times New Roman" w:cs="Times New Roman"/>
        </w:rPr>
      </w:pPr>
      <w:r>
        <w:rPr>
          <w:rFonts w:ascii="Times New Roman" w:hAnsi="Times New Roman" w:cs="Times New Roman"/>
        </w:rPr>
        <w:t>Freedman, B. (2018). Chapter 12~ Resources and Sustainable Development. Environ Sci Can Perspect, 1-37.</w:t>
      </w:r>
    </w:p>
    <w:p w14:paraId="501719F7" w14:textId="77777777" w:rsidR="00A644D8" w:rsidRDefault="00000000">
      <w:pPr>
        <w:pStyle w:val="Bibliography1"/>
        <w:spacing w:before="240" w:line="240" w:lineRule="auto"/>
        <w:jc w:val="both"/>
        <w:rPr>
          <w:rFonts w:ascii="Times New Roman" w:hAnsi="Times New Roman" w:cs="Times New Roman"/>
        </w:rPr>
      </w:pPr>
      <w:r>
        <w:rPr>
          <w:rFonts w:ascii="Times New Roman" w:hAnsi="Times New Roman" w:cs="Times New Roman"/>
          <w:lang w:val="en-US"/>
        </w:rPr>
        <w:fldChar w:fldCharType="begin"/>
      </w:r>
      <w:r>
        <w:rPr>
          <w:rFonts w:ascii="Times New Roman" w:hAnsi="Times New Roman" w:cs="Times New Roman"/>
          <w:lang w:val="en-US"/>
        </w:rPr>
        <w:instrText xml:space="preserve"> ADDIN ZOTERO_BIBL {"uncited":[],"omitted":[],"custom":[]} CSL_BIBLIOGRAPHY </w:instrText>
      </w:r>
      <w:r>
        <w:rPr>
          <w:rFonts w:ascii="Times New Roman" w:hAnsi="Times New Roman" w:cs="Times New Roman"/>
          <w:lang w:val="en-US"/>
        </w:rPr>
        <w:fldChar w:fldCharType="separate"/>
      </w:r>
      <w:r>
        <w:rPr>
          <w:rFonts w:ascii="Times New Roman" w:hAnsi="Times New Roman" w:cs="Times New Roman"/>
        </w:rPr>
        <w:t xml:space="preserve">Gouldson, A., Colenbrander, S., Sudmant, A., Papargyropoulou, E., Kerr, N., McAnulla, F., &amp; Hall, S. (2016). Cities and climate change mitigation: Economic opportunities and governance challenges in Asia. </w:t>
      </w:r>
      <w:r>
        <w:rPr>
          <w:rFonts w:ascii="Times New Roman" w:hAnsi="Times New Roman" w:cs="Times New Roman"/>
          <w:i/>
          <w:iCs/>
        </w:rPr>
        <w:t>Cities</w:t>
      </w:r>
      <w:r>
        <w:rPr>
          <w:rFonts w:ascii="Times New Roman" w:hAnsi="Times New Roman" w:cs="Times New Roman"/>
        </w:rPr>
        <w:t xml:space="preserve">, </w:t>
      </w:r>
      <w:r>
        <w:rPr>
          <w:rFonts w:ascii="Times New Roman" w:hAnsi="Times New Roman" w:cs="Times New Roman"/>
          <w:i/>
          <w:iCs/>
        </w:rPr>
        <w:t>54</w:t>
      </w:r>
      <w:r>
        <w:rPr>
          <w:rFonts w:ascii="Times New Roman" w:hAnsi="Times New Roman" w:cs="Times New Roman"/>
        </w:rPr>
        <w:t>, 11–19. https://doi.org/10.1016/j.cities.2015.10.010</w:t>
      </w:r>
    </w:p>
    <w:p w14:paraId="214BEAB4" w14:textId="77777777" w:rsidR="00A644D8" w:rsidRDefault="00000000">
      <w:pPr>
        <w:pStyle w:val="Bibliography1"/>
        <w:spacing w:before="240" w:line="240" w:lineRule="auto"/>
        <w:jc w:val="both"/>
        <w:rPr>
          <w:rFonts w:ascii="Times New Roman" w:hAnsi="Times New Roman" w:cs="Times New Roman"/>
        </w:rPr>
      </w:pPr>
      <w:r>
        <w:rPr>
          <w:rFonts w:ascii="Times New Roman" w:hAnsi="Times New Roman" w:cs="Times New Roman"/>
        </w:rPr>
        <w:t xml:space="preserve">Idike, A., &amp; Eme, O. I. (2015). Role of the Youths in Nation Building. </w:t>
      </w:r>
      <w:r>
        <w:rPr>
          <w:rFonts w:ascii="Times New Roman" w:hAnsi="Times New Roman" w:cs="Times New Roman"/>
          <w:i/>
          <w:iCs/>
        </w:rPr>
        <w:t>Journal of Policy and Development Studies</w:t>
      </w:r>
      <w:r>
        <w:rPr>
          <w:rFonts w:ascii="Times New Roman" w:hAnsi="Times New Roman" w:cs="Times New Roman"/>
        </w:rPr>
        <w:t xml:space="preserve">, </w:t>
      </w:r>
      <w:r>
        <w:rPr>
          <w:rFonts w:ascii="Times New Roman" w:hAnsi="Times New Roman" w:cs="Times New Roman"/>
          <w:i/>
          <w:iCs/>
        </w:rPr>
        <w:t>9</w:t>
      </w:r>
      <w:r>
        <w:rPr>
          <w:rFonts w:ascii="Times New Roman" w:hAnsi="Times New Roman" w:cs="Times New Roman"/>
        </w:rPr>
        <w:t>(5), 50–71. https://doi.org/10.12816/0018243</w:t>
      </w:r>
    </w:p>
    <w:p w14:paraId="7877CA49" w14:textId="77777777" w:rsidR="00A644D8" w:rsidRDefault="00000000">
      <w:pPr>
        <w:pStyle w:val="Bibliography1"/>
        <w:spacing w:before="240" w:line="240" w:lineRule="auto"/>
        <w:jc w:val="both"/>
        <w:rPr>
          <w:rFonts w:ascii="Times New Roman" w:hAnsi="Times New Roman" w:cs="Times New Roman"/>
        </w:rPr>
      </w:pPr>
      <w:r>
        <w:rPr>
          <w:rFonts w:ascii="Times New Roman" w:hAnsi="Times New Roman" w:cs="Times New Roman"/>
        </w:rPr>
        <w:t xml:space="preserve">Kaur, H., &amp; Garg, P. (2019). Urban sustainability assessment tools: A review. </w:t>
      </w:r>
      <w:r>
        <w:rPr>
          <w:rFonts w:ascii="Times New Roman" w:hAnsi="Times New Roman" w:cs="Times New Roman"/>
          <w:i/>
          <w:iCs/>
        </w:rPr>
        <w:t>Journal of Cleaner Production</w:t>
      </w:r>
      <w:r>
        <w:rPr>
          <w:rFonts w:ascii="Times New Roman" w:hAnsi="Times New Roman" w:cs="Times New Roman"/>
        </w:rPr>
        <w:t xml:space="preserve">, </w:t>
      </w:r>
      <w:r>
        <w:rPr>
          <w:rFonts w:ascii="Times New Roman" w:hAnsi="Times New Roman" w:cs="Times New Roman"/>
          <w:i/>
          <w:iCs/>
        </w:rPr>
        <w:t>210</w:t>
      </w:r>
      <w:r>
        <w:rPr>
          <w:rFonts w:ascii="Times New Roman" w:hAnsi="Times New Roman" w:cs="Times New Roman"/>
        </w:rPr>
        <w:t>, 146–158. https://doi.org/10.1016/j.jclepro.2018.11.009</w:t>
      </w:r>
    </w:p>
    <w:p w14:paraId="26985CFD" w14:textId="77777777" w:rsidR="00A644D8" w:rsidRDefault="00000000">
      <w:pPr>
        <w:pStyle w:val="Bibliography1"/>
        <w:spacing w:before="240" w:line="240" w:lineRule="auto"/>
        <w:jc w:val="both"/>
        <w:rPr>
          <w:rFonts w:ascii="Times New Roman" w:hAnsi="Times New Roman" w:cs="Times New Roman"/>
        </w:rPr>
      </w:pPr>
      <w:r>
        <w:rPr>
          <w:rFonts w:ascii="Times New Roman" w:hAnsi="Times New Roman" w:cs="Times New Roman"/>
        </w:rPr>
        <w:t xml:space="preserve">Kelly, F. J., &amp; Fussell, J. C. (2019). Improving indoor air quality, health and performance within environments where people live, travel, learn and work. </w:t>
      </w:r>
      <w:r>
        <w:rPr>
          <w:rFonts w:ascii="Times New Roman" w:hAnsi="Times New Roman" w:cs="Times New Roman"/>
          <w:i/>
          <w:iCs/>
        </w:rPr>
        <w:t>Atmospheric Environment</w:t>
      </w:r>
      <w:r>
        <w:rPr>
          <w:rFonts w:ascii="Times New Roman" w:hAnsi="Times New Roman" w:cs="Times New Roman"/>
        </w:rPr>
        <w:t xml:space="preserve">, </w:t>
      </w:r>
      <w:r>
        <w:rPr>
          <w:rFonts w:ascii="Times New Roman" w:hAnsi="Times New Roman" w:cs="Times New Roman"/>
          <w:i/>
          <w:iCs/>
        </w:rPr>
        <w:t>200</w:t>
      </w:r>
      <w:r>
        <w:rPr>
          <w:rFonts w:ascii="Times New Roman" w:hAnsi="Times New Roman" w:cs="Times New Roman"/>
        </w:rPr>
        <w:t>, 90–109. https://doi.org/10.1016/j.atmosenv.2018.11.058</w:t>
      </w:r>
    </w:p>
    <w:p w14:paraId="3E342329" w14:textId="77777777" w:rsidR="00A644D8" w:rsidRDefault="00000000">
      <w:pPr>
        <w:spacing w:before="240" w:line="240" w:lineRule="auto"/>
        <w:ind w:left="709" w:hanging="709"/>
        <w:jc w:val="both"/>
        <w:rPr>
          <w:rFonts w:ascii="Times New Roman" w:hAnsi="Times New Roman" w:cs="Times New Roman"/>
        </w:rPr>
      </w:pPr>
      <w:r>
        <w:rPr>
          <w:rFonts w:ascii="Times New Roman" w:hAnsi="Times New Roman" w:cs="Times New Roman"/>
        </w:rPr>
        <w:t>Kibert, C. J. (2016). Sustainable construction: green building design and delivery. John Wiley &amp; Sons.</w:t>
      </w:r>
    </w:p>
    <w:p w14:paraId="7135C025" w14:textId="77777777" w:rsidR="00A644D8" w:rsidRDefault="00000000">
      <w:pPr>
        <w:spacing w:before="240" w:line="240" w:lineRule="auto"/>
        <w:ind w:left="709" w:hanging="709"/>
        <w:jc w:val="both"/>
        <w:rPr>
          <w:rFonts w:ascii="Times New Roman" w:hAnsi="Times New Roman" w:cs="Times New Roman"/>
        </w:rPr>
      </w:pPr>
      <w:r>
        <w:rPr>
          <w:rFonts w:ascii="Times New Roman" w:hAnsi="Times New Roman" w:cs="Times New Roman"/>
        </w:rPr>
        <w:t>Koko, A. F., &amp; Bello, M. (2020). Exploring the factors hindering the use of green architecture in Nigeria. In Zero-Energy Buildings-New Approaches and Technologies. IntechOpen.</w:t>
      </w:r>
    </w:p>
    <w:p w14:paraId="36194CFE" w14:textId="77777777" w:rsidR="00A644D8" w:rsidRDefault="00000000">
      <w:pPr>
        <w:pStyle w:val="Bibliography1"/>
        <w:spacing w:before="240" w:line="240" w:lineRule="auto"/>
        <w:jc w:val="both"/>
        <w:rPr>
          <w:rFonts w:ascii="Times New Roman" w:hAnsi="Times New Roman" w:cs="Times New Roman"/>
        </w:rPr>
      </w:pPr>
      <w:r>
        <w:rPr>
          <w:rFonts w:ascii="Times New Roman" w:hAnsi="Times New Roman" w:cs="Times New Roman"/>
        </w:rPr>
        <w:t xml:space="preserve">Kraft, M. E. (2017). </w:t>
      </w:r>
      <w:r>
        <w:rPr>
          <w:rFonts w:ascii="Times New Roman" w:hAnsi="Times New Roman" w:cs="Times New Roman"/>
          <w:i/>
          <w:iCs/>
        </w:rPr>
        <w:t>Environmental Policy and Politics</w:t>
      </w:r>
      <w:r>
        <w:rPr>
          <w:rFonts w:ascii="Times New Roman" w:hAnsi="Times New Roman" w:cs="Times New Roman"/>
        </w:rPr>
        <w:t>. Taylor &amp; Francis.</w:t>
      </w:r>
    </w:p>
    <w:p w14:paraId="03AB885D" w14:textId="77777777" w:rsidR="00A644D8" w:rsidRDefault="00000000">
      <w:pPr>
        <w:pStyle w:val="Bibliography1"/>
        <w:spacing w:before="240" w:line="240" w:lineRule="auto"/>
        <w:jc w:val="both"/>
        <w:rPr>
          <w:rFonts w:ascii="Times New Roman" w:hAnsi="Times New Roman" w:cs="Times New Roman"/>
        </w:rPr>
      </w:pPr>
      <w:r>
        <w:rPr>
          <w:rFonts w:ascii="Times New Roman" w:hAnsi="Times New Roman" w:cs="Times New Roman"/>
        </w:rPr>
        <w:t xml:space="preserve">Labaran, Y. H., Mathur, V. S., Muhammad, S. U., &amp; Musa, A. A. (2022). Carbon footprint management: A review of construction industry. </w:t>
      </w:r>
      <w:r>
        <w:rPr>
          <w:rFonts w:ascii="Times New Roman" w:hAnsi="Times New Roman" w:cs="Times New Roman"/>
          <w:i/>
          <w:iCs/>
        </w:rPr>
        <w:t>Cleaner Engineering and Technology</w:t>
      </w:r>
      <w:r>
        <w:rPr>
          <w:rFonts w:ascii="Times New Roman" w:hAnsi="Times New Roman" w:cs="Times New Roman"/>
        </w:rPr>
        <w:t xml:space="preserve">, </w:t>
      </w:r>
      <w:r>
        <w:rPr>
          <w:rFonts w:ascii="Times New Roman" w:hAnsi="Times New Roman" w:cs="Times New Roman"/>
          <w:i/>
          <w:iCs/>
        </w:rPr>
        <w:t>9</w:t>
      </w:r>
      <w:r>
        <w:rPr>
          <w:rFonts w:ascii="Times New Roman" w:hAnsi="Times New Roman" w:cs="Times New Roman"/>
        </w:rPr>
        <w:t>, 100531. https://doi.org/10.1016/j.clet.2022.100531</w:t>
      </w:r>
    </w:p>
    <w:p w14:paraId="669B1453" w14:textId="77777777" w:rsidR="00A644D8" w:rsidRDefault="00000000">
      <w:pPr>
        <w:pStyle w:val="Bibliography1"/>
        <w:spacing w:before="240" w:line="240" w:lineRule="auto"/>
        <w:jc w:val="both"/>
        <w:rPr>
          <w:rFonts w:ascii="Times New Roman" w:hAnsi="Times New Roman" w:cs="Times New Roman"/>
        </w:rPr>
      </w:pPr>
      <w:r>
        <w:rPr>
          <w:rFonts w:ascii="Times New Roman" w:hAnsi="Times New Roman" w:cs="Times New Roman"/>
        </w:rPr>
        <w:t xml:space="preserve">Manisalidis, I., Stavropoulou, E., Stavropoulos, A., &amp; Bezirtzoglou, E. (2020). Environmental and Health Impacts of Air Pollution: A Review. </w:t>
      </w:r>
      <w:r>
        <w:rPr>
          <w:rFonts w:ascii="Times New Roman" w:hAnsi="Times New Roman" w:cs="Times New Roman"/>
          <w:i/>
          <w:iCs/>
        </w:rPr>
        <w:t>Frontiers in Public Health</w:t>
      </w:r>
      <w:r>
        <w:rPr>
          <w:rFonts w:ascii="Times New Roman" w:hAnsi="Times New Roman" w:cs="Times New Roman"/>
        </w:rPr>
        <w:t xml:space="preserve">, </w:t>
      </w:r>
      <w:r>
        <w:rPr>
          <w:rFonts w:ascii="Times New Roman" w:hAnsi="Times New Roman" w:cs="Times New Roman"/>
          <w:i/>
          <w:iCs/>
        </w:rPr>
        <w:t>8</w:t>
      </w:r>
      <w:r>
        <w:rPr>
          <w:rFonts w:ascii="Times New Roman" w:hAnsi="Times New Roman" w:cs="Times New Roman"/>
        </w:rPr>
        <w:t>, 14. https://doi.org/10.3389/fpubh.2020.00014</w:t>
      </w:r>
    </w:p>
    <w:p w14:paraId="6667AB5C" w14:textId="77777777" w:rsidR="00A644D8" w:rsidRDefault="00000000">
      <w:pPr>
        <w:pStyle w:val="Bibliography1"/>
        <w:spacing w:before="240" w:line="240" w:lineRule="auto"/>
        <w:jc w:val="both"/>
        <w:rPr>
          <w:rFonts w:ascii="Times New Roman" w:hAnsi="Times New Roman" w:cs="Times New Roman"/>
        </w:rPr>
      </w:pPr>
      <w:r>
        <w:rPr>
          <w:rFonts w:ascii="Times New Roman" w:hAnsi="Times New Roman" w:cs="Times New Roman"/>
        </w:rPr>
        <w:t xml:space="preserve">Mayrand, F., &amp; Clergeau, P. (2018). Green Roofs and Green Walls for Biodiversity Conservation: A Contribution to Urban Connectivity? </w:t>
      </w:r>
      <w:r>
        <w:rPr>
          <w:rFonts w:ascii="Times New Roman" w:hAnsi="Times New Roman" w:cs="Times New Roman"/>
          <w:i/>
          <w:iCs/>
        </w:rPr>
        <w:t>Sustainability</w:t>
      </w:r>
      <w:r>
        <w:rPr>
          <w:rFonts w:ascii="Times New Roman" w:hAnsi="Times New Roman" w:cs="Times New Roman"/>
        </w:rPr>
        <w:t xml:space="preserve">, </w:t>
      </w:r>
      <w:r>
        <w:rPr>
          <w:rFonts w:ascii="Times New Roman" w:hAnsi="Times New Roman" w:cs="Times New Roman"/>
          <w:i/>
          <w:iCs/>
        </w:rPr>
        <w:t>10</w:t>
      </w:r>
      <w:r>
        <w:rPr>
          <w:rFonts w:ascii="Times New Roman" w:hAnsi="Times New Roman" w:cs="Times New Roman"/>
        </w:rPr>
        <w:t>(4), Article 4. https://doi.org/10.3390/su10040985</w:t>
      </w:r>
    </w:p>
    <w:p w14:paraId="3225E840" w14:textId="77777777" w:rsidR="00A644D8" w:rsidRDefault="00000000">
      <w:pPr>
        <w:pStyle w:val="Bibliography1"/>
        <w:spacing w:before="240" w:line="240" w:lineRule="auto"/>
        <w:jc w:val="both"/>
        <w:rPr>
          <w:rFonts w:ascii="Times New Roman" w:hAnsi="Times New Roman" w:cs="Times New Roman"/>
        </w:rPr>
      </w:pPr>
      <w:r>
        <w:rPr>
          <w:rFonts w:ascii="Times New Roman" w:hAnsi="Times New Roman" w:cs="Times New Roman"/>
        </w:rPr>
        <w:lastRenderedPageBreak/>
        <w:t xml:space="preserve">Mohammed, A., &amp; Abbakyari, M. (2016). STRATEGIES FOR ACHIEVING SUSTAINABILITY IN THE NIGERIAN BUILDING DESIGN AND CONSTRUCTION INDUSTRY. </w:t>
      </w:r>
      <w:r>
        <w:rPr>
          <w:rFonts w:ascii="Times New Roman" w:hAnsi="Times New Roman" w:cs="Times New Roman"/>
          <w:i/>
          <w:iCs/>
        </w:rPr>
        <w:t>Ideal Jouranal of Engineering and Applied Sciences</w:t>
      </w:r>
      <w:r>
        <w:rPr>
          <w:rFonts w:ascii="Times New Roman" w:hAnsi="Times New Roman" w:cs="Times New Roman"/>
        </w:rPr>
        <w:t xml:space="preserve">, </w:t>
      </w:r>
      <w:r>
        <w:rPr>
          <w:rFonts w:ascii="Times New Roman" w:hAnsi="Times New Roman" w:cs="Times New Roman"/>
          <w:i/>
          <w:iCs/>
        </w:rPr>
        <w:t>2</w:t>
      </w:r>
      <w:r>
        <w:rPr>
          <w:rFonts w:ascii="Times New Roman" w:hAnsi="Times New Roman" w:cs="Times New Roman"/>
        </w:rPr>
        <w:t>, 103–108.</w:t>
      </w:r>
    </w:p>
    <w:p w14:paraId="734BB471" w14:textId="77777777" w:rsidR="00A644D8" w:rsidRDefault="00000000">
      <w:pPr>
        <w:pStyle w:val="Bibliography1"/>
        <w:spacing w:before="240" w:line="240" w:lineRule="auto"/>
        <w:jc w:val="both"/>
        <w:rPr>
          <w:rFonts w:ascii="Times New Roman" w:hAnsi="Times New Roman" w:cs="Times New Roman"/>
        </w:rPr>
      </w:pPr>
      <w:r>
        <w:rPr>
          <w:rFonts w:ascii="Times New Roman" w:hAnsi="Times New Roman" w:cs="Times New Roman"/>
        </w:rPr>
        <w:t xml:space="preserve">Morseletto, P., Mooren, C. E., &amp; Munaretto, S. (2022). Circular Economy of Water: Definition, Strategies and Challenges. </w:t>
      </w:r>
      <w:r>
        <w:rPr>
          <w:rFonts w:ascii="Times New Roman" w:hAnsi="Times New Roman" w:cs="Times New Roman"/>
          <w:i/>
          <w:iCs/>
        </w:rPr>
        <w:t>Circular Economy and Sustainability</w:t>
      </w:r>
      <w:r>
        <w:rPr>
          <w:rFonts w:ascii="Times New Roman" w:hAnsi="Times New Roman" w:cs="Times New Roman"/>
        </w:rPr>
        <w:t xml:space="preserve">, </w:t>
      </w:r>
      <w:r>
        <w:rPr>
          <w:rFonts w:ascii="Times New Roman" w:hAnsi="Times New Roman" w:cs="Times New Roman"/>
          <w:i/>
          <w:iCs/>
        </w:rPr>
        <w:t>2</w:t>
      </w:r>
      <w:r>
        <w:rPr>
          <w:rFonts w:ascii="Times New Roman" w:hAnsi="Times New Roman" w:cs="Times New Roman"/>
        </w:rPr>
        <w:t>(4), 1463–1477. https://doi.org/10.1007/s43615-022-00165-x</w:t>
      </w:r>
    </w:p>
    <w:p w14:paraId="3A56410C" w14:textId="77777777" w:rsidR="00A644D8" w:rsidRDefault="00000000">
      <w:pPr>
        <w:pStyle w:val="Bibliography1"/>
        <w:spacing w:before="240" w:line="240" w:lineRule="auto"/>
        <w:jc w:val="both"/>
        <w:rPr>
          <w:rFonts w:ascii="Times New Roman" w:hAnsi="Times New Roman" w:cs="Times New Roman"/>
        </w:rPr>
      </w:pPr>
      <w:r>
        <w:rPr>
          <w:rFonts w:ascii="Times New Roman" w:hAnsi="Times New Roman" w:cs="Times New Roman"/>
        </w:rPr>
        <w:t xml:space="preserve">Obiadi, B., &amp; Onuorah, I. (2022). </w:t>
      </w:r>
      <w:r>
        <w:rPr>
          <w:rFonts w:ascii="Times New Roman" w:hAnsi="Times New Roman" w:cs="Times New Roman"/>
          <w:i/>
          <w:iCs/>
        </w:rPr>
        <w:t>ARCHITECTURE, TOURISM AND HOUSING: OHANEZE NDIGBO YOUTH CENTRE FOR CULTURAL EDIFICATION</w:t>
      </w:r>
      <w:r>
        <w:rPr>
          <w:rFonts w:ascii="Times New Roman" w:hAnsi="Times New Roman" w:cs="Times New Roman"/>
        </w:rPr>
        <w:t>.</w:t>
      </w:r>
    </w:p>
    <w:p w14:paraId="1A0A35B7" w14:textId="77777777" w:rsidR="00A644D8" w:rsidRDefault="00000000">
      <w:pPr>
        <w:pStyle w:val="Bibliography1"/>
        <w:spacing w:before="240" w:line="240" w:lineRule="auto"/>
        <w:jc w:val="both"/>
        <w:rPr>
          <w:rFonts w:ascii="Times New Roman" w:hAnsi="Times New Roman" w:cs="Times New Roman"/>
        </w:rPr>
      </w:pPr>
      <w:r>
        <w:rPr>
          <w:rFonts w:ascii="Times New Roman" w:hAnsi="Times New Roman" w:cs="Times New Roman"/>
        </w:rPr>
        <w:t xml:space="preserve">Odoh, Rt. Hon. E., &amp; Innocent, E. O. (2014). Role of the Youths in National Development. </w:t>
      </w:r>
      <w:r>
        <w:rPr>
          <w:rFonts w:ascii="Times New Roman" w:hAnsi="Times New Roman" w:cs="Times New Roman"/>
          <w:i/>
          <w:iCs/>
        </w:rPr>
        <w:t>Singaporean Journal of Business , Economics and Management Studies</w:t>
      </w:r>
      <w:r>
        <w:rPr>
          <w:rFonts w:ascii="Times New Roman" w:hAnsi="Times New Roman" w:cs="Times New Roman"/>
        </w:rPr>
        <w:t xml:space="preserve">, </w:t>
      </w:r>
      <w:r>
        <w:rPr>
          <w:rFonts w:ascii="Times New Roman" w:hAnsi="Times New Roman" w:cs="Times New Roman"/>
          <w:i/>
          <w:iCs/>
        </w:rPr>
        <w:t>3</w:t>
      </w:r>
      <w:r>
        <w:rPr>
          <w:rFonts w:ascii="Times New Roman" w:hAnsi="Times New Roman" w:cs="Times New Roman"/>
        </w:rPr>
        <w:t>(2), 164–181. https://doi.org/10.12816/0007349</w:t>
      </w:r>
    </w:p>
    <w:p w14:paraId="14BB647B" w14:textId="77777777" w:rsidR="00A644D8" w:rsidRDefault="00000000">
      <w:pPr>
        <w:pStyle w:val="Bibliography1"/>
        <w:spacing w:before="240" w:line="240" w:lineRule="auto"/>
        <w:jc w:val="both"/>
        <w:rPr>
          <w:rFonts w:ascii="Times New Roman" w:hAnsi="Times New Roman" w:cs="Times New Roman"/>
        </w:rPr>
      </w:pPr>
      <w:r>
        <w:rPr>
          <w:rFonts w:ascii="Times New Roman" w:hAnsi="Times New Roman" w:cs="Times New Roman"/>
        </w:rPr>
        <w:t xml:space="preserve">Pardo-Garcia, C., &amp; Barac, M. (2020). Promoting Employability in Higher Education: A Case Study on Boosting Entrepreneurship Skills. </w:t>
      </w:r>
      <w:r>
        <w:rPr>
          <w:rFonts w:ascii="Times New Roman" w:hAnsi="Times New Roman" w:cs="Times New Roman"/>
          <w:i/>
          <w:iCs/>
        </w:rPr>
        <w:t>Sustainability</w:t>
      </w:r>
      <w:r>
        <w:rPr>
          <w:rFonts w:ascii="Times New Roman" w:hAnsi="Times New Roman" w:cs="Times New Roman"/>
        </w:rPr>
        <w:t xml:space="preserve">, </w:t>
      </w:r>
      <w:r>
        <w:rPr>
          <w:rFonts w:ascii="Times New Roman" w:hAnsi="Times New Roman" w:cs="Times New Roman"/>
          <w:i/>
          <w:iCs/>
        </w:rPr>
        <w:t>12</w:t>
      </w:r>
      <w:r>
        <w:rPr>
          <w:rFonts w:ascii="Times New Roman" w:hAnsi="Times New Roman" w:cs="Times New Roman"/>
        </w:rPr>
        <w:t>(10), Article 10. https://doi.org/10.3390/su12104004</w:t>
      </w:r>
    </w:p>
    <w:p w14:paraId="740A8298" w14:textId="77777777" w:rsidR="00A644D8" w:rsidRDefault="00000000">
      <w:pPr>
        <w:pStyle w:val="Bibliography1"/>
        <w:spacing w:before="240" w:line="240" w:lineRule="auto"/>
        <w:jc w:val="both"/>
        <w:rPr>
          <w:rFonts w:ascii="Times New Roman" w:hAnsi="Times New Roman" w:cs="Times New Roman"/>
        </w:rPr>
      </w:pPr>
      <w:r>
        <w:rPr>
          <w:rFonts w:ascii="Times New Roman" w:hAnsi="Times New Roman" w:cs="Times New Roman"/>
        </w:rPr>
        <w:t xml:space="preserve">Pauw, J. B., Gericke, N., Olsson, D., &amp; Berglund, T. (2015). The Effectiveness of Education for Sustainable Development. </w:t>
      </w:r>
      <w:r>
        <w:rPr>
          <w:rFonts w:ascii="Times New Roman" w:hAnsi="Times New Roman" w:cs="Times New Roman"/>
          <w:i/>
          <w:iCs/>
        </w:rPr>
        <w:t>Sustainability</w:t>
      </w:r>
      <w:r>
        <w:rPr>
          <w:rFonts w:ascii="Times New Roman" w:hAnsi="Times New Roman" w:cs="Times New Roman"/>
        </w:rPr>
        <w:t xml:space="preserve">, </w:t>
      </w:r>
      <w:r>
        <w:rPr>
          <w:rFonts w:ascii="Times New Roman" w:hAnsi="Times New Roman" w:cs="Times New Roman"/>
          <w:i/>
          <w:iCs/>
        </w:rPr>
        <w:t>7</w:t>
      </w:r>
      <w:r>
        <w:rPr>
          <w:rFonts w:ascii="Times New Roman" w:hAnsi="Times New Roman" w:cs="Times New Roman"/>
        </w:rPr>
        <w:t>(11), Article 11. https://doi.org/10.3390/su71115693</w:t>
      </w:r>
    </w:p>
    <w:p w14:paraId="5240FF19" w14:textId="77777777" w:rsidR="00A644D8" w:rsidRDefault="00000000">
      <w:pPr>
        <w:pStyle w:val="Bibliography1"/>
        <w:spacing w:before="240" w:line="240" w:lineRule="auto"/>
        <w:jc w:val="both"/>
        <w:rPr>
          <w:rFonts w:ascii="Times New Roman" w:hAnsi="Times New Roman" w:cs="Times New Roman"/>
        </w:rPr>
      </w:pPr>
      <w:r>
        <w:rPr>
          <w:rFonts w:ascii="Times New Roman" w:hAnsi="Times New Roman" w:cs="Times New Roman"/>
        </w:rPr>
        <w:t xml:space="preserve">Semeraro, T., Scarano, A., Buccolieri, R., Santino, A., &amp; Aarrevaara, E. (2021). Planning of Urban Green Spaces: An Ecological Perspective on Human Benefits. </w:t>
      </w:r>
      <w:r>
        <w:rPr>
          <w:rFonts w:ascii="Times New Roman" w:hAnsi="Times New Roman" w:cs="Times New Roman"/>
          <w:i/>
          <w:iCs/>
        </w:rPr>
        <w:t>Land</w:t>
      </w:r>
      <w:r>
        <w:rPr>
          <w:rFonts w:ascii="Times New Roman" w:hAnsi="Times New Roman" w:cs="Times New Roman"/>
        </w:rPr>
        <w:t xml:space="preserve">, </w:t>
      </w:r>
      <w:r>
        <w:rPr>
          <w:rFonts w:ascii="Times New Roman" w:hAnsi="Times New Roman" w:cs="Times New Roman"/>
          <w:i/>
          <w:iCs/>
        </w:rPr>
        <w:t>10</w:t>
      </w:r>
      <w:r>
        <w:rPr>
          <w:rFonts w:ascii="Times New Roman" w:hAnsi="Times New Roman" w:cs="Times New Roman"/>
        </w:rPr>
        <w:t>(2), Article 2. https://doi.org/10.3390/land10020105</w:t>
      </w:r>
    </w:p>
    <w:p w14:paraId="228741EB" w14:textId="77777777" w:rsidR="00A644D8" w:rsidRDefault="00000000">
      <w:pPr>
        <w:pStyle w:val="Bibliography1"/>
        <w:spacing w:before="240" w:line="240" w:lineRule="auto"/>
        <w:jc w:val="both"/>
        <w:rPr>
          <w:rFonts w:ascii="Times New Roman" w:hAnsi="Times New Roman" w:cs="Times New Roman"/>
        </w:rPr>
      </w:pPr>
      <w:r>
        <w:rPr>
          <w:rFonts w:ascii="Times New Roman" w:hAnsi="Times New Roman" w:cs="Times New Roman"/>
        </w:rPr>
        <w:t xml:space="preserve">Somasundaram, S., Chong, A., Wei, Z., &amp; Thangavelu, S. R. (2020). Energy saving potential of low-e coating based retrofit double glazing for tropical climate. </w:t>
      </w:r>
      <w:r>
        <w:rPr>
          <w:rFonts w:ascii="Times New Roman" w:hAnsi="Times New Roman" w:cs="Times New Roman"/>
          <w:i/>
          <w:iCs/>
        </w:rPr>
        <w:t>Energy and Buildings</w:t>
      </w:r>
      <w:r>
        <w:rPr>
          <w:rFonts w:ascii="Times New Roman" w:hAnsi="Times New Roman" w:cs="Times New Roman"/>
        </w:rPr>
        <w:t xml:space="preserve">, </w:t>
      </w:r>
      <w:r>
        <w:rPr>
          <w:rFonts w:ascii="Times New Roman" w:hAnsi="Times New Roman" w:cs="Times New Roman"/>
          <w:i/>
          <w:iCs/>
        </w:rPr>
        <w:t>206</w:t>
      </w:r>
      <w:r>
        <w:rPr>
          <w:rFonts w:ascii="Times New Roman" w:hAnsi="Times New Roman" w:cs="Times New Roman"/>
        </w:rPr>
        <w:t>, 109570. https://doi.org/10.1016/j.enbuild.2019.109570</w:t>
      </w:r>
    </w:p>
    <w:p w14:paraId="39F89410" w14:textId="77777777" w:rsidR="00A644D8" w:rsidRDefault="00000000">
      <w:pPr>
        <w:pStyle w:val="Bibliography1"/>
        <w:spacing w:before="240" w:line="240" w:lineRule="auto"/>
        <w:jc w:val="both"/>
        <w:rPr>
          <w:rFonts w:ascii="Times New Roman" w:hAnsi="Times New Roman" w:cs="Times New Roman"/>
        </w:rPr>
      </w:pPr>
      <w:r>
        <w:rPr>
          <w:rFonts w:ascii="Times New Roman" w:hAnsi="Times New Roman" w:cs="Times New Roman"/>
        </w:rPr>
        <w:t xml:space="preserve">Vasseur, L., Horning, D., Thornbush, M., Cohen-Shacham, E., Andrade, A., Barrow, E., Edwards, S. R., Wit, P., &amp; Jones, M. (2017). Complex problems and unchallenged solutions: Bringing ecosystem governance to the forefront of the UN sustainable development goals. </w:t>
      </w:r>
      <w:r>
        <w:rPr>
          <w:rFonts w:ascii="Times New Roman" w:hAnsi="Times New Roman" w:cs="Times New Roman"/>
          <w:i/>
          <w:iCs/>
        </w:rPr>
        <w:t>Ambio</w:t>
      </w:r>
      <w:r>
        <w:rPr>
          <w:rFonts w:ascii="Times New Roman" w:hAnsi="Times New Roman" w:cs="Times New Roman"/>
        </w:rPr>
        <w:t xml:space="preserve">, </w:t>
      </w:r>
      <w:r>
        <w:rPr>
          <w:rFonts w:ascii="Times New Roman" w:hAnsi="Times New Roman" w:cs="Times New Roman"/>
          <w:i/>
          <w:iCs/>
        </w:rPr>
        <w:t>46</w:t>
      </w:r>
      <w:r>
        <w:rPr>
          <w:rFonts w:ascii="Times New Roman" w:hAnsi="Times New Roman" w:cs="Times New Roman"/>
        </w:rPr>
        <w:t>(7), 731–742. https://doi.org/10.1007/s13280-017-0918-6</w:t>
      </w:r>
    </w:p>
    <w:p w14:paraId="1054EC6D" w14:textId="77777777" w:rsidR="00A644D8" w:rsidRDefault="00000000">
      <w:pPr>
        <w:spacing w:before="240" w:line="240" w:lineRule="auto"/>
        <w:ind w:left="851" w:hanging="851"/>
        <w:jc w:val="both"/>
        <w:rPr>
          <w:rFonts w:ascii="Times New Roman" w:hAnsi="Times New Roman" w:cs="Times New Roman"/>
          <w:iCs/>
          <w:lang w:val="en-US"/>
        </w:rPr>
      </w:pPr>
      <w:r>
        <w:rPr>
          <w:rFonts w:ascii="Times New Roman" w:hAnsi="Times New Roman" w:cs="Times New Roman"/>
          <w:iCs/>
          <w:lang w:val="en-US"/>
        </w:rPr>
        <w:fldChar w:fldCharType="end"/>
      </w:r>
    </w:p>
    <w:p w14:paraId="24FED76F" w14:textId="77777777" w:rsidR="00A644D8" w:rsidRDefault="00A644D8">
      <w:pPr>
        <w:spacing w:line="240" w:lineRule="auto"/>
        <w:ind w:left="851" w:hanging="851"/>
        <w:jc w:val="both"/>
        <w:rPr>
          <w:rFonts w:ascii="Times New Roman" w:hAnsi="Times New Roman" w:cs="Times New Roman"/>
          <w:iCs/>
          <w:lang w:val="en-US"/>
        </w:rPr>
      </w:pPr>
    </w:p>
    <w:p w14:paraId="5F9B7BE3" w14:textId="77777777" w:rsidR="00A644D8" w:rsidRDefault="00A644D8">
      <w:pPr>
        <w:spacing w:line="240" w:lineRule="auto"/>
        <w:jc w:val="both"/>
        <w:rPr>
          <w:rFonts w:ascii="Times New Roman" w:hAnsi="Times New Roman" w:cs="Times New Roman"/>
          <w:iCs/>
          <w:lang w:val="en-US"/>
        </w:rPr>
      </w:pPr>
    </w:p>
    <w:p w14:paraId="6AECA701" w14:textId="77777777" w:rsidR="00A644D8" w:rsidRDefault="00A644D8">
      <w:pPr>
        <w:spacing w:line="240" w:lineRule="auto"/>
        <w:jc w:val="both"/>
        <w:rPr>
          <w:rFonts w:ascii="Times New Roman" w:hAnsi="Times New Roman" w:cs="Times New Roman"/>
          <w:iCs/>
          <w:lang w:val="en-US"/>
        </w:rPr>
      </w:pPr>
    </w:p>
    <w:p w14:paraId="13CFAEA7" w14:textId="77777777" w:rsidR="00A644D8" w:rsidRDefault="00A644D8">
      <w:pPr>
        <w:spacing w:line="240" w:lineRule="auto"/>
        <w:jc w:val="both"/>
        <w:rPr>
          <w:rFonts w:ascii="Times New Roman" w:hAnsi="Times New Roman" w:cs="Times New Roman"/>
          <w:iCs/>
          <w:lang w:val="en-US"/>
        </w:rPr>
      </w:pPr>
    </w:p>
    <w:p w14:paraId="216BF5B1" w14:textId="77777777" w:rsidR="00A644D8" w:rsidRDefault="00A644D8">
      <w:pPr>
        <w:spacing w:line="240" w:lineRule="auto"/>
        <w:jc w:val="both"/>
        <w:rPr>
          <w:rFonts w:ascii="Times New Roman" w:hAnsi="Times New Roman" w:cs="Times New Roman"/>
          <w:iCs/>
          <w:lang w:val="en-US"/>
        </w:rPr>
      </w:pPr>
    </w:p>
    <w:sectPr w:rsidR="00A644D8">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543101" w14:textId="77777777" w:rsidR="00811319" w:rsidRDefault="00811319">
      <w:pPr>
        <w:spacing w:line="240" w:lineRule="auto"/>
      </w:pPr>
      <w:r>
        <w:separator/>
      </w:r>
    </w:p>
  </w:endnote>
  <w:endnote w:type="continuationSeparator" w:id="0">
    <w:p w14:paraId="1361AD04" w14:textId="77777777" w:rsidR="00811319" w:rsidRDefault="0081131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engXian">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F8D43A" w14:textId="77777777" w:rsidR="00811319" w:rsidRDefault="00811319">
      <w:pPr>
        <w:spacing w:after="0"/>
      </w:pPr>
      <w:r>
        <w:separator/>
      </w:r>
    </w:p>
  </w:footnote>
  <w:footnote w:type="continuationSeparator" w:id="0">
    <w:p w14:paraId="516CA64A" w14:textId="77777777" w:rsidR="00811319" w:rsidRDefault="00811319">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D47250"/>
    <w:multiLevelType w:val="multilevel"/>
    <w:tmpl w:val="0FD47250"/>
    <w:lvl w:ilvl="0">
      <w:start w:val="1"/>
      <w:numFmt w:val="decimal"/>
      <w:lvlText w:val="%1.0"/>
      <w:lvlJc w:val="left"/>
      <w:pPr>
        <w:ind w:left="108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60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400" w:hanging="108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200" w:hanging="1440"/>
      </w:pPr>
      <w:rPr>
        <w:rFonts w:hint="default"/>
      </w:rPr>
    </w:lvl>
    <w:lvl w:ilvl="8">
      <w:start w:val="1"/>
      <w:numFmt w:val="decimal"/>
      <w:lvlText w:val="%1.%2.%3.%4.%5.%6.%7.%8.%9"/>
      <w:lvlJc w:val="left"/>
      <w:pPr>
        <w:ind w:left="8280" w:hanging="1800"/>
      </w:pPr>
      <w:rPr>
        <w:rFonts w:hint="default"/>
      </w:rPr>
    </w:lvl>
  </w:abstractNum>
  <w:abstractNum w:abstractNumId="1" w15:restartNumberingAfterBreak="0">
    <w:nsid w:val="2B980EE3"/>
    <w:multiLevelType w:val="multilevel"/>
    <w:tmpl w:val="2B980EE3"/>
    <w:lvl w:ilvl="0">
      <w:start w:val="1"/>
      <w:numFmt w:val="decimal"/>
      <w:lvlText w:val="%1"/>
      <w:lvlJc w:val="center"/>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2EFE0E70"/>
    <w:multiLevelType w:val="multilevel"/>
    <w:tmpl w:val="2EFE0E70"/>
    <w:lvl w:ilvl="0">
      <w:start w:val="1"/>
      <w:numFmt w:val="decimal"/>
      <w:lvlText w:val="%1"/>
      <w:lvlJc w:val="center"/>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56205803"/>
    <w:multiLevelType w:val="multilevel"/>
    <w:tmpl w:val="56205803"/>
    <w:lvl w:ilvl="0">
      <w:start w:val="1"/>
      <w:numFmt w:val="decimal"/>
      <w:pStyle w:val="Els-1storder-head"/>
      <w:suff w:val="space"/>
      <w:lvlText w:val="%1."/>
      <w:lvlJc w:val="left"/>
      <w:pPr>
        <w:ind w:left="0" w:firstLine="0"/>
      </w:pPr>
    </w:lvl>
    <w:lvl w:ilvl="1">
      <w:start w:val="1"/>
      <w:numFmt w:val="decimal"/>
      <w:pStyle w:val="Els-2ndorder-head"/>
      <w:suff w:val="space"/>
      <w:lvlText w:val="%1.%2."/>
      <w:lvlJc w:val="left"/>
      <w:pPr>
        <w:ind w:left="0" w:firstLine="0"/>
      </w:pPr>
    </w:lvl>
    <w:lvl w:ilvl="2">
      <w:start w:val="1"/>
      <w:numFmt w:val="decimal"/>
      <w:pStyle w:val="Els-3rdorder-head"/>
      <w:suff w:val="space"/>
      <w:lvlText w:val="%1.%2.%3."/>
      <w:lvlJc w:val="left"/>
      <w:pPr>
        <w:ind w:left="0" w:firstLine="0"/>
      </w:pPr>
    </w:lvl>
    <w:lvl w:ilvl="3">
      <w:start w:val="1"/>
      <w:numFmt w:val="decimal"/>
      <w:pStyle w:val="Els-4thorder-head"/>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3.%4.%5.%6.%7.%8.%9."/>
      <w:lvlJc w:val="left"/>
      <w:pPr>
        <w:ind w:left="0" w:firstLine="0"/>
      </w:pPr>
    </w:lvl>
  </w:abstractNum>
  <w:abstractNum w:abstractNumId="4" w15:restartNumberingAfterBreak="0">
    <w:nsid w:val="64AE20C6"/>
    <w:multiLevelType w:val="multilevel"/>
    <w:tmpl w:val="64AE20C6"/>
    <w:lvl w:ilvl="0">
      <w:start w:val="1"/>
      <w:numFmt w:val="decimal"/>
      <w:lvlText w:val="%1"/>
      <w:lvlJc w:val="center"/>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55284174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94822823">
    <w:abstractNumId w:val="0"/>
  </w:num>
  <w:num w:numId="3" w16cid:durableId="997079129">
    <w:abstractNumId w:val="4"/>
  </w:num>
  <w:num w:numId="4" w16cid:durableId="957951904">
    <w:abstractNumId w:val="1"/>
  </w:num>
  <w:num w:numId="5" w16cid:durableId="131695488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90AC4"/>
    <w:rsid w:val="000053AE"/>
    <w:rsid w:val="00010982"/>
    <w:rsid w:val="0001661D"/>
    <w:rsid w:val="000408B1"/>
    <w:rsid w:val="000534B0"/>
    <w:rsid w:val="00054B5A"/>
    <w:rsid w:val="00062525"/>
    <w:rsid w:val="00067E10"/>
    <w:rsid w:val="00087D05"/>
    <w:rsid w:val="00095ABB"/>
    <w:rsid w:val="000A11A4"/>
    <w:rsid w:val="000B2C9B"/>
    <w:rsid w:val="000C5FD8"/>
    <w:rsid w:val="000E6D2E"/>
    <w:rsid w:val="000E6F91"/>
    <w:rsid w:val="000F3825"/>
    <w:rsid w:val="001065CB"/>
    <w:rsid w:val="00111C66"/>
    <w:rsid w:val="0011426E"/>
    <w:rsid w:val="0011660B"/>
    <w:rsid w:val="00142A92"/>
    <w:rsid w:val="0014316B"/>
    <w:rsid w:val="00155D14"/>
    <w:rsid w:val="0017144C"/>
    <w:rsid w:val="00180514"/>
    <w:rsid w:val="00180AA7"/>
    <w:rsid w:val="00180D78"/>
    <w:rsid w:val="0018267D"/>
    <w:rsid w:val="00190057"/>
    <w:rsid w:val="001922E4"/>
    <w:rsid w:val="001976B2"/>
    <w:rsid w:val="001C15CC"/>
    <w:rsid w:val="001C72AA"/>
    <w:rsid w:val="001C7B6F"/>
    <w:rsid w:val="001D0125"/>
    <w:rsid w:val="001D666F"/>
    <w:rsid w:val="001E68E1"/>
    <w:rsid w:val="001F467F"/>
    <w:rsid w:val="002414CF"/>
    <w:rsid w:val="00247E86"/>
    <w:rsid w:val="00264B19"/>
    <w:rsid w:val="002743D6"/>
    <w:rsid w:val="0029049D"/>
    <w:rsid w:val="002A7BFB"/>
    <w:rsid w:val="002B1A8D"/>
    <w:rsid w:val="002B5B8F"/>
    <w:rsid w:val="002C323B"/>
    <w:rsid w:val="002D271E"/>
    <w:rsid w:val="002F1338"/>
    <w:rsid w:val="002F1D8C"/>
    <w:rsid w:val="00325A1A"/>
    <w:rsid w:val="00375C34"/>
    <w:rsid w:val="00392224"/>
    <w:rsid w:val="003929B3"/>
    <w:rsid w:val="003A373E"/>
    <w:rsid w:val="003A449B"/>
    <w:rsid w:val="003A62BA"/>
    <w:rsid w:val="003B1A6C"/>
    <w:rsid w:val="003C0890"/>
    <w:rsid w:val="003E126F"/>
    <w:rsid w:val="003E38FE"/>
    <w:rsid w:val="00401497"/>
    <w:rsid w:val="00402A3B"/>
    <w:rsid w:val="00403B9C"/>
    <w:rsid w:val="0040780D"/>
    <w:rsid w:val="00410911"/>
    <w:rsid w:val="00414C32"/>
    <w:rsid w:val="004157D1"/>
    <w:rsid w:val="00432D18"/>
    <w:rsid w:val="004369E9"/>
    <w:rsid w:val="00441F63"/>
    <w:rsid w:val="00446C2A"/>
    <w:rsid w:val="004474A6"/>
    <w:rsid w:val="00452D9A"/>
    <w:rsid w:val="00455A55"/>
    <w:rsid w:val="00456A1B"/>
    <w:rsid w:val="004573F6"/>
    <w:rsid w:val="00463FE6"/>
    <w:rsid w:val="00471816"/>
    <w:rsid w:val="00480BEA"/>
    <w:rsid w:val="00482C74"/>
    <w:rsid w:val="00482CF6"/>
    <w:rsid w:val="00487142"/>
    <w:rsid w:val="004B424C"/>
    <w:rsid w:val="004B5D58"/>
    <w:rsid w:val="004C04B8"/>
    <w:rsid w:val="004C4E50"/>
    <w:rsid w:val="004F6BA4"/>
    <w:rsid w:val="0050359E"/>
    <w:rsid w:val="00520654"/>
    <w:rsid w:val="00521DEB"/>
    <w:rsid w:val="005302DC"/>
    <w:rsid w:val="005302FA"/>
    <w:rsid w:val="00546E2A"/>
    <w:rsid w:val="00571B77"/>
    <w:rsid w:val="005750A0"/>
    <w:rsid w:val="005A35DD"/>
    <w:rsid w:val="005A3AAA"/>
    <w:rsid w:val="005C7585"/>
    <w:rsid w:val="005D0E4D"/>
    <w:rsid w:val="005D5748"/>
    <w:rsid w:val="006063F1"/>
    <w:rsid w:val="00611F41"/>
    <w:rsid w:val="00612564"/>
    <w:rsid w:val="00615404"/>
    <w:rsid w:val="006218F4"/>
    <w:rsid w:val="00625476"/>
    <w:rsid w:val="0063703B"/>
    <w:rsid w:val="0066504D"/>
    <w:rsid w:val="006A4540"/>
    <w:rsid w:val="006B3A8C"/>
    <w:rsid w:val="006E2236"/>
    <w:rsid w:val="006F21C8"/>
    <w:rsid w:val="00703357"/>
    <w:rsid w:val="00720D88"/>
    <w:rsid w:val="00724553"/>
    <w:rsid w:val="00724DF5"/>
    <w:rsid w:val="007264DC"/>
    <w:rsid w:val="007271E9"/>
    <w:rsid w:val="00733054"/>
    <w:rsid w:val="00741850"/>
    <w:rsid w:val="0074748A"/>
    <w:rsid w:val="007773F1"/>
    <w:rsid w:val="007909A4"/>
    <w:rsid w:val="007B0AA6"/>
    <w:rsid w:val="007B74A2"/>
    <w:rsid w:val="007C0C82"/>
    <w:rsid w:val="007E1028"/>
    <w:rsid w:val="007F1BBA"/>
    <w:rsid w:val="00810D9B"/>
    <w:rsid w:val="00811319"/>
    <w:rsid w:val="00812232"/>
    <w:rsid w:val="00820782"/>
    <w:rsid w:val="00830305"/>
    <w:rsid w:val="008309D3"/>
    <w:rsid w:val="00830F10"/>
    <w:rsid w:val="00833F45"/>
    <w:rsid w:val="008362A9"/>
    <w:rsid w:val="00862135"/>
    <w:rsid w:val="008745E4"/>
    <w:rsid w:val="008B1F13"/>
    <w:rsid w:val="008B7CB8"/>
    <w:rsid w:val="008C1FE1"/>
    <w:rsid w:val="008E026E"/>
    <w:rsid w:val="008E1515"/>
    <w:rsid w:val="008E5AC2"/>
    <w:rsid w:val="0090395B"/>
    <w:rsid w:val="00904F58"/>
    <w:rsid w:val="0092591A"/>
    <w:rsid w:val="00947FD6"/>
    <w:rsid w:val="00954666"/>
    <w:rsid w:val="009739D7"/>
    <w:rsid w:val="009801A7"/>
    <w:rsid w:val="00981E95"/>
    <w:rsid w:val="00983734"/>
    <w:rsid w:val="0098691E"/>
    <w:rsid w:val="00990845"/>
    <w:rsid w:val="00992B47"/>
    <w:rsid w:val="009A58A6"/>
    <w:rsid w:val="009A7EDC"/>
    <w:rsid w:val="009B2E72"/>
    <w:rsid w:val="00A203E1"/>
    <w:rsid w:val="00A26008"/>
    <w:rsid w:val="00A3230D"/>
    <w:rsid w:val="00A32CF8"/>
    <w:rsid w:val="00A36DD5"/>
    <w:rsid w:val="00A5036C"/>
    <w:rsid w:val="00A53706"/>
    <w:rsid w:val="00A644D8"/>
    <w:rsid w:val="00A64B0F"/>
    <w:rsid w:val="00A653E2"/>
    <w:rsid w:val="00A71662"/>
    <w:rsid w:val="00A77876"/>
    <w:rsid w:val="00A828AE"/>
    <w:rsid w:val="00A8338D"/>
    <w:rsid w:val="00AA12B4"/>
    <w:rsid w:val="00AC7FE6"/>
    <w:rsid w:val="00AD6227"/>
    <w:rsid w:val="00AE543B"/>
    <w:rsid w:val="00B05AF2"/>
    <w:rsid w:val="00B34D49"/>
    <w:rsid w:val="00B34E19"/>
    <w:rsid w:val="00B417A3"/>
    <w:rsid w:val="00B74DEF"/>
    <w:rsid w:val="00B801C2"/>
    <w:rsid w:val="00B96289"/>
    <w:rsid w:val="00B96F72"/>
    <w:rsid w:val="00BA10AE"/>
    <w:rsid w:val="00BA17F1"/>
    <w:rsid w:val="00BA1DB5"/>
    <w:rsid w:val="00BB5021"/>
    <w:rsid w:val="00BD44DD"/>
    <w:rsid w:val="00BD7973"/>
    <w:rsid w:val="00BF3CBD"/>
    <w:rsid w:val="00C03497"/>
    <w:rsid w:val="00C129BA"/>
    <w:rsid w:val="00C33E69"/>
    <w:rsid w:val="00C563E9"/>
    <w:rsid w:val="00C66B4C"/>
    <w:rsid w:val="00C77CEB"/>
    <w:rsid w:val="00C90AC4"/>
    <w:rsid w:val="00CB5ED0"/>
    <w:rsid w:val="00CE3A1A"/>
    <w:rsid w:val="00CE6A9E"/>
    <w:rsid w:val="00D00071"/>
    <w:rsid w:val="00D24D58"/>
    <w:rsid w:val="00D3469E"/>
    <w:rsid w:val="00D422DF"/>
    <w:rsid w:val="00D51365"/>
    <w:rsid w:val="00D52980"/>
    <w:rsid w:val="00D84EFE"/>
    <w:rsid w:val="00D93E20"/>
    <w:rsid w:val="00D95A7B"/>
    <w:rsid w:val="00DB2C40"/>
    <w:rsid w:val="00DD5A49"/>
    <w:rsid w:val="00E02EB3"/>
    <w:rsid w:val="00E15460"/>
    <w:rsid w:val="00E3207C"/>
    <w:rsid w:val="00E359AC"/>
    <w:rsid w:val="00E47D83"/>
    <w:rsid w:val="00E508C3"/>
    <w:rsid w:val="00E5522E"/>
    <w:rsid w:val="00E57962"/>
    <w:rsid w:val="00E62BA8"/>
    <w:rsid w:val="00E638E1"/>
    <w:rsid w:val="00E65622"/>
    <w:rsid w:val="00E7608B"/>
    <w:rsid w:val="00E979E4"/>
    <w:rsid w:val="00EA5D72"/>
    <w:rsid w:val="00EB378C"/>
    <w:rsid w:val="00EC2999"/>
    <w:rsid w:val="00EC7C17"/>
    <w:rsid w:val="00EE374A"/>
    <w:rsid w:val="00EE6439"/>
    <w:rsid w:val="00EE78A6"/>
    <w:rsid w:val="00EF031F"/>
    <w:rsid w:val="00F10D09"/>
    <w:rsid w:val="00F12F3F"/>
    <w:rsid w:val="00F1407D"/>
    <w:rsid w:val="00F32BC3"/>
    <w:rsid w:val="00F351E3"/>
    <w:rsid w:val="00F40CCB"/>
    <w:rsid w:val="00F62CF1"/>
    <w:rsid w:val="00F8170B"/>
    <w:rsid w:val="00F828D1"/>
    <w:rsid w:val="00F92277"/>
    <w:rsid w:val="00FB55F0"/>
    <w:rsid w:val="00FC1F76"/>
    <w:rsid w:val="00FD3FD5"/>
    <w:rsid w:val="00FE34A6"/>
    <w:rsid w:val="00FF6DDA"/>
    <w:rsid w:val="03DF5A07"/>
    <w:rsid w:val="0ABF0A88"/>
    <w:rsid w:val="52C06580"/>
    <w:rsid w:val="678B7ACF"/>
    <w:rsid w:val="68642A54"/>
  </w:rsids>
  <m:mathPr>
    <m:mathFont m:val="Cambria Math"/>
    <m:brkBin m:val="before"/>
    <m:brkBinSub m:val="--"/>
    <m:smallFrac m:val="0"/>
    <m:dispDef/>
    <m:lMargin m:val="0"/>
    <m:rMargin m:val="0"/>
    <m:defJc m:val="centerGroup"/>
    <m:wrapIndent m:val="1440"/>
    <m:intLim m:val="subSup"/>
    <m:naryLim m:val="undOvr"/>
  </m:mathPr>
  <w:themeFontLang w:val="zh-CN"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4F4EC2D9"/>
  <w15:docId w15:val="{0FF2B736-6B64-478D-8253-39D0801EAB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NG" w:eastAsia="en-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rFonts w:asciiTheme="minorHAnsi" w:eastAsiaTheme="minorHAnsi" w:hAnsiTheme="minorHAnsi" w:cstheme="minorBidi"/>
      <w:kern w:val="2"/>
      <w:sz w:val="22"/>
      <w:szCs w:val="22"/>
      <w:lang w:val="zh-CN" w:eastAsia="en-US"/>
      <w14:ligatures w14:val="standardContextual"/>
    </w:rPr>
  </w:style>
  <w:style w:type="paragraph" w:styleId="Heading4">
    <w:name w:val="heading 4"/>
    <w:basedOn w:val="Normal"/>
    <w:link w:val="Heading4Char"/>
    <w:uiPriority w:val="9"/>
    <w:qFormat/>
    <w:pPr>
      <w:spacing w:before="100" w:beforeAutospacing="1" w:after="100" w:afterAutospacing="1" w:line="240" w:lineRule="auto"/>
      <w:outlineLvl w:val="3"/>
    </w:pPr>
    <w:rPr>
      <w:rFonts w:ascii="Times New Roman" w:eastAsia="Times New Roman" w:hAnsi="Times New Roman" w:cs="Times New Roman"/>
      <w:b/>
      <w:bCs/>
      <w:kern w:val="0"/>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Pr>
      <w:color w:val="0563C1" w:themeColor="hyperlink"/>
      <w:u w:val="single"/>
    </w:rPr>
  </w:style>
  <w:style w:type="paragraph" w:styleId="NormalWeb">
    <w:name w:val="Normal (Web)"/>
    <w:basedOn w:val="Normal"/>
    <w:uiPriority w:val="99"/>
    <w:semiHidden/>
    <w:unhideWhenUsed/>
    <w:qFormat/>
    <w:pPr>
      <w:spacing w:before="100" w:beforeAutospacing="1" w:after="100" w:afterAutospacing="1" w:line="240" w:lineRule="auto"/>
    </w:pPr>
    <w:rPr>
      <w:rFonts w:ascii="Times New Roman" w:eastAsia="Times New Roman" w:hAnsi="Times New Roman" w:cs="Times New Roman"/>
      <w:kern w:val="0"/>
      <w:sz w:val="24"/>
      <w:szCs w:val="24"/>
      <w:lang w:eastAsia="zh-CN"/>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ls-1storder-head">
    <w:name w:val="Els-1storder-head"/>
    <w:next w:val="Normal"/>
    <w:qFormat/>
    <w:pPr>
      <w:keepNext/>
      <w:numPr>
        <w:numId w:val="1"/>
      </w:numPr>
      <w:suppressAutoHyphens/>
      <w:spacing w:before="240" w:after="240" w:line="240" w:lineRule="exact"/>
    </w:pPr>
    <w:rPr>
      <w:b/>
      <w:lang w:val="en-US" w:eastAsia="en-US"/>
    </w:rPr>
  </w:style>
  <w:style w:type="paragraph" w:customStyle="1" w:styleId="Els-2ndorder-head">
    <w:name w:val="Els-2ndorder-head"/>
    <w:next w:val="Normal"/>
    <w:qFormat/>
    <w:pPr>
      <w:keepNext/>
      <w:numPr>
        <w:ilvl w:val="1"/>
        <w:numId w:val="1"/>
      </w:numPr>
      <w:suppressAutoHyphens/>
      <w:spacing w:before="240" w:after="240" w:line="240" w:lineRule="exact"/>
    </w:pPr>
    <w:rPr>
      <w:i/>
      <w:lang w:val="en-US" w:eastAsia="en-US"/>
    </w:rPr>
  </w:style>
  <w:style w:type="paragraph" w:customStyle="1" w:styleId="Els-3rdorder-head">
    <w:name w:val="Els-3rdorder-head"/>
    <w:next w:val="Normal"/>
    <w:qFormat/>
    <w:pPr>
      <w:keepNext/>
      <w:numPr>
        <w:ilvl w:val="2"/>
        <w:numId w:val="1"/>
      </w:numPr>
      <w:suppressAutoHyphens/>
      <w:spacing w:before="240" w:line="240" w:lineRule="exact"/>
    </w:pPr>
    <w:rPr>
      <w:i/>
      <w:lang w:val="en-US" w:eastAsia="en-US"/>
    </w:rPr>
  </w:style>
  <w:style w:type="paragraph" w:customStyle="1" w:styleId="Els-4thorder-head">
    <w:name w:val="Els-4thorder-head"/>
    <w:next w:val="Normal"/>
    <w:qFormat/>
    <w:pPr>
      <w:keepNext/>
      <w:numPr>
        <w:ilvl w:val="3"/>
        <w:numId w:val="1"/>
      </w:numPr>
      <w:suppressAutoHyphens/>
      <w:spacing w:before="240" w:line="240" w:lineRule="exact"/>
    </w:pPr>
    <w:rPr>
      <w:i/>
      <w:lang w:val="en-US" w:eastAsia="en-US"/>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paragraph" w:styleId="ListParagraph">
    <w:name w:val="List Paragraph"/>
    <w:basedOn w:val="Normal"/>
    <w:uiPriority w:val="34"/>
    <w:qFormat/>
    <w:pPr>
      <w:ind w:left="720"/>
      <w:contextualSpacing/>
    </w:pPr>
  </w:style>
  <w:style w:type="paragraph" w:customStyle="1" w:styleId="Bibliography1">
    <w:name w:val="Bibliography1"/>
    <w:basedOn w:val="Normal"/>
    <w:next w:val="Normal"/>
    <w:uiPriority w:val="37"/>
    <w:unhideWhenUsed/>
    <w:qFormat/>
    <w:pPr>
      <w:spacing w:after="0" w:line="480" w:lineRule="auto"/>
      <w:ind w:left="720" w:hanging="720"/>
    </w:pPr>
  </w:style>
  <w:style w:type="table" w:customStyle="1" w:styleId="PlainTable31">
    <w:name w:val="Plain Table 31"/>
    <w:basedOn w:val="TableNormal"/>
    <w:uiPriority w:val="43"/>
    <w:qFormat/>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11">
    <w:name w:val="Plain Table 11"/>
    <w:basedOn w:val="TableNormal"/>
    <w:uiPriority w:val="41"/>
    <w:qFormat/>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1">
    <w:name w:val="Plain Table 51"/>
    <w:basedOn w:val="TableNormal"/>
    <w:uiPriority w:val="45"/>
    <w:qFormat/>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Heading4Char">
    <w:name w:val="Heading 4 Char"/>
    <w:basedOn w:val="DefaultParagraphFont"/>
    <w:link w:val="Heading4"/>
    <w:uiPriority w:val="9"/>
    <w:qFormat/>
    <w:rPr>
      <w:rFonts w:ascii="Times New Roman" w:eastAsia="Times New Roman" w:hAnsi="Times New Roman" w:cs="Times New Roman"/>
      <w:b/>
      <w:bCs/>
      <w:kern w:val="0"/>
      <w:sz w:val="24"/>
      <w:szCs w:val="24"/>
      <w:lang w:val="zh-CN" w:eastAsia="zh-CN"/>
    </w:rPr>
  </w:style>
  <w:style w:type="character" w:customStyle="1" w:styleId="xzpqnlu">
    <w:name w:val="xzpqnlu"/>
    <w:basedOn w:val="DefaultParagraphFont"/>
    <w:qFormat/>
  </w:style>
  <w:style w:type="paragraph" w:customStyle="1" w:styleId="TableParagraph">
    <w:name w:val="Table Paragraph"/>
    <w:basedOn w:val="Normal"/>
    <w:uiPriority w:val="1"/>
    <w:qFormat/>
    <w:pPr>
      <w:widowControl w:val="0"/>
      <w:autoSpaceDE w:val="0"/>
      <w:autoSpaceDN w:val="0"/>
      <w:spacing w:after="0" w:line="240" w:lineRule="auto"/>
    </w:pPr>
    <w:rPr>
      <w:rFonts w:eastAsia="Times New Roman"/>
      <w:kern w:val="0"/>
      <w:lang w:val="en-US"/>
    </w:rPr>
  </w:style>
  <w:style w:type="table" w:customStyle="1" w:styleId="ListTable1Light-Accent31">
    <w:name w:val="List Table 1 Light - Accent 31"/>
    <w:basedOn w:val="TableNormal"/>
    <w:uiPriority w:val="46"/>
    <w:qFormat/>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ListTable6Colorful-Accent31">
    <w:name w:val="List Table 6 Colorful - Accent 31"/>
    <w:basedOn w:val="TableNormal"/>
    <w:uiPriority w:val="51"/>
    <w:qFormat/>
    <w:rPr>
      <w:color w:val="7B7B7B" w:themeColor="accent3" w:themeShade="BF"/>
    </w:rPr>
    <w:tblPr>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osahon.ediae@covenantuniversity.edu.ng" TargetMode="External"/><Relationship Id="rId13" Type="http://schemas.openxmlformats.org/officeDocument/2006/relationships/image" Target="media/image3.jpe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jpeg"/><Relationship Id="rId17" Type="http://schemas.openxmlformats.org/officeDocument/2006/relationships/image" Target="media/image7.jpeg"/><Relationship Id="rId2" Type="http://schemas.openxmlformats.org/officeDocument/2006/relationships/numbering" Target="numbering.xml"/><Relationship Id="rId16" Type="http://schemas.openxmlformats.org/officeDocument/2006/relationships/image" Target="media/image6.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eg"/><Relationship Id="rId5" Type="http://schemas.openxmlformats.org/officeDocument/2006/relationships/webSettings" Target="webSettings.xml"/><Relationship Id="rId15" Type="http://schemas.openxmlformats.org/officeDocument/2006/relationships/image" Target="media/image5.jpeg"/><Relationship Id="rId10" Type="http://schemas.openxmlformats.org/officeDocument/2006/relationships/hyperlink" Target="mailto:olubunmi.egwu-chukwupgs@stu.cu.edu.ng"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mansahon@gmail.com;" TargetMode="External"/><Relationship Id="rId14"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40BF55-96A6-4396-BAAA-E769FA3F14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10</Pages>
  <Words>10217</Words>
  <Characters>58240</Characters>
  <Application>Microsoft Office Word</Application>
  <DocSecurity>0</DocSecurity>
  <Lines>485</Lines>
  <Paragraphs>136</Paragraphs>
  <ScaleCrop>false</ScaleCrop>
  <Company/>
  <LinksUpToDate>false</LinksUpToDate>
  <CharactersWithSpaces>68321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EGWU-CHUKWU Olubunmi Oluchi</dc:creator>
  <cp:lastModifiedBy>Unidel19</cp:lastModifiedBy>
  <cp:revision>39</cp:revision>
  <dcterms:created xsi:type="dcterms:W3CDTF">2023-04-20T10:12:00Z</dcterms:created>
  <dcterms:modified xsi:type="dcterms:W3CDTF">2026-04-01T15:32:00Z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3f3f6eb332dd1daf653f4361d8d31e6d8bb01a06f133ccb3b67c55747f3d63fd</vt:lpwstr>
  </property>
  <property fmtid="{D5CDD505-2E9C-101B-9397-08002B2CF9AE}" pid="3" name="ZOTERO_PREF_1">
    <vt:lpwstr>&lt;data data-version="3" zotero-version="6.0.26"&gt;&lt;session id="LxOeMjse"/&gt;&lt;style id="http://www.zotero.org/styles/apa" locale="en-US" hasBibliography="1" bibliographyStyleHasBeenSet="1"/&gt;&lt;prefs&gt;&lt;pref name="fieldType" value="Field"/&gt;&lt;pref name="automaticJourn</vt:lpwstr>
  </property>
  <property fmtid="{D5CDD505-2E9C-101B-9397-08002B2CF9AE}" pid="4" name="ZOTERO_PREF_2">
    <vt:lpwstr>alAbbreviations" value="true"/&gt;&lt;/prefs&gt;&lt;/data&gt;</vt:lpwstr>
  </property>
  <property fmtid="{D5CDD505-2E9C-101B-9397-08002B2CF9AE}" pid="5" name="KSOProductBuildVer">
    <vt:lpwstr>1033-12.2.0.23131</vt:lpwstr>
  </property>
  <property fmtid="{D5CDD505-2E9C-101B-9397-08002B2CF9AE}" pid="6" name="ICV">
    <vt:lpwstr>B4F42AF7BBBB4542A3C897FC45DC3AF4_13</vt:lpwstr>
  </property>
</Properties>
</file>