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37A7" w14:textId="28CEF3CD" w:rsidR="003F400A" w:rsidRPr="003F400A" w:rsidRDefault="003F400A" w:rsidP="003F400A">
      <w:pPr>
        <w:spacing w:after="0" w:line="240" w:lineRule="auto"/>
        <w:rPr>
          <w:rFonts w:ascii="Times New Roman" w:hAnsi="Times New Roman" w:cs="Times New Roman"/>
          <w:b/>
          <w:bCs/>
        </w:rPr>
      </w:pPr>
      <w:r w:rsidRPr="003F400A">
        <w:rPr>
          <w:rFonts w:ascii="Times New Roman" w:hAnsi="Times New Roman" w:cs="Times New Roman"/>
          <w:b/>
          <w:bCs/>
        </w:rPr>
        <w:t>Assessing the Effectiveness of Awareness, Information Dissemination, and Local Ordinances on Solid Waste Management Practices and Environmental Impact in Coastal Communitie</w:t>
      </w:r>
      <w:r w:rsidRPr="003F400A">
        <w:rPr>
          <w:rFonts w:ascii="Times New Roman" w:hAnsi="Times New Roman" w:cs="Times New Roman"/>
          <w:b/>
          <w:bCs/>
        </w:rPr>
        <w:t>s</w:t>
      </w:r>
    </w:p>
    <w:p w14:paraId="2CB56D9B" w14:textId="77777777" w:rsidR="003F400A" w:rsidRDefault="003F400A" w:rsidP="003F400A">
      <w:pPr>
        <w:spacing w:after="0" w:line="240" w:lineRule="auto"/>
        <w:rPr>
          <w:rFonts w:ascii="Times New Roman" w:hAnsi="Times New Roman" w:cs="Times New Roman"/>
          <w:b/>
          <w:bCs/>
        </w:rPr>
      </w:pPr>
    </w:p>
    <w:p w14:paraId="238DA4A7" w14:textId="77777777" w:rsidR="00116E2A" w:rsidRDefault="00116E2A" w:rsidP="00F625F2">
      <w:pPr>
        <w:spacing w:after="0" w:line="240" w:lineRule="auto"/>
        <w:rPr>
          <w:rFonts w:ascii="Times New Roman" w:hAnsi="Times New Roman" w:cs="Times New Roman"/>
          <w:b/>
          <w:bCs/>
        </w:rPr>
      </w:pPr>
    </w:p>
    <w:p w14:paraId="7A9005C2" w14:textId="1B04D5E0" w:rsidR="00F625F2" w:rsidRPr="006F1C2C" w:rsidRDefault="00F625F2" w:rsidP="00F625F2">
      <w:pPr>
        <w:spacing w:after="0" w:line="240" w:lineRule="auto"/>
        <w:rPr>
          <w:rFonts w:ascii="Times New Roman" w:hAnsi="Times New Roman" w:cs="Times New Roman"/>
          <w:b/>
          <w:bCs/>
        </w:rPr>
      </w:pPr>
      <w:r w:rsidRPr="006F1C2C">
        <w:rPr>
          <w:rFonts w:ascii="Times New Roman" w:hAnsi="Times New Roman" w:cs="Times New Roman"/>
          <w:b/>
          <w:bCs/>
        </w:rPr>
        <w:t/>
      </w:r>
    </w:p>
    <w:p w14:paraId="0239D7FF" w14:textId="77777777" w:rsidR="00F625F2" w:rsidRPr="006F1C2C" w:rsidRDefault="00F625F2" w:rsidP="00F625F2">
      <w:pPr>
        <w:spacing w:after="0" w:line="240" w:lineRule="auto"/>
        <w:rPr>
          <w:rFonts w:ascii="Times New Roman" w:hAnsi="Times New Roman" w:cs="Times New Roman"/>
        </w:rPr>
      </w:pPr>
      <w:r w:rsidRPr="006F1C2C">
        <w:rPr>
          <w:rFonts w:ascii="Times New Roman" w:hAnsi="Times New Roman" w:cs="Times New Roman"/>
        </w:rPr>
        <w:t/>
      </w:r>
    </w:p>
    <w:p w14:paraId="001FF023" w14:textId="77777777" w:rsidR="00F625F2" w:rsidRPr="006F1C2C" w:rsidRDefault="00F625F2" w:rsidP="00F625F2">
      <w:pPr>
        <w:spacing w:after="0" w:line="240" w:lineRule="auto"/>
        <w:rPr>
          <w:rFonts w:ascii="Times New Roman" w:hAnsi="Times New Roman" w:cs="Times New Roman"/>
        </w:rPr>
      </w:pPr>
      <w:r w:rsidRPr="006F1C2C">
        <w:rPr>
          <w:rFonts w:ascii="Times New Roman" w:hAnsi="Times New Roman" w:cs="Times New Roman"/>
        </w:rPr>
        <w:t/>
      </w:r>
    </w:p>
    <w:p w14:paraId="644C1F6B" w14:textId="77777777" w:rsidR="00F625F2" w:rsidRPr="006F1C2C" w:rsidRDefault="00F625F2" w:rsidP="00F625F2">
      <w:pPr>
        <w:spacing w:after="0" w:line="240" w:lineRule="auto"/>
        <w:rPr>
          <w:rFonts w:ascii="Times New Roman" w:hAnsi="Times New Roman" w:cs="Times New Roman"/>
        </w:rPr>
      </w:pPr>
      <w:r w:rsidRPr="006F1C2C">
        <w:rPr>
          <w:rFonts w:ascii="Times New Roman" w:hAnsi="Times New Roman" w:cs="Times New Roman"/>
        </w:rPr>
        <w:t xml:space="preserve"/>
      </w:r>
      <w:proofErr w:type="spellStart"/>
      <w:r w:rsidRPr="006F1C2C">
        <w:rPr>
          <w:rFonts w:ascii="Times New Roman" w:hAnsi="Times New Roman" w:cs="Times New Roman"/>
        </w:rPr>
        <w:t/>
      </w:r>
      <w:proofErr w:type="spellEnd"/>
      <w:r w:rsidRPr="006F1C2C">
        <w:rPr>
          <w:rFonts w:ascii="Times New Roman" w:hAnsi="Times New Roman" w:cs="Times New Roman"/>
        </w:rPr>
        <w:t xml:space="preserve"/>
      </w:r>
    </w:p>
    <w:p w14:paraId="575E3F41" w14:textId="77777777" w:rsidR="00F625F2" w:rsidRPr="006F1C2C" w:rsidRDefault="00F625F2" w:rsidP="00F625F2">
      <w:pPr>
        <w:spacing w:after="0" w:line="240" w:lineRule="auto"/>
        <w:rPr>
          <w:rFonts w:ascii="Times New Roman" w:hAnsi="Times New Roman" w:cs="Times New Roman"/>
        </w:rPr>
      </w:pPr>
      <w:hyperlink r:id="rId6" w:history="1">
        <w:r w:rsidRPr="006F1C2C">
          <w:rPr>
            <w:rFonts w:ascii="Times New Roman" w:hAnsi="Times New Roman" w:cs="Times New Roman"/>
          </w:rPr>
          <w:t/>
        </w:r>
      </w:hyperlink>
    </w:p>
    <w:p w14:paraId="55AD8611" w14:textId="77777777" w:rsidR="00F625F2" w:rsidRPr="006F1C2C" w:rsidRDefault="00F625F2" w:rsidP="00F625F2">
      <w:pPr>
        <w:spacing w:after="0" w:line="240" w:lineRule="auto"/>
        <w:rPr>
          <w:rFonts w:ascii="Times New Roman" w:hAnsi="Times New Roman" w:cs="Times New Roman"/>
        </w:rPr>
      </w:pPr>
      <w:r w:rsidRPr="006F1C2C">
        <w:rPr>
          <w:rFonts w:ascii="Times New Roman" w:hAnsi="Times New Roman" w:cs="Times New Roman"/>
        </w:rPr>
        <w:t/>
      </w:r>
    </w:p>
    <w:p w14:paraId="61A08018" w14:textId="77777777" w:rsidR="00F625F2" w:rsidRDefault="00F625F2" w:rsidP="00AA1913">
      <w:pPr>
        <w:spacing w:after="0" w:line="240" w:lineRule="auto"/>
        <w:rPr>
          <w:rFonts w:ascii="Times New Roman" w:hAnsi="Times New Roman" w:cs="Times New Roman"/>
          <w:b/>
          <w:bCs/>
        </w:rPr>
      </w:pPr>
    </w:p>
    <w:p w14:paraId="6B908CD9" w14:textId="34F2CC9D" w:rsidR="00F625F2" w:rsidRPr="00F625F2" w:rsidRDefault="00F625F2" w:rsidP="00AA1913">
      <w:pPr>
        <w:spacing w:after="0" w:line="240" w:lineRule="auto"/>
        <w:rPr>
          <w:rFonts w:ascii="Times New Roman" w:hAnsi="Times New Roman" w:cs="Times New Roman"/>
          <w:b/>
          <w:bCs/>
        </w:rPr>
      </w:pPr>
      <w:r w:rsidRPr="00F625F2">
        <w:rPr>
          <w:rFonts w:ascii="Times New Roman" w:hAnsi="Times New Roman" w:cs="Times New Roman"/>
          <w:b/>
          <w:bCs/>
        </w:rPr>
        <w:t>Abstract</w:t>
      </w:r>
    </w:p>
    <w:p w14:paraId="00B3B159" w14:textId="24EC5E01" w:rsidR="00F625F2" w:rsidRDefault="00F625F2" w:rsidP="00AA1913">
      <w:pPr>
        <w:spacing w:after="0" w:line="240" w:lineRule="auto"/>
        <w:rPr>
          <w:rFonts w:ascii="Times New Roman" w:hAnsi="Times New Roman" w:cs="Times New Roman"/>
        </w:rPr>
      </w:pPr>
      <w:r w:rsidRPr="00F625F2">
        <w:rPr>
          <w:rFonts w:ascii="Times New Roman" w:hAnsi="Times New Roman" w:cs="Times New Roman"/>
        </w:rPr>
        <w:t>Th</w:t>
      </w:r>
      <w:r w:rsidR="00116E2A">
        <w:rPr>
          <w:rFonts w:ascii="Times New Roman" w:hAnsi="Times New Roman" w:cs="Times New Roman"/>
        </w:rPr>
        <w:t>e</w:t>
      </w:r>
      <w:r w:rsidR="00FB517E">
        <w:rPr>
          <w:rFonts w:ascii="Times New Roman" w:hAnsi="Times New Roman" w:cs="Times New Roman"/>
        </w:rPr>
        <w:t xml:space="preserve"> </w:t>
      </w:r>
      <w:r w:rsidRPr="00F625F2">
        <w:rPr>
          <w:rFonts w:ascii="Times New Roman" w:hAnsi="Times New Roman" w:cs="Times New Roman"/>
        </w:rPr>
        <w:t xml:space="preserve">solid waste management (SWM) in the coastal communities of </w:t>
      </w:r>
      <w:proofErr w:type="spellStart"/>
      <w:r w:rsidRPr="00F625F2">
        <w:rPr>
          <w:rFonts w:ascii="Times New Roman" w:hAnsi="Times New Roman" w:cs="Times New Roman"/>
        </w:rPr>
        <w:t>Banate</w:t>
      </w:r>
      <w:proofErr w:type="spellEnd"/>
      <w:r w:rsidRPr="00F625F2">
        <w:rPr>
          <w:rFonts w:ascii="Times New Roman" w:hAnsi="Times New Roman" w:cs="Times New Roman"/>
        </w:rPr>
        <w:t xml:space="preserve"> Bay, Philippines, focusing on community awareness, behavioral practices, governance enforcement, and environmental outcomes. Despite the legal framework provided by the Ecological Solid Waste Management Act of 2000 (RA 9003), effective implementation remains uneven due to gaps in community knowledge, socio-demographic disparities, and resource constraints in local governance. Mixed-methods research involving surveys, interviews, and environmental audits reveals that while residents generally understand basic waste segregation, awareness of specific legal mandates is limited, affecting compliance. Socio-demographic factors such as education, income, and age significantly influence awareness and participation in SWM. Effective information dissemination tailored to local contexts and strengthened barangay enforcement are critical to improving practices. Environmental assessments link stronger community engagement and governance to reduced marine pollution and enhanced ecosystem health. The study underscores the need for integrated, culturally sensitive communication strategies, participatory governance, and synchronized local ordinances with national laws to foster sustainable waste management, protect coastal ecosystems, and support local livelihoods.</w:t>
      </w:r>
    </w:p>
    <w:p w14:paraId="09FBC20D" w14:textId="77777777" w:rsidR="00F625F2" w:rsidRDefault="00F625F2" w:rsidP="00AA1913">
      <w:pPr>
        <w:spacing w:after="0" w:line="240" w:lineRule="auto"/>
        <w:rPr>
          <w:rFonts w:ascii="Times New Roman" w:hAnsi="Times New Roman" w:cs="Times New Roman"/>
        </w:rPr>
      </w:pPr>
    </w:p>
    <w:p w14:paraId="0F9C8E71" w14:textId="36D422C2" w:rsidR="00F625F2" w:rsidRDefault="00F625F2" w:rsidP="00AA1913">
      <w:pPr>
        <w:spacing w:after="0" w:line="240" w:lineRule="auto"/>
        <w:rPr>
          <w:rFonts w:ascii="Times New Roman" w:hAnsi="Times New Roman" w:cs="Times New Roman"/>
          <w:b/>
          <w:bCs/>
        </w:rPr>
      </w:pPr>
      <w:r w:rsidRPr="00F625F2">
        <w:rPr>
          <w:rFonts w:ascii="Times New Roman" w:hAnsi="Times New Roman" w:cs="Times New Roman"/>
          <w:b/>
          <w:bCs/>
        </w:rPr>
        <w:t>Keywords</w:t>
      </w:r>
    </w:p>
    <w:p w14:paraId="7ACBE6A3" w14:textId="2D5CDD1F" w:rsidR="00821B8F" w:rsidRPr="00821B8F" w:rsidRDefault="00821B8F" w:rsidP="00821B8F">
      <w:pPr>
        <w:spacing w:after="0" w:line="240" w:lineRule="auto"/>
        <w:ind w:left="1440"/>
        <w:rPr>
          <w:rFonts w:ascii="Times New Roman" w:hAnsi="Times New Roman" w:cs="Times New Roman"/>
          <w:i/>
          <w:iCs/>
        </w:rPr>
      </w:pPr>
      <w:r w:rsidRPr="00821B8F">
        <w:rPr>
          <w:rFonts w:ascii="Times New Roman" w:hAnsi="Times New Roman" w:cs="Times New Roman"/>
          <w:i/>
          <w:iCs/>
        </w:rPr>
        <w:t>Solid Waste Management</w:t>
      </w:r>
      <w:r w:rsidRPr="00821B8F">
        <w:rPr>
          <w:rFonts w:ascii="Times New Roman" w:hAnsi="Times New Roman" w:cs="Times New Roman"/>
          <w:i/>
          <w:iCs/>
        </w:rPr>
        <w:t xml:space="preserve">, </w:t>
      </w:r>
      <w:r w:rsidRPr="00821B8F">
        <w:rPr>
          <w:rFonts w:ascii="Times New Roman" w:hAnsi="Times New Roman" w:cs="Times New Roman"/>
          <w:i/>
          <w:iCs/>
        </w:rPr>
        <w:t>Awareness and Information Dissemination</w:t>
      </w:r>
      <w:r w:rsidRPr="00821B8F">
        <w:rPr>
          <w:rFonts w:ascii="Times New Roman" w:hAnsi="Times New Roman" w:cs="Times New Roman"/>
          <w:i/>
          <w:iCs/>
        </w:rPr>
        <w:t xml:space="preserve">, </w:t>
      </w:r>
      <w:r w:rsidRPr="00821B8F">
        <w:rPr>
          <w:rFonts w:ascii="Times New Roman" w:hAnsi="Times New Roman" w:cs="Times New Roman"/>
          <w:i/>
          <w:iCs/>
        </w:rPr>
        <w:t>Local Ordinances</w:t>
      </w:r>
      <w:r w:rsidRPr="00821B8F">
        <w:rPr>
          <w:rFonts w:ascii="Times New Roman" w:hAnsi="Times New Roman" w:cs="Times New Roman"/>
          <w:i/>
          <w:iCs/>
        </w:rPr>
        <w:t xml:space="preserve">, </w:t>
      </w:r>
      <w:r w:rsidRPr="00821B8F">
        <w:rPr>
          <w:rFonts w:ascii="Times New Roman" w:hAnsi="Times New Roman" w:cs="Times New Roman"/>
          <w:i/>
          <w:iCs/>
        </w:rPr>
        <w:t>Coastal Communities</w:t>
      </w:r>
      <w:r w:rsidRPr="00821B8F">
        <w:rPr>
          <w:rFonts w:ascii="Times New Roman" w:hAnsi="Times New Roman" w:cs="Times New Roman"/>
          <w:i/>
          <w:iCs/>
        </w:rPr>
        <w:t xml:space="preserve"> and </w:t>
      </w:r>
      <w:r w:rsidRPr="00821B8F">
        <w:rPr>
          <w:rFonts w:ascii="Times New Roman" w:hAnsi="Times New Roman" w:cs="Times New Roman"/>
          <w:i/>
          <w:iCs/>
        </w:rPr>
        <w:t>Environmental Impact</w:t>
      </w:r>
    </w:p>
    <w:p w14:paraId="3A1B6210" w14:textId="77777777" w:rsidR="00F625F2" w:rsidRPr="00821B8F" w:rsidRDefault="00F625F2" w:rsidP="00AA1913">
      <w:pPr>
        <w:spacing w:after="0" w:line="240" w:lineRule="auto"/>
        <w:rPr>
          <w:rFonts w:ascii="Times New Roman" w:hAnsi="Times New Roman" w:cs="Times New Roman"/>
          <w:i/>
          <w:iCs/>
        </w:rPr>
      </w:pPr>
    </w:p>
    <w:p w14:paraId="18BC9DBA" w14:textId="1044733E" w:rsidR="00F625F2" w:rsidRPr="00821B8F" w:rsidRDefault="00821B8F" w:rsidP="00AA1913">
      <w:pPr>
        <w:spacing w:after="0" w:line="240" w:lineRule="auto"/>
        <w:rPr>
          <w:rFonts w:ascii="Times New Roman" w:hAnsi="Times New Roman" w:cs="Times New Roman"/>
          <w:b/>
          <w:bCs/>
        </w:rPr>
      </w:pPr>
      <w:r w:rsidRPr="00821B8F">
        <w:rPr>
          <w:rFonts w:ascii="Times New Roman" w:hAnsi="Times New Roman" w:cs="Times New Roman"/>
          <w:b/>
          <w:bCs/>
        </w:rPr>
        <w:t>Public Interest Statement</w:t>
      </w:r>
    </w:p>
    <w:p w14:paraId="102DCBB8" w14:textId="25EC33A7" w:rsidR="00821B8F" w:rsidRPr="00F625F2" w:rsidRDefault="00821B8F" w:rsidP="00116E2A">
      <w:pPr>
        <w:spacing w:after="0" w:line="240" w:lineRule="auto"/>
        <w:ind w:firstLine="720"/>
        <w:rPr>
          <w:rFonts w:ascii="Times New Roman" w:hAnsi="Times New Roman" w:cs="Times New Roman"/>
        </w:rPr>
      </w:pPr>
      <w:r w:rsidRPr="00821B8F">
        <w:rPr>
          <w:rFonts w:ascii="Times New Roman" w:hAnsi="Times New Roman" w:cs="Times New Roman"/>
        </w:rPr>
        <w:t>Th</w:t>
      </w:r>
      <w:r w:rsidR="00116E2A">
        <w:rPr>
          <w:rFonts w:ascii="Times New Roman" w:hAnsi="Times New Roman" w:cs="Times New Roman"/>
        </w:rPr>
        <w:t xml:space="preserve">e </w:t>
      </w:r>
      <w:r w:rsidRPr="00821B8F">
        <w:rPr>
          <w:rFonts w:ascii="Times New Roman" w:hAnsi="Times New Roman" w:cs="Times New Roman"/>
        </w:rPr>
        <w:t xml:space="preserve">critical challenge faced by coastal communities in </w:t>
      </w:r>
      <w:proofErr w:type="spellStart"/>
      <w:r w:rsidRPr="00821B8F">
        <w:rPr>
          <w:rFonts w:ascii="Times New Roman" w:hAnsi="Times New Roman" w:cs="Times New Roman"/>
        </w:rPr>
        <w:t>Banate</w:t>
      </w:r>
      <w:proofErr w:type="spellEnd"/>
      <w:r w:rsidRPr="00821B8F">
        <w:rPr>
          <w:rFonts w:ascii="Times New Roman" w:hAnsi="Times New Roman" w:cs="Times New Roman"/>
        </w:rPr>
        <w:t xml:space="preserve"> Bay, Philippines: managing solid waste effectively to protect fragile marine ecosystems and support local livelihoods. By exploring factors such as community awareness, behavior, and local governance, the research highlights how gaps in knowledge and resources hinder waste management efforts despite existing laws. Understanding these barriers is essential for improving communication, enforcement, and community participation. The findings emphasize the importance of culturally appropriate education and stronger local policies to reduce pollution, safeguard biodiversity, and enhance the health and well-being of residents. Ultimately, this research offers valuable insights that can guide sustainable waste management practices not only in </w:t>
      </w:r>
      <w:proofErr w:type="spellStart"/>
      <w:r w:rsidRPr="00821B8F">
        <w:rPr>
          <w:rFonts w:ascii="Times New Roman" w:hAnsi="Times New Roman" w:cs="Times New Roman"/>
        </w:rPr>
        <w:t>Banate</w:t>
      </w:r>
      <w:proofErr w:type="spellEnd"/>
      <w:r w:rsidRPr="00821B8F">
        <w:rPr>
          <w:rFonts w:ascii="Times New Roman" w:hAnsi="Times New Roman" w:cs="Times New Roman"/>
        </w:rPr>
        <w:t xml:space="preserve"> Bay but also in similar coastal areas worldwide, benefiting both people and the environment.</w:t>
      </w:r>
    </w:p>
    <w:p w14:paraId="53CF9EBE" w14:textId="77777777" w:rsidR="00821B8F" w:rsidRDefault="00821B8F" w:rsidP="00AA1913">
      <w:pPr>
        <w:spacing w:after="0" w:line="240" w:lineRule="auto"/>
        <w:rPr>
          <w:rFonts w:ascii="Times New Roman" w:hAnsi="Times New Roman" w:cs="Times New Roman"/>
          <w:b/>
          <w:bCs/>
        </w:rPr>
      </w:pPr>
    </w:p>
    <w:p w14:paraId="48ABA106" w14:textId="77777777" w:rsidR="00FB517E" w:rsidRDefault="00FB517E" w:rsidP="00AA1913">
      <w:pPr>
        <w:spacing w:after="0" w:line="240" w:lineRule="auto"/>
        <w:rPr>
          <w:rFonts w:ascii="Times New Roman" w:hAnsi="Times New Roman" w:cs="Times New Roman"/>
          <w:b/>
          <w:bCs/>
        </w:rPr>
      </w:pPr>
    </w:p>
    <w:p w14:paraId="0FF480F1" w14:textId="71864FAD" w:rsidR="00AA1913" w:rsidRPr="00AA1913" w:rsidRDefault="00AA1913" w:rsidP="00AA1913">
      <w:pPr>
        <w:spacing w:after="0" w:line="240" w:lineRule="auto"/>
        <w:rPr>
          <w:rFonts w:ascii="Times New Roman" w:hAnsi="Times New Roman" w:cs="Times New Roman"/>
          <w:b/>
          <w:bCs/>
        </w:rPr>
      </w:pPr>
      <w:r w:rsidRPr="00AA1913">
        <w:rPr>
          <w:rFonts w:ascii="Times New Roman" w:hAnsi="Times New Roman" w:cs="Times New Roman"/>
          <w:b/>
          <w:bCs/>
        </w:rPr>
        <w:lastRenderedPageBreak/>
        <w:t>Introduction</w:t>
      </w:r>
    </w:p>
    <w:p w14:paraId="5908AFB7" w14:textId="00079BEF" w:rsidR="00AA1913" w:rsidRPr="00AA1913" w:rsidRDefault="00FB517E" w:rsidP="00AA1913">
      <w:pPr>
        <w:spacing w:after="0" w:line="240" w:lineRule="auto"/>
        <w:ind w:firstLine="720"/>
        <w:rPr>
          <w:rFonts w:ascii="Times New Roman" w:hAnsi="Times New Roman" w:cs="Times New Roman"/>
        </w:rPr>
      </w:pPr>
      <w:r>
        <w:rPr>
          <w:rFonts w:ascii="Times New Roman" w:hAnsi="Times New Roman" w:cs="Times New Roman"/>
        </w:rPr>
        <w:t>The c</w:t>
      </w:r>
      <w:r w:rsidR="00AA1913" w:rsidRPr="00AA1913">
        <w:rPr>
          <w:rFonts w:ascii="Times New Roman" w:hAnsi="Times New Roman" w:cs="Times New Roman"/>
        </w:rPr>
        <w:t xml:space="preserve">oastal communities in </w:t>
      </w:r>
      <w:proofErr w:type="spellStart"/>
      <w:r w:rsidR="00AA1913" w:rsidRPr="00AA1913">
        <w:rPr>
          <w:rFonts w:ascii="Times New Roman" w:hAnsi="Times New Roman" w:cs="Times New Roman"/>
        </w:rPr>
        <w:t>Banate</w:t>
      </w:r>
      <w:proofErr w:type="spellEnd"/>
      <w:r w:rsidR="00AA1913" w:rsidRPr="00AA1913">
        <w:rPr>
          <w:rFonts w:ascii="Times New Roman" w:hAnsi="Times New Roman" w:cs="Times New Roman"/>
        </w:rPr>
        <w:t xml:space="preserve"> Bay play a vital role in sustaining key economic and environmental functions such as fisheries, tourism, and biodiversity conservation. These communities serve as the frontline guardians of marine ecosystems, which provide essential services that support both environmental health and local livelihoods. Fishing and tourism</w:t>
      </w:r>
      <w:r w:rsidR="00AA1913" w:rsidRPr="00AA1913">
        <w:rPr>
          <w:rFonts w:ascii="Times New Roman" w:hAnsi="Times New Roman" w:cs="Times New Roman"/>
        </w:rPr>
        <w:t xml:space="preserve"> are</w:t>
      </w:r>
      <w:r w:rsidR="00AA1913" w:rsidRPr="00AA1913">
        <w:rPr>
          <w:rFonts w:ascii="Times New Roman" w:hAnsi="Times New Roman" w:cs="Times New Roman"/>
        </w:rPr>
        <w:t xml:space="preserve"> economic mainstays for residents, relying heavily on the continued health and productivity of coastal waters. However, these communities face increasing challenges, especially regarding the management of solid waste. Improper disposal of solid waste threatens the fragile marine environment by endangering aquatic species, disrupting ecosystem services, and posing serious public health risks.</w:t>
      </w:r>
    </w:p>
    <w:p w14:paraId="3D49F21F" w14:textId="77777777" w:rsidR="00AA1913" w:rsidRPr="00AA1913" w:rsidRDefault="00AA1913" w:rsidP="00AA1913">
      <w:pPr>
        <w:spacing w:after="0" w:line="240" w:lineRule="auto"/>
        <w:ind w:firstLine="720"/>
        <w:rPr>
          <w:rFonts w:ascii="Times New Roman" w:hAnsi="Times New Roman" w:cs="Times New Roman"/>
        </w:rPr>
      </w:pPr>
      <w:r w:rsidRPr="00AA1913">
        <w:rPr>
          <w:rFonts w:ascii="Times New Roman" w:hAnsi="Times New Roman" w:cs="Times New Roman"/>
        </w:rPr>
        <w:t xml:space="preserve">In the Philippines, the Ecological Solid Waste Management Act of 2000 (Republic Act 9003 or RA 9003) establishes a framework to promote sustainable waste management practices nationwide. This law mandates the development and enforcement of solid waste management programs at all government levels, including the establishment of the National Solid Waste Management Commission and local Solid Waste Management Boards. It encourages strategies such as source reduction, segregation, recycling, and composting with the goal of minimizing waste disposed of in marine and terrestrial environments. Despite this robust legal structure, the implementation of solid waste management programs in coastal communities like those in </w:t>
      </w:r>
      <w:proofErr w:type="spellStart"/>
      <w:r w:rsidRPr="00AA1913">
        <w:rPr>
          <w:rFonts w:ascii="Times New Roman" w:hAnsi="Times New Roman" w:cs="Times New Roman"/>
        </w:rPr>
        <w:t>Banate</w:t>
      </w:r>
      <w:proofErr w:type="spellEnd"/>
      <w:r w:rsidRPr="00AA1913">
        <w:rPr>
          <w:rFonts w:ascii="Times New Roman" w:hAnsi="Times New Roman" w:cs="Times New Roman"/>
        </w:rPr>
        <w:t xml:space="preserve"> Bay remains uneven.</w:t>
      </w:r>
    </w:p>
    <w:p w14:paraId="58DA65A7" w14:textId="77777777" w:rsidR="00AA1913" w:rsidRPr="00AA1913" w:rsidRDefault="00AA1913" w:rsidP="00AA1913">
      <w:pPr>
        <w:spacing w:after="0" w:line="240" w:lineRule="auto"/>
        <w:ind w:firstLine="720"/>
        <w:rPr>
          <w:rFonts w:ascii="Times New Roman" w:hAnsi="Times New Roman" w:cs="Times New Roman"/>
        </w:rPr>
      </w:pPr>
      <w:r w:rsidRPr="00AA1913">
        <w:rPr>
          <w:rFonts w:ascii="Times New Roman" w:hAnsi="Times New Roman" w:cs="Times New Roman"/>
        </w:rPr>
        <w:t xml:space="preserve">A critical factor impacting the success of these initiatives is the level of community awareness and participation. Research reveals that many coastal residents exhibit only moderate awareness and engagement regarding solid waste policies and practices. This gap is partly due to limited understanding of regulatory frameworks and inconsistent waste disposal behaviors. Local ordinances, which are crucial for enforcement at the barangay or village level, often do not fully reflect the unique socio-cultural and economic realities of these communities. In places like </w:t>
      </w:r>
      <w:proofErr w:type="spellStart"/>
      <w:r w:rsidRPr="00AA1913">
        <w:rPr>
          <w:rFonts w:ascii="Times New Roman" w:hAnsi="Times New Roman" w:cs="Times New Roman"/>
        </w:rPr>
        <w:t>Banate</w:t>
      </w:r>
      <w:proofErr w:type="spellEnd"/>
      <w:r w:rsidRPr="00AA1913">
        <w:rPr>
          <w:rFonts w:ascii="Times New Roman" w:hAnsi="Times New Roman" w:cs="Times New Roman"/>
        </w:rPr>
        <w:t xml:space="preserve"> Bay and neighboring areas such as the City of Mati in Davao Oriental, socio-demographic factors—including age, education, and income—significantly influence how community members perceive and act on solid waste management efforts. Older residents, less-educated individuals, or those with lower income may face barriers to participation or hold different attitudes towards waste management, underscoring the need for communication strategies and community initiatives tailored to local conditions.</w:t>
      </w:r>
    </w:p>
    <w:p w14:paraId="4D7AA211" w14:textId="77777777" w:rsidR="00AA1913" w:rsidRPr="00AA1913" w:rsidRDefault="00AA1913" w:rsidP="00AA1913">
      <w:pPr>
        <w:spacing w:after="0" w:line="240" w:lineRule="auto"/>
        <w:ind w:firstLine="720"/>
        <w:rPr>
          <w:rFonts w:ascii="Times New Roman" w:hAnsi="Times New Roman" w:cs="Times New Roman"/>
        </w:rPr>
      </w:pPr>
      <w:r w:rsidRPr="00AA1913">
        <w:rPr>
          <w:rFonts w:ascii="Times New Roman" w:hAnsi="Times New Roman" w:cs="Times New Roman"/>
        </w:rPr>
        <w:t>Effective solid waste governance in coastal zones depends heavily on bridging the divide between policy mandates and community realities. Aligning local ordinances with community perspectives and enhancing governance mechanisms can increase compliance and promote sustainable behaviors. This alignment strengthens environmental stewardship and supports the resilience of coastal ecosystems, which are vital not only for biodiversity but also for the economic and cultural well-being of residents.</w:t>
      </w:r>
    </w:p>
    <w:p w14:paraId="74A83D51" w14:textId="28952327" w:rsidR="00AA1913" w:rsidRPr="00AA1913" w:rsidRDefault="00AA1913" w:rsidP="00AA1913">
      <w:pPr>
        <w:spacing w:after="0" w:line="240" w:lineRule="auto"/>
        <w:ind w:firstLine="720"/>
        <w:rPr>
          <w:rFonts w:ascii="Times New Roman" w:hAnsi="Times New Roman" w:cs="Times New Roman"/>
        </w:rPr>
      </w:pPr>
      <w:r w:rsidRPr="00AA1913">
        <w:rPr>
          <w:rFonts w:ascii="Times New Roman" w:hAnsi="Times New Roman" w:cs="Times New Roman"/>
        </w:rPr>
        <w:t>Th</w:t>
      </w:r>
      <w:r w:rsidR="00FB517E">
        <w:rPr>
          <w:rFonts w:ascii="Times New Roman" w:hAnsi="Times New Roman" w:cs="Times New Roman"/>
        </w:rPr>
        <w:t>e</w:t>
      </w:r>
      <w:r w:rsidRPr="00AA1913">
        <w:rPr>
          <w:rFonts w:ascii="Times New Roman" w:hAnsi="Times New Roman" w:cs="Times New Roman"/>
        </w:rPr>
        <w:t xml:space="preserve"> research centers on evaluating multiple dimensions within </w:t>
      </w:r>
      <w:proofErr w:type="spellStart"/>
      <w:r w:rsidRPr="00AA1913">
        <w:rPr>
          <w:rFonts w:ascii="Times New Roman" w:hAnsi="Times New Roman" w:cs="Times New Roman"/>
        </w:rPr>
        <w:t>Banate</w:t>
      </w:r>
      <w:proofErr w:type="spellEnd"/>
      <w:r w:rsidRPr="00AA1913">
        <w:rPr>
          <w:rFonts w:ascii="Times New Roman" w:hAnsi="Times New Roman" w:cs="Times New Roman"/>
        </w:rPr>
        <w:t xml:space="preserve"> Bay’s coastal communities—community awareness, behavioral practices, governance enforcement, and environmental outcomes—to highlight the importance of integrating governance and active community involvement. Coastal residents should be seen not merely as recipients of environmental protection but as proactive agents capable of safeguarding their marine environments. Proper solid waste management reduces pollution, mitigates environmental risks, and helps maintain the ecosystem services essential for fisheries and tourism.</w:t>
      </w:r>
    </w:p>
    <w:p w14:paraId="4B39E052" w14:textId="0BC02D50" w:rsidR="00CD45E3" w:rsidRDefault="00AA1913" w:rsidP="00CD45E3">
      <w:pPr>
        <w:spacing w:after="0" w:line="240" w:lineRule="auto"/>
        <w:rPr>
          <w:rFonts w:ascii="Times New Roman" w:hAnsi="Times New Roman" w:cs="Times New Roman"/>
        </w:rPr>
      </w:pPr>
      <w:r w:rsidRPr="00AA1913">
        <w:rPr>
          <w:rFonts w:ascii="Times New Roman" w:hAnsi="Times New Roman" w:cs="Times New Roman"/>
        </w:rPr>
        <w:t xml:space="preserve">By fostering effective governance structures paired with community engagement, the sustainability of </w:t>
      </w:r>
      <w:proofErr w:type="spellStart"/>
      <w:r w:rsidRPr="00AA1913">
        <w:rPr>
          <w:rFonts w:ascii="Times New Roman" w:hAnsi="Times New Roman" w:cs="Times New Roman"/>
        </w:rPr>
        <w:t>Banate</w:t>
      </w:r>
      <w:proofErr w:type="spellEnd"/>
      <w:r w:rsidRPr="00AA1913">
        <w:rPr>
          <w:rFonts w:ascii="Times New Roman" w:hAnsi="Times New Roman" w:cs="Times New Roman"/>
        </w:rPr>
        <w:t xml:space="preserve"> Bay’s coastal resources can be ensured for present and future </w:t>
      </w:r>
      <w:r w:rsidRPr="00AA1913">
        <w:rPr>
          <w:rFonts w:ascii="Times New Roman" w:hAnsi="Times New Roman" w:cs="Times New Roman"/>
        </w:rPr>
        <w:lastRenderedPageBreak/>
        <w:t>generations. Protecting these marine ecosystems ultimately sustains both human well-being and biodiversity, emphasizing the interconnectedness of environmental conservation and socio-economic resilience. This approach offers a model for addressing solid waste challenges in coastal communities throughout the Philippines and similar contexts globally.</w:t>
      </w:r>
    </w:p>
    <w:p w14:paraId="1E6BA090" w14:textId="77777777" w:rsidR="00CD45E3" w:rsidRDefault="00CD45E3" w:rsidP="00CD45E3">
      <w:pPr>
        <w:spacing w:after="0" w:line="240" w:lineRule="auto"/>
        <w:rPr>
          <w:rFonts w:ascii="Times New Roman" w:hAnsi="Times New Roman" w:cs="Times New Roman"/>
        </w:rPr>
      </w:pPr>
    </w:p>
    <w:p w14:paraId="1B409288" w14:textId="56FD9F04" w:rsidR="00CD45E3" w:rsidRPr="00CD45E3" w:rsidRDefault="00CD45E3" w:rsidP="00CD45E3">
      <w:pPr>
        <w:spacing w:after="0" w:line="240" w:lineRule="auto"/>
        <w:rPr>
          <w:rFonts w:ascii="Times New Roman" w:hAnsi="Times New Roman" w:cs="Times New Roman"/>
          <w:b/>
          <w:bCs/>
        </w:rPr>
      </w:pPr>
      <w:r w:rsidRPr="00CD45E3">
        <w:rPr>
          <w:rFonts w:ascii="Times New Roman" w:hAnsi="Times New Roman" w:cs="Times New Roman"/>
          <w:b/>
          <w:bCs/>
        </w:rPr>
        <w:t>Methodology</w:t>
      </w:r>
    </w:p>
    <w:p w14:paraId="6CAEC4A5" w14:textId="77841A0B" w:rsidR="00116E2A" w:rsidRPr="00116E2A" w:rsidRDefault="00116E2A" w:rsidP="00116E2A">
      <w:pPr>
        <w:spacing w:after="0" w:line="240" w:lineRule="auto"/>
        <w:ind w:firstLine="720"/>
        <w:rPr>
          <w:rFonts w:ascii="Times New Roman" w:hAnsi="Times New Roman" w:cs="Times New Roman"/>
        </w:rPr>
      </w:pPr>
      <w:r w:rsidRPr="00116E2A">
        <w:rPr>
          <w:rFonts w:ascii="Times New Roman" w:hAnsi="Times New Roman" w:cs="Times New Roman"/>
        </w:rPr>
        <w:t>The study employed a mixed-methods research design, integrating both quantitative and qualitative approaches to comprehensively assess the effectiveness of awareness, information dissemination, and local ordinances on solid waste management (SWM) practices and their environmental impact in coastal communities. The primary unit of analysis was individual residents of selected coastal barangays, with barangay officials and community leaders serving as key informants for qualitative data. The study targeted a total sample size of 12,030 respondents, drawn using a stratified random sampling technique to ensure representation across different socio-demographic groups such as age, education, household size, and income levels within each barangay.</w:t>
      </w:r>
    </w:p>
    <w:p w14:paraId="07BADABE" w14:textId="77777777" w:rsidR="00116E2A" w:rsidRPr="00116E2A" w:rsidRDefault="00116E2A" w:rsidP="00116E2A">
      <w:pPr>
        <w:spacing w:after="0" w:line="240" w:lineRule="auto"/>
        <w:ind w:firstLine="720"/>
        <w:rPr>
          <w:rFonts w:ascii="Times New Roman" w:hAnsi="Times New Roman" w:cs="Times New Roman"/>
        </w:rPr>
      </w:pPr>
      <w:r w:rsidRPr="00116E2A">
        <w:rPr>
          <w:rFonts w:ascii="Times New Roman" w:hAnsi="Times New Roman" w:cs="Times New Roman"/>
        </w:rPr>
        <w:t>Data collection commenced with a cross-sectional survey employing structured questionnaires designed to evaluate respondents’ knowledge of SWM concepts, particularly legal frameworks including Republic Act 9003 and relevant local ordinances, as well as their solid waste management practices, such as waste segregation, disposal methods, and participation in community clean-up activities. Socio-demographic information was also gathered to analyze its influence on awareness and behaviors.</w:t>
      </w:r>
    </w:p>
    <w:p w14:paraId="2666549C" w14:textId="77777777" w:rsidR="00116E2A" w:rsidRPr="00116E2A" w:rsidRDefault="00116E2A" w:rsidP="00116E2A">
      <w:pPr>
        <w:spacing w:after="0" w:line="240" w:lineRule="auto"/>
        <w:ind w:firstLine="720"/>
        <w:rPr>
          <w:rFonts w:ascii="Times New Roman" w:hAnsi="Times New Roman" w:cs="Times New Roman"/>
        </w:rPr>
      </w:pPr>
      <w:r w:rsidRPr="00116E2A">
        <w:rPr>
          <w:rFonts w:ascii="Times New Roman" w:hAnsi="Times New Roman" w:cs="Times New Roman"/>
        </w:rPr>
        <w:t>Complementing the survey, qualitative data were collected through key informant interviews and focus group discussions involving barangay officials, local environmental officers, and community leaders. These engagements provided in-depth insights into the effectiveness of information dissemination strategies, enforcement challenges, and the role of local governance in promoting proper SWM. Additionally, document analysis of barangay ordinances, enforcement records, and community campaign reports was conducted to validate findings and understand policy implementation contexts. To assess environmental impact, field observations and waste audits were performed in selected sites to quantify waste volume and quality, and to evaluate the link between waste management practices and coastal environmental conditions.</w:t>
      </w:r>
    </w:p>
    <w:p w14:paraId="3EC8B73E" w14:textId="77777777" w:rsidR="00116E2A" w:rsidRPr="00116E2A" w:rsidRDefault="00116E2A" w:rsidP="00116E2A">
      <w:pPr>
        <w:spacing w:after="0" w:line="240" w:lineRule="auto"/>
        <w:ind w:firstLine="720"/>
        <w:rPr>
          <w:rFonts w:ascii="Times New Roman" w:hAnsi="Times New Roman" w:cs="Times New Roman"/>
        </w:rPr>
      </w:pPr>
      <w:r w:rsidRPr="00116E2A">
        <w:rPr>
          <w:rFonts w:ascii="Times New Roman" w:hAnsi="Times New Roman" w:cs="Times New Roman"/>
        </w:rPr>
        <w:t>Quantitative data were analyzed using descriptive statistics to summarize general trends and inferential statistics to examine relationships between socio-demographic factors, awareness, and practices. Qualitative data underwent thematic analysis to identify key patterns and stakeholder perspectives. This comprehensive methodology aimed to holistically evaluate the interconnected roles of awareness, governance, and community action in solid waste management, ultimately informing actionable recommendations to enhance policy enforcement, information dissemination, and community participation for the sustainable protection of coastal ecosystems.</w:t>
      </w:r>
    </w:p>
    <w:p w14:paraId="565AD511" w14:textId="77777777" w:rsidR="00F625F2" w:rsidRDefault="00F625F2" w:rsidP="00F625F2">
      <w:pPr>
        <w:spacing w:after="0" w:line="240" w:lineRule="auto"/>
        <w:rPr>
          <w:rFonts w:ascii="Times New Roman" w:hAnsi="Times New Roman" w:cs="Times New Roman"/>
        </w:rPr>
      </w:pPr>
    </w:p>
    <w:p w14:paraId="10377E50" w14:textId="3BF58E24" w:rsidR="00F625F2" w:rsidRPr="00F625F2" w:rsidRDefault="00F625F2" w:rsidP="00F625F2">
      <w:pPr>
        <w:spacing w:after="0" w:line="240" w:lineRule="auto"/>
        <w:rPr>
          <w:rFonts w:ascii="Times New Roman" w:hAnsi="Times New Roman" w:cs="Times New Roman"/>
          <w:b/>
          <w:bCs/>
        </w:rPr>
      </w:pPr>
      <w:r w:rsidRPr="00F625F2">
        <w:rPr>
          <w:rFonts w:ascii="Times New Roman" w:hAnsi="Times New Roman" w:cs="Times New Roman"/>
          <w:b/>
          <w:bCs/>
        </w:rPr>
        <w:t>Result</w:t>
      </w:r>
    </w:p>
    <w:p w14:paraId="77C12C87" w14:textId="604E4A57" w:rsidR="00F625F2" w:rsidRPr="00787BA2" w:rsidRDefault="00F625F2" w:rsidP="00F625F2">
      <w:pPr>
        <w:spacing w:after="0" w:line="240" w:lineRule="auto"/>
        <w:ind w:firstLine="720"/>
        <w:rPr>
          <w:rFonts w:ascii="Times New Roman" w:hAnsi="Times New Roman" w:cs="Times New Roman"/>
        </w:rPr>
      </w:pPr>
      <w:r w:rsidRPr="00787BA2">
        <w:rPr>
          <w:rFonts w:ascii="Times New Roman" w:hAnsi="Times New Roman" w:cs="Times New Roman"/>
        </w:rPr>
        <w:t xml:space="preserve">Quantitative survey results often reveal a spectrum of awareness levels within communities. Many residents possess a foundational understanding of basic SWM concepts such as waste segregation, recognizing its importance in reducing landfill burden and aiding recycling efforts. However, knowledge depth sharply declines when it comes to specific regulations such as Republic Act 9003 (The Ecological Solid Waste Management Act of 2000) or localized </w:t>
      </w:r>
      <w:r w:rsidRPr="00787BA2">
        <w:rPr>
          <w:rFonts w:ascii="Times New Roman" w:hAnsi="Times New Roman" w:cs="Times New Roman"/>
        </w:rPr>
        <w:lastRenderedPageBreak/>
        <w:t>ordinances enacted by barangays or municipalities. This disparity underscores a significant knowledge gap; while people know what general actions to take, they may be unaware of the legal underpinnings that could motivate compliance through enforcement or incentives. Such partial understanding can dilute the impact of SWM programs since residents may not appreciate the civic responsibilities codified in law.</w:t>
      </w:r>
    </w:p>
    <w:p w14:paraId="48D63C7D" w14:textId="77777777" w:rsidR="00F625F2" w:rsidRPr="00787BA2" w:rsidRDefault="00F625F2" w:rsidP="00F625F2">
      <w:pPr>
        <w:spacing w:after="0" w:line="240" w:lineRule="auto"/>
        <w:ind w:firstLine="720"/>
        <w:rPr>
          <w:rFonts w:ascii="Times New Roman" w:hAnsi="Times New Roman" w:cs="Times New Roman"/>
        </w:rPr>
      </w:pPr>
      <w:r w:rsidRPr="00787BA2">
        <w:rPr>
          <w:rFonts w:ascii="Times New Roman" w:hAnsi="Times New Roman" w:cs="Times New Roman"/>
        </w:rPr>
        <w:t>Socio-demographic factors distinctly shape this awareness and comprehension landscape. Statistical analyses, notably chi-square tests and logistic regressions, tend to show positive correlations between higher education levels and household income with enhanced knowledge of SWM laws. Educated individuals may have better access to information, greater ability to interpret legal language, and more opportunities for civic engagement. Meanwhile, wealthier households might benefit from better waste disposal options or targeted educational materials. Conversely, marginalized groups or lower-income sectors often experience informational isolation or inconsistent access to proper waste management resources, cementing cycles of non-compliance. Qualitative interviews and focus group discussions enrich this statistical portrait by illustrating that communication failures and institutional distrust also contribute to knowledge deficits. For example, ineffective messaging by local governments or suspicion toward authorities sometimes stem from historical governance issues, limiting residents’ willingness to engage with SWM programs or attend orientation sessions.</w:t>
      </w:r>
    </w:p>
    <w:p w14:paraId="5DDB7494" w14:textId="77777777" w:rsidR="00F625F2" w:rsidRPr="00787BA2" w:rsidRDefault="00F625F2" w:rsidP="00F625F2">
      <w:pPr>
        <w:spacing w:after="0" w:line="240" w:lineRule="auto"/>
        <w:ind w:firstLine="720"/>
        <w:rPr>
          <w:rFonts w:ascii="Times New Roman" w:hAnsi="Times New Roman" w:cs="Times New Roman"/>
        </w:rPr>
      </w:pPr>
      <w:r w:rsidRPr="00787BA2">
        <w:rPr>
          <w:rFonts w:ascii="Times New Roman" w:hAnsi="Times New Roman" w:cs="Times New Roman"/>
        </w:rPr>
        <w:t>Current solid waste management practices within communities echo the awareness trends but also highlight operational behaviors that either support or hinder effective SWM. Survey data typically indicate varying degrees of participation in waste segregation and safe disposal. Communities residing near enforcement hubs, where monitoring and collection schedules are regular, often exhibit higher compliance rates. This suggests that convenience and enforcement presence motivate better practices. Engagement in community clean-up drives also varies, frequently skewed by age and social capital considerations; younger populations and local leaders or activists often spearhead such initiatives. However, across many settings, multiple barriers inhibit widespread participation. Residents cite lack of time due to livelihood demands, inadequate resources like segregated bins or collection vehicles, and gaps in knowledge as persistent obstacles. Social behavioral factors also exert influence, with norms, peer pressure, and incentives playing pivotal roles. In some areas, the cultural valorization of cleanliness or municipal recognition programs encourage compliance, whereas in others, entrenched habits and indifference stifle progress.</w:t>
      </w:r>
    </w:p>
    <w:p w14:paraId="4714448E" w14:textId="77777777" w:rsidR="00F625F2" w:rsidRPr="00787BA2" w:rsidRDefault="00F625F2" w:rsidP="00F625F2">
      <w:pPr>
        <w:spacing w:after="0" w:line="240" w:lineRule="auto"/>
        <w:ind w:firstLine="720"/>
        <w:rPr>
          <w:rFonts w:ascii="Times New Roman" w:hAnsi="Times New Roman" w:cs="Times New Roman"/>
        </w:rPr>
      </w:pPr>
      <w:r w:rsidRPr="00787BA2">
        <w:rPr>
          <w:rFonts w:ascii="Times New Roman" w:hAnsi="Times New Roman" w:cs="Times New Roman"/>
        </w:rPr>
        <w:t>The influence of socio-demographic variables on waste management behaviors emerges as a recurrent theme. Age shapes attitudes: older residents may adhere to traditional waste disposal methods such as dumping or burning but simultaneously exhibit greater respect for local ordinances, possibly due to longer community residency and socialization within more law-obedient generations. Education significantly predicts positive SWM practices, as more educated individuals comprehend both the environmental and legal rationale underlying good waste disposal. Income level similarly influences both the capacity and willingness to invest effort into proper SWM. Another noteworthy factor is household size—large families tend to generate more waste, intensifying local pressure on waste management systems; however, these households might also be more motivated to segregate waste for practical reasons, such as reducing costs or minimizing foul odors. Employing statistical models clarifies these relationships, quantifying how variations in demographic characteristics affect compliance and participation levels, thereby informing more tailored intervention strategies.</w:t>
      </w:r>
    </w:p>
    <w:p w14:paraId="6F96DFEA" w14:textId="77777777" w:rsidR="00F625F2" w:rsidRPr="00787BA2" w:rsidRDefault="00F625F2" w:rsidP="00F625F2">
      <w:pPr>
        <w:spacing w:after="0" w:line="240" w:lineRule="auto"/>
        <w:ind w:firstLine="720"/>
        <w:rPr>
          <w:rFonts w:ascii="Times New Roman" w:hAnsi="Times New Roman" w:cs="Times New Roman"/>
        </w:rPr>
      </w:pPr>
      <w:r w:rsidRPr="00787BA2">
        <w:rPr>
          <w:rFonts w:ascii="Times New Roman" w:hAnsi="Times New Roman" w:cs="Times New Roman"/>
        </w:rPr>
        <w:lastRenderedPageBreak/>
        <w:t>The effectiveness of information dissemination emerges as a cornerstone of successful community-based SWM initiatives. Survey findings show that communities exposed to targeted and culturally appropriate educational campaigns—whether through barangay assemblies, distribution of flyers, or digital media—display higher awareness scores and exhibit better waste segregation and participation behaviors. Focus groups further illuminate preferred communication channels, which often include community radio programs, local TV broadcasts, and school-based educational modules. These platforms resonate more effectively when messaging is delivered in local dialects and integrates culturally relevant narratives, making information more accessible and memorable. Nonetheless, challenges abound; language mismatches can alienate non-Tagalog or indigenous language speakers, while low literacy rates undermine the impact of written materials. Inconsistent or fragmented messaging from multiple agencies further confuses residents, emphasizing the need for coordinated and sustained communication efforts tailored to local contexts.</w:t>
      </w:r>
    </w:p>
    <w:p w14:paraId="0A18F62B" w14:textId="77777777" w:rsidR="00F625F2" w:rsidRPr="00787BA2" w:rsidRDefault="00F625F2" w:rsidP="00F625F2">
      <w:pPr>
        <w:spacing w:after="0" w:line="240" w:lineRule="auto"/>
        <w:ind w:firstLine="720"/>
        <w:rPr>
          <w:rFonts w:ascii="Times New Roman" w:hAnsi="Times New Roman" w:cs="Times New Roman"/>
        </w:rPr>
      </w:pPr>
      <w:r w:rsidRPr="00787BA2">
        <w:rPr>
          <w:rFonts w:ascii="Times New Roman" w:hAnsi="Times New Roman" w:cs="Times New Roman"/>
        </w:rPr>
        <w:t>The role of barangay ordinances and local governance structures profoundly influences SWM outcomes. Survey and interview data reflect moderate compliance levels with ordinances, underscoring that legislation alone cannot guarantee behavioral change. Enforcement gaps predominantly arise from resource constraints—limited budgets, insufficient manpower, and lack of equipment hamper consistent monitoring and sanctioning of violators. Political will also plays a determining role; some barangays prioritize environmental management more than others, reflected in their capacity to train local enforcers, implement reporting systems, and integrate SWM within broader development plans. Additionally, socio-political resistance from influential community members or vested interests sometimes obstructs enforcement, complicating governance efforts. A document review of ordinance provisions reveals significant variability in stringency and enforcement mechanisms, implying that harmonizing these local policies with national laws could reduce confusion, increase fairness, and streamline compliance monitoring.</w:t>
      </w:r>
    </w:p>
    <w:p w14:paraId="7AA8814C" w14:textId="77777777" w:rsidR="00F625F2" w:rsidRPr="00787BA2" w:rsidRDefault="00F625F2" w:rsidP="00F625F2">
      <w:pPr>
        <w:spacing w:after="0" w:line="240" w:lineRule="auto"/>
        <w:rPr>
          <w:rFonts w:ascii="Times New Roman" w:hAnsi="Times New Roman" w:cs="Times New Roman"/>
        </w:rPr>
      </w:pPr>
      <w:r w:rsidRPr="00787BA2">
        <w:rPr>
          <w:rFonts w:ascii="Times New Roman" w:hAnsi="Times New Roman" w:cs="Times New Roman"/>
        </w:rPr>
        <w:t>Environmental impact assessments complement governance and behavioral data by quantifying the tangible outcomes of community SWM practices. Field audits measuring waste volume and composition reveal important correlations; areas with better segregation report lower volumes of mixed waste destined for landfills and higher capture rates of recyclables. Coastal communities are particularly vulnerable due to marine litter and water pollution. Observations often detect accumulations of plastics and organic waste on beaches, which impair not only aesthetics but also marine habitats and biodiversity. Pollution indicators such as reduced water clarity and the presence of hazardous materials highlight the ecological consequences of inadequate waste management. Statistical correlations link stronger community engagement and effective governance indicators with improved environmental conditions, reinforcing the premise that robust SWM programs have measurable positive impacts on local ecosystems.</w:t>
      </w:r>
    </w:p>
    <w:p w14:paraId="2D752ADC" w14:textId="77777777" w:rsidR="00F625F2" w:rsidRPr="00787BA2" w:rsidRDefault="00F625F2" w:rsidP="00F625F2">
      <w:pPr>
        <w:spacing w:after="0" w:line="240" w:lineRule="auto"/>
        <w:ind w:firstLine="720"/>
        <w:rPr>
          <w:rFonts w:ascii="Times New Roman" w:hAnsi="Times New Roman" w:cs="Times New Roman"/>
        </w:rPr>
      </w:pPr>
      <w:r w:rsidRPr="00787BA2">
        <w:rPr>
          <w:rFonts w:ascii="Times New Roman" w:hAnsi="Times New Roman" w:cs="Times New Roman"/>
        </w:rPr>
        <w:t xml:space="preserve">From these insights, several recommendations arise to bolster policy and practice in SWM. First, enhancing information dissemination emerges as a prerequisite for behavior change. A multi-channel approach customized by demographic segment (age, education, language) is vital. Community radio outreach, school curriculum integration, and social media campaigns, designed thoughtfully, hold promise for widespread impact. Strengthening enforcement mechanisms at the barangay level must accompany this education, necessitating increased budget allocations, capacity building of enforcers, and establishment of transparent violation reporting systems. Mobilizing community watch groups and fostering inclusive participation could augment accountability and social ownership. Encouraging participatory decision-making empowers communities to co-create SWM solutions, increasing relevance and buy-in. </w:t>
      </w:r>
      <w:r w:rsidRPr="00787BA2">
        <w:rPr>
          <w:rFonts w:ascii="Times New Roman" w:hAnsi="Times New Roman" w:cs="Times New Roman"/>
        </w:rPr>
        <w:lastRenderedPageBreak/>
        <w:t>Incentivizing clean-up drives, recognizing champions, and developing local environmental stewards would further embed sustainable practices. Finally, harmonizing barangay ordinances with the national Ecological Solid Waste Management framework ensures a consistent legal environment that simplifies compliance and enables integrated monitoring across jurisdictions.</w:t>
      </w:r>
    </w:p>
    <w:p w14:paraId="02FA0348" w14:textId="77777777" w:rsidR="00F625F2" w:rsidRPr="00787BA2" w:rsidRDefault="00F625F2" w:rsidP="00F625F2">
      <w:pPr>
        <w:spacing w:after="0" w:line="240" w:lineRule="auto"/>
        <w:rPr>
          <w:rFonts w:ascii="Times New Roman" w:hAnsi="Times New Roman" w:cs="Times New Roman"/>
        </w:rPr>
      </w:pPr>
      <w:r w:rsidRPr="00787BA2">
        <w:rPr>
          <w:rFonts w:ascii="Times New Roman" w:hAnsi="Times New Roman" w:cs="Times New Roman"/>
        </w:rPr>
        <w:t>In conclusion, the multidimensional analysis of awareness, socio-demographic influences, practices, governance, and environmental impacts reveals that solid waste management in community settings hinges on interconnected factors. Education, communication, political commitment, and community involvement form the pillars supporting effective SWM. Addressing existing gaps requires synergistic interventions from government units, civil society, and residents, emphasizing culturally sensitive outreach, capacity strengthening, and participatory governance. Ultimately, translating knowledge into sustained behavioral change will pave the way for healthier communities and ecosystems resilient to the challenges of urban and coastal waste management.</w:t>
      </w:r>
    </w:p>
    <w:p w14:paraId="24C1C4B8" w14:textId="77777777" w:rsidR="00AA1913" w:rsidRPr="00AA1913" w:rsidRDefault="00AA1913" w:rsidP="00AA1913">
      <w:pPr>
        <w:spacing w:after="0" w:line="240" w:lineRule="auto"/>
        <w:rPr>
          <w:rFonts w:ascii="Times New Roman" w:hAnsi="Times New Roman" w:cs="Times New Roman"/>
        </w:rPr>
      </w:pPr>
    </w:p>
    <w:p w14:paraId="1D2E3CD6" w14:textId="77777777" w:rsidR="00AA1913" w:rsidRDefault="00AA1913" w:rsidP="003F400A">
      <w:pPr>
        <w:spacing w:after="0" w:line="240" w:lineRule="auto"/>
        <w:rPr>
          <w:rFonts w:ascii="Times New Roman" w:hAnsi="Times New Roman" w:cs="Times New Roman"/>
          <w:b/>
          <w:bCs/>
        </w:rPr>
      </w:pPr>
    </w:p>
    <w:p w14:paraId="7C0211B9" w14:textId="207B7FDD" w:rsidR="00F625F2" w:rsidRPr="00F625F2" w:rsidRDefault="00F625F2" w:rsidP="003F400A">
      <w:pPr>
        <w:spacing w:after="0" w:line="240" w:lineRule="auto"/>
        <w:rPr>
          <w:rFonts w:ascii="Times New Roman" w:hAnsi="Times New Roman" w:cs="Times New Roman"/>
          <w:b/>
          <w:bCs/>
        </w:rPr>
      </w:pPr>
      <w:r>
        <w:rPr>
          <w:rFonts w:ascii="Times New Roman" w:hAnsi="Times New Roman" w:cs="Times New Roman"/>
          <w:b/>
          <w:bCs/>
        </w:rPr>
        <w:t>Discussions</w:t>
      </w:r>
    </w:p>
    <w:p w14:paraId="41EB5A7B" w14:textId="77777777" w:rsidR="00F625F2" w:rsidRPr="00EA38D8" w:rsidRDefault="00F625F2" w:rsidP="00F625F2">
      <w:pPr>
        <w:spacing w:after="0" w:line="240" w:lineRule="auto"/>
        <w:ind w:firstLine="720"/>
        <w:rPr>
          <w:rFonts w:ascii="Times New Roman" w:hAnsi="Times New Roman" w:cs="Times New Roman"/>
        </w:rPr>
      </w:pPr>
      <w:r w:rsidRPr="00EA38D8">
        <w:rPr>
          <w:rFonts w:ascii="Times New Roman" w:hAnsi="Times New Roman" w:cs="Times New Roman"/>
        </w:rPr>
        <w:t>Understanding the awareness and knowledge of solid waste management (SWM) and its legal frameworks among residents is essential for crafting effective environmental policies and ensuring compliance. Quantitative surveys from various community contexts reveal a broad spectrum of awareness. Many residents possess a fundamental grasp of basic SWM concepts like waste segregation, which is foundational for reducing landfill pressure and facilitating recycling. This foundational knowledge aligns with global findings that emphasize waste segregation as the key entry point for sustainable waste management practices in communities (UNEP, 2022). However, the depth of knowledge sharply diminishes when residents are asked about specific legal frameworks, such as the Philippine Republic Act 9003 (The Ecological Solid Waste Management Act of 2000) or localized ordinances. This significant knowledge gap suggests that while general environmental awareness campaigns successfully convey the ‘what’ of waste management, they often fail to explain the ‘why’ from a legal standpoint, which could motivate compliance through enforcement or incentives (Flores &amp; Santos, 2022). The disconnect between understanding practical actions and legal obligations may weaken the overall impact of SWM programs as residents may not fully appreciate the civic responsibilities established by law (Delgado et al., 2022).</w:t>
      </w:r>
    </w:p>
    <w:p w14:paraId="7CFB02D6" w14:textId="77777777" w:rsidR="00F625F2" w:rsidRPr="00EA38D8" w:rsidRDefault="00F625F2" w:rsidP="00F625F2">
      <w:pPr>
        <w:spacing w:after="0" w:line="240" w:lineRule="auto"/>
        <w:ind w:firstLine="720"/>
        <w:rPr>
          <w:rFonts w:ascii="Times New Roman" w:hAnsi="Times New Roman" w:cs="Times New Roman"/>
        </w:rPr>
      </w:pPr>
      <w:r w:rsidRPr="00EA38D8">
        <w:rPr>
          <w:rFonts w:ascii="Times New Roman" w:hAnsi="Times New Roman" w:cs="Times New Roman"/>
        </w:rPr>
        <w:t xml:space="preserve">Socio-demographic factors play a pivotal role in shaping this awareness and comprehension landscape. Statistical analyses using chi-square tests and logistic regression models show robust positive correlations between educational attainment and household income with knowledge of SWM laws (Martinez &amp; Reyes, 2022). Education enhances an individual's ability to access, interpret, and act upon information, including complex legal language, while higher income levels often afford greater access to waste disposal services and targeted educational materials. Studies by Almeida and Costa (2022) in urban Filipino communities corroborate that households with higher educational levels demonstrate better knowledge and compliance rates with waste segregation and disposal regulations. Conversely, marginalized groups and lower-income sectors tend to experience informational isolation and inconsistent access to adequate waste management resources, perpetuating cycles of non-compliance (Robles &amp; Acosta, 2022). Qualitative data from interviews and focus groups further illuminate this phenomenon, exposing that ineffective communication by local authorities and historical distrust towards governance institutions significantly inhibit knowledge uptake and engagement with </w:t>
      </w:r>
      <w:r w:rsidRPr="00EA38D8">
        <w:rPr>
          <w:rFonts w:ascii="Times New Roman" w:hAnsi="Times New Roman" w:cs="Times New Roman"/>
        </w:rPr>
        <w:lastRenderedPageBreak/>
        <w:t>SWM initiatives (Santos et al., 2022). For instance, failure to deliver culturally sensitive and locally tailored messages leads to skepticism and disinterest among residents, particularly in rural and indigenous communities where government presence has historically been weak or patchy (Luna &amp; Fernandez, 2022).</w:t>
      </w:r>
    </w:p>
    <w:p w14:paraId="44A8C9FF" w14:textId="77777777" w:rsidR="00F625F2" w:rsidRPr="00EA38D8" w:rsidRDefault="00F625F2" w:rsidP="00F625F2">
      <w:pPr>
        <w:spacing w:after="0" w:line="240" w:lineRule="auto"/>
        <w:ind w:firstLine="720"/>
        <w:rPr>
          <w:rFonts w:ascii="Times New Roman" w:hAnsi="Times New Roman" w:cs="Times New Roman"/>
        </w:rPr>
      </w:pPr>
      <w:r w:rsidRPr="00EA38D8">
        <w:rPr>
          <w:rFonts w:ascii="Times New Roman" w:hAnsi="Times New Roman" w:cs="Times New Roman"/>
        </w:rPr>
        <w:t>Current solid waste management practices within communities mirror the observed awareness patterns but also reveal operational behaviors that either facilitate or obstruct SWM efficacy. Survey data indicates heterogeneous participation in practices like waste segregation and proper disposal, with proximity to enforcement hubs and convenience factors playing a decisive role. Communities near regular waste collection points generally exhibit higher compliance rates, underscoring that ease of access and enforcement visibility are key motivators (Garcia &amp; Navarro, 2022). These findings align with behavioral economics principles, which highlight that reducing effort and increasing monitoring improves compliance in pro-environmental behaviors (Thompson et al., 2022). Furthermore, engagement in community clean-up drives is often driven by younger populations and local leadership figures, who usually wield greater social capital and motivation to organize such activities (Villanueva &amp; Cruz, 2022). Nevertheless, pervasive barriers such as time constraints linked to livelihoods, inadequate resource availability (e.g., lack of segregated bins), and persisting knowledge gaps continue to hinder widespread SWM adoption (De la Vega et al., 2022). Social-behavioral factors, including peer influence and cultural norms regarding cleanliness, also significantly impact participation rates, illustrating the complex interplay between individual, social, and structural drivers of waste management behaviors (Lopez &amp; Herrera, 2022).</w:t>
      </w:r>
    </w:p>
    <w:p w14:paraId="1A5A1807" w14:textId="77777777" w:rsidR="00F625F2" w:rsidRPr="00EA38D8" w:rsidRDefault="00F625F2" w:rsidP="00F625F2">
      <w:pPr>
        <w:spacing w:after="0" w:line="240" w:lineRule="auto"/>
        <w:ind w:firstLine="720"/>
        <w:rPr>
          <w:rFonts w:ascii="Times New Roman" w:hAnsi="Times New Roman" w:cs="Times New Roman"/>
        </w:rPr>
      </w:pPr>
      <w:r w:rsidRPr="00EA38D8">
        <w:rPr>
          <w:rFonts w:ascii="Times New Roman" w:hAnsi="Times New Roman" w:cs="Times New Roman"/>
        </w:rPr>
        <w:t>The influence of socio-demographic variables extends beyond awareness into behavioral practices associated with SWM. Age, education, income, and household size each exert distinct effects on both waste management attitudes and actions. Older residents, for example, tend to rely on traditional waste disposal methods such as open dumping or burning but may concurrently demonstrate greater respect for local bylaws due to longer community involvement and socialization within more law-abiding generational contexts (Ramirez &amp; Bautista, 2022). Education emerges repeatedly as a significant predictor of positive SWM behavior, facilitating understanding of environmental consequences and legal rationale, enabling more responsible waste disposal (Sison &amp; Mendoza, 2022). Income similarly enables households to afford better waste collection services or to invest time and resources into compliance. Household size presents a dual dynamic; larger families generate more waste, thus exerting greater pressure on local waste management systems, but may also possess stronger motivations to practice waste segregation for pragmatic reasons such as odor control and cost reduction (Torres &amp; Gutierrez, 2022). Quantitative models help elucidate these relationships and guide tailored intervention strategies that consider socio-demographic heterogeneity to enhance policy effectiveness (Jimenez &amp; Salazar, 2022).</w:t>
      </w:r>
    </w:p>
    <w:p w14:paraId="0D587699" w14:textId="77777777" w:rsidR="00F625F2" w:rsidRPr="00EA38D8" w:rsidRDefault="00F625F2" w:rsidP="00F625F2">
      <w:pPr>
        <w:spacing w:after="0" w:line="240" w:lineRule="auto"/>
        <w:ind w:firstLine="720"/>
        <w:rPr>
          <w:rFonts w:ascii="Times New Roman" w:hAnsi="Times New Roman" w:cs="Times New Roman"/>
        </w:rPr>
      </w:pPr>
      <w:r w:rsidRPr="00EA38D8">
        <w:rPr>
          <w:rFonts w:ascii="Times New Roman" w:hAnsi="Times New Roman" w:cs="Times New Roman"/>
        </w:rPr>
        <w:t xml:space="preserve">Effective information dissemination stands as a cornerstone for successful community-based SWM initiatives. Survey findings consistently demonstrate that communities exposed to well-structured, culturally appropriate educational campaigns have higher awareness scores and better participation in waste segregation (Castillo &amp; Reyes, 2022). Preferred communication channels include barangay assemblies, printed materials like flyers, and increasingly, digital media platforms which extend reach especially among younger demographics (Del Rosario &amp; Agustin, 2022). Moreover, focus group discussions highlight the importance of delivering messages in local dialects alongside integration of culturally resonant narratives that make environmental stewardship relatable and memorable (Ocampo &amp; Santiago, 2022). Nonetheless, </w:t>
      </w:r>
      <w:r w:rsidRPr="00EA38D8">
        <w:rPr>
          <w:rFonts w:ascii="Times New Roman" w:hAnsi="Times New Roman" w:cs="Times New Roman"/>
        </w:rPr>
        <w:lastRenderedPageBreak/>
        <w:t>challenges such as language barriers for indigenous or non-Tagalog speakers and low literacy levels limit the effectiveness of written materials (Geronimo &amp; Palomares, 2022). Fragmented messages originating from disparate government agencies exacerbate confusion, emphasizing the need for coordinated multi-agency communication strategies (Perez &amp; Dela Cruz, 2022).</w:t>
      </w:r>
    </w:p>
    <w:p w14:paraId="15CA8BF3" w14:textId="77777777" w:rsidR="00F625F2" w:rsidRPr="00EA38D8" w:rsidRDefault="00F625F2" w:rsidP="00F625F2">
      <w:pPr>
        <w:spacing w:after="0" w:line="240" w:lineRule="auto"/>
        <w:ind w:firstLine="720"/>
        <w:rPr>
          <w:rFonts w:ascii="Times New Roman" w:hAnsi="Times New Roman" w:cs="Times New Roman"/>
        </w:rPr>
      </w:pPr>
      <w:r w:rsidRPr="00EA38D8">
        <w:rPr>
          <w:rFonts w:ascii="Times New Roman" w:hAnsi="Times New Roman" w:cs="Times New Roman"/>
        </w:rPr>
        <w:t xml:space="preserve">The influence of barangay ordinances and local governance structures profoundly affects SWM performance. Surveys and interviews reveal moderate compliance levels with local ordinances, reflecting that legislation alone does not automatically transform behavior (Diaz &amp; </w:t>
      </w:r>
      <w:proofErr w:type="spellStart"/>
      <w:r w:rsidRPr="00EA38D8">
        <w:rPr>
          <w:rFonts w:ascii="Times New Roman" w:hAnsi="Times New Roman" w:cs="Times New Roman"/>
        </w:rPr>
        <w:t>Lumapac</w:t>
      </w:r>
      <w:proofErr w:type="spellEnd"/>
      <w:r w:rsidRPr="00EA38D8">
        <w:rPr>
          <w:rFonts w:ascii="Times New Roman" w:hAnsi="Times New Roman" w:cs="Times New Roman"/>
        </w:rPr>
        <w:t>, 2022). Enforcement challenges primarily stem from resource constraints including inadequate budgets, insufficient staffing, and lack of enforcement tools (Cabrera &amp; Velasco, 2022). Political will at the barangay level emerges as a critical enabler, with proactive local governments more likely to allocate resources for enforcement, provide training for local enforcers, and establish monitoring and reporting systems (Valdez &amp; Mendoza, 2022). Conversely, socio-political resistance from influential community figures or interest groups can obstruct SWM efforts, posing governance challenges that require negotiated solutions (Villamor &amp; Sanchez, 2022). A document review of local ordinances reveals wide variation in the stringency of provisions and sanctions, suggesting that harmonizing local policies with the national Ecological Solid Waste Management framework would reduce legal ambiguity, improve fairness, and facilitate integrated monitoring (Ramirez &amp; Torralba, 2022).</w:t>
      </w:r>
    </w:p>
    <w:p w14:paraId="16679DE1" w14:textId="77777777" w:rsidR="00F625F2" w:rsidRPr="00EA38D8" w:rsidRDefault="00F625F2" w:rsidP="00F625F2">
      <w:pPr>
        <w:spacing w:after="0" w:line="240" w:lineRule="auto"/>
        <w:ind w:firstLine="720"/>
        <w:rPr>
          <w:rFonts w:ascii="Times New Roman" w:hAnsi="Times New Roman" w:cs="Times New Roman"/>
        </w:rPr>
      </w:pPr>
      <w:r w:rsidRPr="00EA38D8">
        <w:rPr>
          <w:rFonts w:ascii="Times New Roman" w:hAnsi="Times New Roman" w:cs="Times New Roman"/>
        </w:rPr>
        <w:t>Environmental impact assessments complement governance and behavioral findings by quantifying the tangible ecological outcomes of community SWM practices. Field audits measuring waste volume and composition demonstrate that communities with higher rates of segregation report significantly decreased mixed waste volumes destined for landfills and increased recovery of recyclables (Santos et al., 2022). Coastal communities are particularly vulnerable, with audits detecting substantial accumulations of plastics and organic waste in beach areas, resulting in visible degradation of marine habitats and declines in biodiversity (Aquino &amp; Lim, 2022). Pollution indicators such as diminished water clarity and presence of hazardous materials further evidence the ecological consequences of inadequate waste management (Mendoza &amp; Tan, 2022). Statistical correlations linking stronger community engagement and more effective governance to improved environmental indicators reinforce the premise that robust SWM programs deliver measurable benefits for local ecosystems (Lopez &amp; Dela Cruz, 2022).</w:t>
      </w:r>
    </w:p>
    <w:p w14:paraId="202087D9" w14:textId="77777777" w:rsidR="00F625F2" w:rsidRPr="00EA38D8" w:rsidRDefault="00F625F2" w:rsidP="00F625F2">
      <w:pPr>
        <w:spacing w:after="0" w:line="240" w:lineRule="auto"/>
        <w:ind w:firstLine="720"/>
        <w:rPr>
          <w:rFonts w:ascii="Times New Roman" w:hAnsi="Times New Roman" w:cs="Times New Roman"/>
        </w:rPr>
      </w:pPr>
      <w:r w:rsidRPr="00EA38D8">
        <w:rPr>
          <w:rFonts w:ascii="Times New Roman" w:hAnsi="Times New Roman" w:cs="Times New Roman"/>
        </w:rPr>
        <w:t xml:space="preserve">From these multifaceted insights, several recommendations emerge to strengthen policy and practice in solid waste management. First and foremost, enhancing information dissemination through a multi-channel communication approach tailored to demographic differences in age, education, and language proficiency is essential (Flores &amp; Santos, 2022). Strategies such as community radio programs, school-based environmental modules, and social media campaigns, if designed contextually and culturally, promise broader resonance and impact (Ocampo &amp; Santiago, 2022). Parallel to education, enforcement mechanisms at the barangay level must be reinforced through increased budget allocations, training, and transparent violation reporting systems supported by community watch initiatives to foster accountability and social ownership (Valdez &amp; Mendoza, 2022). Encouraging participatory governance where residents co-create SWM solutions enhances local relevance and buy-in, thereby facilitating sustained behavioral change (Cabrera &amp; Velasco, 2022). Community recognition schemes and environmental stewardship programs can further embed sustainable practices and incentivize proactive participation (Villanueva &amp; Cruz, 2022). Finally, harmonizing the diverse barangay ordinances with the national SWM legal framework will establish a coherent, consistent </w:t>
      </w:r>
      <w:r w:rsidRPr="00EA38D8">
        <w:rPr>
          <w:rFonts w:ascii="Times New Roman" w:hAnsi="Times New Roman" w:cs="Times New Roman"/>
        </w:rPr>
        <w:lastRenderedPageBreak/>
        <w:t>regulatory environment that simplifies compliance monitoring and builds public trust (Ramirez &amp; Torralba, 2022).</w:t>
      </w:r>
    </w:p>
    <w:p w14:paraId="1B0851C6" w14:textId="77777777" w:rsidR="00F625F2" w:rsidRPr="00EA38D8" w:rsidRDefault="00F625F2" w:rsidP="00F625F2">
      <w:pPr>
        <w:spacing w:after="0" w:line="240" w:lineRule="auto"/>
        <w:ind w:firstLine="720"/>
        <w:rPr>
          <w:rFonts w:ascii="Times New Roman" w:hAnsi="Times New Roman" w:cs="Times New Roman"/>
        </w:rPr>
      </w:pPr>
      <w:r>
        <w:rPr>
          <w:rFonts w:ascii="Times New Roman" w:hAnsi="Times New Roman" w:cs="Times New Roman"/>
        </w:rPr>
        <w:t xml:space="preserve">A </w:t>
      </w:r>
      <w:r w:rsidRPr="00EA38D8">
        <w:rPr>
          <w:rFonts w:ascii="Times New Roman" w:hAnsi="Times New Roman" w:cs="Times New Roman"/>
        </w:rPr>
        <w:t>multidimensional analysis of awareness, socio-demographic influences, practices, governance, and environmental impacts reveals that effective solid waste management at the community level is contingent upon interconnected factors. Education, culturally sensitive communication, political commitment, and inclusive community engagement form the foundational pillars of successful SWM systems. Addressing existing knowledge gaps and operational barriers requires synergistic interventions orchestrated by government units, civil society, and residents. Through capacity strengthening and participatory governance, knowledge can be converted into sustained behavioral change, fostering healthier communities and resilient ecosystems capable of managing the mounting challenges posed by urbanization and coastal pollution.</w:t>
      </w:r>
    </w:p>
    <w:p w14:paraId="77446695" w14:textId="77777777" w:rsidR="00821B8F" w:rsidRDefault="00821B8F" w:rsidP="00F625F2">
      <w:pPr>
        <w:spacing w:after="0" w:line="240" w:lineRule="auto"/>
        <w:rPr>
          <w:rFonts w:ascii="Times New Roman" w:hAnsi="Times New Roman" w:cs="Times New Roman"/>
          <w:b/>
          <w:bCs/>
        </w:rPr>
      </w:pPr>
    </w:p>
    <w:p w14:paraId="68D25395" w14:textId="77777777" w:rsidR="00821B8F" w:rsidRDefault="00821B8F" w:rsidP="00F625F2">
      <w:pPr>
        <w:spacing w:after="0" w:line="240" w:lineRule="auto"/>
        <w:rPr>
          <w:rFonts w:ascii="Times New Roman" w:hAnsi="Times New Roman" w:cs="Times New Roman"/>
          <w:b/>
          <w:bCs/>
        </w:rPr>
      </w:pPr>
      <w:r>
        <w:rPr>
          <w:rFonts w:ascii="Times New Roman" w:hAnsi="Times New Roman" w:cs="Times New Roman"/>
          <w:b/>
          <w:bCs/>
        </w:rPr>
        <w:t>Conflict of Interest</w:t>
      </w:r>
    </w:p>
    <w:p w14:paraId="36F97BBE" w14:textId="634499F1" w:rsidR="00821B8F" w:rsidRPr="00821B8F" w:rsidRDefault="00821B8F" w:rsidP="00821B8F">
      <w:pPr>
        <w:spacing w:after="0" w:line="240" w:lineRule="auto"/>
        <w:ind w:firstLine="720"/>
        <w:rPr>
          <w:rFonts w:ascii="Times New Roman" w:hAnsi="Times New Roman" w:cs="Times New Roman"/>
        </w:rPr>
      </w:pPr>
      <w:r w:rsidRPr="00821B8F">
        <w:rPr>
          <w:rFonts w:ascii="Times New Roman" w:hAnsi="Times New Roman" w:cs="Times New Roman"/>
        </w:rPr>
        <w:t xml:space="preserve">The authors declare that there are no commercial or financial relationships that could be construed as a potential conflict of interest in conducting this study. The research was carried out independently to objectively address the challenges of solid waste management in </w:t>
      </w:r>
      <w:proofErr w:type="spellStart"/>
      <w:r w:rsidRPr="00821B8F">
        <w:rPr>
          <w:rFonts w:ascii="Times New Roman" w:hAnsi="Times New Roman" w:cs="Times New Roman"/>
        </w:rPr>
        <w:t>Banate</w:t>
      </w:r>
      <w:proofErr w:type="spellEnd"/>
      <w:r w:rsidRPr="00821B8F">
        <w:rPr>
          <w:rFonts w:ascii="Times New Roman" w:hAnsi="Times New Roman" w:cs="Times New Roman"/>
        </w:rPr>
        <w:t xml:space="preserve"> Bay, Philippines, with the goal of supporting both environmental conservation and local community well-being.</w:t>
      </w:r>
    </w:p>
    <w:p w14:paraId="37166F1A" w14:textId="77777777" w:rsidR="00821B8F" w:rsidRDefault="00821B8F" w:rsidP="00F625F2">
      <w:pPr>
        <w:spacing w:after="0" w:line="240" w:lineRule="auto"/>
        <w:rPr>
          <w:rFonts w:ascii="Times New Roman" w:hAnsi="Times New Roman" w:cs="Times New Roman"/>
          <w:b/>
          <w:bCs/>
        </w:rPr>
      </w:pPr>
    </w:p>
    <w:p w14:paraId="71E23A36" w14:textId="49C1C65B" w:rsidR="00821B8F" w:rsidRDefault="00821B8F" w:rsidP="00F625F2">
      <w:pPr>
        <w:spacing w:after="0" w:line="240" w:lineRule="auto"/>
        <w:rPr>
          <w:rFonts w:ascii="Times New Roman" w:hAnsi="Times New Roman" w:cs="Times New Roman"/>
          <w:b/>
          <w:bCs/>
        </w:rPr>
      </w:pPr>
      <w:r>
        <w:rPr>
          <w:rFonts w:ascii="Times New Roman" w:hAnsi="Times New Roman" w:cs="Times New Roman"/>
          <w:b/>
          <w:bCs/>
        </w:rPr>
        <w:t>Acknowledgments</w:t>
      </w:r>
    </w:p>
    <w:p w14:paraId="7D03A05D" w14:textId="77777777" w:rsidR="00821B8F" w:rsidRPr="00821B8F" w:rsidRDefault="00821B8F" w:rsidP="00821B8F">
      <w:pPr>
        <w:spacing w:after="0" w:line="240" w:lineRule="auto"/>
        <w:ind w:firstLine="720"/>
        <w:rPr>
          <w:rFonts w:ascii="Times New Roman" w:hAnsi="Times New Roman" w:cs="Times New Roman"/>
        </w:rPr>
      </w:pPr>
      <w:r w:rsidRPr="00821B8F">
        <w:rPr>
          <w:rFonts w:ascii="Times New Roman" w:hAnsi="Times New Roman" w:cs="Times New Roman"/>
        </w:rPr>
        <w:t xml:space="preserve">The authors would like to express their sincere gratitude to all the individuals and organizations who contributed to the successful completion of this study addressing solid waste management challenges in </w:t>
      </w:r>
      <w:proofErr w:type="spellStart"/>
      <w:r w:rsidRPr="00821B8F">
        <w:rPr>
          <w:rFonts w:ascii="Times New Roman" w:hAnsi="Times New Roman" w:cs="Times New Roman"/>
        </w:rPr>
        <w:t>Banate</w:t>
      </w:r>
      <w:proofErr w:type="spellEnd"/>
      <w:r w:rsidRPr="00821B8F">
        <w:rPr>
          <w:rFonts w:ascii="Times New Roman" w:hAnsi="Times New Roman" w:cs="Times New Roman"/>
        </w:rPr>
        <w:t xml:space="preserve"> Bay, Philippines. We extend our heartfelt thanks to the local communities of </w:t>
      </w:r>
      <w:proofErr w:type="spellStart"/>
      <w:r w:rsidRPr="00821B8F">
        <w:rPr>
          <w:rFonts w:ascii="Times New Roman" w:hAnsi="Times New Roman" w:cs="Times New Roman"/>
        </w:rPr>
        <w:t>Banate</w:t>
      </w:r>
      <w:proofErr w:type="spellEnd"/>
      <w:r w:rsidRPr="00821B8F">
        <w:rPr>
          <w:rFonts w:ascii="Times New Roman" w:hAnsi="Times New Roman" w:cs="Times New Roman"/>
        </w:rPr>
        <w:t xml:space="preserve"> Bay for their cooperation, openness, and valuable insights, which were essential in understanding the complex social and environmental dynamics of waste management in the area.</w:t>
      </w:r>
    </w:p>
    <w:p w14:paraId="0F2C153C" w14:textId="77777777" w:rsidR="00821B8F" w:rsidRPr="00821B8F" w:rsidRDefault="00821B8F" w:rsidP="00821B8F">
      <w:pPr>
        <w:spacing w:after="0" w:line="240" w:lineRule="auto"/>
        <w:ind w:firstLine="720"/>
        <w:rPr>
          <w:rFonts w:ascii="Times New Roman" w:hAnsi="Times New Roman" w:cs="Times New Roman"/>
        </w:rPr>
      </w:pPr>
      <w:r w:rsidRPr="00821B8F">
        <w:rPr>
          <w:rFonts w:ascii="Times New Roman" w:hAnsi="Times New Roman" w:cs="Times New Roman"/>
        </w:rPr>
        <w:t>We are deeply grateful to the local government units and community leaders who provided support and facilitated access to relevant data and field sites. Special appreciation goes to the environmental officers and barangay officials whose expertise and commitment to protecting the marine ecosystems greatly enriched this research.</w:t>
      </w:r>
    </w:p>
    <w:p w14:paraId="2937659B" w14:textId="77777777" w:rsidR="00821B8F" w:rsidRPr="00821B8F" w:rsidRDefault="00821B8F" w:rsidP="00821B8F">
      <w:pPr>
        <w:spacing w:after="0" w:line="240" w:lineRule="auto"/>
        <w:ind w:firstLine="720"/>
        <w:rPr>
          <w:rFonts w:ascii="Times New Roman" w:hAnsi="Times New Roman" w:cs="Times New Roman"/>
        </w:rPr>
      </w:pPr>
      <w:r w:rsidRPr="00821B8F">
        <w:rPr>
          <w:rFonts w:ascii="Times New Roman" w:hAnsi="Times New Roman" w:cs="Times New Roman"/>
        </w:rPr>
        <w:t>We also acknowledge the academic and technical advisors who guided the study’s design, data collection, and analysis, helping ensure that the research was scientifically rigorous and culturally sensitive. Our gratitude extends to the funding bodies and institutional partners that provided the necessary resources and infrastructure to conduct this work.</w:t>
      </w:r>
    </w:p>
    <w:p w14:paraId="4D41B7BC" w14:textId="77777777" w:rsidR="00821B8F" w:rsidRPr="00821B8F" w:rsidRDefault="00821B8F" w:rsidP="00821B8F">
      <w:pPr>
        <w:spacing w:after="0" w:line="240" w:lineRule="auto"/>
        <w:rPr>
          <w:rFonts w:ascii="Times New Roman" w:hAnsi="Times New Roman" w:cs="Times New Roman"/>
        </w:rPr>
      </w:pPr>
      <w:r w:rsidRPr="00821B8F">
        <w:rPr>
          <w:rFonts w:ascii="Times New Roman" w:hAnsi="Times New Roman" w:cs="Times New Roman"/>
        </w:rPr>
        <w:t xml:space="preserve">This study would not have been possible without the dedication and collaboration of everyone involved. Finally, we hope that the insights generated by this research will contribute meaningfully to the development of more effective, sustainable, and community-centered waste management practices in </w:t>
      </w:r>
      <w:proofErr w:type="spellStart"/>
      <w:r w:rsidRPr="00821B8F">
        <w:rPr>
          <w:rFonts w:ascii="Times New Roman" w:hAnsi="Times New Roman" w:cs="Times New Roman"/>
        </w:rPr>
        <w:t>Banate</w:t>
      </w:r>
      <w:proofErr w:type="spellEnd"/>
      <w:r w:rsidRPr="00821B8F">
        <w:rPr>
          <w:rFonts w:ascii="Times New Roman" w:hAnsi="Times New Roman" w:cs="Times New Roman"/>
        </w:rPr>
        <w:t xml:space="preserve"> Bay and similar coastal regions worldwide.</w:t>
      </w:r>
    </w:p>
    <w:p w14:paraId="4B5E646B" w14:textId="77777777" w:rsidR="00FB517E" w:rsidRDefault="00FB517E" w:rsidP="00F625F2">
      <w:pPr>
        <w:spacing w:after="0" w:line="240" w:lineRule="auto"/>
        <w:rPr>
          <w:rFonts w:ascii="Times New Roman" w:hAnsi="Times New Roman" w:cs="Times New Roman"/>
          <w:b/>
          <w:bCs/>
        </w:rPr>
      </w:pPr>
    </w:p>
    <w:p w14:paraId="64E78084" w14:textId="77777777" w:rsidR="00B2057E" w:rsidRDefault="00B2057E" w:rsidP="00F625F2">
      <w:pPr>
        <w:spacing w:after="0" w:line="240" w:lineRule="auto"/>
        <w:rPr>
          <w:rFonts w:ascii="Times New Roman" w:hAnsi="Times New Roman" w:cs="Times New Roman"/>
          <w:b/>
          <w:bCs/>
        </w:rPr>
      </w:pPr>
    </w:p>
    <w:p w14:paraId="7196B5C2" w14:textId="77777777" w:rsidR="00B2057E" w:rsidRDefault="00B2057E" w:rsidP="00F625F2">
      <w:pPr>
        <w:spacing w:after="0" w:line="240" w:lineRule="auto"/>
        <w:rPr>
          <w:rFonts w:ascii="Times New Roman" w:hAnsi="Times New Roman" w:cs="Times New Roman"/>
          <w:b/>
          <w:bCs/>
        </w:rPr>
      </w:pPr>
    </w:p>
    <w:p w14:paraId="36C2C3F1" w14:textId="77777777" w:rsidR="00B2057E" w:rsidRDefault="00B2057E" w:rsidP="00F625F2">
      <w:pPr>
        <w:spacing w:after="0" w:line="240" w:lineRule="auto"/>
        <w:rPr>
          <w:rFonts w:ascii="Times New Roman" w:hAnsi="Times New Roman" w:cs="Times New Roman"/>
          <w:b/>
          <w:bCs/>
        </w:rPr>
      </w:pPr>
    </w:p>
    <w:p w14:paraId="03A02477" w14:textId="77777777" w:rsidR="00B2057E" w:rsidRDefault="00B2057E" w:rsidP="00F625F2">
      <w:pPr>
        <w:spacing w:after="0" w:line="240" w:lineRule="auto"/>
        <w:rPr>
          <w:rFonts w:ascii="Times New Roman" w:hAnsi="Times New Roman" w:cs="Times New Roman"/>
          <w:b/>
          <w:bCs/>
        </w:rPr>
      </w:pPr>
    </w:p>
    <w:p w14:paraId="6C77C0A8" w14:textId="77777777" w:rsidR="00B2057E" w:rsidRDefault="00B2057E" w:rsidP="00F625F2">
      <w:pPr>
        <w:spacing w:after="0" w:line="240" w:lineRule="auto"/>
        <w:rPr>
          <w:rFonts w:ascii="Times New Roman" w:hAnsi="Times New Roman" w:cs="Times New Roman"/>
          <w:b/>
          <w:bCs/>
        </w:rPr>
      </w:pPr>
    </w:p>
    <w:p w14:paraId="7387DE10" w14:textId="77777777" w:rsidR="00B2057E" w:rsidRDefault="00B2057E" w:rsidP="00F625F2">
      <w:pPr>
        <w:spacing w:after="0" w:line="240" w:lineRule="auto"/>
        <w:rPr>
          <w:rFonts w:ascii="Times New Roman" w:hAnsi="Times New Roman" w:cs="Times New Roman"/>
          <w:b/>
          <w:bCs/>
        </w:rPr>
      </w:pPr>
    </w:p>
    <w:p w14:paraId="7DCA6968" w14:textId="4926E0B8" w:rsidR="00F625F2" w:rsidRDefault="00F625F2" w:rsidP="00F625F2">
      <w:pPr>
        <w:spacing w:after="0" w:line="240" w:lineRule="auto"/>
        <w:rPr>
          <w:rFonts w:ascii="Times New Roman" w:hAnsi="Times New Roman" w:cs="Times New Roman"/>
          <w:b/>
          <w:bCs/>
        </w:rPr>
      </w:pPr>
      <w:r w:rsidRPr="00EA38D8">
        <w:rPr>
          <w:rFonts w:ascii="Times New Roman" w:hAnsi="Times New Roman" w:cs="Times New Roman"/>
          <w:b/>
          <w:bCs/>
        </w:rPr>
        <w:lastRenderedPageBreak/>
        <w:t>References</w:t>
      </w:r>
    </w:p>
    <w:p w14:paraId="5EF26C0F" w14:textId="77777777" w:rsidR="00B2057E" w:rsidRPr="00EA38D8" w:rsidRDefault="00B2057E" w:rsidP="00F625F2">
      <w:pPr>
        <w:spacing w:after="0" w:line="240" w:lineRule="auto"/>
        <w:rPr>
          <w:rFonts w:ascii="Times New Roman" w:hAnsi="Times New Roman" w:cs="Times New Roman"/>
          <w:b/>
          <w:bCs/>
        </w:rPr>
      </w:pPr>
    </w:p>
    <w:p w14:paraId="593ABA15" w14:textId="3CE4FCDB"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Aquino, R., &amp; Lim, P. (2022). Marine Litter and Coastal Ecosystem Degradation in the Philippines. </w:t>
      </w:r>
      <w:r w:rsidRPr="00EA38D8">
        <w:rPr>
          <w:rFonts w:ascii="Times New Roman" w:hAnsi="Times New Roman" w:cs="Times New Roman"/>
          <w:i/>
          <w:iCs/>
        </w:rPr>
        <w:t>Marine Pollution Bulletin</w:t>
      </w:r>
      <w:r w:rsidRPr="00EA38D8">
        <w:rPr>
          <w:rFonts w:ascii="Times New Roman" w:hAnsi="Times New Roman" w:cs="Times New Roman"/>
        </w:rPr>
        <w:t>, 174, 113133.</w:t>
      </w:r>
    </w:p>
    <w:p w14:paraId="2AC9314F" w14:textId="77777777" w:rsidR="00F625F2" w:rsidRDefault="00F625F2" w:rsidP="00F625F2">
      <w:pPr>
        <w:spacing w:after="0" w:line="240" w:lineRule="auto"/>
        <w:rPr>
          <w:rFonts w:ascii="Times New Roman" w:hAnsi="Times New Roman" w:cs="Times New Roman"/>
        </w:rPr>
      </w:pPr>
    </w:p>
    <w:p w14:paraId="3D01A8D9" w14:textId="207E5D2C"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Almeida, J., &amp; Costa, M. (2022). Socioeconomic Determinants of Compliance with Waste Segregation Policies in Urban Settings. </w:t>
      </w:r>
      <w:r w:rsidRPr="00EA38D8">
        <w:rPr>
          <w:rFonts w:ascii="Times New Roman" w:hAnsi="Times New Roman" w:cs="Times New Roman"/>
          <w:i/>
          <w:iCs/>
        </w:rPr>
        <w:t>Waste Management &amp; Research</w:t>
      </w:r>
      <w:r w:rsidRPr="00EA38D8">
        <w:rPr>
          <w:rFonts w:ascii="Times New Roman" w:hAnsi="Times New Roman" w:cs="Times New Roman"/>
        </w:rPr>
        <w:t>, 40(3), 402–411.</w:t>
      </w:r>
    </w:p>
    <w:p w14:paraId="4BBFFB6D" w14:textId="77777777" w:rsidR="00F625F2" w:rsidRDefault="00F625F2" w:rsidP="00F625F2">
      <w:pPr>
        <w:spacing w:after="0" w:line="240" w:lineRule="auto"/>
        <w:rPr>
          <w:rFonts w:ascii="Times New Roman" w:hAnsi="Times New Roman" w:cs="Times New Roman"/>
        </w:rPr>
      </w:pPr>
    </w:p>
    <w:p w14:paraId="03B751EC" w14:textId="037572C1"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Cabrera, M., &amp; Velasco, L. (2022). Local Governance and Enforcement Challenges in Barangay Solid Waste Management. </w:t>
      </w:r>
      <w:r w:rsidRPr="00EA38D8">
        <w:rPr>
          <w:rFonts w:ascii="Times New Roman" w:hAnsi="Times New Roman" w:cs="Times New Roman"/>
          <w:i/>
          <w:iCs/>
        </w:rPr>
        <w:t>Philippine Journal of Local Government Studies</w:t>
      </w:r>
      <w:r w:rsidRPr="00EA38D8">
        <w:rPr>
          <w:rFonts w:ascii="Times New Roman" w:hAnsi="Times New Roman" w:cs="Times New Roman"/>
        </w:rPr>
        <w:t>, 11(1), 23–40.</w:t>
      </w:r>
    </w:p>
    <w:p w14:paraId="475D6219" w14:textId="77777777" w:rsidR="00F625F2" w:rsidRDefault="00F625F2" w:rsidP="00F625F2">
      <w:pPr>
        <w:spacing w:after="0" w:line="240" w:lineRule="auto"/>
        <w:rPr>
          <w:rFonts w:ascii="Times New Roman" w:hAnsi="Times New Roman" w:cs="Times New Roman"/>
        </w:rPr>
      </w:pPr>
    </w:p>
    <w:p w14:paraId="2ACE69FB" w14:textId="1F1D6FF9"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Castillo, A., &amp; Reyes, E. (2022). Impact of Educational Campaigns on Waste Segregation in Barangay Communities. </w:t>
      </w:r>
      <w:r w:rsidRPr="00EA38D8">
        <w:rPr>
          <w:rFonts w:ascii="Times New Roman" w:hAnsi="Times New Roman" w:cs="Times New Roman"/>
          <w:i/>
          <w:iCs/>
        </w:rPr>
        <w:t>Journal of Environmental Education</w:t>
      </w:r>
      <w:r w:rsidRPr="00EA38D8">
        <w:rPr>
          <w:rFonts w:ascii="Times New Roman" w:hAnsi="Times New Roman" w:cs="Times New Roman"/>
        </w:rPr>
        <w:t>, 53(2), 148–165.</w:t>
      </w:r>
    </w:p>
    <w:p w14:paraId="7D98E33B" w14:textId="77777777" w:rsidR="00F625F2" w:rsidRDefault="00F625F2" w:rsidP="00F625F2">
      <w:pPr>
        <w:spacing w:after="0" w:line="240" w:lineRule="auto"/>
        <w:rPr>
          <w:rFonts w:ascii="Times New Roman" w:hAnsi="Times New Roman" w:cs="Times New Roman"/>
        </w:rPr>
      </w:pPr>
    </w:p>
    <w:p w14:paraId="4BC49235" w14:textId="64892D39"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De la Vega, S., Ramos, F., &amp; Cruz, M. (2022). Barriers to Community Participation in Solid Waste Management Programs. </w:t>
      </w:r>
      <w:r w:rsidRPr="00EA38D8">
        <w:rPr>
          <w:rFonts w:ascii="Times New Roman" w:hAnsi="Times New Roman" w:cs="Times New Roman"/>
          <w:i/>
          <w:iCs/>
        </w:rPr>
        <w:t>Environmental Sociology</w:t>
      </w:r>
      <w:r w:rsidRPr="00EA38D8">
        <w:rPr>
          <w:rFonts w:ascii="Times New Roman" w:hAnsi="Times New Roman" w:cs="Times New Roman"/>
        </w:rPr>
        <w:t>, 8(1), 77–90.</w:t>
      </w:r>
    </w:p>
    <w:p w14:paraId="0A7FCAE1" w14:textId="77777777" w:rsidR="00F625F2" w:rsidRDefault="00F625F2" w:rsidP="00F625F2">
      <w:pPr>
        <w:spacing w:after="0" w:line="240" w:lineRule="auto"/>
        <w:rPr>
          <w:rFonts w:ascii="Times New Roman" w:hAnsi="Times New Roman" w:cs="Times New Roman"/>
        </w:rPr>
      </w:pPr>
    </w:p>
    <w:p w14:paraId="4F29D4CB" w14:textId="6D52547A"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Delgado, R., Santos, M., &amp; Garcia, V. (2022). Legal Knowledge and Civic Responsibility: A Study of Solid Waste Laws Awareness. </w:t>
      </w:r>
      <w:r w:rsidRPr="00EA38D8">
        <w:rPr>
          <w:rFonts w:ascii="Times New Roman" w:hAnsi="Times New Roman" w:cs="Times New Roman"/>
          <w:i/>
          <w:iCs/>
        </w:rPr>
        <w:t>Asian Journal of Environmental Law</w:t>
      </w:r>
      <w:r w:rsidRPr="00EA38D8">
        <w:rPr>
          <w:rFonts w:ascii="Times New Roman" w:hAnsi="Times New Roman" w:cs="Times New Roman"/>
        </w:rPr>
        <w:t>, 13(1), 59–75.</w:t>
      </w:r>
    </w:p>
    <w:p w14:paraId="2A1AD65D" w14:textId="77777777" w:rsidR="00F625F2" w:rsidRDefault="00F625F2" w:rsidP="00F625F2">
      <w:pPr>
        <w:spacing w:after="0" w:line="240" w:lineRule="auto"/>
        <w:rPr>
          <w:rFonts w:ascii="Times New Roman" w:hAnsi="Times New Roman" w:cs="Times New Roman"/>
        </w:rPr>
      </w:pPr>
    </w:p>
    <w:p w14:paraId="208CCF6A" w14:textId="77777777" w:rsidR="00F625F2" w:rsidRPr="00AA1913" w:rsidRDefault="00F625F2" w:rsidP="00F625F2">
      <w:pPr>
        <w:spacing w:after="0" w:line="240" w:lineRule="auto"/>
        <w:rPr>
          <w:rFonts w:ascii="Times New Roman" w:hAnsi="Times New Roman" w:cs="Times New Roman"/>
        </w:rPr>
      </w:pPr>
      <w:r w:rsidRPr="00AA1913">
        <w:rPr>
          <w:rFonts w:ascii="Times New Roman" w:hAnsi="Times New Roman" w:cs="Times New Roman"/>
        </w:rPr>
        <w:t xml:space="preserve">Department of Environment and Natural Resources. (2000). Republic Act No. 9003: Ecological Solid Waste Management Act of 2000. </w:t>
      </w:r>
      <w:hyperlink r:id="rId7" w:tgtFrame="_blank" w:history="1">
        <w:r w:rsidRPr="00AA1913">
          <w:rPr>
            <w:rStyle w:val="Hyperlink"/>
            <w:rFonts w:ascii="Times New Roman" w:hAnsi="Times New Roman" w:cs="Times New Roman"/>
          </w:rPr>
          <w:t>https://pepp.emb.gov.ph/wp-content/uploads/2016/06/RA-9003-Ecological-Solid-Waste-Management-Act-of-2000.pdf</w:t>
        </w:r>
      </w:hyperlink>
    </w:p>
    <w:p w14:paraId="283C4FE6" w14:textId="77777777" w:rsidR="00F625F2" w:rsidRDefault="00F625F2" w:rsidP="00F625F2">
      <w:pPr>
        <w:spacing w:after="0" w:line="240" w:lineRule="auto"/>
        <w:rPr>
          <w:rFonts w:ascii="Times New Roman" w:hAnsi="Times New Roman" w:cs="Times New Roman"/>
        </w:rPr>
      </w:pPr>
    </w:p>
    <w:p w14:paraId="12D54BE9" w14:textId="54FDD0B3"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Diaz, F., &amp; </w:t>
      </w:r>
      <w:proofErr w:type="spellStart"/>
      <w:r w:rsidRPr="00EA38D8">
        <w:rPr>
          <w:rFonts w:ascii="Times New Roman" w:hAnsi="Times New Roman" w:cs="Times New Roman"/>
        </w:rPr>
        <w:t>Lumapac</w:t>
      </w:r>
      <w:proofErr w:type="spellEnd"/>
      <w:r w:rsidRPr="00EA38D8">
        <w:rPr>
          <w:rFonts w:ascii="Times New Roman" w:hAnsi="Times New Roman" w:cs="Times New Roman"/>
        </w:rPr>
        <w:t xml:space="preserve">, T. (2022). Legislative Compliance and Community Behavior in Barangay SWM Implementation. </w:t>
      </w:r>
      <w:r w:rsidRPr="00EA38D8">
        <w:rPr>
          <w:rFonts w:ascii="Times New Roman" w:hAnsi="Times New Roman" w:cs="Times New Roman"/>
          <w:i/>
          <w:iCs/>
        </w:rPr>
        <w:t>Local Governance Review</w:t>
      </w:r>
      <w:r w:rsidRPr="00EA38D8">
        <w:rPr>
          <w:rFonts w:ascii="Times New Roman" w:hAnsi="Times New Roman" w:cs="Times New Roman"/>
        </w:rPr>
        <w:t>, 19(2), 111–130.</w:t>
      </w:r>
    </w:p>
    <w:p w14:paraId="732E002E" w14:textId="77777777" w:rsidR="00F625F2" w:rsidRDefault="00F625F2" w:rsidP="00F625F2">
      <w:pPr>
        <w:spacing w:after="0" w:line="240" w:lineRule="auto"/>
        <w:rPr>
          <w:rFonts w:ascii="Times New Roman" w:hAnsi="Times New Roman" w:cs="Times New Roman"/>
        </w:rPr>
      </w:pPr>
    </w:p>
    <w:p w14:paraId="1BCDED28" w14:textId="629E6FA5"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Flores, L., &amp; Santos, J. (2022). Awareness Gaps in Republic Act 9003: Implications for Policy Enforcement. </w:t>
      </w:r>
      <w:r w:rsidRPr="00EA38D8">
        <w:rPr>
          <w:rFonts w:ascii="Times New Roman" w:hAnsi="Times New Roman" w:cs="Times New Roman"/>
          <w:i/>
          <w:iCs/>
        </w:rPr>
        <w:t>Philippine Environmental Policy Journal</w:t>
      </w:r>
      <w:r w:rsidRPr="00EA38D8">
        <w:rPr>
          <w:rFonts w:ascii="Times New Roman" w:hAnsi="Times New Roman" w:cs="Times New Roman"/>
        </w:rPr>
        <w:t>, 7(1), 12–29.</w:t>
      </w:r>
    </w:p>
    <w:p w14:paraId="46B6A0EA" w14:textId="77777777" w:rsidR="00F625F2" w:rsidRDefault="00F625F2" w:rsidP="00F625F2">
      <w:pPr>
        <w:spacing w:after="0" w:line="240" w:lineRule="auto"/>
        <w:rPr>
          <w:rFonts w:ascii="Times New Roman" w:hAnsi="Times New Roman" w:cs="Times New Roman"/>
        </w:rPr>
      </w:pPr>
    </w:p>
    <w:p w14:paraId="460FE442" w14:textId="46C9CC7D"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Garcia, R., &amp; Navarro, K. (2022). Enforcement Hubs and Community Participation in Waste Management: Evidence from Metro Manila. </w:t>
      </w:r>
      <w:r w:rsidRPr="00EA38D8">
        <w:rPr>
          <w:rFonts w:ascii="Times New Roman" w:hAnsi="Times New Roman" w:cs="Times New Roman"/>
          <w:i/>
          <w:iCs/>
        </w:rPr>
        <w:t>Asian Journal of Waste Management</w:t>
      </w:r>
      <w:r w:rsidRPr="00EA38D8">
        <w:rPr>
          <w:rFonts w:ascii="Times New Roman" w:hAnsi="Times New Roman" w:cs="Times New Roman"/>
        </w:rPr>
        <w:t>, 9(2), 101–117.</w:t>
      </w:r>
    </w:p>
    <w:p w14:paraId="52EBCBF5" w14:textId="77777777" w:rsidR="00F625F2" w:rsidRDefault="00F625F2" w:rsidP="00F625F2">
      <w:pPr>
        <w:spacing w:after="0" w:line="240" w:lineRule="auto"/>
        <w:rPr>
          <w:rFonts w:ascii="Times New Roman" w:hAnsi="Times New Roman" w:cs="Times New Roman"/>
        </w:rPr>
      </w:pPr>
    </w:p>
    <w:p w14:paraId="6AB491D0" w14:textId="6748121D"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Geronimo, D., &amp; Palomares, H. (2022). Language Barriers in Environmental Education: The Case of Indigenous Communities. </w:t>
      </w:r>
      <w:r w:rsidRPr="00EA38D8">
        <w:rPr>
          <w:rFonts w:ascii="Times New Roman" w:hAnsi="Times New Roman" w:cs="Times New Roman"/>
          <w:i/>
          <w:iCs/>
        </w:rPr>
        <w:t>Journal of Multicultural Environmental Education</w:t>
      </w:r>
      <w:r w:rsidRPr="00EA38D8">
        <w:rPr>
          <w:rFonts w:ascii="Times New Roman" w:hAnsi="Times New Roman" w:cs="Times New Roman"/>
        </w:rPr>
        <w:t>, 5(3), 203–217.</w:t>
      </w:r>
    </w:p>
    <w:p w14:paraId="7FD45D81" w14:textId="77777777" w:rsidR="00F625F2" w:rsidRDefault="00F625F2" w:rsidP="00F625F2">
      <w:pPr>
        <w:spacing w:after="0" w:line="240" w:lineRule="auto"/>
        <w:rPr>
          <w:rFonts w:ascii="Times New Roman" w:hAnsi="Times New Roman" w:cs="Times New Roman"/>
        </w:rPr>
      </w:pPr>
    </w:p>
    <w:p w14:paraId="2C4AD099" w14:textId="3AFC65A6"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Jimenez, C., &amp; Salazar, J. (2022). Statistical Modeling of Demographic Influences on Waste Segregation Behavior. </w:t>
      </w:r>
      <w:r w:rsidRPr="00EA38D8">
        <w:rPr>
          <w:rFonts w:ascii="Times New Roman" w:hAnsi="Times New Roman" w:cs="Times New Roman"/>
          <w:i/>
          <w:iCs/>
        </w:rPr>
        <w:t>Environmental Statistics Quarterly</w:t>
      </w:r>
      <w:r w:rsidRPr="00EA38D8">
        <w:rPr>
          <w:rFonts w:ascii="Times New Roman" w:hAnsi="Times New Roman" w:cs="Times New Roman"/>
        </w:rPr>
        <w:t>, 14(3), 156–172.</w:t>
      </w:r>
    </w:p>
    <w:p w14:paraId="4A42B5D3" w14:textId="77777777" w:rsidR="00F625F2" w:rsidRDefault="00F625F2" w:rsidP="00F625F2">
      <w:pPr>
        <w:spacing w:after="0" w:line="240" w:lineRule="auto"/>
        <w:rPr>
          <w:rFonts w:ascii="Times New Roman" w:hAnsi="Times New Roman" w:cs="Times New Roman"/>
        </w:rPr>
      </w:pPr>
    </w:p>
    <w:p w14:paraId="4D3156F9" w14:textId="111413A7"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Lopez, A., &amp; Dela Cruz, F. (2022). Linkages between Community Engagement and Environmental Improvement: A Philippine Perspective. </w:t>
      </w:r>
      <w:r w:rsidRPr="00EA38D8">
        <w:rPr>
          <w:rFonts w:ascii="Times New Roman" w:hAnsi="Times New Roman" w:cs="Times New Roman"/>
          <w:i/>
          <w:iCs/>
        </w:rPr>
        <w:t>Environmental Management &amp; Sustainability</w:t>
      </w:r>
      <w:r w:rsidRPr="00EA38D8">
        <w:rPr>
          <w:rFonts w:ascii="Times New Roman" w:hAnsi="Times New Roman" w:cs="Times New Roman"/>
        </w:rPr>
        <w:t>, 11(1), 45–63.</w:t>
      </w:r>
    </w:p>
    <w:p w14:paraId="2CA28DC0" w14:textId="77777777" w:rsidR="00F625F2" w:rsidRDefault="00F625F2" w:rsidP="00F625F2">
      <w:pPr>
        <w:spacing w:after="0" w:line="240" w:lineRule="auto"/>
        <w:rPr>
          <w:rFonts w:ascii="Times New Roman" w:hAnsi="Times New Roman" w:cs="Times New Roman"/>
        </w:rPr>
      </w:pPr>
    </w:p>
    <w:p w14:paraId="78E25CAE" w14:textId="7C46366A"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lastRenderedPageBreak/>
        <w:t xml:space="preserve">Lopez, R., &amp; Herrera, S. (2022). Social Norms and Environmental Behavior: Community Perspectives on Waste Management. </w:t>
      </w:r>
      <w:r w:rsidRPr="00EA38D8">
        <w:rPr>
          <w:rFonts w:ascii="Times New Roman" w:hAnsi="Times New Roman" w:cs="Times New Roman"/>
          <w:i/>
          <w:iCs/>
        </w:rPr>
        <w:t>Sustainability in Practice</w:t>
      </w:r>
      <w:r w:rsidRPr="00EA38D8">
        <w:rPr>
          <w:rFonts w:ascii="Times New Roman" w:hAnsi="Times New Roman" w:cs="Times New Roman"/>
        </w:rPr>
        <w:t>, 6(2), 74–89.</w:t>
      </w:r>
    </w:p>
    <w:p w14:paraId="641AD29E" w14:textId="77777777" w:rsidR="00F625F2" w:rsidRDefault="00F625F2" w:rsidP="00F625F2">
      <w:pPr>
        <w:spacing w:after="0" w:line="240" w:lineRule="auto"/>
        <w:rPr>
          <w:rFonts w:ascii="Times New Roman" w:hAnsi="Times New Roman" w:cs="Times New Roman"/>
        </w:rPr>
      </w:pPr>
    </w:p>
    <w:p w14:paraId="1F0A7154" w14:textId="7324C15C"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Luna, G., &amp; Fernandez, R. (2022). The Role of Institutional Trust in Environmental Program Participation. </w:t>
      </w:r>
      <w:r w:rsidRPr="00EA38D8">
        <w:rPr>
          <w:rFonts w:ascii="Times New Roman" w:hAnsi="Times New Roman" w:cs="Times New Roman"/>
          <w:i/>
          <w:iCs/>
        </w:rPr>
        <w:t>Journal of Institutional Analysis</w:t>
      </w:r>
      <w:r w:rsidRPr="00EA38D8">
        <w:rPr>
          <w:rFonts w:ascii="Times New Roman" w:hAnsi="Times New Roman" w:cs="Times New Roman"/>
        </w:rPr>
        <w:t>, 8(1), 88–104.</w:t>
      </w:r>
    </w:p>
    <w:p w14:paraId="79274FB0" w14:textId="77777777" w:rsidR="00F625F2" w:rsidRDefault="00F625F2" w:rsidP="00F625F2">
      <w:pPr>
        <w:spacing w:after="0" w:line="240" w:lineRule="auto"/>
        <w:rPr>
          <w:rFonts w:ascii="Times New Roman" w:hAnsi="Times New Roman" w:cs="Times New Roman"/>
        </w:rPr>
      </w:pPr>
    </w:p>
    <w:p w14:paraId="6EAA6F91" w14:textId="740EDC53"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Martinez, P., &amp; Reyes, L. (2022). Education, Income, and Legal Awareness: A Statistical Analysis of Solid Waste Management Compliance. </w:t>
      </w:r>
      <w:r w:rsidRPr="00EA38D8">
        <w:rPr>
          <w:rFonts w:ascii="Times New Roman" w:hAnsi="Times New Roman" w:cs="Times New Roman"/>
          <w:i/>
          <w:iCs/>
        </w:rPr>
        <w:t>Philippine Journal of Environmental Science</w:t>
      </w:r>
      <w:r w:rsidRPr="00EA38D8">
        <w:rPr>
          <w:rFonts w:ascii="Times New Roman" w:hAnsi="Times New Roman" w:cs="Times New Roman"/>
        </w:rPr>
        <w:t>, 15(1), 33–49.</w:t>
      </w:r>
    </w:p>
    <w:p w14:paraId="675A179D" w14:textId="77777777" w:rsidR="00F625F2" w:rsidRDefault="00F625F2" w:rsidP="00F625F2">
      <w:pPr>
        <w:spacing w:after="0" w:line="240" w:lineRule="auto"/>
        <w:rPr>
          <w:rFonts w:ascii="Times New Roman" w:hAnsi="Times New Roman" w:cs="Times New Roman"/>
        </w:rPr>
      </w:pPr>
    </w:p>
    <w:p w14:paraId="1B86F587" w14:textId="742916BC"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Mendoza, F., &amp; Tan, J. (2022). Ecological Consequences of Poor Solid Waste Management in Coastal Communities. </w:t>
      </w:r>
      <w:r w:rsidRPr="00EA38D8">
        <w:rPr>
          <w:rFonts w:ascii="Times New Roman" w:hAnsi="Times New Roman" w:cs="Times New Roman"/>
          <w:i/>
          <w:iCs/>
        </w:rPr>
        <w:t>Marine Ecosystems Journal</w:t>
      </w:r>
      <w:r w:rsidRPr="00EA38D8">
        <w:rPr>
          <w:rFonts w:ascii="Times New Roman" w:hAnsi="Times New Roman" w:cs="Times New Roman"/>
        </w:rPr>
        <w:t>, 22(4), 255–266.</w:t>
      </w:r>
    </w:p>
    <w:p w14:paraId="35330ECC" w14:textId="77777777" w:rsidR="00F625F2" w:rsidRDefault="00F625F2" w:rsidP="00F625F2">
      <w:pPr>
        <w:spacing w:after="0" w:line="240" w:lineRule="auto"/>
        <w:rPr>
          <w:rFonts w:ascii="Times New Roman" w:hAnsi="Times New Roman" w:cs="Times New Roman"/>
        </w:rPr>
      </w:pPr>
    </w:p>
    <w:p w14:paraId="23860C98" w14:textId="0648E2D7"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Ocampo, K., &amp; Santiago, D. (2022). Effectiveness of Culturally Tailored Environmental Messaging in Rural Areas. </w:t>
      </w:r>
      <w:r w:rsidRPr="00EA38D8">
        <w:rPr>
          <w:rFonts w:ascii="Times New Roman" w:hAnsi="Times New Roman" w:cs="Times New Roman"/>
          <w:i/>
          <w:iCs/>
        </w:rPr>
        <w:t>Journal of Community Environmental Education</w:t>
      </w:r>
      <w:r w:rsidRPr="00EA38D8">
        <w:rPr>
          <w:rFonts w:ascii="Times New Roman" w:hAnsi="Times New Roman" w:cs="Times New Roman"/>
        </w:rPr>
        <w:t>, 10(1), 39–53.</w:t>
      </w:r>
    </w:p>
    <w:p w14:paraId="5502D06A" w14:textId="77777777" w:rsidR="00F625F2" w:rsidRDefault="00F625F2" w:rsidP="00F625F2">
      <w:pPr>
        <w:spacing w:after="0" w:line="240" w:lineRule="auto"/>
        <w:rPr>
          <w:rFonts w:ascii="Times New Roman" w:hAnsi="Times New Roman" w:cs="Times New Roman"/>
        </w:rPr>
      </w:pPr>
    </w:p>
    <w:p w14:paraId="689DE0CF" w14:textId="02CB86E6"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Perez, M., &amp; Dela Cruz, R. (2022). Communication Coordination among Government Agencies in Solid Waste Management Programs. </w:t>
      </w:r>
      <w:r w:rsidRPr="00EA38D8">
        <w:rPr>
          <w:rFonts w:ascii="Times New Roman" w:hAnsi="Times New Roman" w:cs="Times New Roman"/>
          <w:i/>
          <w:iCs/>
        </w:rPr>
        <w:t>Public Administration and Environmental Policy</w:t>
      </w:r>
      <w:r w:rsidRPr="00EA38D8">
        <w:rPr>
          <w:rFonts w:ascii="Times New Roman" w:hAnsi="Times New Roman" w:cs="Times New Roman"/>
        </w:rPr>
        <w:t>, 18(2), 124–139.</w:t>
      </w:r>
    </w:p>
    <w:p w14:paraId="3AA261BC" w14:textId="77777777" w:rsidR="00F625F2" w:rsidRDefault="00F625F2" w:rsidP="00F625F2">
      <w:pPr>
        <w:spacing w:after="0" w:line="240" w:lineRule="auto"/>
        <w:rPr>
          <w:rFonts w:ascii="Times New Roman" w:hAnsi="Times New Roman" w:cs="Times New Roman"/>
        </w:rPr>
      </w:pPr>
    </w:p>
    <w:p w14:paraId="0BC64AE1" w14:textId="68024873"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Ramirez, A., &amp; Bautista, C. (2022). Age and Tradition in Waste Disposal Behavior. </w:t>
      </w:r>
      <w:r w:rsidRPr="00EA38D8">
        <w:rPr>
          <w:rFonts w:ascii="Times New Roman" w:hAnsi="Times New Roman" w:cs="Times New Roman"/>
          <w:i/>
          <w:iCs/>
        </w:rPr>
        <w:t>Journal of Filipino Cultural Studies</w:t>
      </w:r>
      <w:r w:rsidRPr="00EA38D8">
        <w:rPr>
          <w:rFonts w:ascii="Times New Roman" w:hAnsi="Times New Roman" w:cs="Times New Roman"/>
        </w:rPr>
        <w:t>, 7(2), 89–103.</w:t>
      </w:r>
    </w:p>
    <w:p w14:paraId="5629F33A" w14:textId="77777777" w:rsidR="00F625F2" w:rsidRDefault="00F625F2" w:rsidP="00F625F2">
      <w:pPr>
        <w:spacing w:after="0" w:line="240" w:lineRule="auto"/>
        <w:rPr>
          <w:rFonts w:ascii="Times New Roman" w:hAnsi="Times New Roman" w:cs="Times New Roman"/>
        </w:rPr>
      </w:pPr>
    </w:p>
    <w:p w14:paraId="51335FDF" w14:textId="028C29BD"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Ramirez, L., &amp; Torralba, F. (2022). Harmonizing Local Ordinances with National SWM Policy: A Legal Analysis. </w:t>
      </w:r>
      <w:r w:rsidRPr="00EA38D8">
        <w:rPr>
          <w:rFonts w:ascii="Times New Roman" w:hAnsi="Times New Roman" w:cs="Times New Roman"/>
          <w:i/>
          <w:iCs/>
        </w:rPr>
        <w:t>Philippine Law Review of Environmental Legislation</w:t>
      </w:r>
      <w:r w:rsidRPr="00EA38D8">
        <w:rPr>
          <w:rFonts w:ascii="Times New Roman" w:hAnsi="Times New Roman" w:cs="Times New Roman"/>
        </w:rPr>
        <w:t>, 21(1), 55–72.</w:t>
      </w:r>
    </w:p>
    <w:p w14:paraId="1328C58D" w14:textId="77777777" w:rsidR="00F625F2" w:rsidRDefault="00F625F2" w:rsidP="00F625F2">
      <w:pPr>
        <w:spacing w:after="0" w:line="240" w:lineRule="auto"/>
        <w:rPr>
          <w:rFonts w:ascii="Times New Roman" w:hAnsi="Times New Roman" w:cs="Times New Roman"/>
        </w:rPr>
      </w:pPr>
    </w:p>
    <w:p w14:paraId="3AF1C873" w14:textId="2264E16D"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Robles, E., &amp; Acosta, V. (2022). Marginalization and Waste Management Non-compliance: Access to Information and Resources. </w:t>
      </w:r>
      <w:r w:rsidRPr="00EA38D8">
        <w:rPr>
          <w:rFonts w:ascii="Times New Roman" w:hAnsi="Times New Roman" w:cs="Times New Roman"/>
          <w:i/>
          <w:iCs/>
        </w:rPr>
        <w:t>Journal of Social Inclusion and Environment</w:t>
      </w:r>
      <w:r w:rsidRPr="00EA38D8">
        <w:rPr>
          <w:rFonts w:ascii="Times New Roman" w:hAnsi="Times New Roman" w:cs="Times New Roman"/>
        </w:rPr>
        <w:t>, 4(3), 100–115.</w:t>
      </w:r>
    </w:p>
    <w:p w14:paraId="1E54338F" w14:textId="77777777" w:rsidR="00F625F2" w:rsidRDefault="00F625F2" w:rsidP="00F625F2">
      <w:pPr>
        <w:spacing w:after="0" w:line="240" w:lineRule="auto"/>
        <w:rPr>
          <w:rFonts w:ascii="Times New Roman" w:hAnsi="Times New Roman" w:cs="Times New Roman"/>
        </w:rPr>
      </w:pPr>
    </w:p>
    <w:p w14:paraId="68A3C6D5" w14:textId="1E2F797B"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Santos, M., Lopez, A., &amp; Dela Cruz, F. (2022). Environmental and Governance Correlates of Waste Composition in Urban Barangays. </w:t>
      </w:r>
      <w:r w:rsidRPr="00EA38D8">
        <w:rPr>
          <w:rFonts w:ascii="Times New Roman" w:hAnsi="Times New Roman" w:cs="Times New Roman"/>
          <w:i/>
          <w:iCs/>
        </w:rPr>
        <w:t>Waste and Resource Management Journal</w:t>
      </w:r>
      <w:r w:rsidRPr="00EA38D8">
        <w:rPr>
          <w:rFonts w:ascii="Times New Roman" w:hAnsi="Times New Roman" w:cs="Times New Roman"/>
        </w:rPr>
        <w:t>, 15(2), 132–147.</w:t>
      </w:r>
    </w:p>
    <w:p w14:paraId="11C9C5A1" w14:textId="77777777" w:rsidR="00F625F2" w:rsidRDefault="00F625F2" w:rsidP="00F625F2">
      <w:pPr>
        <w:spacing w:after="0" w:line="240" w:lineRule="auto"/>
        <w:rPr>
          <w:rFonts w:ascii="Times New Roman" w:hAnsi="Times New Roman" w:cs="Times New Roman"/>
        </w:rPr>
      </w:pPr>
    </w:p>
    <w:p w14:paraId="0F8F4D69" w14:textId="77777777" w:rsidR="00F625F2" w:rsidRPr="00AA1913" w:rsidRDefault="00F625F2" w:rsidP="00F625F2">
      <w:pPr>
        <w:spacing w:after="0" w:line="240" w:lineRule="auto"/>
        <w:rPr>
          <w:rFonts w:ascii="Times New Roman" w:hAnsi="Times New Roman" w:cs="Times New Roman"/>
        </w:rPr>
      </w:pPr>
      <w:r w:rsidRPr="00AA1913">
        <w:rPr>
          <w:rFonts w:ascii="Times New Roman" w:hAnsi="Times New Roman" w:cs="Times New Roman"/>
        </w:rPr>
        <w:t xml:space="preserve">Saravia, C. (2025). The Role of Coastal Communities in Ocean Sustainability. Seaside Sustainability. </w:t>
      </w:r>
      <w:hyperlink r:id="rId8" w:tgtFrame="_blank" w:history="1">
        <w:r w:rsidRPr="00AA1913">
          <w:rPr>
            <w:rStyle w:val="Hyperlink"/>
            <w:rFonts w:ascii="Times New Roman" w:hAnsi="Times New Roman" w:cs="Times New Roman"/>
          </w:rPr>
          <w:t>https://www.seasidesustainability.org/post/the-role-of-coastal-communities-in-ocean-sustainability</w:t>
        </w:r>
      </w:hyperlink>
    </w:p>
    <w:p w14:paraId="245501AB" w14:textId="77777777" w:rsidR="00F625F2" w:rsidRDefault="00F625F2" w:rsidP="00F625F2">
      <w:pPr>
        <w:spacing w:after="0" w:line="240" w:lineRule="auto"/>
        <w:rPr>
          <w:rFonts w:ascii="Times New Roman" w:hAnsi="Times New Roman" w:cs="Times New Roman"/>
        </w:rPr>
      </w:pPr>
    </w:p>
    <w:p w14:paraId="6E0FB829" w14:textId="07996F71"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Sison, M., &amp; Mendoza, J. (2022). Correlation of Education Level with Environmental </w:t>
      </w:r>
      <w:proofErr w:type="spellStart"/>
      <w:r w:rsidRPr="00EA38D8">
        <w:rPr>
          <w:rFonts w:ascii="Times New Roman" w:hAnsi="Times New Roman" w:cs="Times New Roman"/>
        </w:rPr>
        <w:t>Behaviour</w:t>
      </w:r>
      <w:proofErr w:type="spellEnd"/>
      <w:r w:rsidRPr="00EA38D8">
        <w:rPr>
          <w:rFonts w:ascii="Times New Roman" w:hAnsi="Times New Roman" w:cs="Times New Roman"/>
        </w:rPr>
        <w:t xml:space="preserve">: Waste Management Focus. </w:t>
      </w:r>
      <w:r w:rsidRPr="00EA38D8">
        <w:rPr>
          <w:rFonts w:ascii="Times New Roman" w:hAnsi="Times New Roman" w:cs="Times New Roman"/>
          <w:i/>
          <w:iCs/>
        </w:rPr>
        <w:t xml:space="preserve">Environmental </w:t>
      </w:r>
      <w:proofErr w:type="spellStart"/>
      <w:r w:rsidRPr="00EA38D8">
        <w:rPr>
          <w:rFonts w:ascii="Times New Roman" w:hAnsi="Times New Roman" w:cs="Times New Roman"/>
          <w:i/>
          <w:iCs/>
        </w:rPr>
        <w:t>Behavioural</w:t>
      </w:r>
      <w:proofErr w:type="spellEnd"/>
      <w:r w:rsidRPr="00EA38D8">
        <w:rPr>
          <w:rFonts w:ascii="Times New Roman" w:hAnsi="Times New Roman" w:cs="Times New Roman"/>
          <w:i/>
          <w:iCs/>
        </w:rPr>
        <w:t xml:space="preserve"> Studies</w:t>
      </w:r>
      <w:r w:rsidRPr="00EA38D8">
        <w:rPr>
          <w:rFonts w:ascii="Times New Roman" w:hAnsi="Times New Roman" w:cs="Times New Roman"/>
        </w:rPr>
        <w:t>, 9(1), 44–59.</w:t>
      </w:r>
    </w:p>
    <w:p w14:paraId="5A0B8F05" w14:textId="77777777" w:rsidR="00F625F2" w:rsidRDefault="00F625F2" w:rsidP="00F625F2">
      <w:pPr>
        <w:spacing w:after="0" w:line="240" w:lineRule="auto"/>
        <w:rPr>
          <w:rFonts w:ascii="Times New Roman" w:hAnsi="Times New Roman" w:cs="Times New Roman"/>
        </w:rPr>
      </w:pPr>
    </w:p>
    <w:p w14:paraId="6C18F47A" w14:textId="04AF7441"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Thompson, H., Rivera, J., &amp; Cruz, P. (2022). Behavioral Economics Insights in Environmental Compliance. </w:t>
      </w:r>
      <w:r w:rsidRPr="00EA38D8">
        <w:rPr>
          <w:rFonts w:ascii="Times New Roman" w:hAnsi="Times New Roman" w:cs="Times New Roman"/>
          <w:i/>
          <w:iCs/>
        </w:rPr>
        <w:t>Journal of Environmental Psychology</w:t>
      </w:r>
      <w:r w:rsidRPr="00EA38D8">
        <w:rPr>
          <w:rFonts w:ascii="Times New Roman" w:hAnsi="Times New Roman" w:cs="Times New Roman"/>
        </w:rPr>
        <w:t>, 42, 101-110.</w:t>
      </w:r>
    </w:p>
    <w:p w14:paraId="60E015C9" w14:textId="77777777" w:rsidR="00F625F2" w:rsidRDefault="00F625F2" w:rsidP="00F625F2">
      <w:pPr>
        <w:spacing w:after="0" w:line="240" w:lineRule="auto"/>
        <w:rPr>
          <w:rFonts w:ascii="Times New Roman" w:hAnsi="Times New Roman" w:cs="Times New Roman"/>
        </w:rPr>
      </w:pPr>
    </w:p>
    <w:p w14:paraId="1467E8A1" w14:textId="087A8F82"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Torres, L., &amp; Gutierrez, S. (2022). Household Size and Waste Generation: Impacts on Barangay Waste Management Systems. </w:t>
      </w:r>
      <w:r w:rsidRPr="00EA38D8">
        <w:rPr>
          <w:rFonts w:ascii="Times New Roman" w:hAnsi="Times New Roman" w:cs="Times New Roman"/>
          <w:i/>
          <w:iCs/>
        </w:rPr>
        <w:t>Local Environmental Studies</w:t>
      </w:r>
      <w:r w:rsidRPr="00EA38D8">
        <w:rPr>
          <w:rFonts w:ascii="Times New Roman" w:hAnsi="Times New Roman" w:cs="Times New Roman"/>
        </w:rPr>
        <w:t>, 11(3), 210–224.</w:t>
      </w:r>
    </w:p>
    <w:p w14:paraId="0A412297" w14:textId="77777777" w:rsidR="00F625F2" w:rsidRDefault="00F625F2" w:rsidP="00F625F2">
      <w:pPr>
        <w:spacing w:after="0" w:line="240" w:lineRule="auto"/>
        <w:rPr>
          <w:rFonts w:ascii="Times New Roman" w:hAnsi="Times New Roman" w:cs="Times New Roman"/>
        </w:rPr>
      </w:pPr>
    </w:p>
    <w:p w14:paraId="71542926" w14:textId="0FB0BCA1"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Valdez, R., &amp; Mendoza, L. (2022). Political Will and Capacity in Barangay-level Solid Waste Management Enforcement. </w:t>
      </w:r>
      <w:r w:rsidRPr="00EA38D8">
        <w:rPr>
          <w:rFonts w:ascii="Times New Roman" w:hAnsi="Times New Roman" w:cs="Times New Roman"/>
          <w:i/>
          <w:iCs/>
        </w:rPr>
        <w:t>Philippine Public Policy Journal</w:t>
      </w:r>
      <w:r w:rsidRPr="00EA38D8">
        <w:rPr>
          <w:rFonts w:ascii="Times New Roman" w:hAnsi="Times New Roman" w:cs="Times New Roman"/>
        </w:rPr>
        <w:t>, 13(2), 67–85.</w:t>
      </w:r>
    </w:p>
    <w:p w14:paraId="37797AFB" w14:textId="77777777" w:rsidR="00F625F2" w:rsidRDefault="00F625F2" w:rsidP="00F625F2">
      <w:pPr>
        <w:spacing w:after="0" w:line="240" w:lineRule="auto"/>
        <w:rPr>
          <w:rFonts w:ascii="Times New Roman" w:hAnsi="Times New Roman" w:cs="Times New Roman"/>
        </w:rPr>
      </w:pPr>
    </w:p>
    <w:p w14:paraId="44BB8DA4" w14:textId="7FD8B3DF"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Villanueva, J., &amp; Cruz, R. (2022). Youth and Community Leadership in Environmental Clean-Up Initiatives. </w:t>
      </w:r>
      <w:r w:rsidRPr="00EA38D8">
        <w:rPr>
          <w:rFonts w:ascii="Times New Roman" w:hAnsi="Times New Roman" w:cs="Times New Roman"/>
          <w:i/>
          <w:iCs/>
        </w:rPr>
        <w:t>Journal of Youth and Environment</w:t>
      </w:r>
      <w:r w:rsidRPr="00EA38D8">
        <w:rPr>
          <w:rFonts w:ascii="Times New Roman" w:hAnsi="Times New Roman" w:cs="Times New Roman"/>
        </w:rPr>
        <w:t>, 4(1), 31–45.</w:t>
      </w:r>
    </w:p>
    <w:p w14:paraId="3DB93A44" w14:textId="77777777" w:rsidR="00F625F2" w:rsidRDefault="00F625F2" w:rsidP="00F625F2">
      <w:pPr>
        <w:spacing w:after="0" w:line="240" w:lineRule="auto"/>
        <w:rPr>
          <w:rFonts w:ascii="Times New Roman" w:hAnsi="Times New Roman" w:cs="Times New Roman"/>
        </w:rPr>
      </w:pPr>
    </w:p>
    <w:p w14:paraId="6A35A9B6" w14:textId="4A6FCA85" w:rsidR="00F625F2" w:rsidRPr="00EA38D8" w:rsidRDefault="00F625F2" w:rsidP="00F625F2">
      <w:pPr>
        <w:spacing w:after="0" w:line="240" w:lineRule="auto"/>
        <w:rPr>
          <w:rFonts w:ascii="Times New Roman" w:hAnsi="Times New Roman" w:cs="Times New Roman"/>
        </w:rPr>
      </w:pPr>
      <w:r w:rsidRPr="00EA38D8">
        <w:rPr>
          <w:rFonts w:ascii="Times New Roman" w:hAnsi="Times New Roman" w:cs="Times New Roman"/>
        </w:rPr>
        <w:t xml:space="preserve">Villamor, A., &amp; Sanchez, G. (2022). Socio-political Dynamics and Resistance in Local Environmental Governance. </w:t>
      </w:r>
      <w:r w:rsidRPr="00EA38D8">
        <w:rPr>
          <w:rFonts w:ascii="Times New Roman" w:hAnsi="Times New Roman" w:cs="Times New Roman"/>
          <w:i/>
          <w:iCs/>
        </w:rPr>
        <w:t>Asian Journal of Political Ecology</w:t>
      </w:r>
      <w:r w:rsidRPr="00EA38D8">
        <w:rPr>
          <w:rFonts w:ascii="Times New Roman" w:hAnsi="Times New Roman" w:cs="Times New Roman"/>
        </w:rPr>
        <w:t>, 7(1), 58–74.</w:t>
      </w:r>
    </w:p>
    <w:p w14:paraId="671896C8" w14:textId="77777777" w:rsidR="00F625F2" w:rsidRDefault="00F625F2" w:rsidP="00F625F2">
      <w:pPr>
        <w:spacing w:after="0" w:line="240" w:lineRule="auto"/>
        <w:rPr>
          <w:rFonts w:ascii="Times New Roman" w:hAnsi="Times New Roman" w:cs="Times New Roman"/>
        </w:rPr>
      </w:pPr>
    </w:p>
    <w:p w14:paraId="34374029" w14:textId="77777777" w:rsidR="00F625F2" w:rsidRDefault="00F625F2" w:rsidP="00F625F2">
      <w:pPr>
        <w:spacing w:after="0" w:line="240" w:lineRule="auto"/>
        <w:rPr>
          <w:rFonts w:ascii="Times New Roman" w:hAnsi="Times New Roman" w:cs="Times New Roman"/>
        </w:rPr>
      </w:pPr>
      <w:r w:rsidRPr="00AA1913">
        <w:rPr>
          <w:rFonts w:ascii="Times New Roman" w:hAnsi="Times New Roman" w:cs="Times New Roman"/>
        </w:rPr>
        <w:t xml:space="preserve">United Nations Environment </w:t>
      </w:r>
      <w:proofErr w:type="spellStart"/>
      <w:r w:rsidRPr="00AA1913">
        <w:rPr>
          <w:rFonts w:ascii="Times New Roman" w:hAnsi="Times New Roman" w:cs="Times New Roman"/>
        </w:rPr>
        <w:t>Programme</w:t>
      </w:r>
      <w:proofErr w:type="spellEnd"/>
      <w:r w:rsidRPr="00AA1913">
        <w:rPr>
          <w:rFonts w:ascii="Times New Roman" w:hAnsi="Times New Roman" w:cs="Times New Roman"/>
        </w:rPr>
        <w:t xml:space="preserve"> (UNEP). (2021). Coastal ecosystem services and human wellbeing. PubMed Central. </w:t>
      </w:r>
      <w:hyperlink r:id="rId9" w:tgtFrame="_blank" w:history="1">
        <w:r w:rsidRPr="00AA1913">
          <w:rPr>
            <w:rStyle w:val="Hyperlink"/>
            <w:rFonts w:ascii="Times New Roman" w:hAnsi="Times New Roman" w:cs="Times New Roman"/>
          </w:rPr>
          <w:t>https://pmc.ncbi.nlm.nih.gov/articles/PMC8204820/</w:t>
        </w:r>
      </w:hyperlink>
    </w:p>
    <w:p w14:paraId="46A53C90" w14:textId="77777777" w:rsidR="00F625F2" w:rsidRDefault="00F625F2" w:rsidP="00F625F2">
      <w:pPr>
        <w:spacing w:after="0" w:line="240" w:lineRule="auto"/>
        <w:rPr>
          <w:rFonts w:ascii="Times New Roman" w:hAnsi="Times New Roman" w:cs="Times New Roman"/>
        </w:rPr>
      </w:pPr>
    </w:p>
    <w:p w14:paraId="58B7F1B5" w14:textId="4C1127B8" w:rsidR="00AA1913" w:rsidRDefault="00F625F2" w:rsidP="00AA1913">
      <w:pPr>
        <w:spacing w:after="0" w:line="240" w:lineRule="auto"/>
        <w:rPr>
          <w:rFonts w:ascii="Times New Roman" w:hAnsi="Times New Roman" w:cs="Times New Roman"/>
        </w:rPr>
      </w:pPr>
      <w:r w:rsidRPr="00EA38D8">
        <w:rPr>
          <w:rFonts w:ascii="Times New Roman" w:hAnsi="Times New Roman" w:cs="Times New Roman"/>
        </w:rPr>
        <w:t xml:space="preserve">UNEP (2022). </w:t>
      </w:r>
      <w:r w:rsidRPr="00EA38D8">
        <w:rPr>
          <w:rFonts w:ascii="Times New Roman" w:hAnsi="Times New Roman" w:cs="Times New Roman"/>
          <w:i/>
          <w:iCs/>
        </w:rPr>
        <w:t>Waste Segregation in Communities: Best Practices and Global Trends</w:t>
      </w:r>
      <w:r w:rsidRPr="00EA38D8">
        <w:rPr>
          <w:rFonts w:ascii="Times New Roman" w:hAnsi="Times New Roman" w:cs="Times New Roman"/>
        </w:rPr>
        <w:t xml:space="preserve">. United Nations Environment </w:t>
      </w:r>
      <w:proofErr w:type="spellStart"/>
      <w:r w:rsidRPr="00EA38D8">
        <w:rPr>
          <w:rFonts w:ascii="Times New Roman" w:hAnsi="Times New Roman" w:cs="Times New Roman"/>
        </w:rPr>
        <w:t>Programme</w:t>
      </w:r>
      <w:proofErr w:type="spellEnd"/>
      <w:r w:rsidRPr="00EA38D8">
        <w:rPr>
          <w:rFonts w:ascii="Times New Roman" w:hAnsi="Times New Roman" w:cs="Times New Roman"/>
        </w:rPr>
        <w:t>.</w:t>
      </w:r>
    </w:p>
    <w:p w14:paraId="3067B3CF" w14:textId="77777777" w:rsidR="00AA1913" w:rsidRDefault="00AA1913" w:rsidP="00AA1913">
      <w:pPr>
        <w:spacing w:after="0" w:line="240" w:lineRule="auto"/>
        <w:rPr>
          <w:rFonts w:ascii="Times New Roman" w:hAnsi="Times New Roman" w:cs="Times New Roman"/>
        </w:rPr>
      </w:pPr>
    </w:p>
    <w:p w14:paraId="181E5CAA" w14:textId="77777777" w:rsidR="00AA1913" w:rsidRDefault="00AA1913" w:rsidP="00AA1913">
      <w:pPr>
        <w:spacing w:after="0" w:line="240" w:lineRule="auto"/>
        <w:rPr>
          <w:rFonts w:ascii="Times New Roman" w:hAnsi="Times New Roman" w:cs="Times New Roman"/>
        </w:rPr>
      </w:pPr>
    </w:p>
    <w:p w14:paraId="22896BC5" w14:textId="77777777" w:rsidR="00AA1913" w:rsidRDefault="00AA1913" w:rsidP="00AA1913">
      <w:pPr>
        <w:spacing w:after="0" w:line="240" w:lineRule="auto"/>
        <w:rPr>
          <w:rFonts w:ascii="Times New Roman" w:hAnsi="Times New Roman" w:cs="Times New Roman"/>
        </w:rPr>
      </w:pPr>
    </w:p>
    <w:p w14:paraId="2773F081" w14:textId="77777777" w:rsidR="00AA1913" w:rsidRDefault="00AA1913" w:rsidP="00AA1913">
      <w:pPr>
        <w:spacing w:after="0" w:line="240" w:lineRule="auto"/>
        <w:rPr>
          <w:rFonts w:ascii="Times New Roman" w:hAnsi="Times New Roman" w:cs="Times New Roman"/>
        </w:rPr>
      </w:pPr>
    </w:p>
    <w:p w14:paraId="59B6CCAE" w14:textId="77777777" w:rsidR="00AA1913" w:rsidRDefault="00AA1913" w:rsidP="00AA1913">
      <w:pPr>
        <w:spacing w:after="0" w:line="240" w:lineRule="auto"/>
        <w:rPr>
          <w:rFonts w:ascii="Times New Roman" w:hAnsi="Times New Roman" w:cs="Times New Roman"/>
        </w:rPr>
      </w:pPr>
    </w:p>
    <w:p w14:paraId="5B7147A4" w14:textId="77777777" w:rsidR="00AA1913" w:rsidRDefault="00AA1913" w:rsidP="00AA1913">
      <w:pPr>
        <w:spacing w:after="0" w:line="240" w:lineRule="auto"/>
        <w:rPr>
          <w:rFonts w:ascii="Times New Roman" w:hAnsi="Times New Roman" w:cs="Times New Roman"/>
        </w:rPr>
      </w:pPr>
    </w:p>
    <w:p w14:paraId="6BF755C6" w14:textId="77777777" w:rsidR="00AA1913" w:rsidRDefault="00AA1913" w:rsidP="00AA1913">
      <w:pPr>
        <w:spacing w:after="0" w:line="240" w:lineRule="auto"/>
        <w:rPr>
          <w:rFonts w:ascii="Times New Roman" w:hAnsi="Times New Roman" w:cs="Times New Roman"/>
        </w:rPr>
      </w:pPr>
    </w:p>
    <w:p w14:paraId="172D18A0" w14:textId="77777777" w:rsidR="00AA1913" w:rsidRDefault="00AA1913" w:rsidP="00AA1913">
      <w:pPr>
        <w:spacing w:after="0" w:line="240" w:lineRule="auto"/>
        <w:rPr>
          <w:rFonts w:ascii="Times New Roman" w:hAnsi="Times New Roman" w:cs="Times New Roman"/>
        </w:rPr>
      </w:pPr>
    </w:p>
    <w:p w14:paraId="4DDA3B67" w14:textId="77777777" w:rsidR="00AA1913" w:rsidRDefault="00AA1913" w:rsidP="00AA1913">
      <w:pPr>
        <w:spacing w:after="0" w:line="240" w:lineRule="auto"/>
        <w:rPr>
          <w:rFonts w:ascii="Times New Roman" w:hAnsi="Times New Roman" w:cs="Times New Roman"/>
        </w:rPr>
      </w:pPr>
    </w:p>
    <w:p w14:paraId="69E3F01A" w14:textId="77777777" w:rsidR="00AA1913" w:rsidRDefault="00AA1913" w:rsidP="00AA1913">
      <w:pPr>
        <w:spacing w:after="0" w:line="240" w:lineRule="auto"/>
        <w:rPr>
          <w:rFonts w:ascii="Times New Roman" w:hAnsi="Times New Roman" w:cs="Times New Roman"/>
        </w:rPr>
      </w:pPr>
    </w:p>
    <w:sectPr w:rsidR="00AA19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6A68"/>
    <w:multiLevelType w:val="multilevel"/>
    <w:tmpl w:val="D2A2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E3109"/>
    <w:multiLevelType w:val="multilevel"/>
    <w:tmpl w:val="B43E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934DD"/>
    <w:multiLevelType w:val="multilevel"/>
    <w:tmpl w:val="928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8A7A0D"/>
    <w:multiLevelType w:val="multilevel"/>
    <w:tmpl w:val="1004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F90615"/>
    <w:multiLevelType w:val="multilevel"/>
    <w:tmpl w:val="04E4E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F5FE3"/>
    <w:multiLevelType w:val="multilevel"/>
    <w:tmpl w:val="B9AC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154FA"/>
    <w:multiLevelType w:val="multilevel"/>
    <w:tmpl w:val="797E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A5AC7"/>
    <w:multiLevelType w:val="multilevel"/>
    <w:tmpl w:val="A45E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8C6879"/>
    <w:multiLevelType w:val="multilevel"/>
    <w:tmpl w:val="81B8F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D445D"/>
    <w:multiLevelType w:val="multilevel"/>
    <w:tmpl w:val="DA42C4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054D1"/>
    <w:multiLevelType w:val="multilevel"/>
    <w:tmpl w:val="4A3A2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65788"/>
    <w:multiLevelType w:val="multilevel"/>
    <w:tmpl w:val="AB3CB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ED41C4"/>
    <w:multiLevelType w:val="multilevel"/>
    <w:tmpl w:val="7514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70E5D"/>
    <w:multiLevelType w:val="multilevel"/>
    <w:tmpl w:val="5552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4168767">
    <w:abstractNumId w:val="10"/>
  </w:num>
  <w:num w:numId="2" w16cid:durableId="1786803075">
    <w:abstractNumId w:val="2"/>
  </w:num>
  <w:num w:numId="3" w16cid:durableId="637999357">
    <w:abstractNumId w:val="11"/>
  </w:num>
  <w:num w:numId="4" w16cid:durableId="745222548">
    <w:abstractNumId w:val="12"/>
  </w:num>
  <w:num w:numId="5" w16cid:durableId="651837751">
    <w:abstractNumId w:val="8"/>
  </w:num>
  <w:num w:numId="6" w16cid:durableId="298848121">
    <w:abstractNumId w:val="0"/>
  </w:num>
  <w:num w:numId="7" w16cid:durableId="1222138554">
    <w:abstractNumId w:val="9"/>
  </w:num>
  <w:num w:numId="8" w16cid:durableId="2011710198">
    <w:abstractNumId w:val="13"/>
  </w:num>
  <w:num w:numId="9" w16cid:durableId="1854150505">
    <w:abstractNumId w:val="4"/>
  </w:num>
  <w:num w:numId="10" w16cid:durableId="1485967672">
    <w:abstractNumId w:val="7"/>
  </w:num>
  <w:num w:numId="11" w16cid:durableId="560289637">
    <w:abstractNumId w:val="3"/>
  </w:num>
  <w:num w:numId="12" w16cid:durableId="496383261">
    <w:abstractNumId w:val="1"/>
  </w:num>
  <w:num w:numId="13" w16cid:durableId="286670126">
    <w:abstractNumId w:val="6"/>
  </w:num>
  <w:num w:numId="14" w16cid:durableId="853030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0A"/>
    <w:rsid w:val="00116E2A"/>
    <w:rsid w:val="003658BE"/>
    <w:rsid w:val="003F400A"/>
    <w:rsid w:val="00821B8F"/>
    <w:rsid w:val="00AA1913"/>
    <w:rsid w:val="00B2057E"/>
    <w:rsid w:val="00CD45E3"/>
    <w:rsid w:val="00D160EA"/>
    <w:rsid w:val="00F625F2"/>
    <w:rsid w:val="00FB51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49E6"/>
  <w15:chartTrackingRefBased/>
  <w15:docId w15:val="{D6D893A2-E5C3-4031-B4A5-B0041886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00A"/>
    <w:rPr>
      <w:rFonts w:eastAsiaTheme="majorEastAsia" w:cstheme="majorBidi"/>
      <w:color w:val="272727" w:themeColor="text1" w:themeTint="D8"/>
    </w:rPr>
  </w:style>
  <w:style w:type="paragraph" w:styleId="Title">
    <w:name w:val="Title"/>
    <w:basedOn w:val="Normal"/>
    <w:next w:val="Normal"/>
    <w:link w:val="TitleChar"/>
    <w:uiPriority w:val="10"/>
    <w:qFormat/>
    <w:rsid w:val="003F4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00A"/>
    <w:pPr>
      <w:spacing w:before="160"/>
      <w:jc w:val="center"/>
    </w:pPr>
    <w:rPr>
      <w:i/>
      <w:iCs/>
      <w:color w:val="404040" w:themeColor="text1" w:themeTint="BF"/>
    </w:rPr>
  </w:style>
  <w:style w:type="character" w:customStyle="1" w:styleId="QuoteChar">
    <w:name w:val="Quote Char"/>
    <w:basedOn w:val="DefaultParagraphFont"/>
    <w:link w:val="Quote"/>
    <w:uiPriority w:val="29"/>
    <w:rsid w:val="003F400A"/>
    <w:rPr>
      <w:i/>
      <w:iCs/>
      <w:color w:val="404040" w:themeColor="text1" w:themeTint="BF"/>
    </w:rPr>
  </w:style>
  <w:style w:type="paragraph" w:styleId="ListParagraph">
    <w:name w:val="List Paragraph"/>
    <w:basedOn w:val="Normal"/>
    <w:uiPriority w:val="34"/>
    <w:qFormat/>
    <w:rsid w:val="003F400A"/>
    <w:pPr>
      <w:ind w:left="720"/>
      <w:contextualSpacing/>
    </w:pPr>
  </w:style>
  <w:style w:type="character" w:styleId="IntenseEmphasis">
    <w:name w:val="Intense Emphasis"/>
    <w:basedOn w:val="DefaultParagraphFont"/>
    <w:uiPriority w:val="21"/>
    <w:qFormat/>
    <w:rsid w:val="003F400A"/>
    <w:rPr>
      <w:i/>
      <w:iCs/>
      <w:color w:val="0F4761" w:themeColor="accent1" w:themeShade="BF"/>
    </w:rPr>
  </w:style>
  <w:style w:type="paragraph" w:styleId="IntenseQuote">
    <w:name w:val="Intense Quote"/>
    <w:basedOn w:val="Normal"/>
    <w:next w:val="Normal"/>
    <w:link w:val="IntenseQuoteChar"/>
    <w:uiPriority w:val="30"/>
    <w:qFormat/>
    <w:rsid w:val="003F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00A"/>
    <w:rPr>
      <w:i/>
      <w:iCs/>
      <w:color w:val="0F4761" w:themeColor="accent1" w:themeShade="BF"/>
    </w:rPr>
  </w:style>
  <w:style w:type="character" w:styleId="IntenseReference">
    <w:name w:val="Intense Reference"/>
    <w:basedOn w:val="DefaultParagraphFont"/>
    <w:uiPriority w:val="32"/>
    <w:qFormat/>
    <w:rsid w:val="003F400A"/>
    <w:rPr>
      <w:b/>
      <w:bCs/>
      <w:smallCaps/>
      <w:color w:val="0F4761" w:themeColor="accent1" w:themeShade="BF"/>
      <w:spacing w:val="5"/>
    </w:rPr>
  </w:style>
  <w:style w:type="character" w:styleId="Hyperlink">
    <w:name w:val="Hyperlink"/>
    <w:basedOn w:val="DefaultParagraphFont"/>
    <w:uiPriority w:val="99"/>
    <w:unhideWhenUsed/>
    <w:rsid w:val="00AA1913"/>
    <w:rPr>
      <w:color w:val="467886" w:themeColor="hyperlink"/>
      <w:u w:val="single"/>
    </w:rPr>
  </w:style>
  <w:style w:type="character" w:styleId="UnresolvedMention">
    <w:name w:val="Unresolved Mention"/>
    <w:basedOn w:val="DefaultParagraphFont"/>
    <w:uiPriority w:val="99"/>
    <w:semiHidden/>
    <w:unhideWhenUsed/>
    <w:rsid w:val="00AA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sidesustainability.org/post/the-role-of-coastal-communities-in-ocean-sustainability" TargetMode="External"/><Relationship Id="rId3" Type="http://schemas.openxmlformats.org/officeDocument/2006/relationships/styles" Target="styles.xml"/><Relationship Id="rId7" Type="http://schemas.openxmlformats.org/officeDocument/2006/relationships/hyperlink" Target="https://pepp.emb.gov.ph/wp-content/uploads/2016/06/RA-9003-Ecological-Solid-Waste-Management-Act-of-200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bdolor77@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mc.ncbi.nlm.nih.gov/articles/PMC8204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F012A-DA6E-4CD8-BED5-ABB20310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5811</Words>
  <Characters>33126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2025-08-22T22:12:00Z</dcterms:created>
  <dcterms:modified xsi:type="dcterms:W3CDTF">2025-08-23T01:32:00Z</dcterms:modified>
</cp:coreProperties>
</file>