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Cognitive Singularity: Architecting a Unified AI-Backbone Ecosystem for Indian Education</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bCs w:val="1"/>
          <w:rtl w:val="0"/>
        </w:rPr>
        <w:t xml:space="preserve">Abstract</w:t>
      </w:r>
      <w:r w:rsidDel="00000000" w:rsidR="00000000" w:rsidRPr="00000000">
        <w:rPr>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A paradigm shift is required in the Indian traditional model of education based on inflexible curricula and rote learning. As the global economy pivots toward AI-augmented productivity, a seamless, lifelong AI-integrated educational ecosystem is paramount. In this paper, we present the “Cognitive Singularity Framework” (CSF), a unified nationwide AI backbone to unify every aspect of learning from primary school to professional development. The CSF aims to democratize access, personalize pedagogical delivery, and prepare the Indian youth to lead in an AI-centric future by embedding AI as a continuing and evolving presence in the student journey. We take a look at the present condition of AI in Indian education, emphasize key implementation hurdles, and offer a methodological roadmap for a systematic transformation of the ecosystem.</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 Introduction</w:t>
      </w:r>
    </w:p>
    <w:p w:rsidR="00000000" w:rsidDel="00000000" w:rsidP="00000000" w:rsidRDefault="00000000" w:rsidRPr="00000000" w14:paraId="00000005">
      <w:pPr>
        <w:rPr/>
      </w:pPr>
      <w:r w:rsidDel="00000000" w:rsidR="00000000" w:rsidRPr="00000000">
        <w:rPr>
          <w:rtl w:val="0"/>
        </w:rPr>
        <w:t xml:space="preserve">The integration of artificial intelligence (AI) into global educational architecture is not experimental anymore. AI has evolved from local, supplemental tools to the cognitive infrastructure. In a rapidly automating global economy, the current models of fragmented learning, where knowledge consumption is not connected to continuous assessment and practical application, are increasingly outdated. The future of learning demands an ecosystem where AI is not merely an object of study but the very means of learning. This requires a paradigm shift from isolated EdTech interventions to a holistic, pervasive intelligence layer that is a continuous digital life partner to the learner, tracking, adapting, and guiding their intellectual evolution from early childhood through advanced professional stages.</w:t>
      </w:r>
    </w:p>
    <w:p w:rsidR="00000000" w:rsidDel="00000000" w:rsidP="00000000" w:rsidRDefault="00000000" w:rsidRPr="00000000" w14:paraId="00000006">
      <w:pPr>
        <w:rPr/>
      </w:pPr>
      <w:r w:rsidDel="00000000" w:rsidR="00000000" w:rsidRPr="00000000">
        <w:rPr>
          <w:rtl w:val="0"/>
        </w:rPr>
        <w:t xml:space="preserve">In the case of India, this transformation is a daunting challenge and a unique opportunity. India’s historic challenges around educational equity, teacher-to-student ratios, and standardized rote learning can be aggressively leapfrogged via technology with a demographic dividend of over 250 million school-going children [1]. The National Education Policy (NEP) 2020 has paved the way by emphasizing computational thinking, which has now resulted in a directive to include AI as a core curriculum from Class 3 onwards by the academic year 2026-27 [2]. But simply applying AI to an outdated syllabus is not enough; the entire ecosystem must be completely redesigned.</w:t>
      </w:r>
    </w:p>
    <w:p w:rsidR="00000000" w:rsidDel="00000000" w:rsidP="00000000" w:rsidRDefault="00000000" w:rsidRPr="00000000" w14:paraId="00000007">
      <w:pPr>
        <w:rPr/>
      </w:pPr>
      <w:r w:rsidDel="00000000" w:rsidR="00000000" w:rsidRPr="00000000">
        <w:rPr>
          <w:rtl w:val="0"/>
        </w:rPr>
        <w:t xml:space="preserve">We propose the Cognitive Singularity Framework (CSF) for this purpose. The CSF envisions a single national AI backbone, learning from India’s success with population-scale Digital Public Infrastructure (DPI) like the India Stack [3]. This framework brings together administration, delivery of curriculum, real-time assessment, and practical simulation in a single, continuous loop. The CSF takes care of mundane desktop jobs and administrative overhead, freeing up human educators to focus whole-heartedly on empathetic mentorship and complex problem-solving. This paper describes the architecture, lifecycle methodology and rigorous public sector implementation strategies required to deploy this centralized intelligence network across India’s diverse socio-economic landscape.</w:t>
      </w:r>
    </w:p>
    <w:p w:rsidR="00000000" w:rsidDel="00000000" w:rsidP="00000000" w:rsidRDefault="00000000" w:rsidRPr="00000000" w14:paraId="00000008">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 Literature Review: The Evolution of AI in Indian Education</w:t>
      </w:r>
    </w:p>
    <w:p w:rsidR="00000000" w:rsidDel="00000000" w:rsidP="00000000" w:rsidRDefault="00000000" w:rsidRPr="00000000" w14:paraId="00000009">
      <w:pPr>
        <w:rPr>
          <w:color w:val="161f19"/>
          <w:sz w:val="24"/>
          <w:szCs w:val="24"/>
          <w:highlight w:val="white"/>
        </w:rPr>
      </w:pPr>
      <w:r w:rsidDel="00000000" w:rsidR="00000000" w:rsidRPr="00000000">
        <w:rPr>
          <w:color w:val="161f19"/>
          <w:sz w:val="24"/>
          <w:szCs w:val="24"/>
          <w:highlight w:val="white"/>
          <w:rtl w:val="0"/>
        </w:rPr>
        <w:t xml:space="preserve">In recent writings, the Indian educational technology scene has moved from decentralized pilot programs to state-mandated institutional structures. This analysis synthesizes eight different trajectories in recent research and policy deployment.</w:t>
      </w:r>
    </w:p>
    <w:p w:rsidR="00000000" w:rsidDel="00000000" w:rsidP="00000000" w:rsidRDefault="00000000" w:rsidRPr="00000000" w14:paraId="0000000A">
      <w:pPr>
        <w:rPr>
          <w:color w:val="161f19"/>
          <w:sz w:val="24"/>
          <w:szCs w:val="24"/>
          <w:highlight w:val="whit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color w:val="161f19"/>
          <w:sz w:val="24"/>
          <w:szCs w:val="24"/>
          <w:highlight w:val="white"/>
        </w:rPr>
      </w:pPr>
      <w:r w:rsidDel="00000000" w:rsidR="00000000" w:rsidRPr="00000000">
        <w:rPr>
          <w:color w:val="161f19"/>
          <w:sz w:val="24"/>
          <w:szCs w:val="24"/>
          <w:highlight w:val="white"/>
          <w:rtl w:val="0"/>
        </w:rPr>
        <w:t xml:space="preserve">1. Early Adoption &amp; Curricular Mandates The Ministry of Education has declared AI and computational thinking compulsory from Class 3 (Maddala, 2026)—a first-of-its-kind decision. The paper emphasizes that early adoption should extend beyond coding to include logic synthesis, ethical thinking, and prompt architecture [2].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color w:val="161f19"/>
          <w:sz w:val="24"/>
          <w:szCs w:val="24"/>
          <w:highlight w:val="whit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color w:val="161f19"/>
          <w:sz w:val="24"/>
          <w:szCs w:val="24"/>
          <w:highlight w:val="white"/>
        </w:rPr>
      </w:pPr>
      <w:r w:rsidDel="00000000" w:rsidR="00000000" w:rsidRPr="00000000">
        <w:rPr>
          <w:color w:val="161f19"/>
          <w:sz w:val="24"/>
          <w:szCs w:val="24"/>
          <w:highlight w:val="white"/>
          <w:rtl w:val="0"/>
        </w:rPr>
        <w:t xml:space="preserve">2. Governance and Administrative Automation: The growth of Vidya Samiksha Kendra (VSK) command centers is a clear example of AI-enabled macro-governance. VSK currently employs machine learning algorithms to process real-time data from more than 1.5 million schools to predict dropouts and resource misallocations, demonstrating the practicality of centralized data backbone systems [4].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color w:val="161f19"/>
          <w:sz w:val="24"/>
          <w:szCs w:val="24"/>
          <w:highlight w:val="whit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color w:val="161f19"/>
          <w:sz w:val="24"/>
          <w:szCs w:val="24"/>
          <w:highlight w:val="white"/>
        </w:rPr>
      </w:pPr>
      <w:r w:rsidDel="00000000" w:rsidR="00000000" w:rsidRPr="00000000">
        <w:rPr>
          <w:color w:val="161f19"/>
          <w:sz w:val="24"/>
          <w:szCs w:val="24"/>
          <w:highlight w:val="white"/>
          <w:rtl w:val="0"/>
        </w:rPr>
        <w:t xml:space="preserve">3. State-level strategic divergence: Sihag and Vibha (2025) compared the state-level implementation models. Punjab has launched AI labs at a fast pace using an infrastructure-led approach, while Odisha’s 2025 State AI Policy has stressed the importance of linguistic inclusivity by deploying foundational AI lessons in Odia and tribal languages, further stressing the need for localized LLMs [5].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color w:val="161f19"/>
          <w:sz w:val="24"/>
          <w:szCs w:val="24"/>
          <w:shd w:fill="fce678" w:val="clear"/>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color w:val="161f19"/>
          <w:sz w:val="24"/>
          <w:szCs w:val="24"/>
          <w:highlight w:val="white"/>
        </w:rPr>
      </w:pPr>
      <w:r w:rsidDel="00000000" w:rsidR="00000000" w:rsidRPr="00000000">
        <w:rPr>
          <w:color w:val="161f19"/>
          <w:sz w:val="24"/>
          <w:szCs w:val="24"/>
          <w:shd w:fill="fce678" w:val="clear"/>
          <w:rtl w:val="0"/>
        </w:rPr>
        <w:t xml:space="preserve">4.</w:t>
      </w:r>
      <w:r w:rsidDel="00000000" w:rsidR="00000000" w:rsidRPr="00000000">
        <w:rPr>
          <w:color w:val="161f19"/>
          <w:sz w:val="24"/>
          <w:szCs w:val="24"/>
          <w:highlight w:val="white"/>
          <w:rtl w:val="0"/>
        </w:rPr>
        <w:t xml:space="preserve"> From Instrument to Policy: Institutional policies are moving from ad hoc tool adoption to full AI charters. The International K-12 Artificial Intelligence Foundation (IKF) 2026 report notes that “AI literacy is no longer optional enrichment; it is a graduation-level competency," and there is a need for frameworks to teach students how to audit algorithms for bias [6].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color w:val="161f19"/>
          <w:sz w:val="24"/>
          <w:szCs w:val="24"/>
          <w:highlight w:val="whit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color w:val="161f19"/>
          <w:sz w:val="24"/>
          <w:szCs w:val="24"/>
          <w:highlight w:val="white"/>
        </w:rPr>
      </w:pPr>
      <w:r w:rsidDel="00000000" w:rsidR="00000000" w:rsidRPr="00000000">
        <w:rPr>
          <w:color w:val="161f19"/>
          <w:sz w:val="24"/>
          <w:szCs w:val="24"/>
          <w:highlight w:val="white"/>
          <w:rtl w:val="0"/>
        </w:rPr>
        <w:t xml:space="preserve">5. Model: Digital Public Infrastructure (DPI) The joint report of ASSOCHAM and EY (2025) positions the National Digital Education Architecture (NDEAR) within the greater success story of DPI in India. It believes that one AI backbone should be treated as a “public good” through open APIs to enable interoperability between different school districts and postsecondary institutions [7].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color w:val="161f19"/>
          <w:sz w:val="24"/>
          <w:szCs w:val="24"/>
          <w:highlight w:val="whit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color w:val="161f19"/>
          <w:sz w:val="24"/>
          <w:szCs w:val="24"/>
          <w:highlight w:val="white"/>
        </w:rPr>
      </w:pPr>
      <w:r w:rsidDel="00000000" w:rsidR="00000000" w:rsidRPr="00000000">
        <w:rPr>
          <w:color w:val="161f19"/>
          <w:sz w:val="24"/>
          <w:szCs w:val="24"/>
          <w:highlight w:val="white"/>
          <w:rtl w:val="0"/>
        </w:rPr>
        <w:t xml:space="preserve">6. Grassroots Teacher Resistance: A micro-level study in the Coimbatore district by Meenakshi and Arul (2025) reveals severe psychological and technical barriers. A major gap in current professional development programs was the poor digital literacy of teachers and fear that AI would increase, rather than decrease, administrative tasks [8].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color w:val="161f19"/>
          <w:sz w:val="24"/>
          <w:szCs w:val="24"/>
          <w:highlight w:val="white"/>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color w:val="161f19"/>
          <w:sz w:val="24"/>
          <w:szCs w:val="24"/>
          <w:highlight w:val="white"/>
        </w:rPr>
      </w:pPr>
      <w:r w:rsidDel="00000000" w:rsidR="00000000" w:rsidRPr="00000000">
        <w:rPr>
          <w:color w:val="161f19"/>
          <w:sz w:val="24"/>
          <w:szCs w:val="24"/>
          <w:highlight w:val="white"/>
          <w:rtl w:val="0"/>
        </w:rPr>
        <w:t xml:space="preserve">7. Integration into Higher Education: AICTE and AI platforms at the university level partnership has shown how to scale distribution of specialized information. Government reports (2025) note that the focus should rapidly shift from consumption to creation, training over 1.25 million specialized AI experts by 2027 [9].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color w:val="161f19"/>
          <w:sz w:val="24"/>
          <w:szCs w:val="24"/>
          <w:highlight w:val="whit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color w:val="161f19"/>
          <w:sz w:val="24"/>
          <w:szCs w:val="24"/>
          <w:highlight w:val="white"/>
          <w:rtl w:val="0"/>
        </w:rPr>
        <w:t xml:space="preserve">8. Digital and Infrastructural Divide The UDISE+ statistics (2025) highlight perhaps the biggest hurdle, which states that only 65% of Indian schools have computers and even fewer have proper internet [2]. Jha et al. (2025) note that the absence of strong governmental involvement in hardware equity will significantly increase the existing socio-economic gaps in education with the implementation of AI [10].</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r>
    </w:p>
    <w:p w:rsidR="00000000" w:rsidDel="00000000" w:rsidP="00000000" w:rsidRDefault="00000000" w:rsidRPr="00000000" w14:paraId="0000001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 The Cognitive Singularity Framework (CSF)</w:t>
      </w:r>
    </w:p>
    <w:p w:rsidR="00000000" w:rsidDel="00000000" w:rsidP="00000000" w:rsidRDefault="00000000" w:rsidRPr="00000000" w14:paraId="0000001C">
      <w:pPr>
        <w:rPr/>
      </w:pPr>
      <w:r w:rsidDel="00000000" w:rsidR="00000000" w:rsidRPr="00000000">
        <w:rPr>
          <w:rtl w:val="0"/>
        </w:rPr>
        <w:t xml:space="preserve">CSF (Cognitive Singularity Framework) is a structural shift from traditional pedagogy. The CSF does not view education as a series of discrete and isolated events (lectures, exams, semesters) but as a continuous and ongoing stream of cognitive development. In essence, the CSF creates a perpetual digital intelligence that “watches” and interacts with the student every day, building a very complex, multi-dimensional map of the student’s neural pathways, strengths, attention spans, and creative leanings.</w:t>
      </w:r>
    </w:p>
    <w:p w:rsidR="00000000" w:rsidDel="00000000" w:rsidP="00000000" w:rsidRDefault="00000000" w:rsidRPr="00000000" w14:paraId="0000001D">
      <w:pPr>
        <w:rPr/>
      </w:pPr>
      <w:r w:rsidDel="00000000" w:rsidR="00000000" w:rsidRPr="00000000">
        <w:rPr>
          <w:rtl w:val="0"/>
        </w:rPr>
        <w:t xml:space="preserve">The central paradigm of the CSF is “Automated Administration and Augmented Mentorship.” The framework is tailored for full automation of regular desktop-based educational tasks such as manual grading, attendance tracking, scheduling lessons, and compliance reporting. This decentralizes the institutional architecture by outsourcing these tasks to autonomous AI agents. All human involvement is redirected to high-value, high-empathy interactions. Teachers become “cognitive mentors" whose sole purpose is to guide moral reasoning, facilitate physical collaboration, and provide emotional scaffolding when the AI detects a student experiencing cognitive friction.</w:t>
      </w:r>
    </w:p>
    <w:p w:rsidR="00000000" w:rsidDel="00000000" w:rsidP="00000000" w:rsidRDefault="00000000" w:rsidRPr="00000000" w14:paraId="0000001E">
      <w:pPr>
        <w:rPr/>
      </w:pPr>
      <w:r w:rsidDel="00000000" w:rsidR="00000000" w:rsidRPr="00000000">
        <w:rPr>
          <w:rtl w:val="0"/>
        </w:rPr>
        <w:t xml:space="preserve">The CSF also conforms to the principle of unified data ontology. Today’s EdTech apps trap student data in proprietary silos, whereas the CSF envisions a national, open-source backbone secured by blockchain protocols. This means that the cognitive profile of a student, built in a rural primary school, goes with him seamlessly to an urban university and then into the workforce. This longitudinal data allows the system to predict industry competencies years before they are needed, actively designing the student's curriculum to match not only personal aptitude but also real-time macroeconomic demand.</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2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Methodology of the Backbone: The Single Integrated Backbone (SIB)</w:t>
      </w:r>
    </w:p>
    <w:p w:rsidR="00000000" w:rsidDel="00000000" w:rsidP="00000000" w:rsidRDefault="00000000" w:rsidRPr="00000000" w14:paraId="00000021">
      <w:pPr>
        <w:rPr/>
      </w:pPr>
      <w:r w:rsidDel="00000000" w:rsidR="00000000" w:rsidRPr="00000000">
        <w:rPr>
          <w:rtl w:val="0"/>
        </w:rPr>
        <w:t xml:space="preserve">The CSF’s technological and operational heart is the Single Integrated Backbone (SIB). This is a highly secure federated cloud infrastructure with edge computing to support operations in low-bandwidth Indian environments. The SIB methodology is based on three tightly interwoven layers: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1. Generative Curriculum Synthesis: Traditional curricula are static documents. The SIB uses localized LLMs (that can synthesize text, video, and code in 22+ Indian languages) to generate study material dynamically. Imagine a student in rural Rajasthan who has difficulty understanding physics concepts presented in text but is proficient at visual-spatial tasks. The SIB instantly converts the text-based physics problems into interactive 3D simulations, with audio narration in the local language.</w:t>
      </w:r>
    </w:p>
    <w:p w:rsidR="00000000" w:rsidDel="00000000" w:rsidP="00000000" w:rsidRDefault="00000000" w:rsidRPr="00000000" w14:paraId="00000024">
      <w:pPr>
        <w:rPr/>
      </w:pPr>
      <w:r w:rsidDel="00000000" w:rsidR="00000000" w:rsidRPr="00000000">
        <w:rPr>
          <w:rtl w:val="0"/>
        </w:rPr>
        <w:t xml:space="preserve">2. Complete Automation of Desktop &amp; Bureaucratic Tasks: At the point of full ecosystem optimization, AI agents handle all institutional logistics. We automate roster generation, predictive infrastructure maintenance (i.e., predicting when a school will need more bandwidth), curriculum auditing, and institutional grading aggregations. This is a direct response to the systemic inefficiency of Indian public schools, where teachers spend up to 20% of their time on clerical duties.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Table 1: Paradigm Shift - Traditional vs. CSF Architecture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System Attribute</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Traditional Indian Education System</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CSF Single Integrated Backbone (SIB)</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Assessment Model</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High-stakes summative exams (Annual/Board)</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Invisible, continuous algorithmic assessment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Curriculum Flow</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Linear, standardized, textbook-dependent</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Dynamic, multi-modal, hyper-personalized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Administrative Load</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manual data entry by human educators</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Fully autonomous desktop/clerical operations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Data Architecture</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Siloed, fragmented across state/private bodies</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Unified DPI, interoperable, longitudinal profile</w:t>
            </w:r>
          </w:p>
        </w:tc>
      </w:tr>
    </w:tbl>
    <w:p w:rsidR="00000000" w:rsidDel="00000000" w:rsidP="00000000" w:rsidRDefault="00000000" w:rsidRPr="00000000" w14:paraId="00000036">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3.2. Lifecycle Integration: From Foundational to Professional</w:t>
      </w:r>
    </w:p>
    <w:p w:rsidR="00000000" w:rsidDel="00000000" w:rsidP="00000000" w:rsidRDefault="00000000" w:rsidRPr="00000000" w14:paraId="00000037">
      <w:pPr>
        <w:rPr/>
      </w:pPr>
      <w:r w:rsidDel="00000000" w:rsidR="00000000" w:rsidRPr="00000000">
        <w:rPr>
          <w:rtl w:val="0"/>
        </w:rPr>
        <w:t xml:space="preserve">To be a true life partner, the CSF’s methodology must adapt with the user’s neurological and social development.</w:t>
      </w:r>
    </w:p>
    <w:p w:rsidR="00000000" w:rsidDel="00000000" w:rsidP="00000000" w:rsidRDefault="00000000" w:rsidRPr="00000000" w14:paraId="00000038">
      <w:pPr>
        <w:rPr/>
      </w:pPr>
      <w:r w:rsidDel="00000000" w:rsidR="00000000" w:rsidRPr="00000000">
        <w:rPr>
          <w:b w:val="1"/>
          <w:bCs w:val="1"/>
          <w:rtl w:val="0"/>
        </w:rPr>
        <w:t xml:space="preserve">Phase I: Foundational &amp; Primary (Ages 3-10):</w:t>
      </w:r>
      <w:r w:rsidDel="00000000" w:rsidR="00000000" w:rsidRPr="00000000">
        <w:rPr>
          <w:rtl w:val="0"/>
        </w:rPr>
        <w:t xml:space="preserve"> The Invisible Guide. In early childhood, the AI is mostly in the background. The interface is very gamified and uses voice and touch. The goal is not to teach the child about AI, but to use AI to identify learning disabilities (e.g., dyslexia, dyscalculia) years before they are normally identified by human educators [9]. Content is delivered by interactive storytelling. The AI begins mapping the child’s baseline cognitive architecture and introduces basic computational logic through physical play, which is monitored by the AI.</w:t>
      </w:r>
    </w:p>
    <w:p w:rsidR="00000000" w:rsidDel="00000000" w:rsidP="00000000" w:rsidRDefault="00000000" w:rsidRPr="00000000" w14:paraId="00000039">
      <w:pPr>
        <w:rPr/>
      </w:pPr>
      <w:r w:rsidDel="00000000" w:rsidR="00000000" w:rsidRPr="00000000">
        <w:rPr>
          <w:b w:val="1"/>
          <w:bCs w:val="1"/>
          <w:rtl w:val="0"/>
        </w:rPr>
        <w:t xml:space="preserve">Phase II: Intermediate &amp; Secondary (11-15 years):</w:t>
      </w:r>
      <w:r w:rsidDel="00000000" w:rsidR="00000000" w:rsidRPr="00000000">
        <w:rPr>
          <w:rtl w:val="0"/>
        </w:rPr>
        <w:t xml:space="preserve"> The Collaborative Co-Pilot As abstract reasoning becomes more prominent, the AI takes a more active role. Students are also taught “prompt architecture" and algorithmic auditing explicitly. Learning shifts heavily to project-based assignments. If a student is assigned to research the Indus Valley Civilization, the AI won’t give them the answers; it’ll be an adversarial debate partner that pushes the student to defend their historical conclusions. Assessment heavily emphasizes the student’s ability to orchestrate AI tools to solve multidisciplinary problems.</w:t>
      </w:r>
    </w:p>
    <w:p w:rsidR="00000000" w:rsidDel="00000000" w:rsidP="00000000" w:rsidRDefault="00000000" w:rsidRPr="00000000" w14:paraId="0000003A">
      <w:pPr>
        <w:rPr/>
      </w:pPr>
      <w:r w:rsidDel="00000000" w:rsidR="00000000" w:rsidRPr="00000000">
        <w:rPr>
          <w:b w:val="1"/>
          <w:bCs w:val="1"/>
          <w:rtl w:val="0"/>
        </w:rPr>
        <w:t xml:space="preserve">Phase III: Higher Education &amp; Specialized Research (16+ years old):</w:t>
      </w:r>
      <w:r w:rsidDel="00000000" w:rsidR="00000000" w:rsidRPr="00000000">
        <w:rPr>
          <w:rtl w:val="0"/>
        </w:rPr>
        <w:t xml:space="preserve"> The Synergistic Synth In higher education, the SIB directly plugs into industry databases and global research grids. Students undertake very technical simulations, like using machine learning for predictive drug discovery or architectural visualization for smart cities. The AI is tracking their workflows to assess professional readiness and literally matching their deeply verified skill portfolios to the needs of public sector or corporate enterprises. This replaces the old, deeply flawed university placement system.</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Implementation Challenges in the Indian Ecosystem</w:t>
      </w:r>
    </w:p>
    <w:p w:rsidR="00000000" w:rsidDel="00000000" w:rsidP="00000000" w:rsidRDefault="00000000" w:rsidRPr="00000000" w14:paraId="0000003D">
      <w:pPr>
        <w:rPr/>
      </w:pPr>
      <w:r w:rsidDel="00000000" w:rsidR="00000000" w:rsidRPr="00000000">
        <w:rPr>
          <w:rtl w:val="0"/>
        </w:rPr>
        <w:t xml:space="preserve">The implementation of the CSF in India is fraught with deep structural, socio-cultural, and ethical challenges that need to be deliberately mitigated.</w:t>
      </w:r>
    </w:p>
    <w:p w:rsidR="00000000" w:rsidDel="00000000" w:rsidP="00000000" w:rsidRDefault="00000000" w:rsidRPr="00000000" w14:paraId="0000003E">
      <w:pPr>
        <w:rPr/>
      </w:pPr>
      <w:r w:rsidDel="00000000" w:rsidR="00000000" w:rsidRPr="00000000">
        <w:rPr>
          <w:b w:val="1"/>
          <w:bCs w:val="1"/>
          <w:rtl w:val="0"/>
        </w:rPr>
        <w:t xml:space="preserve">1. The Severe Hardware and Connectivity Deficit: </w:t>
      </w:r>
      <w:r w:rsidDel="00000000" w:rsidR="00000000" w:rsidRPr="00000000">
        <w:rPr>
          <w:rtl w:val="0"/>
        </w:rPr>
        <w:t xml:space="preserve">With merely 58% of Indian schools having functional computers, deploying an AI backbone is mathematically impossible under the current hardware constraints [2]. The problem is not only sourcing screens but also setting up high-speed, low-latency edge servers in difficult-to-reach locations. Dependence on cloud-based LLMs necessitates stable power grids, which are often unreliable in Tier-3 cities and rural hinterlands.</w:t>
      </w:r>
    </w:p>
    <w:p w:rsidR="00000000" w:rsidDel="00000000" w:rsidP="00000000" w:rsidRDefault="00000000" w:rsidRPr="00000000" w14:paraId="0000003F">
      <w:pPr>
        <w:rPr/>
      </w:pPr>
      <w:r w:rsidDel="00000000" w:rsidR="00000000" w:rsidRPr="00000000">
        <w:rPr>
          <w:b w:val="1"/>
          <w:bCs w:val="1"/>
          <w:rtl w:val="0"/>
        </w:rPr>
        <w:t xml:space="preserve">2. Pedagogical Paralysis and Workforce Anxiety: </w:t>
      </w:r>
      <w:r w:rsidDel="00000000" w:rsidR="00000000" w:rsidRPr="00000000">
        <w:rPr>
          <w:rtl w:val="0"/>
        </w:rPr>
        <w:t xml:space="preserve">Automating desktop jobs and the transition of teachers to “cognitive mentors" leads to massive workforce anxiety. Teachers accustomed to authoritarian, rote learning lecturing face a serious identity crisis when the AI becomes the main source of knowledge [8]. Unions and educator networks will actively oppose implementation without exhaustive psychological and technical retraining. The SIB will be viewed as a surveillance and replacement tool, not an empowerment one.</w:t>
      </w:r>
    </w:p>
    <w:p w:rsidR="00000000" w:rsidDel="00000000" w:rsidP="00000000" w:rsidRDefault="00000000" w:rsidRPr="00000000" w14:paraId="00000040">
      <w:pPr>
        <w:rPr/>
      </w:pPr>
      <w:r w:rsidDel="00000000" w:rsidR="00000000" w:rsidRPr="00000000">
        <w:rPr>
          <w:b w:val="1"/>
          <w:bCs w:val="1"/>
          <w:rtl w:val="0"/>
        </w:rPr>
        <w:t xml:space="preserve">3. Linguistic Hegemony and Cultural Erasure:</w:t>
      </w:r>
      <w:r w:rsidDel="00000000" w:rsidR="00000000" w:rsidRPr="00000000">
        <w:rPr>
          <w:rtl w:val="0"/>
        </w:rPr>
        <w:t xml:space="preserve"> Most advanced AI models are trained mainly on English and Western-centric datasets. This is a risk of linguistic hegemony in Indian schools with the introduction of these raw models. It is a massive data-engineering challenge to build LLMs that truly understand the cultural nuances, idioms, and historical contexts of Assamese, Tamil, or Odia without hallucinating or applying Western biases [5, 10].</w:t>
      </w:r>
    </w:p>
    <w:p w:rsidR="00000000" w:rsidDel="00000000" w:rsidP="00000000" w:rsidRDefault="00000000" w:rsidRPr="00000000" w14:paraId="00000041">
      <w:pPr>
        <w:rPr/>
      </w:pPr>
      <w:r w:rsidDel="00000000" w:rsidR="00000000" w:rsidRPr="00000000">
        <w:rPr>
          <w:b w:val="1"/>
          <w:bCs w:val="1"/>
          <w:rtl w:val="0"/>
        </w:rPr>
        <w:t xml:space="preserve">4. Data Sovereignty and Algorithmic Bias: </w:t>
      </w:r>
      <w:r w:rsidDel="00000000" w:rsidR="00000000" w:rsidRPr="00000000">
        <w:rPr>
          <w:rtl w:val="0"/>
        </w:rPr>
        <w:t xml:space="preserve">The psychological profiles, cognitive limits, and biometrics of hundreds of millions of children are stored in a single, unified backbone, representing an unprecedented cybersecurity risk. Moreover, if the AI predictive algorithms are trained on biased historical data, they may systematically discourage students from marginalized castes or lower-income backgrounds from taking advanced STEM pathways, thus codifying historical prejudices into impenetrable code.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Table 2: Multidimensional Risk Matrix for CSF Implementation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Risk Domain</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Specific Vulnerability</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Mitigation Strategy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Infrastructural</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Rural bandwidth deficit; unstable grids</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Deployment of offline-capable Edge-AI nodes; satellite links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Human Capital</w:t>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 resistance; lack of tech-fluency</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Nationwide mandate transitioning B.Ed. curricula to AI mentorship</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Socio-Cultural</w:t>
            </w:r>
          </w:p>
        </w:tc>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Bias in predictive routing; language barriers</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State-owned vernacular foundational models (e.g., Bhashini integration)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Data Privacy</w:t>
            </w:r>
          </w:p>
        </w:tc>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Monetization of student cognitive data</w:t>
            </w:r>
          </w:p>
        </w:tc>
        <w:tc>
          <w:tcPr>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Decentralized storage; strict DPDP Act compliance</w:t>
            </w:r>
          </w:p>
        </w:tc>
      </w:tr>
    </w:tbl>
    <w:p w:rsidR="00000000" w:rsidDel="00000000" w:rsidP="00000000" w:rsidRDefault="00000000" w:rsidRPr="00000000" w14:paraId="00000054">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Methodology for Public Sector Adoption</w:t>
      </w:r>
    </w:p>
    <w:p w:rsidR="00000000" w:rsidDel="00000000" w:rsidP="00000000" w:rsidRDefault="00000000" w:rsidRPr="00000000" w14:paraId="00000055">
      <w:pPr>
        <w:rPr/>
      </w:pPr>
      <w:r w:rsidDel="00000000" w:rsidR="00000000" w:rsidRPr="00000000">
        <w:rPr>
          <w:rtl w:val="0"/>
        </w:rPr>
        <w:t xml:space="preserve">To scale up the CSF to the level of the country, the Government of India needs to treat it as a sovereign digital infrastructure project, akin to the Aadhaar identity system or the Unified Payments Interface (UPI), rather than just an educational software purchase.</w:t>
      </w:r>
    </w:p>
    <w:p w:rsidR="00000000" w:rsidDel="00000000" w:rsidP="00000000" w:rsidRDefault="00000000" w:rsidRPr="00000000" w14:paraId="00000056">
      <w:pPr>
        <w:rPr/>
      </w:pPr>
      <w:r w:rsidDel="00000000" w:rsidR="00000000" w:rsidRPr="00000000">
        <w:rPr>
          <w:b w:val="1"/>
          <w:bCs w:val="1"/>
          <w:rtl w:val="0"/>
        </w:rPr>
        <w:t xml:space="preserve">Stage 1: Basic Architecture &amp; Legal Framework (Years 1-2):</w:t>
      </w:r>
      <w:r w:rsidDel="00000000" w:rsidR="00000000" w:rsidRPr="00000000">
        <w:rPr>
          <w:rtl w:val="0"/>
        </w:rPr>
        <w:t xml:space="preserve"> A strong legislative framework is needed before any deployment in the classroom. The government has to establish the “National Educational Data Trust” to prevent commercialization of cognitive data. In parallel, the SIB infrastructure will be built on top of the existing NDEAR (National Digital Education Architecture), delivering open APIs that will enable vetted private EdTech developers to plug into the state-owned backbone without owning the underlying student data.</w:t>
      </w:r>
    </w:p>
    <w:p w:rsidR="00000000" w:rsidDel="00000000" w:rsidP="00000000" w:rsidRDefault="00000000" w:rsidRPr="00000000" w14:paraId="00000057">
      <w:pPr>
        <w:rPr/>
      </w:pPr>
      <w:r w:rsidDel="00000000" w:rsidR="00000000" w:rsidRPr="00000000">
        <w:rPr>
          <w:b w:val="1"/>
          <w:bCs w:val="1"/>
          <w:rtl w:val="0"/>
        </w:rPr>
        <w:t xml:space="preserve">Stage 2: Regional Sandbox Testing in Vidya Samiksha Kendras (Years 3-4):</w:t>
      </w:r>
      <w:r w:rsidDel="00000000" w:rsidR="00000000" w:rsidRPr="00000000">
        <w:rPr>
          <w:rtl w:val="0"/>
        </w:rPr>
        <w:t xml:space="preserve"> CSF should be beta-tested via existing command centers like the VSK, not a chaotic national rollout. The controlled sandboxes will be chosen from a combination of high-resource urban hubs and low-resource rural districts. This stage is about improving the accuracy of the adaptive learning engine for various vernacular languages and testing the robustness of offline edge AI servers in hardware-poor schools.</w:t>
      </w:r>
    </w:p>
    <w:p w:rsidR="00000000" w:rsidDel="00000000" w:rsidP="00000000" w:rsidRDefault="00000000" w:rsidRPr="00000000" w14:paraId="00000058">
      <w:pPr>
        <w:rPr/>
      </w:pPr>
      <w:r w:rsidDel="00000000" w:rsidR="00000000" w:rsidRPr="00000000">
        <w:rPr>
          <w:b w:val="1"/>
          <w:bCs w:val="1"/>
          <w:rtl w:val="0"/>
        </w:rPr>
        <w:t xml:space="preserve">Stage 3: Full Deployment of the PPP Ecosystem (Years 5-7):</w:t>
      </w:r>
      <w:r w:rsidDel="00000000" w:rsidR="00000000" w:rsidRPr="00000000">
        <w:rPr>
          <w:rtl w:val="0"/>
        </w:rPr>
        <w:t xml:space="preserve"> To reach 1.5 million schools, a Public-Private Partnership (PPP) model is needed. The backbone, security, and equity rules are the domain of the state, while private telecom and AI companies compete to supply the physical hardware, server nodes, and perpetual algorithmic upgrades. Here, traditional board exams (classes 10 and 12) are legally phased out and replaced by SIB’s blockchain-verified cognitive portfolios.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Table 3: Phased Strategic Implementation Roadmap</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Implementation Phase</w:t>
            </w:r>
          </w:p>
        </w:tc>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Timeline</w:t>
            </w:r>
          </w:p>
        </w:tc>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Primary Objectives</w:t>
            </w:r>
          </w:p>
        </w:tc>
        <w:tc>
          <w:tcPr>
            <w:shd w:fill="auto"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Key Public Sector Stakeholders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1. Blueprint &amp; API Structuring</w:t>
            </w:r>
          </w:p>
        </w:tc>
        <w:tc>
          <w:tcPr>
            <w:shd w:fill="auto" w:val="clear"/>
            <w:tcMar>
              <w:top w:w="0.0" w:type="dxa"/>
              <w:left w:w="0.0" w:type="dxa"/>
              <w:bottom w:w="0.0" w:type="dxa"/>
              <w:right w:w="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2026-2027</w:t>
            </w:r>
          </w:p>
        </w:tc>
        <w:tc>
          <w:tcPr>
            <w:shd w:fill="auto" w:val="clear"/>
            <w:tcMar>
              <w:top w:w="0.0" w:type="dxa"/>
              <w:left w:w="0.0" w:type="dxa"/>
              <w:bottom w:w="0.0" w:type="dxa"/>
              <w:right w:w="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Build unified data schemas; draft ethical AI legislation; integrate vernacular LLMs.</w:t>
            </w:r>
          </w:p>
        </w:tc>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Ministry of Education, MeitY, NCERT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2. Targeted Node Deployment</w:t>
            </w:r>
          </w:p>
        </w:tc>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2028-2029</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Pilot in 10,000 diverse schools; train vanguard "AI mentors"; stress-test edge AI.</w:t>
            </w:r>
          </w:p>
        </w:tc>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State Education Boards, AICTE, DIKSHA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3. National Singularity Integration</w:t>
            </w:r>
          </w:p>
        </w:tc>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2030-2032</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Eradicate standardized boards; achieve 100% automation of institutional desktop jobs.</w:t>
            </w:r>
          </w:p>
        </w:tc>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National Educational Data Trust, PPP Partners</w:t>
            </w:r>
          </w:p>
        </w:tc>
      </w:tr>
    </w:tbl>
    <w:p w:rsidR="00000000" w:rsidDel="00000000" w:rsidP="00000000" w:rsidRDefault="00000000" w:rsidRPr="00000000" w14:paraId="0000006B">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Conclusion</w:t>
      </w:r>
    </w:p>
    <w:p w:rsidR="00000000" w:rsidDel="00000000" w:rsidP="00000000" w:rsidRDefault="00000000" w:rsidRPr="00000000" w14:paraId="0000006C">
      <w:pPr>
        <w:spacing w:after="225" w:lineRule="auto"/>
        <w:rPr/>
      </w:pPr>
      <w:r w:rsidDel="00000000" w:rsidR="00000000" w:rsidRPr="00000000">
        <w:rPr>
          <w:rtl w:val="0"/>
        </w:rPr>
        <w:t xml:space="preserve">The Cognitive Singularity Framework is a radical, but necessary, break from the industrial-era model of schooling that currently stifles India’s demographic potential. By designing a single integrated backbone, the country can change AI from a disconnected curriculum subject to the very oxygen of the educational ecosystem. The framework is not about removing the human element from learning; rather, it aims to elevate human educators to their highest calling of mentorship and moral guidance by ruthlessly automating bureaucratic desktop tasks and reducing administrative friction. Tackling the deep challenges of digital infrastructure, vernacular language processing and data sovereignty will require an unprecedented degree of political will and cross-sector collaboration. But the successful deployment of this unified architecture will not only correct India’s historic educational inequities but also position the country as the world’s leading architect of future-ready, intelligence-augmented human capital.</w:t>
      </w:r>
    </w:p>
    <w:p w:rsidR="00000000" w:rsidDel="00000000" w:rsidP="00000000" w:rsidRDefault="00000000" w:rsidRPr="00000000" w14:paraId="0000006D">
      <w:pPr>
        <w:spacing w:after="225" w:lineRule="auto"/>
        <w:rPr/>
      </w:pPr>
      <w:r w:rsidDel="00000000" w:rsidR="00000000" w:rsidRPr="00000000">
        <w:rPr>
          <w:rtl w:val="0"/>
        </w:rPr>
      </w:r>
    </w:p>
    <w:p w:rsidR="00000000" w:rsidDel="00000000" w:rsidP="00000000" w:rsidRDefault="00000000" w:rsidRPr="00000000" w14:paraId="0000006E">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References</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Sihag, P., &amp; Vibha, V. (2024). Transforming and Reforming the Indian Education System with Artificial Intelligence. </w:t>
      </w:r>
      <w:r w:rsidDel="00000000" w:rsidR="00000000" w:rsidRPr="00000000">
        <w:rPr>
          <w:i w:val="1"/>
          <w:iCs w:val="1"/>
          <w:rtl w:val="0"/>
        </w:rPr>
        <w:t xml:space="preserve">Digital Education Review</w:t>
      </w:r>
      <w:r w:rsidDel="00000000" w:rsidR="00000000" w:rsidRPr="00000000">
        <w:rPr>
          <w:rtl w:val="0"/>
        </w:rPr>
        <w:t xml:space="preserve">, 98-105.</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Maddala, C. (2026). India's AI Curriculum Mandate Starts 2026-27: Is Your School Ready? </w:t>
      </w:r>
      <w:r w:rsidDel="00000000" w:rsidR="00000000" w:rsidRPr="00000000">
        <w:rPr>
          <w:i w:val="1"/>
          <w:iCs w:val="1"/>
          <w:rtl w:val="0"/>
        </w:rPr>
        <w:t xml:space="preserve">AI Ready School Publications</w:t>
      </w:r>
      <w:r w:rsidDel="00000000" w:rsidR="00000000" w:rsidRPr="00000000">
        <w:rPr>
          <w:rtl w:val="0"/>
        </w:rPr>
        <w:t xml:space="preserve">.</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Ministry of Electronics and Information Technology. (2025). India's Digital Public Infrastructure: The Rise of the DPI Stack. </w:t>
      </w:r>
      <w:r w:rsidDel="00000000" w:rsidR="00000000" w:rsidRPr="00000000">
        <w:rPr>
          <w:i w:val="1"/>
          <w:iCs w:val="1"/>
          <w:rtl w:val="0"/>
        </w:rPr>
        <w:t xml:space="preserve">Press Information Bureau (PIB)</w:t>
      </w:r>
      <w:r w:rsidDel="00000000" w:rsidR="00000000" w:rsidRPr="00000000">
        <w:rPr>
          <w:rtl w:val="0"/>
        </w:rPr>
        <w:t xml:space="preserve">.</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ResearchGate Publications. (2026). AI-driven Reforms in Indian Education Policy and Governance (2016–2026): A Review.</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Department of School &amp; Mass Education, Odisha. (2025). State Artificial Intelligence in Education Policy 2025.</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Institute of Knowledge and Foresight (IKF). (2026). AI in Education 2026: From Classroom Tools to Institutional Governance.</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 ASSOCHAM &amp; EY. (2025). AI as a Catalyst for Education Delivery: Empowering the Future of Learning in India.</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 Meenakshi, T., &amp; Arul, P. (2025). Challenges Faced by Private School Teachers in the Adoption of AI for Classroom Teaching and Learning. </w:t>
      </w:r>
      <w:r w:rsidDel="00000000" w:rsidR="00000000" w:rsidRPr="00000000">
        <w:rPr>
          <w:i w:val="1"/>
          <w:iCs w:val="1"/>
          <w:rtl w:val="0"/>
        </w:rPr>
        <w:t xml:space="preserve">International Journal of Creative Research Thoughts</w:t>
      </w:r>
      <w:r w:rsidDel="00000000" w:rsidR="00000000" w:rsidRPr="00000000">
        <w:rPr>
          <w:rtl w:val="0"/>
        </w:rPr>
        <w:t xml:space="preserve">, 12(6).</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 Ministry of Skill Development and Entrepreneurship. (2025). Skilling for AI Readiness (SOAR) and Inclusive AI Solutions. </w:t>
      </w:r>
      <w:r w:rsidDel="00000000" w:rsidR="00000000" w:rsidRPr="00000000">
        <w:rPr>
          <w:i w:val="1"/>
          <w:iCs w:val="1"/>
          <w:rtl w:val="0"/>
        </w:rPr>
        <w:t xml:space="preserve">Press Information Bureau (PIB)</w:t>
      </w:r>
      <w:r w:rsidDel="00000000" w:rsidR="00000000" w:rsidRPr="00000000">
        <w:rPr>
          <w:rtl w:val="0"/>
        </w:rPr>
        <w:t xml:space="preserve">.</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[10] Jha, A. K., et al. (2025). Integration of Artificial Intelligence in School Education: Opportunities and Challenges. </w:t>
      </w:r>
      <w:r w:rsidDel="00000000" w:rsidR="00000000" w:rsidRPr="00000000">
        <w:rPr>
          <w:i w:val="1"/>
          <w:iCs w:val="1"/>
          <w:rtl w:val="0"/>
        </w:rPr>
        <w:t xml:space="preserve">Journal of Emerging Technologies and Innovative Research</w:t>
      </w:r>
      <w:r w:rsidDel="00000000" w:rsidR="00000000" w:rsidRPr="00000000">
        <w:rPr>
          <w:rtl w:val="0"/>
        </w:rPr>
        <w:t xml:space="preserve">, 12(6).</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