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A67F3F">
      <w:pPr>
        <w:jc w:val="center"/>
        <w:rPr>
          <w:rFonts w:hint="default" w:ascii="Times New Roman" w:hAnsi="Times New Roman" w:eastAsia="SimSun" w:cs="Times New Roman"/>
          <w:b/>
          <w:bCs/>
          <w:sz w:val="48"/>
          <w:szCs w:val="48"/>
        </w:rPr>
      </w:pPr>
      <w:r>
        <w:rPr>
          <w:rFonts w:hint="default" w:ascii="Times New Roman" w:hAnsi="Times New Roman" w:eastAsia="SimSun" w:cs="Times New Roman"/>
          <w:b/>
          <w:bCs/>
          <w:sz w:val="48"/>
          <w:szCs w:val="48"/>
        </w:rPr>
        <w:t>Enhancing Technology and Livelihood Education through Cooperative Learning: Insights</w:t>
      </w:r>
      <w:r>
        <w:rPr>
          <w:rFonts w:hint="default" w:ascii="Times New Roman" w:hAnsi="Times New Roman" w:eastAsia="SimSun" w:cs="Times New Roman"/>
          <w:b/>
          <w:bCs/>
          <w:sz w:val="48"/>
          <w:szCs w:val="48"/>
          <w:lang w:val="en-PH"/>
        </w:rPr>
        <w:t xml:space="preserve"> </w:t>
      </w:r>
      <w:r>
        <w:rPr>
          <w:rFonts w:hint="default" w:ascii="Times New Roman" w:hAnsi="Times New Roman" w:eastAsia="SimSun" w:cs="Times New Roman"/>
          <w:b/>
          <w:bCs/>
          <w:sz w:val="48"/>
          <w:szCs w:val="48"/>
        </w:rPr>
        <w:t>from Secondary Schools in Tandag City Division</w:t>
      </w:r>
    </w:p>
    <w:p w14:paraId="20F32454">
      <w:pPr>
        <w:jc w:val="center"/>
        <w:rPr>
          <w:rFonts w:hint="default" w:ascii="Times New Roman" w:hAnsi="Times New Roman" w:eastAsia="SimSun" w:cs="Times New Roman"/>
          <w:b/>
          <w:bCs/>
          <w:sz w:val="48"/>
          <w:szCs w:val="48"/>
        </w:rPr>
      </w:pPr>
    </w:p>
    <w:p w14:paraId="7D165552">
      <w:pPr>
        <w:pStyle w:val="3"/>
        <w:jc w:val="center"/>
        <w:rPr>
          <w:rFonts w:hint="default"/>
          <w:b/>
          <w:bCs/>
          <w:sz w:val="32"/>
          <w:szCs w:val="32"/>
          <w:lang w:val="en-PH"/>
        </w:rPr>
      </w:pPr>
      <w:r>
        <w:rPr>
          <w:rFonts w:hint="default"/>
          <w:b/>
          <w:bCs/>
          <w:sz w:val="32"/>
          <w:szCs w:val="32"/>
          <w:lang w:val="en-PH"/>
        </w:rPr>
        <w:t/>
      </w:r>
    </w:p>
    <w:p w14:paraId="7B1E47A9">
      <w:pPr>
        <w:pStyle w:val="55"/>
        <w:jc w:val="both"/>
      </w:pPr>
    </w:p>
    <w:p w14:paraId="550C122A">
      <w:pPr>
        <w:jc w:val="center"/>
      </w:pPr>
      <w:r>
        <w:rPr>
          <w:rFonts w:hint="default"/>
          <w:spacing w:val="0"/>
          <w:sz w:val="24"/>
          <w:szCs w:val="24"/>
          <w:lang w:val="en-PH"/>
        </w:rPr>
        <w:t/>
      </w:r>
    </w:p>
    <w:p w14:paraId="48013A95">
      <w:pPr>
        <w:jc w:val="center"/>
        <w:rPr>
          <w:rFonts w:hint="default"/>
          <w:lang w:val="en-PH"/>
        </w:rPr>
      </w:pPr>
      <w:r>
        <w:rPr>
          <w:rFonts w:hint="default"/>
          <w:lang w:val="en-PH"/>
        </w:rPr>
        <w:t/>
      </w:r>
    </w:p>
    <w:p w14:paraId="25A9602C"/>
    <w:p w14:paraId="22147939">
      <w:pPr>
        <w:pStyle w:val="2"/>
      </w:pPr>
      <w:r>
        <w:t>Abstract</w:t>
      </w:r>
    </w:p>
    <w:p w14:paraId="1D5F14B5">
      <w:pPr>
        <w:pStyle w:val="70"/>
        <w:keepNext w:val="0"/>
        <w:keepLines w:val="0"/>
        <w:pageBreakBefore w:val="0"/>
        <w:widowControl/>
        <w:kinsoku/>
        <w:wordWrap/>
        <w:overflowPunct/>
        <w:topLinePunct w:val="0"/>
        <w:autoSpaceDE/>
        <w:autoSpaceDN/>
        <w:bidi w:val="0"/>
        <w:adjustRightInd/>
        <w:snapToGrid/>
        <w:spacing w:line="276" w:lineRule="auto"/>
        <w:ind w:firstLine="72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This study investigated the implementation of the cooperative learning approach in Technology and Livelihood Education (TLE) among Grade 9 students and teachers in the Tandag City Division. Utilizing a descriptive-correlational design, the research analyzed the demographic profiles, the extent of implementation across four domains; Curriculum, Learning Environment, Diversity of Learners, and Social Regard for Learning and the significant relationships between these variables. </w:t>
      </w:r>
    </w:p>
    <w:p w14:paraId="63AA2949">
      <w:pPr>
        <w:pStyle w:val="70"/>
        <w:keepNext w:val="0"/>
        <w:keepLines w:val="0"/>
        <w:pageBreakBefore w:val="0"/>
        <w:widowControl/>
        <w:kinsoku/>
        <w:wordWrap/>
        <w:overflowPunct/>
        <w:topLinePunct w:val="0"/>
        <w:autoSpaceDE/>
        <w:autoSpaceDN/>
        <w:bidi w:val="0"/>
        <w:adjustRightInd/>
        <w:snapToGrid/>
        <w:spacing w:line="276" w:lineRule="auto"/>
        <w:ind w:firstLine="72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Findings revealed a "High Implementation" of cooperative learning, with an overall grand mean of 4.670. While both respondents aligned on most domains, a highly significant difference was found in Social Regard for Learning (t = -5.45, p = 0.000), where teachers perceived their role as social facilitators more positively than students. Correlation analysis for students showed that Sex significantly influenced perceptions of the Curriculum (p=0.044), Diversity (p=0.046), and Social Regard (p=0.036), indicating that female students generally perceived a more effective implementation. For teachers, Educational Attainment was significantly linked to Curriculum delivery (r=0.676, p=0.045), and Age showed a very strong correlation with Social Regard (r=0.816, p=0.007). </w:t>
      </w:r>
    </w:p>
    <w:p w14:paraId="18E9CEBF">
      <w:pPr>
        <w:pStyle w:val="70"/>
        <w:keepNext w:val="0"/>
        <w:keepLines w:val="0"/>
        <w:pageBreakBefore w:val="0"/>
        <w:widowControl/>
        <w:kinsoku/>
        <w:wordWrap/>
        <w:overflowPunct/>
        <w:topLinePunct w:val="0"/>
        <w:autoSpaceDE/>
        <w:autoSpaceDN/>
        <w:bidi w:val="0"/>
        <w:adjustRightInd/>
        <w:snapToGrid/>
        <w:spacing w:line="276" w:lineRule="auto"/>
        <w:ind w:firstLine="72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study concludes that while the mechanical implementation is consistent, a perception gap exists regarding the social atmosphere of learning. The results emphasize that professional maturity and academic advancement are critical drivers for teachers, while gender-sensitive dynamics play a vital role in student engagement. These findings serve as the empirical basis for a targeted intervention program to enhance pedagogical and technical instruction in the TLE framework. </w:t>
      </w:r>
    </w:p>
    <w:p w14:paraId="406D7A4E">
      <w:pPr>
        <w:pStyle w:val="70"/>
        <w:keepNext w:val="0"/>
        <w:keepLines w:val="0"/>
        <w:pageBreakBefore w:val="0"/>
        <w:widowControl/>
        <w:kinsoku/>
        <w:wordWrap/>
        <w:overflowPunct/>
        <w:topLinePunct w:val="0"/>
        <w:autoSpaceDE/>
        <w:autoSpaceDN/>
        <w:bidi w:val="0"/>
        <w:adjustRightInd/>
        <w:snapToGrid/>
        <w:spacing w:line="276" w:lineRule="auto"/>
        <w:ind w:firstLine="720"/>
        <w:jc w:val="both"/>
        <w:textAlignment w:val="auto"/>
        <w:rPr>
          <w:rFonts w:hint="default" w:ascii="Times New Roman" w:hAnsi="Times New Roman" w:eastAsia="SimSun" w:cs="Times New Roman"/>
          <w:sz w:val="24"/>
          <w:szCs w:val="24"/>
        </w:rPr>
      </w:pPr>
    </w:p>
    <w:p w14:paraId="32F5884D">
      <w:pPr>
        <w:pStyle w:val="26"/>
        <w:keepNext w:val="0"/>
        <w:keepLines w:val="0"/>
        <w:widowControl/>
        <w:suppressLineNumbers w:val="0"/>
        <w:jc w:val="both"/>
      </w:pPr>
      <w:r>
        <w:rPr>
          <w:rFonts w:eastAsia="Times New Roman"/>
          <w:b/>
          <w:bCs/>
          <w:i w:val="0"/>
          <w:iCs w:val="0"/>
          <w:spacing w:val="0"/>
          <w:sz w:val="24"/>
          <w:szCs w:val="24"/>
        </w:rPr>
        <w:t>Keywords:</w:t>
      </w:r>
      <w:r>
        <w:rPr>
          <w:rFonts w:eastAsia="Times New Roman"/>
          <w:b w:val="0"/>
          <w:bCs w:val="0"/>
          <w:i w:val="0"/>
          <w:iCs w:val="0"/>
          <w:spacing w:val="0"/>
          <w:sz w:val="24"/>
          <w:szCs w:val="24"/>
        </w:rPr>
        <w:t xml:space="preserve"> </w:t>
      </w:r>
      <w:r>
        <w:rPr>
          <w:rStyle w:val="28"/>
          <w:rFonts w:hint="default" w:ascii="Times New Roman" w:hAnsi="Times New Roman" w:eastAsia="SimSun" w:cs="Times New Roman"/>
          <w:b w:val="0"/>
          <w:bCs w:val="0"/>
          <w:i w:val="0"/>
          <w:iCs w:val="0"/>
        </w:rPr>
        <w:t>Cooperative Learning</w:t>
      </w:r>
      <w:r>
        <w:rPr>
          <w:rStyle w:val="28"/>
          <w:rFonts w:hint="default" w:ascii="Times New Roman" w:hAnsi="Times New Roman" w:eastAsia="SimSun" w:cs="Times New Roman"/>
          <w:b w:val="0"/>
          <w:bCs w:val="0"/>
          <w:i w:val="0"/>
          <w:iCs w:val="0"/>
          <w:lang w:val="en-PH"/>
        </w:rPr>
        <w:t xml:space="preserve">, </w:t>
      </w:r>
      <w:r>
        <w:rPr>
          <w:rStyle w:val="28"/>
          <w:rFonts w:hint="default" w:ascii="Times New Roman" w:hAnsi="Times New Roman" w:eastAsia="SimSun" w:cs="Times New Roman"/>
          <w:b w:val="0"/>
          <w:bCs w:val="0"/>
          <w:i w:val="0"/>
          <w:iCs w:val="0"/>
        </w:rPr>
        <w:t>Technology and Livelihood Education (TLE)</w:t>
      </w:r>
      <w:r>
        <w:rPr>
          <w:rStyle w:val="28"/>
          <w:rFonts w:hint="default" w:ascii="Times New Roman" w:hAnsi="Times New Roman" w:eastAsia="SimSun" w:cs="Times New Roman"/>
          <w:b w:val="0"/>
          <w:bCs w:val="0"/>
          <w:i w:val="0"/>
          <w:iCs w:val="0"/>
          <w:lang w:val="en-PH"/>
        </w:rPr>
        <w:t xml:space="preserve">. </w:t>
      </w:r>
      <w:r>
        <w:rPr>
          <w:rStyle w:val="28"/>
          <w:rFonts w:hint="default" w:ascii="Times New Roman" w:hAnsi="Times New Roman" w:eastAsia="SimSun" w:cs="Times New Roman"/>
          <w:b w:val="0"/>
          <w:bCs w:val="0"/>
          <w:i w:val="0"/>
          <w:iCs w:val="0"/>
        </w:rPr>
        <w:t>Social Interdependence</w:t>
      </w:r>
      <w:r>
        <w:rPr>
          <w:rStyle w:val="28"/>
          <w:rFonts w:hint="default" w:ascii="Times New Roman" w:hAnsi="Times New Roman" w:eastAsia="SimSun" w:cs="Times New Roman"/>
          <w:b w:val="0"/>
          <w:bCs w:val="0"/>
          <w:i w:val="0"/>
          <w:iCs w:val="0"/>
          <w:lang w:val="en-PH"/>
        </w:rPr>
        <w:t xml:space="preserve">, </w:t>
      </w:r>
      <w:r>
        <w:rPr>
          <w:rStyle w:val="28"/>
          <w:rFonts w:hint="default" w:ascii="Times New Roman" w:hAnsi="Times New Roman" w:eastAsia="SimSun" w:cs="Times New Roman"/>
          <w:b w:val="0"/>
          <w:bCs w:val="0"/>
          <w:i w:val="0"/>
          <w:iCs w:val="0"/>
        </w:rPr>
        <w:t>Social Regard for Learning</w:t>
      </w:r>
      <w:r>
        <w:rPr>
          <w:rStyle w:val="28"/>
          <w:rFonts w:hint="default" w:ascii="Times New Roman" w:hAnsi="Times New Roman" w:eastAsia="SimSun" w:cs="Times New Roman"/>
          <w:b w:val="0"/>
          <w:bCs w:val="0"/>
          <w:i w:val="0"/>
          <w:iCs w:val="0"/>
          <w:lang w:val="en-PH"/>
        </w:rPr>
        <w:t xml:space="preserve">, </w:t>
      </w:r>
      <w:r>
        <w:rPr>
          <w:rStyle w:val="28"/>
          <w:rFonts w:hint="default" w:ascii="Times New Roman" w:hAnsi="Times New Roman" w:eastAsia="SimSun" w:cs="Times New Roman"/>
          <w:b w:val="0"/>
          <w:bCs w:val="0"/>
          <w:i w:val="0"/>
          <w:iCs w:val="0"/>
        </w:rPr>
        <w:t>Philippine Secondary Schools</w:t>
      </w:r>
      <w:r>
        <w:rPr>
          <w:rStyle w:val="28"/>
          <w:rFonts w:hint="default" w:ascii="Times New Roman" w:hAnsi="Times New Roman" w:eastAsia="SimSun" w:cs="Times New Roman"/>
          <w:b w:val="0"/>
          <w:bCs w:val="0"/>
          <w:i w:val="0"/>
          <w:iCs w:val="0"/>
          <w:lang w:val="en-PH"/>
        </w:rPr>
        <w:t xml:space="preserve">, </w:t>
      </w:r>
      <w:r>
        <w:rPr>
          <w:rStyle w:val="28"/>
          <w:rFonts w:hint="default" w:ascii="Times New Roman" w:hAnsi="Times New Roman" w:eastAsia="SimSun" w:cs="Times New Roman"/>
          <w:b w:val="0"/>
          <w:bCs w:val="0"/>
          <w:i w:val="0"/>
          <w:iCs w:val="0"/>
        </w:rPr>
        <w:t>Grade 9 Learners</w:t>
      </w:r>
    </w:p>
    <w:p w14:paraId="1BEC7D86">
      <w:pPr>
        <w:rPr>
          <w:rFonts w:ascii="Times New Roman" w:hAnsi="Times New Roman"/>
          <w:b w:val="0"/>
          <w:bCs w:val="0"/>
          <w:i/>
          <w:spacing w:val="0"/>
          <w:sz w:val="24"/>
          <w:szCs w:val="24"/>
        </w:rPr>
      </w:pPr>
    </w:p>
    <w:p w14:paraId="7E839F20">
      <w:pPr>
        <w:rPr>
          <w:rFonts w:ascii="Times New Roman" w:hAnsi="Times New Roman"/>
          <w:b w:val="0"/>
          <w:bCs w:val="0"/>
          <w:i/>
          <w:spacing w:val="0"/>
          <w:sz w:val="24"/>
          <w:szCs w:val="24"/>
        </w:rPr>
      </w:pPr>
    </w:p>
    <w:p w14:paraId="2AD72E00">
      <w:pPr>
        <w:rPr>
          <w:rFonts w:ascii="Times New Roman" w:hAnsi="Times New Roman"/>
          <w:b w:val="0"/>
          <w:bCs w:val="0"/>
          <w:i/>
          <w:spacing w:val="0"/>
          <w:sz w:val="24"/>
          <w:szCs w:val="24"/>
        </w:rPr>
      </w:pPr>
    </w:p>
    <w:p w14:paraId="1CB4138C">
      <w:pPr>
        <w:rPr>
          <w:rFonts w:ascii="Times New Roman" w:hAnsi="Times New Roman"/>
          <w:b w:val="0"/>
          <w:bCs w:val="0"/>
          <w:i/>
          <w:spacing w:val="0"/>
          <w:sz w:val="24"/>
          <w:szCs w:val="24"/>
        </w:rPr>
      </w:pPr>
    </w:p>
    <w:p w14:paraId="1F490D56">
      <w:pPr>
        <w:rPr>
          <w:rFonts w:ascii="Times New Roman" w:hAnsi="Times New Roman"/>
          <w:b w:val="0"/>
          <w:bCs w:val="0"/>
          <w:i/>
          <w:spacing w:val="0"/>
          <w:sz w:val="24"/>
          <w:szCs w:val="24"/>
        </w:rPr>
      </w:pPr>
    </w:p>
    <w:p w14:paraId="569B076E">
      <w:pPr>
        <w:rPr>
          <w:rFonts w:ascii="Times New Roman" w:hAnsi="Times New Roman"/>
          <w:b w:val="0"/>
          <w:bCs w:val="0"/>
          <w:i/>
          <w:spacing w:val="0"/>
          <w:sz w:val="24"/>
          <w:szCs w:val="24"/>
        </w:rPr>
      </w:pPr>
    </w:p>
    <w:p w14:paraId="22D3E4FC">
      <w:pPr>
        <w:rPr>
          <w:rFonts w:ascii="Times New Roman" w:hAnsi="Times New Roman"/>
          <w:b w:val="0"/>
          <w:bCs w:val="0"/>
          <w:i/>
          <w:spacing w:val="0"/>
          <w:sz w:val="24"/>
          <w:szCs w:val="24"/>
        </w:rPr>
      </w:pPr>
    </w:p>
    <w:p w14:paraId="4F397220">
      <w:pPr>
        <w:pStyle w:val="2"/>
        <w:keepNext/>
        <w:keepLines/>
        <w:widowControl/>
        <w:numPr>
          <w:ilvl w:val="0"/>
          <w:numId w:val="2"/>
        </w:numPr>
        <w:suppressAutoHyphens/>
        <w:bidi w:val="0"/>
        <w:spacing w:before="0" w:after="0" w:line="276" w:lineRule="auto"/>
        <w:ind w:left="397" w:right="0" w:hanging="397"/>
        <w:jc w:val="both"/>
      </w:pPr>
      <w:r>
        <w:t>Introduction</w:t>
      </w:r>
    </w:p>
    <w:p w14:paraId="5ED600F2">
      <w:pPr>
        <w:pStyle w:val="26"/>
        <w:keepNext w:val="0"/>
        <w:keepLines w:val="0"/>
        <w:pageBreakBefore w:val="0"/>
        <w:widowControl/>
        <w:suppressLineNumbers w:val="0"/>
        <w:kinsoku/>
        <w:wordWrap/>
        <w:overflowPunct/>
        <w:topLinePunct w:val="0"/>
        <w:autoSpaceDE/>
        <w:autoSpaceDN/>
        <w:bidi w:val="0"/>
        <w:adjustRightInd/>
        <w:snapToGrid/>
        <w:spacing w:line="276" w:lineRule="auto"/>
        <w:jc w:val="both"/>
        <w:textAlignment w:val="auto"/>
        <w:rPr>
          <w:rFonts w:hint="default" w:ascii="Times New Roman" w:hAnsi="Times New Roman" w:eastAsia="SimSun" w:cs="Times New Roman"/>
        </w:rPr>
      </w:pPr>
      <w:r>
        <w:rPr>
          <w:rFonts w:hint="default" w:ascii="Times New Roman" w:hAnsi="Times New Roman" w:eastAsia="SimSun" w:cs="Times New Roman"/>
        </w:rPr>
        <w:t xml:space="preserve">Teaching </w:t>
      </w:r>
      <w:r>
        <w:rPr>
          <w:rStyle w:val="28"/>
          <w:rFonts w:hint="default" w:ascii="Times New Roman" w:hAnsi="Times New Roman" w:eastAsia="SimSun" w:cs="Times New Roman"/>
          <w:b w:val="0"/>
          <w:bCs w:val="0"/>
        </w:rPr>
        <w:t>Technology and Livelihood Education (TLE)</w:t>
      </w:r>
      <w:r>
        <w:rPr>
          <w:rFonts w:hint="default" w:ascii="Times New Roman" w:hAnsi="Times New Roman" w:eastAsia="SimSun" w:cs="Times New Roman"/>
        </w:rPr>
        <w:t xml:space="preserve"> in Philippine secondary schools presents persistent challenges, particularly in balancing technical skill development with learner engagement. In the </w:t>
      </w:r>
      <w:r>
        <w:rPr>
          <w:rStyle w:val="28"/>
          <w:rFonts w:hint="default" w:ascii="Times New Roman" w:hAnsi="Times New Roman" w:eastAsia="SimSun" w:cs="Times New Roman"/>
          <w:b w:val="0"/>
          <w:bCs w:val="0"/>
        </w:rPr>
        <w:t>Tandag City Division</w:t>
      </w:r>
      <w:r>
        <w:rPr>
          <w:rFonts w:hint="default" w:ascii="Times New Roman" w:hAnsi="Times New Roman" w:eastAsia="SimSun" w:cs="Times New Roman"/>
          <w:b w:val="0"/>
          <w:bCs w:val="0"/>
        </w:rPr>
        <w:t xml:space="preserve">, </w:t>
      </w:r>
      <w:r>
        <w:rPr>
          <w:rFonts w:hint="default" w:ascii="Times New Roman" w:hAnsi="Times New Roman" w:eastAsia="SimSun" w:cs="Times New Roman"/>
        </w:rPr>
        <w:t>students often struggle to comprehend textbook-driven lessons and extract meaning from complex content, while teachers face pressure to deliver extensive instruction within limited timeframes. This imbalance reduces learner motivation, limits active participation, and hinders the development of practical competencies (Armayan, 2022).</w:t>
      </w:r>
    </w:p>
    <w:p w14:paraId="58CE669F">
      <w:pPr>
        <w:pStyle w:val="26"/>
        <w:keepNext w:val="0"/>
        <w:keepLines w:val="0"/>
        <w:pageBreakBefore w:val="0"/>
        <w:widowControl/>
        <w:suppressLineNumbers w:val="0"/>
        <w:kinsoku/>
        <w:wordWrap/>
        <w:overflowPunct/>
        <w:topLinePunct w:val="0"/>
        <w:autoSpaceDE/>
        <w:autoSpaceDN/>
        <w:bidi w:val="0"/>
        <w:adjustRightInd/>
        <w:snapToGrid/>
        <w:spacing w:line="276" w:lineRule="auto"/>
        <w:jc w:val="both"/>
        <w:textAlignment w:val="auto"/>
        <w:rPr>
          <w:rFonts w:hint="default" w:ascii="Times New Roman" w:hAnsi="Times New Roman" w:eastAsia="SimSun" w:cs="Times New Roman"/>
          <w:b w:val="0"/>
          <w:bCs w:val="0"/>
        </w:rPr>
      </w:pPr>
      <w:r>
        <w:rPr>
          <w:rFonts w:hint="default" w:ascii="Times New Roman" w:hAnsi="Times New Roman" w:eastAsia="SimSun" w:cs="Times New Roman"/>
        </w:rPr>
        <w:t xml:space="preserve">Globally, </w:t>
      </w:r>
      <w:r>
        <w:rPr>
          <w:rStyle w:val="28"/>
          <w:rFonts w:hint="default" w:ascii="Times New Roman" w:hAnsi="Times New Roman" w:eastAsia="SimSun" w:cs="Times New Roman"/>
          <w:b w:val="0"/>
          <w:bCs w:val="0"/>
        </w:rPr>
        <w:t>cooperative learning</w:t>
      </w:r>
      <w:r>
        <w:rPr>
          <w:rFonts w:hint="default" w:ascii="Times New Roman" w:hAnsi="Times New Roman" w:eastAsia="SimSun" w:cs="Times New Roman"/>
        </w:rPr>
        <w:t xml:space="preserve"> has been recognized as a powerful instructional approach that enhances academic achievement, self-efficacy, and critical thinking while fostering interpersonal relationships and learner autonomy (Cole, 2019). It prepares students for real-world contexts where teamwork, communication, leadership, and decision-making are essential (Smith, 2020). Locally, cooperative learning has been shown to improve classroom dynamics by reducing teacher-centered instruction and promoting student collaboration, thereby aligning with the goals of the </w:t>
      </w:r>
      <w:r>
        <w:rPr>
          <w:rStyle w:val="28"/>
          <w:rFonts w:hint="default" w:ascii="Times New Roman" w:hAnsi="Times New Roman" w:eastAsia="SimSun" w:cs="Times New Roman"/>
          <w:b w:val="0"/>
          <w:bCs w:val="0"/>
        </w:rPr>
        <w:t>K to 12 Curriculum</w:t>
      </w:r>
      <w:r>
        <w:rPr>
          <w:rFonts w:hint="default" w:ascii="Times New Roman" w:hAnsi="Times New Roman" w:eastAsia="SimSun" w:cs="Times New Roman"/>
          <w:b w:val="0"/>
          <w:bCs w:val="0"/>
        </w:rPr>
        <w:t>.</w:t>
      </w:r>
    </w:p>
    <w:p w14:paraId="0C5AE950">
      <w:pPr>
        <w:pStyle w:val="26"/>
        <w:keepNext w:val="0"/>
        <w:keepLines w:val="0"/>
        <w:pageBreakBefore w:val="0"/>
        <w:widowControl/>
        <w:suppressLineNumbers w:val="0"/>
        <w:kinsoku/>
        <w:wordWrap/>
        <w:overflowPunct/>
        <w:topLinePunct w:val="0"/>
        <w:autoSpaceDE/>
        <w:autoSpaceDN/>
        <w:bidi w:val="0"/>
        <w:adjustRightInd/>
        <w:snapToGrid/>
        <w:spacing w:line="276" w:lineRule="auto"/>
        <w:jc w:val="both"/>
        <w:textAlignment w:val="auto"/>
        <w:rPr>
          <w:rFonts w:hint="default" w:ascii="Times New Roman" w:hAnsi="Times New Roman" w:eastAsia="SimSun" w:cs="Times New Roman"/>
        </w:rPr>
      </w:pPr>
      <w:r>
        <w:rPr>
          <w:rFonts w:hint="default" w:ascii="Times New Roman" w:hAnsi="Times New Roman" w:eastAsia="SimSun" w:cs="Times New Roman"/>
        </w:rPr>
        <w:t xml:space="preserve">This study therefore investigates the </w:t>
      </w:r>
      <w:r>
        <w:rPr>
          <w:rStyle w:val="28"/>
          <w:rFonts w:hint="default" w:ascii="Times New Roman" w:hAnsi="Times New Roman" w:eastAsia="SimSun" w:cs="Times New Roman"/>
          <w:b w:val="0"/>
          <w:bCs w:val="0"/>
        </w:rPr>
        <w:t>implementation of cooperative learning in teaching TLE among Grade 9 learners in Tandag City Division</w:t>
      </w:r>
      <w:r>
        <w:rPr>
          <w:rFonts w:hint="default" w:ascii="Times New Roman" w:hAnsi="Times New Roman" w:eastAsia="SimSun" w:cs="Times New Roman"/>
          <w:b w:val="0"/>
          <w:bCs w:val="0"/>
        </w:rPr>
        <w:t>.</w:t>
      </w:r>
      <w:r>
        <w:rPr>
          <w:rFonts w:hint="default" w:ascii="Times New Roman" w:hAnsi="Times New Roman" w:eastAsia="SimSun" w:cs="Times New Roman"/>
        </w:rPr>
        <w:t xml:space="preserve"> Specifically, it examines the demographic profiles of students and teachers, the extent of cooperative learning implementation across curriculum, learning environment, diversity, and social regard for learning, and the differences and relationships between respondent groups.</w:t>
      </w:r>
      <w:r>
        <w:rPr>
          <w:rFonts w:hint="default" w:ascii="Times New Roman" w:hAnsi="Times New Roman" w:cs="Times New Roman"/>
          <w:lang w:val="en-PH"/>
        </w:rPr>
        <w:t xml:space="preserve"> </w:t>
      </w:r>
      <w:r>
        <w:rPr>
          <w:rFonts w:hint="default" w:ascii="Times New Roman" w:hAnsi="Times New Roman" w:eastAsia="SimSun" w:cs="Times New Roman"/>
        </w:rPr>
        <w:t>The study is guided by the following hypotheses:</w:t>
      </w:r>
      <w:r>
        <w:rPr>
          <w:rFonts w:hint="default" w:ascii="Times New Roman" w:hAnsi="Times New Roman" w:eastAsia="SimSun" w:cs="Times New Roman"/>
          <w:lang w:val="en-PH"/>
        </w:rPr>
        <w:t xml:space="preserve"> </w:t>
      </w:r>
      <w:r>
        <w:rPr>
          <w:rStyle w:val="28"/>
          <w:rFonts w:hint="default" w:ascii="Times New Roman" w:hAnsi="Times New Roman" w:eastAsia="SimSun" w:cs="Times New Roman"/>
          <w:b w:val="0"/>
          <w:bCs w:val="0"/>
          <w:i/>
          <w:iCs/>
        </w:rPr>
        <w:t>Ho1:</w:t>
      </w:r>
      <w:r>
        <w:rPr>
          <w:rFonts w:hint="default" w:ascii="Times New Roman" w:hAnsi="Times New Roman" w:eastAsia="SimSun" w:cs="Times New Roman"/>
        </w:rPr>
        <w:t xml:space="preserve"> There is no significant difference in the extent of cooperative learning implementation as perceived by students and teachers.</w:t>
      </w:r>
      <w:r>
        <w:rPr>
          <w:rStyle w:val="28"/>
          <w:rFonts w:hint="default" w:ascii="Times New Roman" w:hAnsi="Times New Roman" w:eastAsia="SimSun" w:cs="Times New Roman"/>
          <w:b w:val="0"/>
          <w:bCs w:val="0"/>
          <w:i/>
          <w:iCs/>
        </w:rPr>
        <w:t>Ho2:</w:t>
      </w:r>
      <w:r>
        <w:rPr>
          <w:rFonts w:hint="default" w:ascii="Times New Roman" w:hAnsi="Times New Roman" w:eastAsia="SimSun" w:cs="Times New Roman"/>
        </w:rPr>
        <w:t xml:space="preserve"> There is no significant relationship between the profile of respondents and the extent of cooperative learning implementation.</w:t>
      </w:r>
    </w:p>
    <w:p w14:paraId="195A8247">
      <w:pPr>
        <w:pStyle w:val="26"/>
        <w:keepNext w:val="0"/>
        <w:keepLines w:val="0"/>
        <w:pageBreakBefore w:val="0"/>
        <w:widowControl/>
        <w:suppressLineNumbers w:val="0"/>
        <w:kinsoku/>
        <w:wordWrap/>
        <w:overflowPunct/>
        <w:topLinePunct w:val="0"/>
        <w:autoSpaceDE/>
        <w:autoSpaceDN/>
        <w:bidi w:val="0"/>
        <w:adjustRightInd/>
        <w:snapToGrid/>
        <w:spacing w:line="276" w:lineRule="auto"/>
        <w:jc w:val="both"/>
        <w:textAlignment w:val="auto"/>
        <w:rPr>
          <w:rFonts w:hint="default" w:ascii="Times New Roman" w:hAnsi="Times New Roman" w:eastAsia="SimSun" w:cs="Times New Roman"/>
        </w:rPr>
      </w:pPr>
      <w:r>
        <w:rPr>
          <w:rFonts w:hint="default" w:ascii="Times New Roman" w:hAnsi="Times New Roman" w:eastAsia="SimSun" w:cs="Times New Roman"/>
        </w:rPr>
        <w:t xml:space="preserve">Ultimately, the findings aim to contribute to the refinement of teaching practices and inform policy and program development. A key outcome is the design of </w:t>
      </w:r>
      <w:r>
        <w:rPr>
          <w:rStyle w:val="28"/>
          <w:rFonts w:hint="default" w:ascii="Times New Roman" w:hAnsi="Times New Roman" w:eastAsia="SimSun" w:cs="Times New Roman"/>
          <w:b w:val="0"/>
          <w:bCs w:val="0"/>
        </w:rPr>
        <w:t>Project T-CEF (Tandag City TLE Cooperative Excellence Framework)</w:t>
      </w:r>
      <w:r>
        <w:rPr>
          <w:rFonts w:hint="default" w:ascii="Times New Roman" w:hAnsi="Times New Roman" w:eastAsia="SimSun" w:cs="Times New Roman"/>
          <w:b/>
          <w:bCs/>
        </w:rPr>
        <w:t>,</w:t>
      </w:r>
      <w:r>
        <w:rPr>
          <w:rFonts w:hint="default" w:ascii="Times New Roman" w:hAnsi="Times New Roman" w:eastAsia="SimSun" w:cs="Times New Roman"/>
        </w:rPr>
        <w:t xml:space="preserve"> an intervention program intended to strengthen cooperative learning strategies among TLE educators.</w:t>
      </w:r>
    </w:p>
    <w:p w14:paraId="4F97A9B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eastAsia="SimSun" w:cs="Times New Roman"/>
          <w:sz w:val="28"/>
          <w:szCs w:val="28"/>
          <w:lang w:val="en-PH"/>
        </w:rPr>
      </w:pPr>
      <w:r>
        <w:rPr>
          <w:rStyle w:val="28"/>
          <w:rFonts w:hint="default" w:ascii="Times New Roman" w:hAnsi="Times New Roman" w:cs="Times New Roman"/>
          <w:b/>
          <w:bCs/>
          <w:sz w:val="28"/>
          <w:szCs w:val="28"/>
          <w:lang w:val="en-PH"/>
        </w:rPr>
        <w:t>2.</w:t>
      </w:r>
      <w:r>
        <w:rPr>
          <w:rStyle w:val="28"/>
          <w:rFonts w:hint="default" w:ascii="Times New Roman" w:hAnsi="Times New Roman" w:eastAsia="SimSun" w:cs="Times New Roman"/>
          <w:b/>
          <w:bCs/>
          <w:sz w:val="28"/>
          <w:szCs w:val="28"/>
        </w:rPr>
        <w:t>Literature Revie</w:t>
      </w:r>
      <w:r>
        <w:rPr>
          <w:rStyle w:val="28"/>
          <w:rFonts w:hint="default" w:ascii="Times New Roman" w:hAnsi="Times New Roman" w:cs="Times New Roman"/>
          <w:b/>
          <w:bCs/>
          <w:sz w:val="28"/>
          <w:szCs w:val="28"/>
          <w:lang w:val="en-PH"/>
        </w:rPr>
        <w:t>w</w:t>
      </w:r>
    </w:p>
    <w:p w14:paraId="1DE910C4">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Research on </w:t>
      </w:r>
      <w:r>
        <w:rPr>
          <w:rStyle w:val="28"/>
          <w:rFonts w:hint="default" w:ascii="Times New Roman" w:hAnsi="Times New Roman" w:eastAsia="SimSun" w:cs="Times New Roman"/>
          <w:b w:val="0"/>
          <w:bCs w:val="0"/>
          <w:sz w:val="24"/>
          <w:szCs w:val="24"/>
        </w:rPr>
        <w:t>cooperative learning</w:t>
      </w:r>
      <w:r>
        <w:rPr>
          <w:rFonts w:hint="default" w:ascii="Times New Roman" w:hAnsi="Times New Roman" w:eastAsia="SimSun" w:cs="Times New Roman"/>
          <w:sz w:val="24"/>
          <w:szCs w:val="24"/>
        </w:rPr>
        <w:t xml:space="preserve"> consistently highlights its role as a learner-centered approach that fosters collaboration, authentic assessment, and real-world application. Foreign studies emphasize its benefits for academic achievement, critical thinking, and workplace readiness, grounded in </w:t>
      </w:r>
      <w:r>
        <w:rPr>
          <w:rStyle w:val="28"/>
          <w:rFonts w:hint="default" w:ascii="Times New Roman" w:hAnsi="Times New Roman" w:eastAsia="SimSun" w:cs="Times New Roman"/>
          <w:b w:val="0"/>
          <w:bCs w:val="0"/>
          <w:sz w:val="24"/>
          <w:szCs w:val="24"/>
        </w:rPr>
        <w:t>sociocultural theory</w:t>
      </w:r>
      <w:r>
        <w:rPr>
          <w:rFonts w:hint="default" w:ascii="Times New Roman" w:hAnsi="Times New Roman" w:eastAsia="SimSun" w:cs="Times New Roman"/>
          <w:sz w:val="24"/>
          <w:szCs w:val="24"/>
        </w:rPr>
        <w:t xml:space="preserve"> and </w:t>
      </w:r>
      <w:r>
        <w:rPr>
          <w:rStyle w:val="28"/>
          <w:rFonts w:hint="default" w:ascii="Times New Roman" w:hAnsi="Times New Roman" w:eastAsia="SimSun" w:cs="Times New Roman"/>
          <w:b w:val="0"/>
          <w:bCs w:val="0"/>
          <w:sz w:val="24"/>
          <w:szCs w:val="24"/>
        </w:rPr>
        <w:t>social interdependence</w:t>
      </w:r>
      <w:r>
        <w:rPr>
          <w:rFonts w:hint="default" w:ascii="Times New Roman" w:hAnsi="Times New Roman" w:eastAsia="SimSun" w:cs="Times New Roman"/>
          <w:sz w:val="24"/>
          <w:szCs w:val="24"/>
        </w:rPr>
        <w:t xml:space="preserve"> (Rafoth, 2018; Schmoker, 2018; Johnson &amp; Johnson, 2021). Cooperative learning is shown to prepare students for teamwork, communication, and leadership, while also aligning with global educational reforms (Altun &amp; Korkmaz, 2018; Sears &amp; Hersh, 2020).</w:t>
      </w:r>
    </w:p>
    <w:p w14:paraId="78EE5BC4">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Local literature affirms similar outcomes, noting improvements in social skills, classroom interaction, and learner motivation (Cabansag, 2019; De Dios, 2018). However, challenges such as competition undermining cooperation (Ocampo, 2018) and the complexity of implementation requiring teacher training and resources (Gil &amp; Jurado, 2021) are evident. Philippine studies also situate cooperative learning within globalization, stressing the need for professional readiness and curriculum coherence (Tullao, 2018; Magno, 2018).</w:t>
      </w:r>
    </w:p>
    <w:p w14:paraId="6AAE7C45">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Theoretical anchors include </w:t>
      </w:r>
      <w:r>
        <w:rPr>
          <w:rStyle w:val="28"/>
          <w:rFonts w:hint="default" w:ascii="Times New Roman" w:hAnsi="Times New Roman" w:eastAsia="SimSun" w:cs="Times New Roman"/>
          <w:b w:val="0"/>
          <w:bCs w:val="0"/>
          <w:sz w:val="24"/>
          <w:szCs w:val="24"/>
        </w:rPr>
        <w:t>Vygotsky’s Social Development Theory</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which emphasizes learning through guided interaction; </w:t>
      </w:r>
      <w:r>
        <w:rPr>
          <w:rStyle w:val="28"/>
          <w:rFonts w:hint="default" w:ascii="Times New Roman" w:hAnsi="Times New Roman" w:eastAsia="SimSun" w:cs="Times New Roman"/>
          <w:b w:val="0"/>
          <w:bCs w:val="0"/>
          <w:sz w:val="24"/>
          <w:szCs w:val="24"/>
        </w:rPr>
        <w:t>Piaget’s cognitive conflict model</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which highlights peer engagement in resolving misconceptions; and </w:t>
      </w:r>
      <w:r>
        <w:rPr>
          <w:rStyle w:val="28"/>
          <w:rFonts w:hint="default" w:ascii="Times New Roman" w:hAnsi="Times New Roman" w:eastAsia="SimSun" w:cs="Times New Roman"/>
          <w:b w:val="0"/>
          <w:bCs w:val="0"/>
          <w:sz w:val="24"/>
          <w:szCs w:val="24"/>
        </w:rPr>
        <w:t>Social Interdependence Theory</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which explains how positive interdependence fosters promotive interaction and trust.</w:t>
      </w:r>
    </w:p>
    <w:p w14:paraId="74C9369B">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Despite extensive global and local evidence, a gap remains in the </w:t>
      </w:r>
      <w:r>
        <w:rPr>
          <w:rStyle w:val="28"/>
          <w:rFonts w:hint="default" w:ascii="Times New Roman" w:hAnsi="Times New Roman" w:eastAsia="SimSun" w:cs="Times New Roman"/>
          <w:b w:val="0"/>
          <w:bCs w:val="0"/>
          <w:sz w:val="24"/>
          <w:szCs w:val="24"/>
        </w:rPr>
        <w:t>Philippine secondary school context</w:t>
      </w:r>
      <w:r>
        <w:rPr>
          <w:rFonts w:hint="default" w:ascii="Times New Roman" w:hAnsi="Times New Roman" w:eastAsia="SimSun" w:cs="Times New Roman"/>
          <w:sz w:val="24"/>
          <w:szCs w:val="24"/>
        </w:rPr>
        <w:t xml:space="preserve">, particularly in </w:t>
      </w:r>
      <w:r>
        <w:rPr>
          <w:rStyle w:val="28"/>
          <w:rFonts w:hint="default" w:ascii="Times New Roman" w:hAnsi="Times New Roman" w:eastAsia="SimSun" w:cs="Times New Roman"/>
          <w:b w:val="0"/>
          <w:bCs w:val="0"/>
          <w:sz w:val="24"/>
          <w:szCs w:val="24"/>
        </w:rPr>
        <w:t>Technology and Livelihood Education (TLE)</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Few studies have systematically examined cooperative learning’s structured implementation in TLE under the </w:t>
      </w:r>
      <w:r>
        <w:rPr>
          <w:rStyle w:val="28"/>
          <w:rFonts w:hint="default" w:ascii="Times New Roman" w:hAnsi="Times New Roman" w:eastAsia="SimSun" w:cs="Times New Roman"/>
          <w:b w:val="0"/>
          <w:bCs w:val="0"/>
          <w:sz w:val="24"/>
          <w:szCs w:val="24"/>
        </w:rPr>
        <w:t>K to 12 curriculum</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This study addresses that gap by analyzing cooperative learning practices among Grade 9 learners in Tandag City Division and proposing </w:t>
      </w:r>
      <w:r>
        <w:rPr>
          <w:rStyle w:val="28"/>
          <w:rFonts w:hint="default" w:ascii="Times New Roman" w:hAnsi="Times New Roman" w:eastAsia="SimSun" w:cs="Times New Roman"/>
          <w:b w:val="0"/>
          <w:bCs w:val="0"/>
          <w:sz w:val="24"/>
          <w:szCs w:val="24"/>
        </w:rPr>
        <w:t>Project T-CEF (TLE Cooperative Excellence Framework)</w:t>
      </w:r>
      <w:r>
        <w:rPr>
          <w:rFonts w:hint="default" w:ascii="Times New Roman" w:hAnsi="Times New Roman" w:eastAsia="SimSun" w:cs="Times New Roman"/>
          <w:sz w:val="24"/>
          <w:szCs w:val="24"/>
        </w:rPr>
        <w:t xml:space="preserve"> as a localized intervention.</w:t>
      </w:r>
    </w:p>
    <w:p w14:paraId="4F35BDB2">
      <w:pPr>
        <w:pStyle w:val="3"/>
      </w:pPr>
    </w:p>
    <w:p w14:paraId="0F2D11DD">
      <w:pPr>
        <w:pStyle w:val="3"/>
        <w:rPr>
          <w:rFonts w:hint="default"/>
          <w:b/>
          <w:bCs/>
          <w:sz w:val="28"/>
          <w:szCs w:val="28"/>
          <w:lang w:val="en-PH"/>
        </w:rPr>
      </w:pPr>
      <w:r>
        <w:rPr>
          <w:rFonts w:hint="default"/>
          <w:b/>
          <w:bCs/>
          <w:sz w:val="28"/>
          <w:szCs w:val="28"/>
          <w:lang w:val="en-PH"/>
        </w:rPr>
        <w:t>3. Methodology</w:t>
      </w:r>
    </w:p>
    <w:p w14:paraId="287E348B">
      <w:pPr>
        <w:pStyle w:val="26"/>
        <w:keepNext w:val="0"/>
        <w:keepLines w:val="0"/>
        <w:pageBreakBefore w:val="0"/>
        <w:widowControl/>
        <w:suppressLineNumbers w:val="0"/>
        <w:kinsoku/>
        <w:wordWrap/>
        <w:overflowPunct/>
        <w:topLinePunct w:val="0"/>
        <w:autoSpaceDE/>
        <w:autoSpaceDN/>
        <w:bidi w:val="0"/>
        <w:adjustRightInd/>
        <w:snapToGrid/>
        <w:spacing w:line="276" w:lineRule="auto"/>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This study adopted a </w:t>
      </w:r>
      <w:r>
        <w:rPr>
          <w:rStyle w:val="28"/>
          <w:rFonts w:hint="default" w:ascii="Times New Roman" w:hAnsi="Times New Roman" w:eastAsia="SimSun" w:cs="Times New Roman"/>
          <w:b w:val="0"/>
          <w:bCs w:val="0"/>
          <w:sz w:val="24"/>
          <w:szCs w:val="24"/>
        </w:rPr>
        <w:t>quantitative design</w:t>
      </w:r>
      <w:r>
        <w:rPr>
          <w:rFonts w:hint="default" w:ascii="Times New Roman" w:hAnsi="Times New Roman" w:eastAsia="SimSun" w:cs="Times New Roman"/>
          <w:b w:val="0"/>
          <w:bCs w:val="0"/>
          <w:sz w:val="24"/>
          <w:szCs w:val="24"/>
        </w:rPr>
        <w:t xml:space="preserve">, combining descriptive, comparative, and correlational methods to assess the implementation of cooperative learning in </w:t>
      </w:r>
      <w:r>
        <w:rPr>
          <w:rStyle w:val="28"/>
          <w:rFonts w:hint="default" w:ascii="Times New Roman" w:hAnsi="Times New Roman" w:eastAsia="SimSun" w:cs="Times New Roman"/>
          <w:b w:val="0"/>
          <w:bCs w:val="0"/>
          <w:sz w:val="24"/>
          <w:szCs w:val="24"/>
        </w:rPr>
        <w:t>Technology and Livelihood Education (TLE)</w:t>
      </w:r>
      <w:r>
        <w:rPr>
          <w:rFonts w:hint="default" w:ascii="Times New Roman" w:hAnsi="Times New Roman" w:eastAsia="SimSun" w:cs="Times New Roman"/>
          <w:b w:val="0"/>
          <w:bCs w:val="0"/>
          <w:sz w:val="24"/>
          <w:szCs w:val="24"/>
        </w:rPr>
        <w:t xml:space="preserve">. The descriptive component profiled respondents and measured implementation levels, the comparative tested differences between teacher and student perceptions, and the correlational examined relationships between demographic variables and implementation outcomes.The research was conducted in </w:t>
      </w:r>
      <w:r>
        <w:rPr>
          <w:rStyle w:val="28"/>
          <w:rFonts w:hint="default" w:ascii="Times New Roman" w:hAnsi="Times New Roman" w:eastAsia="SimSun" w:cs="Times New Roman"/>
          <w:b w:val="0"/>
          <w:bCs w:val="0"/>
          <w:sz w:val="24"/>
          <w:szCs w:val="24"/>
        </w:rPr>
        <w:t>four public secondary schools in Tandag City Division</w:t>
      </w:r>
      <w:r>
        <w:rPr>
          <w:rFonts w:hint="default" w:ascii="Times New Roman" w:hAnsi="Times New Roman" w:eastAsia="SimSun" w:cs="Times New Roman"/>
          <w:b w:val="0"/>
          <w:bCs w:val="0"/>
          <w:sz w:val="24"/>
          <w:szCs w:val="24"/>
        </w:rPr>
        <w:t xml:space="preserve">—Jacinto P. Elpa National High School, Buenavista National High School, Vicente L. Pimentel National High School, and Tandag National Science High School—selected for their established TLE programs.Respondents included </w:t>
      </w:r>
      <w:r>
        <w:rPr>
          <w:rStyle w:val="28"/>
          <w:rFonts w:hint="default" w:ascii="Times New Roman" w:hAnsi="Times New Roman" w:eastAsia="SimSun" w:cs="Times New Roman"/>
          <w:b w:val="0"/>
          <w:bCs w:val="0"/>
          <w:sz w:val="24"/>
          <w:szCs w:val="24"/>
        </w:rPr>
        <w:t>nine purposively selected TLE teachers</w:t>
      </w:r>
      <w:r>
        <w:rPr>
          <w:rFonts w:hint="default" w:ascii="Times New Roman" w:hAnsi="Times New Roman" w:eastAsia="SimSun" w:cs="Times New Roman"/>
          <w:b w:val="0"/>
          <w:bCs w:val="0"/>
          <w:sz w:val="24"/>
          <w:szCs w:val="24"/>
        </w:rPr>
        <w:t xml:space="preserve"> with at least two years of teaching experience and </w:t>
      </w:r>
      <w:r>
        <w:rPr>
          <w:rStyle w:val="28"/>
          <w:rFonts w:hint="default" w:ascii="Times New Roman" w:hAnsi="Times New Roman" w:eastAsia="SimSun" w:cs="Times New Roman"/>
          <w:b w:val="0"/>
          <w:bCs w:val="0"/>
          <w:sz w:val="24"/>
          <w:szCs w:val="24"/>
        </w:rPr>
        <w:t>115 Grade 9 students</w:t>
      </w:r>
      <w:r>
        <w:rPr>
          <w:rFonts w:hint="default" w:ascii="Times New Roman" w:hAnsi="Times New Roman" w:eastAsia="SimSun" w:cs="Times New Roman"/>
          <w:b w:val="0"/>
          <w:bCs w:val="0"/>
          <w:sz w:val="24"/>
          <w:szCs w:val="24"/>
        </w:rPr>
        <w:t xml:space="preserve"> chosen through random sampling, yielding a total of </w:t>
      </w:r>
      <w:r>
        <w:rPr>
          <w:rStyle w:val="28"/>
          <w:rFonts w:hint="default" w:ascii="Times New Roman" w:hAnsi="Times New Roman" w:eastAsia="SimSun" w:cs="Times New Roman"/>
          <w:b w:val="0"/>
          <w:bCs w:val="0"/>
          <w:sz w:val="24"/>
          <w:szCs w:val="24"/>
        </w:rPr>
        <w:t>124 participants</w:t>
      </w:r>
      <w:r>
        <w:rPr>
          <w:rFonts w:hint="default" w:ascii="Times New Roman" w:hAnsi="Times New Roman" w:eastAsia="SimSun" w:cs="Times New Roman"/>
          <w:b w:val="0"/>
          <w:bCs w:val="0"/>
          <w:sz w:val="24"/>
          <w:szCs w:val="24"/>
        </w:rPr>
        <w:t xml:space="preserve">.Data were gathered using an </w:t>
      </w:r>
      <w:r>
        <w:rPr>
          <w:rStyle w:val="28"/>
          <w:rFonts w:hint="default" w:ascii="Times New Roman" w:hAnsi="Times New Roman" w:eastAsia="SimSun" w:cs="Times New Roman"/>
          <w:b w:val="0"/>
          <w:bCs w:val="0"/>
          <w:sz w:val="24"/>
          <w:szCs w:val="24"/>
        </w:rPr>
        <w:t>adapted NCPTS-based questionnaire</w:t>
      </w:r>
      <w:r>
        <w:rPr>
          <w:rFonts w:hint="default" w:ascii="Times New Roman" w:hAnsi="Times New Roman" w:eastAsia="SimSun" w:cs="Times New Roman"/>
          <w:b w:val="0"/>
          <w:bCs w:val="0"/>
          <w:sz w:val="24"/>
          <w:szCs w:val="24"/>
        </w:rPr>
        <w:t xml:space="preserve">, consisting of demographic profiles and a Likert-scale assessment of cooperative learning implementation across four domains: curriculum, learning environment, diversity of learners, and social regard for learning.Surveys were administered during the </w:t>
      </w:r>
      <w:r>
        <w:rPr>
          <w:rStyle w:val="28"/>
          <w:rFonts w:hint="default" w:ascii="Times New Roman" w:hAnsi="Times New Roman" w:eastAsia="SimSun" w:cs="Times New Roman"/>
          <w:b w:val="0"/>
          <w:bCs w:val="0"/>
          <w:sz w:val="24"/>
          <w:szCs w:val="24"/>
        </w:rPr>
        <w:t>2025–2026 academic year</w:t>
      </w:r>
      <w:r>
        <w:rPr>
          <w:rFonts w:hint="default" w:ascii="Times New Roman" w:hAnsi="Times New Roman" w:eastAsia="SimSun" w:cs="Times New Roman"/>
          <w:b w:val="0"/>
          <w:bCs w:val="0"/>
          <w:sz w:val="24"/>
          <w:szCs w:val="24"/>
        </w:rPr>
        <w:t xml:space="preserve"> with formal approval from education authorities. Responses were processed electronically, and results informed the design of </w:t>
      </w:r>
      <w:r>
        <w:rPr>
          <w:rStyle w:val="28"/>
          <w:rFonts w:hint="default" w:ascii="Times New Roman" w:hAnsi="Times New Roman" w:eastAsia="SimSun" w:cs="Times New Roman"/>
          <w:b w:val="0"/>
          <w:bCs w:val="0"/>
          <w:sz w:val="24"/>
          <w:szCs w:val="24"/>
        </w:rPr>
        <w:t>Project T-CEF (TLE Cooperative Excellence Framework)</w:t>
      </w:r>
      <w:r>
        <w:rPr>
          <w:rFonts w:hint="default" w:ascii="Times New Roman" w:hAnsi="Times New Roman" w:eastAsia="SimSun" w:cs="Times New Roman"/>
          <w:b w:val="0"/>
          <w:bCs w:val="0"/>
          <w:sz w:val="24"/>
          <w:szCs w:val="24"/>
        </w:rPr>
        <w:t xml:space="preserve">.Statistical tools included </w:t>
      </w:r>
      <w:r>
        <w:rPr>
          <w:rStyle w:val="28"/>
          <w:rFonts w:hint="default" w:ascii="Times New Roman" w:hAnsi="Times New Roman" w:eastAsia="SimSun" w:cs="Times New Roman"/>
          <w:b w:val="0"/>
          <w:bCs w:val="0"/>
          <w:sz w:val="24"/>
          <w:szCs w:val="24"/>
        </w:rPr>
        <w:t>frequency and percentage</w:t>
      </w:r>
      <w:r>
        <w:rPr>
          <w:rFonts w:hint="default" w:ascii="Times New Roman" w:hAnsi="Times New Roman" w:eastAsia="SimSun" w:cs="Times New Roman"/>
          <w:b w:val="0"/>
          <w:bCs w:val="0"/>
          <w:sz w:val="24"/>
          <w:szCs w:val="24"/>
        </w:rPr>
        <w:t xml:space="preserve"> for demographics, </w:t>
      </w:r>
      <w:r>
        <w:rPr>
          <w:rStyle w:val="28"/>
          <w:rFonts w:hint="default" w:ascii="Times New Roman" w:hAnsi="Times New Roman" w:eastAsia="SimSun" w:cs="Times New Roman"/>
          <w:b w:val="0"/>
          <w:bCs w:val="0"/>
          <w:sz w:val="24"/>
          <w:szCs w:val="24"/>
        </w:rPr>
        <w:t>weighted mean</w:t>
      </w:r>
      <w:r>
        <w:rPr>
          <w:rFonts w:hint="default" w:ascii="Times New Roman" w:hAnsi="Times New Roman" w:eastAsia="SimSun" w:cs="Times New Roman"/>
          <w:b w:val="0"/>
          <w:bCs w:val="0"/>
          <w:sz w:val="24"/>
          <w:szCs w:val="24"/>
        </w:rPr>
        <w:t xml:space="preserve"> for implementation levels, </w:t>
      </w:r>
      <w:r>
        <w:rPr>
          <w:rStyle w:val="28"/>
          <w:rFonts w:hint="default" w:ascii="Times New Roman" w:hAnsi="Times New Roman" w:eastAsia="SimSun" w:cs="Times New Roman"/>
          <w:b w:val="0"/>
          <w:bCs w:val="0"/>
          <w:sz w:val="24"/>
          <w:szCs w:val="24"/>
        </w:rPr>
        <w:t>t-tests</w:t>
      </w:r>
      <w:r>
        <w:rPr>
          <w:rFonts w:hint="default" w:ascii="Times New Roman" w:hAnsi="Times New Roman" w:eastAsia="SimSun" w:cs="Times New Roman"/>
          <w:b w:val="0"/>
          <w:bCs w:val="0"/>
          <w:sz w:val="24"/>
          <w:szCs w:val="24"/>
        </w:rPr>
        <w:t xml:space="preserve"> for differences, and </w:t>
      </w:r>
      <w:r>
        <w:rPr>
          <w:rStyle w:val="28"/>
          <w:rFonts w:hint="default" w:ascii="Times New Roman" w:hAnsi="Times New Roman" w:eastAsia="SimSun" w:cs="Times New Roman"/>
          <w:b w:val="0"/>
          <w:bCs w:val="0"/>
          <w:sz w:val="24"/>
          <w:szCs w:val="24"/>
        </w:rPr>
        <w:t>correlation analysis</w:t>
      </w:r>
      <w:r>
        <w:rPr>
          <w:rFonts w:hint="default" w:ascii="Times New Roman" w:hAnsi="Times New Roman" w:eastAsia="SimSun" w:cs="Times New Roman"/>
          <w:b w:val="0"/>
          <w:bCs w:val="0"/>
          <w:sz w:val="24"/>
          <w:szCs w:val="24"/>
        </w:rPr>
        <w:t xml:space="preserve"> for relationships. Ethical protocols were observed, with participants assured of confidentiality under the </w:t>
      </w:r>
      <w:r>
        <w:rPr>
          <w:rStyle w:val="28"/>
          <w:rFonts w:hint="default" w:ascii="Times New Roman" w:hAnsi="Times New Roman" w:eastAsia="SimSun" w:cs="Times New Roman"/>
          <w:b w:val="0"/>
          <w:bCs w:val="0"/>
          <w:sz w:val="24"/>
          <w:szCs w:val="24"/>
        </w:rPr>
        <w:t>Data Privacy Act of 2012</w:t>
      </w:r>
      <w:r>
        <w:rPr>
          <w:rFonts w:hint="default" w:ascii="Times New Roman" w:hAnsi="Times New Roman" w:eastAsia="SimSun" w:cs="Times New Roman"/>
          <w:b w:val="0"/>
          <w:bCs w:val="0"/>
          <w:sz w:val="24"/>
          <w:szCs w:val="24"/>
        </w:rPr>
        <w:t>.</w:t>
      </w:r>
    </w:p>
    <w:p w14:paraId="444A4109">
      <w:pPr>
        <w:pStyle w:val="26"/>
        <w:keepNext w:val="0"/>
        <w:keepLines w:val="0"/>
        <w:widowControl/>
        <w:numPr>
          <w:ilvl w:val="0"/>
          <w:numId w:val="3"/>
        </w:numPr>
        <w:suppressLineNumbers w:val="0"/>
        <w:jc w:val="both"/>
        <w:rPr>
          <w:rStyle w:val="28"/>
          <w:rFonts w:hint="default" w:ascii="Times New Roman" w:hAnsi="Times New Roman" w:eastAsia="SimSun" w:cs="Times New Roman"/>
          <w:b/>
          <w:bCs/>
          <w:i w:val="0"/>
          <w:iCs w:val="0"/>
          <w:sz w:val="28"/>
          <w:szCs w:val="28"/>
          <w:lang w:val="en-PH"/>
        </w:rPr>
      </w:pPr>
      <w:r>
        <w:rPr>
          <w:rStyle w:val="28"/>
          <w:rFonts w:hint="default" w:ascii="Times New Roman" w:hAnsi="Times New Roman" w:eastAsia="SimSun" w:cs="Times New Roman"/>
          <w:b/>
          <w:bCs/>
          <w:i w:val="0"/>
          <w:iCs w:val="0"/>
          <w:sz w:val="28"/>
          <w:szCs w:val="28"/>
          <w:lang w:val="en-PH"/>
        </w:rPr>
        <w:t xml:space="preserve">Results and </w:t>
      </w:r>
      <w:r>
        <w:rPr>
          <w:rStyle w:val="28"/>
          <w:rFonts w:hint="default" w:ascii="Times New Roman" w:hAnsi="Times New Roman" w:cs="Times New Roman"/>
          <w:b/>
          <w:bCs/>
          <w:i w:val="0"/>
          <w:iCs w:val="0"/>
          <w:sz w:val="28"/>
          <w:szCs w:val="28"/>
          <w:lang w:val="en-PH"/>
        </w:rPr>
        <w:t>Discussion</w:t>
      </w:r>
    </w:p>
    <w:p w14:paraId="3686E79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Table </w:t>
      </w:r>
      <w:r>
        <w:rPr>
          <w:rFonts w:hint="default" w:ascii="Times New Roman" w:hAnsi="Times New Roman" w:eastAsia="SimSun" w:cs="Times New Roman"/>
          <w:sz w:val="20"/>
          <w:szCs w:val="20"/>
          <w:lang w:val="en-PH"/>
        </w:rPr>
        <w:t>1</w:t>
      </w:r>
      <w:r>
        <w:rPr>
          <w:rFonts w:hint="default" w:ascii="Times New Roman" w:hAnsi="Times New Roman" w:eastAsia="SimSun" w:cs="Times New Roman"/>
          <w:sz w:val="20"/>
          <w:szCs w:val="20"/>
        </w:rPr>
        <w:t>. Students Demographic Profile</w:t>
      </w:r>
    </w:p>
    <w:tbl>
      <w:tblPr>
        <w:tblStyle w:val="30"/>
        <w:tblW w:w="3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6"/>
        <w:gridCol w:w="2286"/>
        <w:gridCol w:w="1283"/>
        <w:gridCol w:w="1364"/>
      </w:tblGrid>
      <w:tr w14:paraId="6034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779" w:type="pct"/>
            <w:tcBorders>
              <w:top w:val="single" w:color="auto" w:sz="4" w:space="0"/>
              <w:left w:val="nil"/>
              <w:bottom w:val="single" w:color="auto" w:sz="4" w:space="0"/>
              <w:right w:val="nil"/>
            </w:tcBorders>
          </w:tcPr>
          <w:p w14:paraId="707018F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Variable</w:t>
            </w:r>
          </w:p>
        </w:tc>
        <w:tc>
          <w:tcPr>
            <w:tcW w:w="1492" w:type="pct"/>
            <w:tcBorders>
              <w:top w:val="single" w:color="auto" w:sz="4" w:space="0"/>
              <w:left w:val="nil"/>
              <w:bottom w:val="single" w:color="auto" w:sz="4" w:space="0"/>
              <w:right w:val="nil"/>
            </w:tcBorders>
          </w:tcPr>
          <w:p w14:paraId="177BD9D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Category</w:t>
            </w:r>
          </w:p>
        </w:tc>
        <w:tc>
          <w:tcPr>
            <w:tcW w:w="837" w:type="pct"/>
            <w:tcBorders>
              <w:top w:val="single" w:color="auto" w:sz="4" w:space="0"/>
              <w:left w:val="nil"/>
              <w:bottom w:val="single" w:color="auto" w:sz="4" w:space="0"/>
              <w:right w:val="nil"/>
            </w:tcBorders>
          </w:tcPr>
          <w:p w14:paraId="0561A41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Frequency</w:t>
            </w:r>
          </w:p>
        </w:tc>
        <w:tc>
          <w:tcPr>
            <w:tcW w:w="890" w:type="pct"/>
            <w:tcBorders>
              <w:top w:val="single" w:color="auto" w:sz="4" w:space="0"/>
              <w:left w:val="nil"/>
              <w:bottom w:val="single" w:color="auto" w:sz="4" w:space="0"/>
              <w:right w:val="nil"/>
            </w:tcBorders>
          </w:tcPr>
          <w:p w14:paraId="0DDFDD2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Percentage</w:t>
            </w:r>
          </w:p>
        </w:tc>
      </w:tr>
      <w:tr w14:paraId="7BB4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779" w:type="pct"/>
            <w:vMerge w:val="restart"/>
            <w:tcBorders>
              <w:top w:val="single" w:color="auto" w:sz="4" w:space="0"/>
              <w:left w:val="nil"/>
              <w:bottom w:val="nil"/>
              <w:right w:val="nil"/>
            </w:tcBorders>
            <w:vAlign w:val="center"/>
          </w:tcPr>
          <w:p w14:paraId="5B5B8E1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Age</w:t>
            </w:r>
          </w:p>
        </w:tc>
        <w:tc>
          <w:tcPr>
            <w:tcW w:w="1492" w:type="pct"/>
            <w:tcBorders>
              <w:top w:val="single" w:color="auto" w:sz="4" w:space="0"/>
              <w:left w:val="nil"/>
              <w:bottom w:val="nil"/>
              <w:right w:val="nil"/>
            </w:tcBorders>
          </w:tcPr>
          <w:p w14:paraId="62679F9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13-14 years old</w:t>
            </w:r>
          </w:p>
        </w:tc>
        <w:tc>
          <w:tcPr>
            <w:tcW w:w="837" w:type="pct"/>
            <w:tcBorders>
              <w:top w:val="single" w:color="auto" w:sz="4" w:space="0"/>
              <w:left w:val="nil"/>
              <w:bottom w:val="nil"/>
              <w:right w:val="nil"/>
            </w:tcBorders>
          </w:tcPr>
          <w:p w14:paraId="3C6322E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44</w:t>
            </w:r>
          </w:p>
        </w:tc>
        <w:tc>
          <w:tcPr>
            <w:tcW w:w="890" w:type="pct"/>
            <w:tcBorders>
              <w:top w:val="single" w:color="auto" w:sz="4" w:space="0"/>
              <w:left w:val="nil"/>
              <w:bottom w:val="nil"/>
              <w:right w:val="nil"/>
            </w:tcBorders>
          </w:tcPr>
          <w:p w14:paraId="423EBBB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lang w:val="en-PH"/>
              </w:rPr>
            </w:pPr>
            <w:r>
              <w:rPr>
                <w:rFonts w:hint="default" w:ascii="Times New Roman" w:hAnsi="Times New Roman" w:eastAsia="SimSun" w:cs="Times New Roman"/>
                <w:sz w:val="20"/>
                <w:szCs w:val="20"/>
              </w:rPr>
              <w:t>3</w:t>
            </w:r>
            <w:r>
              <w:rPr>
                <w:rFonts w:hint="default" w:ascii="Times New Roman" w:hAnsi="Times New Roman" w:eastAsia="SimSun" w:cs="Times New Roman"/>
                <w:sz w:val="20"/>
                <w:szCs w:val="20"/>
                <w:lang w:val="en-PH"/>
              </w:rPr>
              <w:t>8</w:t>
            </w:r>
          </w:p>
        </w:tc>
      </w:tr>
      <w:tr w14:paraId="69A4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779" w:type="pct"/>
            <w:vMerge w:val="continue"/>
            <w:tcBorders>
              <w:top w:val="nil"/>
              <w:left w:val="nil"/>
              <w:bottom w:val="nil"/>
              <w:right w:val="nil"/>
            </w:tcBorders>
          </w:tcPr>
          <w:p w14:paraId="5EE3DC5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492" w:type="pct"/>
            <w:tcBorders>
              <w:top w:val="nil"/>
              <w:left w:val="nil"/>
              <w:bottom w:val="nil"/>
              <w:right w:val="nil"/>
            </w:tcBorders>
          </w:tcPr>
          <w:p w14:paraId="6688C8D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15-16 years old</w:t>
            </w:r>
          </w:p>
        </w:tc>
        <w:tc>
          <w:tcPr>
            <w:tcW w:w="837" w:type="pct"/>
            <w:tcBorders>
              <w:top w:val="nil"/>
              <w:left w:val="nil"/>
              <w:bottom w:val="nil"/>
              <w:right w:val="nil"/>
            </w:tcBorders>
          </w:tcPr>
          <w:p w14:paraId="288E257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70</w:t>
            </w:r>
          </w:p>
        </w:tc>
        <w:tc>
          <w:tcPr>
            <w:tcW w:w="890" w:type="pct"/>
            <w:tcBorders>
              <w:top w:val="nil"/>
              <w:left w:val="nil"/>
              <w:bottom w:val="nil"/>
              <w:right w:val="nil"/>
            </w:tcBorders>
          </w:tcPr>
          <w:p w14:paraId="7040310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61</w:t>
            </w:r>
          </w:p>
        </w:tc>
      </w:tr>
      <w:tr w14:paraId="425D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779" w:type="pct"/>
            <w:vMerge w:val="continue"/>
            <w:tcBorders>
              <w:top w:val="nil"/>
              <w:left w:val="nil"/>
              <w:bottom w:val="nil"/>
              <w:right w:val="nil"/>
            </w:tcBorders>
          </w:tcPr>
          <w:p w14:paraId="7172804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492" w:type="pct"/>
            <w:tcBorders>
              <w:top w:val="nil"/>
              <w:left w:val="nil"/>
              <w:bottom w:val="nil"/>
              <w:right w:val="nil"/>
            </w:tcBorders>
          </w:tcPr>
          <w:p w14:paraId="50B0B9C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17 years old or more</w:t>
            </w:r>
          </w:p>
        </w:tc>
        <w:tc>
          <w:tcPr>
            <w:tcW w:w="837" w:type="pct"/>
            <w:tcBorders>
              <w:top w:val="nil"/>
              <w:left w:val="nil"/>
              <w:bottom w:val="nil"/>
              <w:right w:val="nil"/>
            </w:tcBorders>
          </w:tcPr>
          <w:p w14:paraId="26D3DCF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w:t>
            </w:r>
          </w:p>
        </w:tc>
        <w:tc>
          <w:tcPr>
            <w:tcW w:w="890" w:type="pct"/>
            <w:tcBorders>
              <w:top w:val="nil"/>
              <w:left w:val="nil"/>
              <w:bottom w:val="nil"/>
              <w:right w:val="nil"/>
            </w:tcBorders>
          </w:tcPr>
          <w:p w14:paraId="28CFAE4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w:t>
            </w:r>
          </w:p>
        </w:tc>
      </w:tr>
      <w:tr w14:paraId="035D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779" w:type="pct"/>
            <w:vMerge w:val="restart"/>
            <w:tcBorders>
              <w:top w:val="nil"/>
              <w:left w:val="nil"/>
              <w:bottom w:val="nil"/>
              <w:right w:val="nil"/>
            </w:tcBorders>
            <w:vAlign w:val="center"/>
          </w:tcPr>
          <w:p w14:paraId="0E87A5E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Sex</w:t>
            </w:r>
          </w:p>
        </w:tc>
        <w:tc>
          <w:tcPr>
            <w:tcW w:w="1492" w:type="pct"/>
            <w:tcBorders>
              <w:top w:val="nil"/>
              <w:left w:val="nil"/>
              <w:bottom w:val="nil"/>
              <w:right w:val="nil"/>
            </w:tcBorders>
          </w:tcPr>
          <w:p w14:paraId="04F4ACC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Male</w:t>
            </w:r>
          </w:p>
        </w:tc>
        <w:tc>
          <w:tcPr>
            <w:tcW w:w="837" w:type="pct"/>
            <w:tcBorders>
              <w:top w:val="nil"/>
              <w:left w:val="nil"/>
              <w:bottom w:val="nil"/>
              <w:right w:val="nil"/>
            </w:tcBorders>
          </w:tcPr>
          <w:p w14:paraId="3995B6B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44</w:t>
            </w:r>
          </w:p>
        </w:tc>
        <w:tc>
          <w:tcPr>
            <w:tcW w:w="890" w:type="pct"/>
            <w:tcBorders>
              <w:top w:val="nil"/>
              <w:left w:val="nil"/>
              <w:bottom w:val="nil"/>
              <w:right w:val="nil"/>
            </w:tcBorders>
          </w:tcPr>
          <w:p w14:paraId="3F8F9BE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38</w:t>
            </w:r>
          </w:p>
        </w:tc>
      </w:tr>
      <w:tr w14:paraId="1715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779" w:type="pct"/>
            <w:vMerge w:val="continue"/>
            <w:tcBorders>
              <w:top w:val="nil"/>
              <w:left w:val="nil"/>
              <w:bottom w:val="nil"/>
              <w:right w:val="nil"/>
            </w:tcBorders>
          </w:tcPr>
          <w:p w14:paraId="2DBFC62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492" w:type="pct"/>
            <w:tcBorders>
              <w:top w:val="nil"/>
              <w:left w:val="nil"/>
              <w:bottom w:val="nil"/>
              <w:right w:val="nil"/>
            </w:tcBorders>
          </w:tcPr>
          <w:p w14:paraId="3120B7A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Female</w:t>
            </w:r>
          </w:p>
        </w:tc>
        <w:tc>
          <w:tcPr>
            <w:tcW w:w="837" w:type="pct"/>
            <w:tcBorders>
              <w:top w:val="nil"/>
              <w:left w:val="nil"/>
              <w:bottom w:val="nil"/>
              <w:right w:val="nil"/>
            </w:tcBorders>
          </w:tcPr>
          <w:p w14:paraId="4F326F7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71</w:t>
            </w:r>
          </w:p>
        </w:tc>
        <w:tc>
          <w:tcPr>
            <w:tcW w:w="890" w:type="pct"/>
            <w:tcBorders>
              <w:top w:val="nil"/>
              <w:left w:val="nil"/>
              <w:bottom w:val="nil"/>
              <w:right w:val="nil"/>
            </w:tcBorders>
          </w:tcPr>
          <w:p w14:paraId="5CE9F97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62</w:t>
            </w:r>
          </w:p>
        </w:tc>
      </w:tr>
      <w:tr w14:paraId="7498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779" w:type="pct"/>
            <w:vMerge w:val="restart"/>
            <w:tcBorders>
              <w:top w:val="nil"/>
              <w:left w:val="nil"/>
              <w:bottom w:val="nil"/>
              <w:right w:val="nil"/>
            </w:tcBorders>
            <w:vAlign w:val="center"/>
          </w:tcPr>
          <w:p w14:paraId="2B17EB1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Number of Years in School</w:t>
            </w:r>
          </w:p>
        </w:tc>
        <w:tc>
          <w:tcPr>
            <w:tcW w:w="1492" w:type="pct"/>
            <w:tcBorders>
              <w:top w:val="nil"/>
              <w:left w:val="nil"/>
              <w:bottom w:val="nil"/>
              <w:right w:val="nil"/>
            </w:tcBorders>
          </w:tcPr>
          <w:p w14:paraId="4FA219F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3 Years</w:t>
            </w:r>
          </w:p>
        </w:tc>
        <w:tc>
          <w:tcPr>
            <w:tcW w:w="837" w:type="pct"/>
            <w:tcBorders>
              <w:top w:val="nil"/>
              <w:left w:val="nil"/>
              <w:bottom w:val="nil"/>
              <w:right w:val="nil"/>
            </w:tcBorders>
          </w:tcPr>
          <w:p w14:paraId="18CBA97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104</w:t>
            </w:r>
          </w:p>
        </w:tc>
        <w:tc>
          <w:tcPr>
            <w:tcW w:w="890" w:type="pct"/>
            <w:tcBorders>
              <w:top w:val="nil"/>
              <w:left w:val="nil"/>
              <w:bottom w:val="nil"/>
              <w:right w:val="nil"/>
            </w:tcBorders>
          </w:tcPr>
          <w:p w14:paraId="5831410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90</w:t>
            </w:r>
          </w:p>
        </w:tc>
      </w:tr>
      <w:tr w14:paraId="6A35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779" w:type="pct"/>
            <w:vMerge w:val="continue"/>
            <w:tcBorders>
              <w:top w:val="nil"/>
              <w:left w:val="nil"/>
              <w:bottom w:val="single" w:color="auto" w:sz="4" w:space="0"/>
              <w:right w:val="nil"/>
            </w:tcBorders>
          </w:tcPr>
          <w:p w14:paraId="18A4C76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492" w:type="pct"/>
            <w:tcBorders>
              <w:top w:val="nil"/>
              <w:left w:val="nil"/>
              <w:bottom w:val="single" w:color="auto" w:sz="4" w:space="0"/>
              <w:right w:val="nil"/>
            </w:tcBorders>
          </w:tcPr>
          <w:p w14:paraId="0482A9B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 Years</w:t>
            </w:r>
          </w:p>
        </w:tc>
        <w:tc>
          <w:tcPr>
            <w:tcW w:w="837" w:type="pct"/>
            <w:tcBorders>
              <w:top w:val="nil"/>
              <w:left w:val="nil"/>
              <w:bottom w:val="single" w:color="auto" w:sz="4" w:space="0"/>
              <w:right w:val="nil"/>
            </w:tcBorders>
          </w:tcPr>
          <w:p w14:paraId="23B494A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11</w:t>
            </w:r>
          </w:p>
        </w:tc>
        <w:tc>
          <w:tcPr>
            <w:tcW w:w="890" w:type="pct"/>
            <w:tcBorders>
              <w:top w:val="nil"/>
              <w:left w:val="nil"/>
              <w:bottom w:val="single" w:color="auto" w:sz="4" w:space="0"/>
              <w:right w:val="nil"/>
            </w:tcBorders>
          </w:tcPr>
          <w:p w14:paraId="61B7FB6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10</w:t>
            </w:r>
          </w:p>
        </w:tc>
      </w:tr>
    </w:tbl>
    <w:p w14:paraId="2B5D019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Style w:val="28"/>
          <w:rFonts w:hint="default" w:ascii="Times New Roman" w:hAnsi="Times New Roman" w:eastAsia="SimSun" w:cs="Times New Roman"/>
          <w:b/>
          <w:bCs/>
          <w:i w:val="0"/>
          <w:iCs w:val="0"/>
          <w:sz w:val="24"/>
          <w:szCs w:val="24"/>
        </w:rPr>
      </w:pPr>
    </w:p>
    <w:p w14:paraId="7284954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rPr>
      </w:pPr>
      <w:r>
        <w:rPr>
          <w:rStyle w:val="28"/>
          <w:rFonts w:hint="default" w:ascii="Times New Roman" w:hAnsi="Times New Roman" w:eastAsia="SimSun" w:cs="Times New Roman"/>
          <w:b/>
          <w:bCs/>
          <w:i w:val="0"/>
          <w:iCs w:val="0"/>
          <w:sz w:val="24"/>
          <w:szCs w:val="24"/>
        </w:rPr>
        <w:t>Age Distribution</w:t>
      </w:r>
    </w:p>
    <w:p w14:paraId="5218F8FC">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 majority of students (61%) were in the </w:t>
      </w:r>
      <w:r>
        <w:rPr>
          <w:rStyle w:val="28"/>
          <w:rFonts w:hint="default" w:ascii="Times New Roman" w:hAnsi="Times New Roman" w:eastAsia="SimSun" w:cs="Times New Roman"/>
          <w:b w:val="0"/>
          <w:bCs w:val="0"/>
          <w:sz w:val="24"/>
          <w:szCs w:val="24"/>
        </w:rPr>
        <w:t>15–16 age bracket</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corresponding to middle adolescence. This developmental stage is characterized by heightened sensitivity to peer feedback and social rewards (Steinberg, 2014). In line with </w:t>
      </w:r>
      <w:r>
        <w:rPr>
          <w:rStyle w:val="28"/>
          <w:rFonts w:hint="default" w:ascii="Times New Roman" w:hAnsi="Times New Roman" w:eastAsia="SimSun" w:cs="Times New Roman"/>
          <w:b w:val="0"/>
          <w:bCs w:val="0"/>
          <w:sz w:val="24"/>
          <w:szCs w:val="24"/>
        </w:rPr>
        <w:t>Vygotsky’s Social Development Theory (1978)</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students at this age are optimally positioned to benefit from peer-assisted learning within the </w:t>
      </w:r>
      <w:r>
        <w:rPr>
          <w:rStyle w:val="28"/>
          <w:rFonts w:hint="default" w:ascii="Times New Roman" w:hAnsi="Times New Roman" w:eastAsia="SimSun" w:cs="Times New Roman"/>
          <w:b w:val="0"/>
          <w:bCs w:val="0"/>
          <w:sz w:val="24"/>
          <w:szCs w:val="24"/>
        </w:rPr>
        <w:t>Zone of Proximal Development (ZPD)</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Literature affirms that pedagogical practices such as small-group learning transform peer interaction into a cognitive driver of resilience and achievement (Meza et al., 2025).</w:t>
      </w:r>
    </w:p>
    <w:p w14:paraId="06F1014D">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73FF867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i w:val="0"/>
          <w:iCs w:val="0"/>
          <w:sz w:val="24"/>
          <w:szCs w:val="24"/>
        </w:rPr>
      </w:pPr>
      <w:r>
        <w:rPr>
          <w:rStyle w:val="28"/>
          <w:rFonts w:hint="default" w:ascii="Times New Roman" w:hAnsi="Times New Roman" w:eastAsia="SimSun" w:cs="Times New Roman"/>
          <w:b/>
          <w:bCs/>
          <w:i w:val="0"/>
          <w:iCs w:val="0"/>
          <w:sz w:val="24"/>
          <w:szCs w:val="24"/>
        </w:rPr>
        <w:t>Gender Distribution</w:t>
      </w:r>
    </w:p>
    <w:p w14:paraId="5DC10F6C">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Female students comprised </w:t>
      </w:r>
      <w:r>
        <w:rPr>
          <w:rStyle w:val="28"/>
          <w:rFonts w:hint="default" w:ascii="Times New Roman" w:hAnsi="Times New Roman" w:eastAsia="SimSun" w:cs="Times New Roman"/>
          <w:b w:val="0"/>
          <w:bCs w:val="0"/>
          <w:sz w:val="24"/>
          <w:szCs w:val="24"/>
        </w:rPr>
        <w:t>62% of the sample</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a factor that significantly influenced cooperative learning dynamics. International assessments, such as the </w:t>
      </w:r>
      <w:r>
        <w:rPr>
          <w:rStyle w:val="28"/>
          <w:rFonts w:hint="default" w:ascii="Times New Roman" w:hAnsi="Times New Roman" w:eastAsia="SimSun" w:cs="Times New Roman"/>
          <w:b w:val="0"/>
          <w:bCs w:val="0"/>
          <w:sz w:val="24"/>
          <w:szCs w:val="24"/>
        </w:rPr>
        <w:t>OECD PISA (2017)</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consistently report that female learners outperform males in collaborative problem-solving, demonstrating higher social sensitivity and conflict management skills. Roseth, Johnson, and Johnson (2008) further emphasize that female-dominated groups exhibit stronger relational focus and pro-social behavior, essential for trust-building and effective group interaction. This gender profile provided a strong baseline for successful cooperative learning implementation in the Tandag City Division.</w:t>
      </w:r>
    </w:p>
    <w:p w14:paraId="7920495A">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2598D58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i w:val="0"/>
          <w:iCs w:val="0"/>
          <w:sz w:val="24"/>
          <w:szCs w:val="24"/>
        </w:rPr>
      </w:pPr>
      <w:r>
        <w:rPr>
          <w:rStyle w:val="28"/>
          <w:rFonts w:hint="default" w:ascii="Times New Roman" w:hAnsi="Times New Roman" w:eastAsia="SimSun" w:cs="Times New Roman"/>
          <w:b/>
          <w:bCs/>
          <w:i w:val="0"/>
          <w:iCs w:val="0"/>
          <w:sz w:val="24"/>
          <w:szCs w:val="24"/>
        </w:rPr>
        <w:t>School Cohort Stability</w:t>
      </w:r>
    </w:p>
    <w:p w14:paraId="26A104A5">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Approximately</w:t>
      </w:r>
      <w:r>
        <w:rPr>
          <w:rFonts w:hint="default" w:ascii="Times New Roman" w:hAnsi="Times New Roman" w:eastAsia="SimSun" w:cs="Times New Roman"/>
          <w:b w:val="0"/>
          <w:bCs w:val="0"/>
          <w:sz w:val="24"/>
          <w:szCs w:val="24"/>
        </w:rPr>
        <w:t xml:space="preserve"> </w:t>
      </w:r>
      <w:r>
        <w:rPr>
          <w:rStyle w:val="28"/>
          <w:rFonts w:hint="default" w:ascii="Times New Roman" w:hAnsi="Times New Roman" w:eastAsia="SimSun" w:cs="Times New Roman"/>
          <w:b w:val="0"/>
          <w:bCs w:val="0"/>
          <w:sz w:val="24"/>
          <w:szCs w:val="24"/>
        </w:rPr>
        <w:t>90% of respondents had studied in the same school for three consecutive years (Grades 7–9)</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indicating institutional stability and adaptation to established social norms. Wentzel (2017) notes that long-term cohort membership fosters </w:t>
      </w:r>
      <w:r>
        <w:rPr>
          <w:rStyle w:val="28"/>
          <w:rFonts w:hint="default" w:ascii="Times New Roman" w:hAnsi="Times New Roman" w:eastAsia="SimSun" w:cs="Times New Roman"/>
          <w:b w:val="0"/>
          <w:bCs w:val="0"/>
          <w:sz w:val="24"/>
          <w:szCs w:val="24"/>
        </w:rPr>
        <w:t>social capital</w:t>
      </w:r>
      <w:r>
        <w:rPr>
          <w:rFonts w:hint="default" w:ascii="Times New Roman" w:hAnsi="Times New Roman" w:eastAsia="SimSun" w:cs="Times New Roman"/>
          <w:b w:val="0"/>
          <w:bCs w:val="0"/>
          <w:sz w:val="24"/>
          <w:szCs w:val="24"/>
        </w:rPr>
        <w:t xml:space="preserve">, </w:t>
      </w:r>
      <w:r>
        <w:rPr>
          <w:rFonts w:hint="default" w:ascii="Times New Roman" w:hAnsi="Times New Roman" w:eastAsia="SimSun" w:cs="Times New Roman"/>
          <w:sz w:val="24"/>
          <w:szCs w:val="24"/>
        </w:rPr>
        <w:t>including shared expectations and peer behaviors. This stability suggests that students had already progressed beyond early stages of social adjustment, enabling them to focus on technical competencies and accountability within cooperative tasks rather than negotiating new social environments.</w:t>
      </w:r>
    </w:p>
    <w:p w14:paraId="2B01F3F2">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Together, these demographic factors—developmental age alignment, gender distribution favoring social sensitivity, and cohort stability—created an environment highly conducive to cooperative learning. The findings justify the adoption of cooperative strategies in TLE, as respondents possessed the developmental readiness, relational skills, and institutional stability necessary for effective implementation.</w:t>
      </w:r>
    </w:p>
    <w:p w14:paraId="4B2E58C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0"/>
          <w:szCs w:val="20"/>
        </w:rPr>
        <w:t xml:space="preserve">Table </w:t>
      </w:r>
      <w:r>
        <w:rPr>
          <w:rFonts w:hint="default" w:ascii="Times New Roman" w:hAnsi="Times New Roman" w:eastAsia="SimSun" w:cs="Times New Roman"/>
          <w:sz w:val="20"/>
          <w:szCs w:val="20"/>
          <w:lang w:val="en-PH"/>
        </w:rPr>
        <w:t>2</w:t>
      </w:r>
      <w:r>
        <w:rPr>
          <w:rFonts w:hint="default" w:ascii="Times New Roman" w:hAnsi="Times New Roman" w:eastAsia="SimSun" w:cs="Times New Roman"/>
          <w:sz w:val="20"/>
          <w:szCs w:val="20"/>
        </w:rPr>
        <w:t xml:space="preserve">. </w:t>
      </w:r>
      <w:r>
        <w:rPr>
          <w:rFonts w:hint="default" w:ascii="Times New Roman" w:hAnsi="Times New Roman" w:eastAsia="SimSun" w:cs="Times New Roman"/>
          <w:sz w:val="20"/>
          <w:szCs w:val="20"/>
          <w:lang w:val="en-PH"/>
        </w:rPr>
        <w:t xml:space="preserve">Demographic </w:t>
      </w:r>
      <w:r>
        <w:rPr>
          <w:rFonts w:hint="default" w:ascii="Times New Roman" w:hAnsi="Times New Roman" w:eastAsia="SimSun" w:cs="Times New Roman"/>
          <w:sz w:val="20"/>
          <w:szCs w:val="20"/>
        </w:rPr>
        <w:t>Profile of Teachers Respondents</w:t>
      </w:r>
    </w:p>
    <w:tbl>
      <w:tblPr>
        <w:tblStyle w:val="30"/>
        <w:tblW w:w="37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97"/>
        <w:gridCol w:w="2442"/>
        <w:gridCol w:w="1282"/>
        <w:gridCol w:w="1336"/>
      </w:tblGrid>
      <w:tr w14:paraId="6EF8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tcBorders>
              <w:top w:val="single" w:color="auto" w:sz="4" w:space="0"/>
              <w:bottom w:val="single" w:color="auto" w:sz="4" w:space="0"/>
            </w:tcBorders>
          </w:tcPr>
          <w:p w14:paraId="4131FE5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Variable</w:t>
            </w:r>
          </w:p>
        </w:tc>
        <w:tc>
          <w:tcPr>
            <w:tcW w:w="1594" w:type="pct"/>
            <w:tcBorders>
              <w:top w:val="single" w:color="auto" w:sz="4" w:space="0"/>
              <w:bottom w:val="single" w:color="auto" w:sz="4" w:space="0"/>
            </w:tcBorders>
          </w:tcPr>
          <w:p w14:paraId="35F78EE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Category</w:t>
            </w:r>
          </w:p>
        </w:tc>
        <w:tc>
          <w:tcPr>
            <w:tcW w:w="837" w:type="pct"/>
            <w:tcBorders>
              <w:top w:val="single" w:color="auto" w:sz="4" w:space="0"/>
              <w:bottom w:val="single" w:color="auto" w:sz="4" w:space="0"/>
            </w:tcBorders>
          </w:tcPr>
          <w:p w14:paraId="7531DCF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Frequency</w:t>
            </w:r>
          </w:p>
        </w:tc>
        <w:tc>
          <w:tcPr>
            <w:tcW w:w="872" w:type="pct"/>
            <w:tcBorders>
              <w:top w:val="single" w:color="auto" w:sz="4" w:space="0"/>
              <w:bottom w:val="single" w:color="auto" w:sz="4" w:space="0"/>
            </w:tcBorders>
          </w:tcPr>
          <w:p w14:paraId="14F7515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Percentage</w:t>
            </w:r>
          </w:p>
        </w:tc>
      </w:tr>
      <w:tr w14:paraId="4A6C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restart"/>
            <w:tcBorders>
              <w:top w:val="single" w:color="auto" w:sz="4" w:space="0"/>
            </w:tcBorders>
            <w:vAlign w:val="center"/>
          </w:tcPr>
          <w:p w14:paraId="46BFFC4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Age</w:t>
            </w:r>
          </w:p>
        </w:tc>
        <w:tc>
          <w:tcPr>
            <w:tcW w:w="1594" w:type="pct"/>
            <w:tcBorders>
              <w:top w:val="single" w:color="auto" w:sz="4" w:space="0"/>
            </w:tcBorders>
          </w:tcPr>
          <w:p w14:paraId="4E3D54E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26-30</w:t>
            </w:r>
          </w:p>
        </w:tc>
        <w:tc>
          <w:tcPr>
            <w:tcW w:w="837" w:type="pct"/>
            <w:tcBorders>
              <w:top w:val="single" w:color="auto" w:sz="4" w:space="0"/>
            </w:tcBorders>
          </w:tcPr>
          <w:p w14:paraId="21EF157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2</w:t>
            </w:r>
          </w:p>
        </w:tc>
        <w:tc>
          <w:tcPr>
            <w:tcW w:w="872" w:type="pct"/>
            <w:tcBorders>
              <w:top w:val="single" w:color="auto" w:sz="4" w:space="0"/>
            </w:tcBorders>
          </w:tcPr>
          <w:p w14:paraId="6C1706C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22</w:t>
            </w:r>
          </w:p>
        </w:tc>
      </w:tr>
      <w:tr w14:paraId="673C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continue"/>
          </w:tcPr>
          <w:p w14:paraId="38AD2BF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Pr>
          <w:p w14:paraId="667B75A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36-40</w:t>
            </w:r>
          </w:p>
        </w:tc>
        <w:tc>
          <w:tcPr>
            <w:tcW w:w="837" w:type="pct"/>
          </w:tcPr>
          <w:p w14:paraId="295D248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2</w:t>
            </w:r>
          </w:p>
        </w:tc>
        <w:tc>
          <w:tcPr>
            <w:tcW w:w="872" w:type="pct"/>
          </w:tcPr>
          <w:p w14:paraId="754EB32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22</w:t>
            </w:r>
          </w:p>
        </w:tc>
      </w:tr>
      <w:tr w14:paraId="7D79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continue"/>
          </w:tcPr>
          <w:p w14:paraId="12ACAE2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Pr>
          <w:p w14:paraId="05A2495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41 or more</w:t>
            </w:r>
          </w:p>
        </w:tc>
        <w:tc>
          <w:tcPr>
            <w:tcW w:w="837" w:type="pct"/>
          </w:tcPr>
          <w:p w14:paraId="3DE45E6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5</w:t>
            </w:r>
          </w:p>
        </w:tc>
        <w:tc>
          <w:tcPr>
            <w:tcW w:w="872" w:type="pct"/>
          </w:tcPr>
          <w:p w14:paraId="7D06806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56</w:t>
            </w:r>
          </w:p>
        </w:tc>
      </w:tr>
      <w:tr w14:paraId="24A0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restart"/>
            <w:vAlign w:val="center"/>
          </w:tcPr>
          <w:p w14:paraId="31405AB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Sex</w:t>
            </w:r>
          </w:p>
        </w:tc>
        <w:tc>
          <w:tcPr>
            <w:tcW w:w="1594" w:type="pct"/>
          </w:tcPr>
          <w:p w14:paraId="0CE5964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Male</w:t>
            </w:r>
          </w:p>
        </w:tc>
        <w:tc>
          <w:tcPr>
            <w:tcW w:w="837" w:type="pct"/>
          </w:tcPr>
          <w:p w14:paraId="5EC2A2D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w:t>
            </w:r>
          </w:p>
        </w:tc>
        <w:tc>
          <w:tcPr>
            <w:tcW w:w="872" w:type="pct"/>
          </w:tcPr>
          <w:p w14:paraId="6BEE00C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11</w:t>
            </w:r>
          </w:p>
        </w:tc>
      </w:tr>
      <w:tr w14:paraId="1B06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continue"/>
          </w:tcPr>
          <w:p w14:paraId="3ED9757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Pr>
          <w:p w14:paraId="377CFFB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Female</w:t>
            </w:r>
          </w:p>
        </w:tc>
        <w:tc>
          <w:tcPr>
            <w:tcW w:w="837" w:type="pct"/>
          </w:tcPr>
          <w:p w14:paraId="516A2DD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8</w:t>
            </w:r>
          </w:p>
        </w:tc>
        <w:tc>
          <w:tcPr>
            <w:tcW w:w="872" w:type="pct"/>
          </w:tcPr>
          <w:p w14:paraId="716DC40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89</w:t>
            </w:r>
          </w:p>
        </w:tc>
      </w:tr>
      <w:tr w14:paraId="3C22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restart"/>
            <w:vAlign w:val="center"/>
          </w:tcPr>
          <w:p w14:paraId="5E49FEF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Educational Attainment</w:t>
            </w:r>
          </w:p>
        </w:tc>
        <w:tc>
          <w:tcPr>
            <w:tcW w:w="1594" w:type="pct"/>
          </w:tcPr>
          <w:p w14:paraId="57C6C34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BSE Graduate</w:t>
            </w:r>
          </w:p>
        </w:tc>
        <w:tc>
          <w:tcPr>
            <w:tcW w:w="837" w:type="pct"/>
          </w:tcPr>
          <w:p w14:paraId="7F3EAFE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5</w:t>
            </w:r>
          </w:p>
        </w:tc>
        <w:tc>
          <w:tcPr>
            <w:tcW w:w="872" w:type="pct"/>
          </w:tcPr>
          <w:p w14:paraId="22EEBF0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56</w:t>
            </w:r>
          </w:p>
        </w:tc>
      </w:tr>
      <w:tr w14:paraId="69BF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continue"/>
          </w:tcPr>
          <w:p w14:paraId="0F1F09B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Pr>
          <w:p w14:paraId="34C5446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Second Courser</w:t>
            </w:r>
          </w:p>
        </w:tc>
        <w:tc>
          <w:tcPr>
            <w:tcW w:w="837" w:type="pct"/>
          </w:tcPr>
          <w:p w14:paraId="0EDD9B0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w:t>
            </w:r>
          </w:p>
        </w:tc>
        <w:tc>
          <w:tcPr>
            <w:tcW w:w="872" w:type="pct"/>
          </w:tcPr>
          <w:p w14:paraId="6691283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11</w:t>
            </w:r>
          </w:p>
        </w:tc>
      </w:tr>
      <w:tr w14:paraId="6106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continue"/>
          </w:tcPr>
          <w:p w14:paraId="7FF6040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Pr>
          <w:p w14:paraId="1C06B2D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Masteral Graduate</w:t>
            </w:r>
          </w:p>
        </w:tc>
        <w:tc>
          <w:tcPr>
            <w:tcW w:w="837" w:type="pct"/>
          </w:tcPr>
          <w:p w14:paraId="480740C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3</w:t>
            </w:r>
          </w:p>
        </w:tc>
        <w:tc>
          <w:tcPr>
            <w:tcW w:w="872" w:type="pct"/>
          </w:tcPr>
          <w:p w14:paraId="594C593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33</w:t>
            </w:r>
          </w:p>
        </w:tc>
      </w:tr>
      <w:tr w14:paraId="57E7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restart"/>
            <w:vAlign w:val="center"/>
          </w:tcPr>
          <w:p w14:paraId="5B8BE9F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Length of Service</w:t>
            </w:r>
          </w:p>
        </w:tc>
        <w:tc>
          <w:tcPr>
            <w:tcW w:w="1594" w:type="pct"/>
          </w:tcPr>
          <w:p w14:paraId="219C0AA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5-10 Years</w:t>
            </w:r>
          </w:p>
        </w:tc>
        <w:tc>
          <w:tcPr>
            <w:tcW w:w="837" w:type="pct"/>
          </w:tcPr>
          <w:p w14:paraId="7A5101D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w:t>
            </w:r>
          </w:p>
        </w:tc>
        <w:tc>
          <w:tcPr>
            <w:tcW w:w="872" w:type="pct"/>
          </w:tcPr>
          <w:p w14:paraId="10C104F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44</w:t>
            </w:r>
          </w:p>
        </w:tc>
      </w:tr>
      <w:tr w14:paraId="636F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continue"/>
          </w:tcPr>
          <w:p w14:paraId="720D4BD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Pr>
          <w:p w14:paraId="0324162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11-15 Years</w:t>
            </w:r>
          </w:p>
        </w:tc>
        <w:tc>
          <w:tcPr>
            <w:tcW w:w="837" w:type="pct"/>
          </w:tcPr>
          <w:p w14:paraId="1A72D14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w:t>
            </w:r>
          </w:p>
        </w:tc>
        <w:tc>
          <w:tcPr>
            <w:tcW w:w="872" w:type="pct"/>
          </w:tcPr>
          <w:p w14:paraId="41D354F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11</w:t>
            </w:r>
          </w:p>
        </w:tc>
      </w:tr>
      <w:tr w14:paraId="3E7B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continue"/>
          </w:tcPr>
          <w:p w14:paraId="595FCDF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Pr>
          <w:p w14:paraId="4B6D529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21 or more</w:t>
            </w:r>
          </w:p>
        </w:tc>
        <w:tc>
          <w:tcPr>
            <w:tcW w:w="837" w:type="pct"/>
          </w:tcPr>
          <w:p w14:paraId="3C06979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w:t>
            </w:r>
          </w:p>
        </w:tc>
        <w:tc>
          <w:tcPr>
            <w:tcW w:w="872" w:type="pct"/>
          </w:tcPr>
          <w:p w14:paraId="63F1634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44</w:t>
            </w:r>
          </w:p>
        </w:tc>
      </w:tr>
      <w:tr w14:paraId="5A5FD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restart"/>
            <w:vAlign w:val="center"/>
          </w:tcPr>
          <w:p w14:paraId="1E60235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Relevant Training Attended</w:t>
            </w:r>
          </w:p>
        </w:tc>
        <w:tc>
          <w:tcPr>
            <w:tcW w:w="1594" w:type="pct"/>
          </w:tcPr>
          <w:p w14:paraId="6938782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School Level</w:t>
            </w:r>
          </w:p>
        </w:tc>
        <w:tc>
          <w:tcPr>
            <w:tcW w:w="837" w:type="pct"/>
          </w:tcPr>
          <w:p w14:paraId="3665545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3</w:t>
            </w:r>
          </w:p>
        </w:tc>
        <w:tc>
          <w:tcPr>
            <w:tcW w:w="872" w:type="pct"/>
          </w:tcPr>
          <w:p w14:paraId="6860887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33</w:t>
            </w:r>
          </w:p>
        </w:tc>
      </w:tr>
      <w:tr w14:paraId="4662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continue"/>
          </w:tcPr>
          <w:p w14:paraId="292CF4C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Pr>
          <w:p w14:paraId="3CB6F56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Division Level</w:t>
            </w:r>
          </w:p>
        </w:tc>
        <w:tc>
          <w:tcPr>
            <w:tcW w:w="837" w:type="pct"/>
          </w:tcPr>
          <w:p w14:paraId="51F0F6A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w:t>
            </w:r>
          </w:p>
        </w:tc>
        <w:tc>
          <w:tcPr>
            <w:tcW w:w="872" w:type="pct"/>
          </w:tcPr>
          <w:p w14:paraId="2432A7F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44</w:t>
            </w:r>
          </w:p>
        </w:tc>
      </w:tr>
      <w:tr w14:paraId="034F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1696" w:type="pct"/>
            <w:vMerge w:val="continue"/>
            <w:tcBorders>
              <w:bottom w:val="single" w:color="auto" w:sz="4" w:space="0"/>
            </w:tcBorders>
          </w:tcPr>
          <w:p w14:paraId="5D9F9C9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Borders>
              <w:bottom w:val="single" w:color="auto" w:sz="4" w:space="0"/>
            </w:tcBorders>
          </w:tcPr>
          <w:p w14:paraId="4F479CC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Regional Level</w:t>
            </w:r>
          </w:p>
        </w:tc>
        <w:tc>
          <w:tcPr>
            <w:tcW w:w="837" w:type="pct"/>
            <w:tcBorders>
              <w:bottom w:val="single" w:color="auto" w:sz="4" w:space="0"/>
            </w:tcBorders>
          </w:tcPr>
          <w:p w14:paraId="0956808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2</w:t>
            </w:r>
          </w:p>
        </w:tc>
        <w:tc>
          <w:tcPr>
            <w:tcW w:w="872" w:type="pct"/>
            <w:tcBorders>
              <w:bottom w:val="single" w:color="auto" w:sz="4" w:space="0"/>
            </w:tcBorders>
          </w:tcPr>
          <w:p w14:paraId="568D3C5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22</w:t>
            </w:r>
          </w:p>
        </w:tc>
      </w:tr>
    </w:tbl>
    <w:p w14:paraId="0E2878B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Style w:val="28"/>
          <w:rFonts w:hint="default" w:ascii="Times New Roman" w:hAnsi="Times New Roman" w:eastAsia="SimSun" w:cs="Times New Roman"/>
          <w:b/>
          <w:bCs/>
          <w:i w:val="0"/>
          <w:iCs w:val="0"/>
          <w:sz w:val="24"/>
          <w:szCs w:val="24"/>
        </w:rPr>
      </w:pPr>
    </w:p>
    <w:p w14:paraId="5E3AAC3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i w:val="0"/>
          <w:iCs w:val="0"/>
          <w:sz w:val="24"/>
          <w:szCs w:val="24"/>
        </w:rPr>
      </w:pPr>
      <w:r>
        <w:rPr>
          <w:rStyle w:val="28"/>
          <w:rFonts w:hint="default" w:ascii="Times New Roman" w:hAnsi="Times New Roman" w:eastAsia="SimSun" w:cs="Times New Roman"/>
          <w:b/>
          <w:bCs/>
          <w:i w:val="0"/>
          <w:iCs w:val="0"/>
          <w:sz w:val="24"/>
          <w:szCs w:val="24"/>
        </w:rPr>
        <w:t>Age and Teaching Tenure</w:t>
      </w:r>
    </w:p>
    <w:p w14:paraId="2CA02D44">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More than half of the teachers (56%) were over 41 years old, and 44% had served for more than 21 years. This distribution indicates a high level of pedagogical maturity and institutional resilience. Research confirms that teacher effectiveness increases with experience, particularly in classroom management and adaptability to curriculum reforms (Kini &amp; Podolsky, 2016). In the Philippine context, long-tenured teachers often serve as informal mentors or </w:t>
      </w:r>
      <w:r>
        <w:rPr>
          <w:rStyle w:val="28"/>
          <w:rFonts w:hint="default" w:ascii="Times New Roman" w:hAnsi="Times New Roman" w:eastAsia="SimSun" w:cs="Times New Roman"/>
          <w:b w:val="0"/>
          <w:bCs w:val="0"/>
          <w:sz w:val="24"/>
          <w:szCs w:val="24"/>
        </w:rPr>
        <w:t>“More Knowledgeable Others” (MKOs)</w:t>
      </w:r>
      <w:r>
        <w:rPr>
          <w:rFonts w:hint="default" w:ascii="Times New Roman" w:hAnsi="Times New Roman" w:eastAsia="SimSun" w:cs="Times New Roman"/>
          <w:b w:val="0"/>
          <w:bCs w:val="0"/>
          <w:sz w:val="24"/>
          <w:szCs w:val="24"/>
        </w:rPr>
        <w:t xml:space="preserve"> in the Vygotskian sense, supporting younger faculty in collaborative tasks and curriculum transitions such as the MATATAG reform.</w:t>
      </w:r>
    </w:p>
    <w:p w14:paraId="31BDE169">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5E4872B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i w:val="0"/>
          <w:iCs w:val="0"/>
          <w:sz w:val="24"/>
          <w:szCs w:val="24"/>
        </w:rPr>
      </w:pPr>
      <w:r>
        <w:rPr>
          <w:rStyle w:val="28"/>
          <w:rFonts w:hint="default" w:ascii="Times New Roman" w:hAnsi="Times New Roman" w:eastAsia="SimSun" w:cs="Times New Roman"/>
          <w:b/>
          <w:bCs/>
          <w:i w:val="0"/>
          <w:iCs w:val="0"/>
          <w:sz w:val="24"/>
          <w:szCs w:val="24"/>
        </w:rPr>
        <w:t>Gender Distribution</w:t>
      </w:r>
    </w:p>
    <w:p w14:paraId="07C49CEE">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The predominance of female teachers (86%) reflects the broader </w:t>
      </w:r>
      <w:r>
        <w:rPr>
          <w:rStyle w:val="28"/>
          <w:rFonts w:hint="default" w:ascii="Times New Roman" w:hAnsi="Times New Roman" w:eastAsia="SimSun" w:cs="Times New Roman"/>
          <w:b w:val="0"/>
          <w:bCs w:val="0"/>
          <w:sz w:val="24"/>
          <w:szCs w:val="24"/>
        </w:rPr>
        <w:t>feminization of the teaching profession</w:t>
      </w:r>
      <w:r>
        <w:rPr>
          <w:rFonts w:hint="default" w:ascii="Times New Roman" w:hAnsi="Times New Roman" w:eastAsia="SimSun" w:cs="Times New Roman"/>
          <w:b w:val="0"/>
          <w:bCs w:val="0"/>
          <w:sz w:val="24"/>
          <w:szCs w:val="24"/>
        </w:rPr>
        <w:t xml:space="preserve"> in the Philippines (Maligalig et al., 2020). This trend is particularly evident in strands such as Home Economics, traditionally female-dominated, though the TLE curriculum now emphasizes gender-neutral technical skills. Female educators bring strengths in communication, social sensitivity, and conflict resolution, aligning with the relational demands of cooperative learning.</w:t>
      </w:r>
    </w:p>
    <w:p w14:paraId="6F34AE9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i/>
          <w:iCs/>
          <w:sz w:val="24"/>
          <w:szCs w:val="24"/>
        </w:rPr>
      </w:pPr>
      <w:r>
        <w:rPr>
          <w:rStyle w:val="28"/>
          <w:rFonts w:hint="default" w:ascii="Times New Roman" w:hAnsi="Times New Roman" w:eastAsia="SimSun" w:cs="Times New Roman"/>
          <w:b w:val="0"/>
          <w:bCs w:val="0"/>
          <w:i/>
          <w:iCs/>
          <w:sz w:val="24"/>
          <w:szCs w:val="24"/>
        </w:rPr>
        <w:t>Educational Attainment</w:t>
      </w:r>
    </w:p>
    <w:p w14:paraId="0964599B">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While 33% of teachers held Master’s degrees, the majority (56%) were Bachelor of Secondary Education (BSE) graduates. This distribution underscores the foundational competence of the workforce but highlights the need for </w:t>
      </w:r>
      <w:r>
        <w:rPr>
          <w:rStyle w:val="28"/>
          <w:rFonts w:hint="default" w:ascii="Times New Roman" w:hAnsi="Times New Roman" w:eastAsia="SimSun" w:cs="Times New Roman"/>
          <w:b w:val="0"/>
          <w:bCs w:val="0"/>
          <w:sz w:val="24"/>
          <w:szCs w:val="24"/>
        </w:rPr>
        <w:t>continuous professional upskilling</w:t>
      </w:r>
      <w:r>
        <w:rPr>
          <w:rFonts w:hint="default" w:ascii="Times New Roman" w:hAnsi="Times New Roman" w:eastAsia="SimSun" w:cs="Times New Roman"/>
          <w:b w:val="0"/>
          <w:bCs w:val="0"/>
          <w:sz w:val="24"/>
          <w:szCs w:val="24"/>
        </w:rPr>
        <w:t xml:space="preserve"> to meet evolving demands in technology-driven vocational education. Graduate-level training often emphasizes </w:t>
      </w:r>
      <w:r>
        <w:rPr>
          <w:rStyle w:val="28"/>
          <w:rFonts w:hint="default" w:ascii="Times New Roman" w:hAnsi="Times New Roman" w:eastAsia="SimSun" w:cs="Times New Roman"/>
          <w:b w:val="0"/>
          <w:bCs w:val="0"/>
          <w:sz w:val="24"/>
          <w:szCs w:val="24"/>
        </w:rPr>
        <w:t>Constructivist and Social Interdependence theories</w:t>
      </w:r>
      <w:r>
        <w:rPr>
          <w:rFonts w:hint="default" w:ascii="Times New Roman" w:hAnsi="Times New Roman" w:eastAsia="SimSun" w:cs="Times New Roman"/>
          <w:b w:val="0"/>
          <w:bCs w:val="0"/>
          <w:sz w:val="24"/>
          <w:szCs w:val="24"/>
        </w:rPr>
        <w:t>, equipping teachers with advanced strategies for student-centered learning (Darling-Hammond et al., 2017).</w:t>
      </w:r>
    </w:p>
    <w:p w14:paraId="4C31C0E8">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18198A8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i w:val="0"/>
          <w:iCs w:val="0"/>
          <w:sz w:val="24"/>
          <w:szCs w:val="24"/>
        </w:rPr>
      </w:pPr>
      <w:r>
        <w:rPr>
          <w:rStyle w:val="28"/>
          <w:rFonts w:hint="default" w:ascii="Times New Roman" w:hAnsi="Times New Roman" w:eastAsia="SimSun" w:cs="Times New Roman"/>
          <w:b/>
          <w:bCs/>
          <w:i w:val="0"/>
          <w:iCs w:val="0"/>
          <w:sz w:val="24"/>
          <w:szCs w:val="24"/>
        </w:rPr>
        <w:t>Professional Development and Training</w:t>
      </w:r>
    </w:p>
    <w:p w14:paraId="080BD2D6">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Relevant training attendance was a critical indicator of preparedness. Notably, 44% of teachers had participated in division-level training focused on pedagogy, classroom management, and TLE-specific skills. Structured professional development is essential for effective cooperative learning, as it equips teachers with the tools to facilitate positive interdependence and accountability (Desimone, 2009). Division-level initiatives in Tandag City represent proactive efforts to address technical skill gaps (Armayan, 2022) and align teaching practices with curriculum standards.</w:t>
      </w:r>
    </w:p>
    <w:p w14:paraId="11CFA9E9">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The instructor profile demonstrates a workforce characterized by </w:t>
      </w:r>
      <w:r>
        <w:rPr>
          <w:rStyle w:val="28"/>
          <w:rFonts w:hint="default" w:ascii="Times New Roman" w:hAnsi="Times New Roman" w:eastAsia="SimSun" w:cs="Times New Roman"/>
          <w:b w:val="0"/>
          <w:bCs w:val="0"/>
          <w:sz w:val="24"/>
          <w:szCs w:val="24"/>
        </w:rPr>
        <w:t>experience, gendered strengths, foundational competence, and ongoing professional development</w:t>
      </w:r>
      <w:r>
        <w:rPr>
          <w:rFonts w:hint="default" w:ascii="Times New Roman" w:hAnsi="Times New Roman" w:eastAsia="SimSun" w:cs="Times New Roman"/>
          <w:b w:val="0"/>
          <w:bCs w:val="0"/>
          <w:sz w:val="24"/>
          <w:szCs w:val="24"/>
        </w:rPr>
        <w:t>. Veteran teachers provide institutional memory and resilience, female educators contribute relational and communicative strengths, and training initiatives enhance technical and pedagogical capacity. Together, these factors create favorable conditions for the successful implementation of cooperative learning in TLE, ensuring that both curriculum fidelity and classroom dynamics are effectively managed.</w:t>
      </w:r>
    </w:p>
    <w:p w14:paraId="38C94930">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center"/>
        <w:textAlignment w:val="auto"/>
        <w:rPr>
          <w:rStyle w:val="28"/>
          <w:rFonts w:hint="default" w:ascii="Times New Roman" w:hAnsi="Times New Roman" w:eastAsia="SimSun" w:cs="Times New Roman"/>
          <w:b w:val="0"/>
          <w:bCs w:val="0"/>
          <w:i/>
          <w:iCs/>
          <w:sz w:val="24"/>
          <w:szCs w:val="24"/>
          <w:lang w:val="en-PH"/>
        </w:rPr>
      </w:pPr>
    </w:p>
    <w:p w14:paraId="65BD2BD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Extent of Implementation of Cooperative Learning in Grade 9 TLE</w:t>
      </w:r>
    </w:p>
    <w:p w14:paraId="5C3C6E6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2AA9D38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Table </w:t>
      </w:r>
      <w:r>
        <w:rPr>
          <w:rFonts w:hint="default" w:ascii="Times New Roman" w:hAnsi="Times New Roman" w:eastAsia="SimSun" w:cs="Times New Roman"/>
          <w:sz w:val="20"/>
          <w:szCs w:val="20"/>
          <w:lang w:val="en-PH"/>
        </w:rPr>
        <w:t>3</w:t>
      </w:r>
      <w:r>
        <w:rPr>
          <w:rFonts w:hint="default" w:ascii="Times New Roman" w:hAnsi="Times New Roman" w:eastAsia="SimSun" w:cs="Times New Roman"/>
          <w:sz w:val="20"/>
          <w:szCs w:val="20"/>
        </w:rPr>
        <w:t xml:space="preserve">. </w:t>
      </w:r>
      <w:r>
        <w:rPr>
          <w:rFonts w:hint="default" w:ascii="Times New Roman" w:hAnsi="Times New Roman" w:eastAsia="SimSun" w:cs="Times New Roman"/>
          <w:sz w:val="20"/>
          <w:szCs w:val="20"/>
          <w:lang w:val="en-GB"/>
        </w:rPr>
        <w:t>Implementation</w:t>
      </w:r>
      <w:r>
        <w:rPr>
          <w:rFonts w:hint="default" w:ascii="Times New Roman" w:hAnsi="Times New Roman" w:eastAsia="SimSun" w:cs="Times New Roman"/>
          <w:sz w:val="20"/>
          <w:szCs w:val="20"/>
        </w:rPr>
        <w:t xml:space="preserve"> of Cooperative Learning </w:t>
      </w:r>
      <w:r>
        <w:rPr>
          <w:rFonts w:hint="default" w:ascii="Times New Roman" w:hAnsi="Times New Roman" w:eastAsia="SimSun" w:cs="Times New Roman"/>
          <w:sz w:val="20"/>
          <w:szCs w:val="20"/>
          <w:lang w:val="en-GB"/>
        </w:rPr>
        <w:t>A</w:t>
      </w:r>
      <w:r>
        <w:rPr>
          <w:rFonts w:hint="default" w:ascii="Times New Roman" w:hAnsi="Times New Roman" w:eastAsia="SimSun" w:cs="Times New Roman"/>
          <w:sz w:val="20"/>
          <w:szCs w:val="20"/>
        </w:rPr>
        <w:t>pproach</w:t>
      </w:r>
    </w:p>
    <w:tbl>
      <w:tblPr>
        <w:tblStyle w:val="30"/>
        <w:tblW w:w="3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5"/>
        <w:gridCol w:w="1317"/>
        <w:gridCol w:w="1332"/>
        <w:gridCol w:w="844"/>
        <w:gridCol w:w="2298"/>
      </w:tblGrid>
      <w:tr w14:paraId="249F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58" w:type="pct"/>
            <w:tcBorders>
              <w:top w:val="single" w:color="auto" w:sz="4" w:space="0"/>
              <w:left w:val="nil"/>
              <w:bottom w:val="single" w:color="auto" w:sz="4" w:space="0"/>
              <w:right w:val="nil"/>
            </w:tcBorders>
          </w:tcPr>
          <w:p w14:paraId="00659D6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Indicator Domain</w:t>
            </w:r>
          </w:p>
        </w:tc>
        <w:tc>
          <w:tcPr>
            <w:tcW w:w="805" w:type="pct"/>
            <w:tcBorders>
              <w:top w:val="single" w:color="auto" w:sz="4" w:space="0"/>
              <w:left w:val="nil"/>
              <w:bottom w:val="single" w:color="auto" w:sz="4" w:space="0"/>
              <w:right w:val="nil"/>
            </w:tcBorders>
          </w:tcPr>
          <w:p w14:paraId="18146E0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Mean (Students)</w:t>
            </w:r>
          </w:p>
        </w:tc>
        <w:tc>
          <w:tcPr>
            <w:tcW w:w="814" w:type="pct"/>
            <w:tcBorders>
              <w:top w:val="single" w:color="auto" w:sz="4" w:space="0"/>
              <w:left w:val="nil"/>
              <w:bottom w:val="single" w:color="auto" w:sz="4" w:space="0"/>
              <w:right w:val="nil"/>
            </w:tcBorders>
          </w:tcPr>
          <w:p w14:paraId="31ECBB8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Mean (Teachers)</w:t>
            </w:r>
          </w:p>
        </w:tc>
        <w:tc>
          <w:tcPr>
            <w:tcW w:w="516" w:type="pct"/>
            <w:tcBorders>
              <w:top w:val="single" w:color="auto" w:sz="4" w:space="0"/>
              <w:left w:val="nil"/>
              <w:bottom w:val="single" w:color="auto" w:sz="4" w:space="0"/>
              <w:right w:val="nil"/>
            </w:tcBorders>
          </w:tcPr>
          <w:p w14:paraId="31374C8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Grand Mean</w:t>
            </w:r>
          </w:p>
        </w:tc>
        <w:tc>
          <w:tcPr>
            <w:tcW w:w="1405" w:type="pct"/>
            <w:tcBorders>
              <w:top w:val="single" w:color="auto" w:sz="4" w:space="0"/>
              <w:left w:val="nil"/>
              <w:bottom w:val="single" w:color="auto" w:sz="4" w:space="0"/>
              <w:right w:val="nil"/>
            </w:tcBorders>
          </w:tcPr>
          <w:p w14:paraId="57AD16F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Overall Adjectival  Rating</w:t>
            </w:r>
          </w:p>
        </w:tc>
      </w:tr>
      <w:tr w14:paraId="7A69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458" w:type="pct"/>
            <w:tcBorders>
              <w:top w:val="single" w:color="auto" w:sz="4" w:space="0"/>
              <w:left w:val="nil"/>
              <w:bottom w:val="nil"/>
              <w:right w:val="nil"/>
            </w:tcBorders>
          </w:tcPr>
          <w:p w14:paraId="7E06F71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Curriculum</w:t>
            </w:r>
          </w:p>
        </w:tc>
        <w:tc>
          <w:tcPr>
            <w:tcW w:w="805" w:type="pct"/>
            <w:tcBorders>
              <w:top w:val="single" w:color="auto" w:sz="4" w:space="0"/>
              <w:left w:val="nil"/>
              <w:bottom w:val="nil"/>
              <w:right w:val="nil"/>
            </w:tcBorders>
          </w:tcPr>
          <w:p w14:paraId="73D8EA4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4.484</w:t>
            </w:r>
          </w:p>
        </w:tc>
        <w:tc>
          <w:tcPr>
            <w:tcW w:w="814" w:type="pct"/>
            <w:tcBorders>
              <w:top w:val="single" w:color="auto" w:sz="4" w:space="0"/>
              <w:left w:val="nil"/>
              <w:bottom w:val="nil"/>
              <w:right w:val="nil"/>
            </w:tcBorders>
          </w:tcPr>
          <w:p w14:paraId="55DE09A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4.787</w:t>
            </w:r>
          </w:p>
        </w:tc>
        <w:tc>
          <w:tcPr>
            <w:tcW w:w="516" w:type="pct"/>
            <w:tcBorders>
              <w:top w:val="single" w:color="auto" w:sz="4" w:space="0"/>
              <w:left w:val="nil"/>
              <w:bottom w:val="nil"/>
              <w:right w:val="nil"/>
            </w:tcBorders>
          </w:tcPr>
          <w:p w14:paraId="5B7AD1C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4.635</w:t>
            </w:r>
          </w:p>
        </w:tc>
        <w:tc>
          <w:tcPr>
            <w:tcW w:w="1405" w:type="pct"/>
            <w:tcBorders>
              <w:top w:val="single" w:color="auto" w:sz="4" w:space="0"/>
              <w:left w:val="nil"/>
              <w:bottom w:val="nil"/>
              <w:right w:val="nil"/>
            </w:tcBorders>
          </w:tcPr>
          <w:p w14:paraId="63AA9D4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High Implementation</w:t>
            </w:r>
          </w:p>
        </w:tc>
      </w:tr>
      <w:tr w14:paraId="1670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458" w:type="pct"/>
            <w:tcBorders>
              <w:top w:val="nil"/>
              <w:left w:val="nil"/>
              <w:bottom w:val="nil"/>
              <w:right w:val="nil"/>
            </w:tcBorders>
          </w:tcPr>
          <w:p w14:paraId="2DB2F8F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Learning Environment</w:t>
            </w:r>
          </w:p>
        </w:tc>
        <w:tc>
          <w:tcPr>
            <w:tcW w:w="805" w:type="pct"/>
            <w:tcBorders>
              <w:top w:val="nil"/>
              <w:left w:val="nil"/>
              <w:bottom w:val="nil"/>
              <w:right w:val="nil"/>
            </w:tcBorders>
          </w:tcPr>
          <w:p w14:paraId="332DB11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4.584</w:t>
            </w:r>
          </w:p>
        </w:tc>
        <w:tc>
          <w:tcPr>
            <w:tcW w:w="814" w:type="pct"/>
            <w:tcBorders>
              <w:top w:val="nil"/>
              <w:left w:val="nil"/>
              <w:bottom w:val="nil"/>
              <w:right w:val="nil"/>
            </w:tcBorders>
          </w:tcPr>
          <w:p w14:paraId="19AEDA1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4.759</w:t>
            </w:r>
          </w:p>
        </w:tc>
        <w:tc>
          <w:tcPr>
            <w:tcW w:w="516" w:type="pct"/>
            <w:tcBorders>
              <w:top w:val="nil"/>
              <w:left w:val="nil"/>
              <w:bottom w:val="nil"/>
              <w:right w:val="nil"/>
            </w:tcBorders>
          </w:tcPr>
          <w:p w14:paraId="7A6825C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4.672</w:t>
            </w:r>
          </w:p>
        </w:tc>
        <w:tc>
          <w:tcPr>
            <w:tcW w:w="1405" w:type="pct"/>
            <w:tcBorders>
              <w:top w:val="nil"/>
              <w:left w:val="nil"/>
              <w:bottom w:val="nil"/>
              <w:right w:val="nil"/>
            </w:tcBorders>
          </w:tcPr>
          <w:p w14:paraId="67643BE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High Implementation</w:t>
            </w:r>
          </w:p>
        </w:tc>
      </w:tr>
      <w:tr w14:paraId="07FA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458" w:type="pct"/>
            <w:tcBorders>
              <w:top w:val="nil"/>
              <w:left w:val="nil"/>
              <w:bottom w:val="nil"/>
              <w:right w:val="nil"/>
            </w:tcBorders>
          </w:tcPr>
          <w:p w14:paraId="24B09C1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Diversity of Learners</w:t>
            </w:r>
          </w:p>
        </w:tc>
        <w:tc>
          <w:tcPr>
            <w:tcW w:w="805" w:type="pct"/>
            <w:tcBorders>
              <w:top w:val="nil"/>
              <w:left w:val="nil"/>
              <w:bottom w:val="nil"/>
              <w:right w:val="nil"/>
            </w:tcBorders>
          </w:tcPr>
          <w:p w14:paraId="69C2970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4.487</w:t>
            </w:r>
          </w:p>
        </w:tc>
        <w:tc>
          <w:tcPr>
            <w:tcW w:w="814" w:type="pct"/>
            <w:tcBorders>
              <w:top w:val="nil"/>
              <w:left w:val="nil"/>
              <w:bottom w:val="nil"/>
              <w:right w:val="nil"/>
            </w:tcBorders>
          </w:tcPr>
          <w:p w14:paraId="30DE8D6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4.681</w:t>
            </w:r>
          </w:p>
        </w:tc>
        <w:tc>
          <w:tcPr>
            <w:tcW w:w="516" w:type="pct"/>
            <w:tcBorders>
              <w:top w:val="nil"/>
              <w:left w:val="nil"/>
              <w:bottom w:val="nil"/>
              <w:right w:val="nil"/>
            </w:tcBorders>
          </w:tcPr>
          <w:p w14:paraId="3FAE64B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4.584</w:t>
            </w:r>
          </w:p>
        </w:tc>
        <w:tc>
          <w:tcPr>
            <w:tcW w:w="1405" w:type="pct"/>
            <w:tcBorders>
              <w:top w:val="nil"/>
              <w:left w:val="nil"/>
              <w:bottom w:val="nil"/>
              <w:right w:val="nil"/>
            </w:tcBorders>
          </w:tcPr>
          <w:p w14:paraId="6C26D99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High Implementation</w:t>
            </w:r>
          </w:p>
        </w:tc>
      </w:tr>
      <w:tr w14:paraId="3FF2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58" w:type="pct"/>
            <w:tcBorders>
              <w:top w:val="nil"/>
              <w:left w:val="nil"/>
              <w:bottom w:val="single" w:color="auto" w:sz="4" w:space="0"/>
              <w:right w:val="nil"/>
            </w:tcBorders>
          </w:tcPr>
          <w:p w14:paraId="41E63D2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Social Regard for Learning</w:t>
            </w:r>
          </w:p>
        </w:tc>
        <w:tc>
          <w:tcPr>
            <w:tcW w:w="805" w:type="pct"/>
            <w:tcBorders>
              <w:top w:val="nil"/>
              <w:left w:val="nil"/>
              <w:bottom w:val="single" w:color="auto" w:sz="4" w:space="0"/>
              <w:right w:val="nil"/>
            </w:tcBorders>
          </w:tcPr>
          <w:p w14:paraId="3F3DE89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4.687</w:t>
            </w:r>
          </w:p>
        </w:tc>
        <w:tc>
          <w:tcPr>
            <w:tcW w:w="814" w:type="pct"/>
            <w:tcBorders>
              <w:top w:val="nil"/>
              <w:left w:val="nil"/>
              <w:bottom w:val="single" w:color="auto" w:sz="4" w:space="0"/>
              <w:right w:val="nil"/>
            </w:tcBorders>
          </w:tcPr>
          <w:p w14:paraId="2740637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4.890</w:t>
            </w:r>
          </w:p>
        </w:tc>
        <w:tc>
          <w:tcPr>
            <w:tcW w:w="516" w:type="pct"/>
            <w:tcBorders>
              <w:top w:val="nil"/>
              <w:left w:val="nil"/>
              <w:bottom w:val="single" w:color="auto" w:sz="4" w:space="0"/>
              <w:right w:val="nil"/>
            </w:tcBorders>
          </w:tcPr>
          <w:p w14:paraId="74D69E2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4.789</w:t>
            </w:r>
          </w:p>
        </w:tc>
        <w:tc>
          <w:tcPr>
            <w:tcW w:w="1405" w:type="pct"/>
            <w:tcBorders>
              <w:top w:val="nil"/>
              <w:left w:val="nil"/>
              <w:bottom w:val="single" w:color="auto" w:sz="4" w:space="0"/>
              <w:right w:val="nil"/>
            </w:tcBorders>
          </w:tcPr>
          <w:p w14:paraId="2759F26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High Implementation</w:t>
            </w:r>
          </w:p>
        </w:tc>
      </w:tr>
      <w:tr w14:paraId="3D88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458" w:type="pct"/>
            <w:tcBorders>
              <w:top w:val="single" w:color="auto" w:sz="4" w:space="0"/>
              <w:left w:val="nil"/>
              <w:bottom w:val="single" w:color="auto" w:sz="4" w:space="0"/>
              <w:right w:val="nil"/>
            </w:tcBorders>
          </w:tcPr>
          <w:p w14:paraId="26CF340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Over-all Mean</w:t>
            </w:r>
          </w:p>
        </w:tc>
        <w:tc>
          <w:tcPr>
            <w:tcW w:w="805" w:type="pct"/>
            <w:tcBorders>
              <w:top w:val="single" w:color="auto" w:sz="4" w:space="0"/>
              <w:left w:val="nil"/>
              <w:bottom w:val="single" w:color="auto" w:sz="4" w:space="0"/>
              <w:right w:val="nil"/>
            </w:tcBorders>
          </w:tcPr>
          <w:p w14:paraId="7DB47CF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4.560</w:t>
            </w:r>
          </w:p>
        </w:tc>
        <w:tc>
          <w:tcPr>
            <w:tcW w:w="814" w:type="pct"/>
            <w:tcBorders>
              <w:top w:val="single" w:color="auto" w:sz="4" w:space="0"/>
              <w:left w:val="nil"/>
              <w:bottom w:val="single" w:color="auto" w:sz="4" w:space="0"/>
              <w:right w:val="nil"/>
            </w:tcBorders>
          </w:tcPr>
          <w:p w14:paraId="47B9A9B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4.779</w:t>
            </w:r>
          </w:p>
        </w:tc>
        <w:tc>
          <w:tcPr>
            <w:tcW w:w="516" w:type="pct"/>
            <w:tcBorders>
              <w:top w:val="single" w:color="auto" w:sz="4" w:space="0"/>
              <w:left w:val="nil"/>
              <w:bottom w:val="single" w:color="auto" w:sz="4" w:space="0"/>
              <w:right w:val="nil"/>
            </w:tcBorders>
          </w:tcPr>
          <w:p w14:paraId="535C2AE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4.670</w:t>
            </w:r>
          </w:p>
        </w:tc>
        <w:tc>
          <w:tcPr>
            <w:tcW w:w="1405" w:type="pct"/>
            <w:tcBorders>
              <w:top w:val="single" w:color="auto" w:sz="4" w:space="0"/>
              <w:left w:val="nil"/>
              <w:bottom w:val="single" w:color="auto" w:sz="4" w:space="0"/>
              <w:right w:val="nil"/>
            </w:tcBorders>
          </w:tcPr>
          <w:p w14:paraId="39B3889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High Implementation</w:t>
            </w:r>
          </w:p>
        </w:tc>
      </w:tr>
    </w:tbl>
    <w:p w14:paraId="3405FF8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p>
    <w:p w14:paraId="15580C0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ind w:left="643" w:leftChars="0" w:firstLine="643" w:firstLineChars="0"/>
        <w:jc w:val="left"/>
        <w:textAlignment w:val="auto"/>
        <w:rPr>
          <w:rFonts w:hint="default" w:ascii="Times New Roman" w:hAnsi="Times New Roman" w:eastAsia="SimSun" w:cs="Times New Roman"/>
          <w:i w:val="0"/>
          <w:iCs w:val="0"/>
          <w:sz w:val="20"/>
          <w:szCs w:val="20"/>
        </w:rPr>
      </w:pPr>
      <w:r>
        <w:rPr>
          <w:rFonts w:hint="default" w:ascii="Times New Roman" w:hAnsi="Times New Roman" w:eastAsia="SimSun" w:cs="Times New Roman"/>
          <w:sz w:val="20"/>
          <w:szCs w:val="20"/>
        </w:rPr>
        <w:t>Legend:</w:t>
      </w:r>
      <w:r>
        <w:rPr>
          <w:rFonts w:hint="default" w:ascii="Times New Roman" w:hAnsi="Times New Roman" w:eastAsia="SimSun" w:cs="Times New Roman"/>
          <w:sz w:val="20"/>
          <w:szCs w:val="20"/>
          <w:lang w:val="en-PH"/>
        </w:rPr>
        <w:tab/>
      </w:r>
      <w:r>
        <w:rPr>
          <w:rFonts w:hint="default" w:ascii="Times New Roman" w:hAnsi="Times New Roman" w:eastAsia="SimSun" w:cs="Times New Roman"/>
          <w:i w:val="0"/>
          <w:iCs w:val="0"/>
          <w:sz w:val="20"/>
          <w:szCs w:val="20"/>
        </w:rPr>
        <w:t>4.51—5:00  Highly Implemented</w:t>
      </w:r>
    </w:p>
    <w:p w14:paraId="79C652D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ind w:left="1929" w:leftChars="0" w:firstLine="643" w:firstLineChars="0"/>
        <w:jc w:val="left"/>
        <w:textAlignment w:val="auto"/>
        <w:rPr>
          <w:rFonts w:hint="default" w:ascii="Times New Roman" w:hAnsi="Times New Roman" w:eastAsia="SimSun" w:cs="Times New Roman"/>
          <w:i w:val="0"/>
          <w:iCs w:val="0"/>
          <w:sz w:val="20"/>
          <w:szCs w:val="20"/>
        </w:rPr>
      </w:pPr>
      <w:r>
        <w:rPr>
          <w:rFonts w:hint="default" w:ascii="Times New Roman" w:hAnsi="Times New Roman" w:eastAsia="SimSun" w:cs="Times New Roman"/>
          <w:i w:val="0"/>
          <w:iCs w:val="0"/>
          <w:sz w:val="20"/>
          <w:szCs w:val="20"/>
        </w:rPr>
        <w:t>1.76 – 2.50  Poorly Implemented</w:t>
      </w:r>
    </w:p>
    <w:p w14:paraId="455638E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ind w:left="1929" w:leftChars="0" w:firstLine="643" w:firstLineChars="0"/>
        <w:jc w:val="left"/>
        <w:textAlignment w:val="auto"/>
        <w:rPr>
          <w:rFonts w:hint="default" w:ascii="Times New Roman" w:hAnsi="Times New Roman" w:eastAsia="SimSun" w:cs="Times New Roman"/>
          <w:i w:val="0"/>
          <w:iCs w:val="0"/>
          <w:sz w:val="20"/>
          <w:szCs w:val="20"/>
        </w:rPr>
      </w:pPr>
      <w:r>
        <w:rPr>
          <w:rFonts w:hint="default" w:ascii="Times New Roman" w:hAnsi="Times New Roman" w:eastAsia="SimSun" w:cs="Times New Roman"/>
          <w:i w:val="0"/>
          <w:iCs w:val="0"/>
          <w:sz w:val="20"/>
          <w:szCs w:val="20"/>
        </w:rPr>
        <w:t>3.26 – 4.50  Fairly Implemented</w:t>
      </w:r>
    </w:p>
    <w:p w14:paraId="7BCFCF8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ind w:left="1929" w:leftChars="0" w:firstLine="643" w:firstLineChars="0"/>
        <w:jc w:val="left"/>
        <w:textAlignment w:val="auto"/>
        <w:rPr>
          <w:rFonts w:hint="default" w:ascii="Times New Roman" w:hAnsi="Times New Roman" w:eastAsia="SimSun" w:cs="Times New Roman"/>
          <w:i w:val="0"/>
          <w:iCs w:val="0"/>
          <w:sz w:val="20"/>
          <w:szCs w:val="20"/>
        </w:rPr>
      </w:pPr>
      <w:r>
        <w:rPr>
          <w:rFonts w:hint="default" w:ascii="Times New Roman" w:hAnsi="Times New Roman" w:eastAsia="SimSun" w:cs="Times New Roman"/>
          <w:i w:val="0"/>
          <w:iCs w:val="0"/>
          <w:sz w:val="20"/>
          <w:szCs w:val="20"/>
        </w:rPr>
        <w:t>1.00 – 1.75 Not Implemented</w:t>
      </w:r>
    </w:p>
    <w:p w14:paraId="6064116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ind w:left="1929" w:leftChars="0" w:firstLine="643" w:firstLineChars="0"/>
        <w:jc w:val="left"/>
        <w:textAlignment w:val="auto"/>
        <w:rPr>
          <w:rFonts w:hint="default" w:ascii="Times New Roman" w:hAnsi="Times New Roman" w:eastAsia="SimSun" w:cs="Times New Roman"/>
          <w:i w:val="0"/>
          <w:iCs w:val="0"/>
          <w:sz w:val="20"/>
          <w:szCs w:val="20"/>
        </w:rPr>
      </w:pPr>
      <w:r>
        <w:rPr>
          <w:rFonts w:hint="default" w:ascii="Times New Roman" w:hAnsi="Times New Roman" w:eastAsia="SimSun" w:cs="Times New Roman"/>
          <w:i w:val="0"/>
          <w:iCs w:val="0"/>
          <w:sz w:val="20"/>
          <w:szCs w:val="20"/>
        </w:rPr>
        <w:t>2.51 – 3.25  Slightly Implemented</w:t>
      </w:r>
    </w:p>
    <w:p w14:paraId="5CAA82E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28F18B0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i w:val="0"/>
          <w:iCs w:val="0"/>
          <w:sz w:val="24"/>
          <w:szCs w:val="24"/>
        </w:rPr>
      </w:pPr>
      <w:r>
        <w:rPr>
          <w:rFonts w:hint="default" w:ascii="Times New Roman" w:hAnsi="Times New Roman" w:eastAsia="SimSun" w:cs="Times New Roman"/>
          <w:b/>
          <w:bCs/>
          <w:i w:val="0"/>
          <w:iCs w:val="0"/>
          <w:sz w:val="24"/>
          <w:szCs w:val="24"/>
        </w:rPr>
        <w:t>Curriculum</w:t>
      </w:r>
    </w:p>
    <w:p w14:paraId="0FFE196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Cooperative learning was integrated into lesson delivery with moderate to high fidelity. Teachers reported structuring tasks to promote positive interdependence and accountability, aligning with the National Competency-Based Teacher Standards (NCBTS). This reflects a shift from teacher-centered instruction toward collaborative, student-centered pedagogy.</w:t>
      </w:r>
    </w:p>
    <w:p w14:paraId="44937F4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79BBC50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i w:val="0"/>
          <w:iCs w:val="0"/>
          <w:sz w:val="24"/>
          <w:szCs w:val="24"/>
        </w:rPr>
      </w:pPr>
      <w:r>
        <w:rPr>
          <w:rFonts w:hint="default" w:ascii="Times New Roman" w:hAnsi="Times New Roman" w:eastAsia="SimSun" w:cs="Times New Roman"/>
          <w:b/>
          <w:bCs/>
          <w:i w:val="0"/>
          <w:iCs w:val="0"/>
          <w:sz w:val="24"/>
          <w:szCs w:val="24"/>
        </w:rPr>
        <w:t>Learning Environment</w:t>
      </w:r>
    </w:p>
    <w:p w14:paraId="281F979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Findings indicated that cooperative learning fostered a supportive classroom climate. Students valued peer-led activities that encouraged dialogue, trust, and shared responsibility. This aligns with Vygotsky’s (1978) Social Development Theory, which emphasizes the role of social interaction in cognitive growth.</w:t>
      </w:r>
    </w:p>
    <w:p w14:paraId="0CA7F85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1B8B46E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i w:val="0"/>
          <w:iCs w:val="0"/>
          <w:sz w:val="24"/>
          <w:szCs w:val="24"/>
        </w:rPr>
      </w:pPr>
      <w:r>
        <w:rPr>
          <w:rFonts w:hint="default" w:ascii="Times New Roman" w:hAnsi="Times New Roman" w:eastAsia="SimSun" w:cs="Times New Roman"/>
          <w:b/>
          <w:bCs/>
          <w:i w:val="0"/>
          <w:iCs w:val="0"/>
          <w:sz w:val="24"/>
          <w:szCs w:val="24"/>
        </w:rPr>
        <w:t>Diversity of Learners</w:t>
      </w:r>
    </w:p>
    <w:p w14:paraId="25ABA7A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Implementation was effective in accommodating varied learner profiles. Cooperative structures allowed students of differing abilities to contribute meaningfully, consistent with Piaget’s cognitive conflict model, which highlights the benefits of peer interaction in resolving misconceptions and deepening understanding.</w:t>
      </w:r>
    </w:p>
    <w:p w14:paraId="708F652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417EC0D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i w:val="0"/>
          <w:iCs w:val="0"/>
          <w:sz w:val="24"/>
          <w:szCs w:val="24"/>
        </w:rPr>
      </w:pPr>
      <w:r>
        <w:rPr>
          <w:rFonts w:hint="default" w:ascii="Times New Roman" w:hAnsi="Times New Roman" w:eastAsia="SimSun" w:cs="Times New Roman"/>
          <w:b/>
          <w:bCs/>
          <w:i w:val="0"/>
          <w:iCs w:val="0"/>
          <w:sz w:val="24"/>
          <w:szCs w:val="24"/>
        </w:rPr>
        <w:t>Social Regard for Learning</w:t>
      </w:r>
    </w:p>
    <w:p w14:paraId="166B72A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Respondents reported high levels of respect for collaborative tasks, with students demonstrating pro-social behaviors such as active listening, conflict resolution, and valuing peer contributions. This supports Johnson &amp; Johnson’s Social Interdependence Theory, which posits that positive interdependence fosters promotive interaction and group cohesion.</w:t>
      </w:r>
    </w:p>
    <w:p w14:paraId="5CDBD0C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3B41CD0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sz w:val="24"/>
          <w:szCs w:val="24"/>
        </w:rPr>
        <w:t xml:space="preserve">Overall, the extent of cooperative learning implementation was rated moderate to high across all domains. The findings suggest that Grade 9 learners in Tandag City Division are developmentally and socially prepared to benefit from cooperative learning structures. The results justify the adoption of cooperative strategies in TLE, as they enhance curriculum delivery, classroom climate, inclusivity, and respect for learning. These outcomes provided the empirical basis for the proposed intervention program, </w:t>
      </w:r>
      <w:r>
        <w:rPr>
          <w:rStyle w:val="28"/>
          <w:rFonts w:hint="default" w:ascii="Times New Roman" w:hAnsi="Times New Roman" w:eastAsia="SimSun" w:cs="Times New Roman"/>
          <w:b w:val="0"/>
          <w:bCs w:val="0"/>
          <w:sz w:val="24"/>
          <w:szCs w:val="24"/>
        </w:rPr>
        <w:t>Project T-CEF (TLE Cooperative Excellence Framework)</w:t>
      </w:r>
      <w:r>
        <w:rPr>
          <w:rFonts w:hint="default" w:ascii="Times New Roman" w:hAnsi="Times New Roman" w:eastAsia="SimSun" w:cs="Times New Roman"/>
          <w:b w:val="0"/>
          <w:bCs w:val="0"/>
          <w:sz w:val="24"/>
          <w:szCs w:val="24"/>
        </w:rPr>
        <w:t>.</w:t>
      </w:r>
    </w:p>
    <w:p w14:paraId="30317D8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527CFE8D">
      <w:pPr>
        <w:keepNext w:val="0"/>
        <w:keepLines w:val="0"/>
        <w:pageBreakBefore w:val="0"/>
        <w:widowControl/>
        <w:kinsoku/>
        <w:wordWrap/>
        <w:overflowPunct/>
        <w:topLinePunct w:val="0"/>
        <w:autoSpaceDE/>
        <w:autoSpaceDN/>
        <w:bidi w:val="0"/>
        <w:adjustRightInd/>
        <w:snapToGrid/>
        <w:spacing w:beforeAutospacing="0" w:afterAutospacing="0" w:line="23" w:lineRule="atLeast"/>
        <w:ind w:left="720" w:hanging="720"/>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bCs/>
          <w:sz w:val="24"/>
          <w:szCs w:val="24"/>
        </w:rPr>
        <w:t xml:space="preserve">Significant Difference </w:t>
      </w:r>
      <w:r>
        <w:rPr>
          <w:rFonts w:hint="default" w:ascii="Times New Roman" w:hAnsi="Times New Roman" w:eastAsia="SimSun" w:cs="Times New Roman"/>
          <w:b/>
          <w:bCs/>
          <w:sz w:val="24"/>
          <w:szCs w:val="24"/>
          <w:lang w:val="en-GB"/>
        </w:rPr>
        <w:t>in t</w:t>
      </w:r>
      <w:r>
        <w:rPr>
          <w:rFonts w:hint="default" w:ascii="Times New Roman" w:hAnsi="Times New Roman" w:eastAsia="SimSun" w:cs="Times New Roman"/>
          <w:b/>
          <w:bCs/>
          <w:sz w:val="24"/>
          <w:szCs w:val="24"/>
        </w:rPr>
        <w:t>h</w:t>
      </w:r>
      <w:r>
        <w:rPr>
          <w:rFonts w:hint="default" w:ascii="Times New Roman" w:hAnsi="Times New Roman" w:eastAsia="SimSun" w:cs="Times New Roman"/>
          <w:b/>
          <w:bCs/>
          <w:sz w:val="24"/>
          <w:szCs w:val="24"/>
          <w:lang w:val="en-GB"/>
        </w:rPr>
        <w:t xml:space="preserve">e Extent of Implementation </w:t>
      </w:r>
    </w:p>
    <w:p w14:paraId="41E2552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5F1456A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Table </w:t>
      </w:r>
      <w:r>
        <w:rPr>
          <w:rFonts w:hint="default" w:ascii="Times New Roman" w:hAnsi="Times New Roman" w:eastAsia="SimSun" w:cs="Times New Roman"/>
          <w:sz w:val="20"/>
          <w:szCs w:val="20"/>
          <w:lang w:val="en-PH"/>
        </w:rPr>
        <w:t>4</w:t>
      </w:r>
      <w:r>
        <w:rPr>
          <w:rFonts w:hint="default" w:ascii="Times New Roman" w:hAnsi="Times New Roman" w:eastAsia="SimSun" w:cs="Times New Roman"/>
          <w:sz w:val="20"/>
          <w:szCs w:val="20"/>
        </w:rPr>
        <w:t>. Significan</w:t>
      </w:r>
      <w:r>
        <w:rPr>
          <w:rFonts w:hint="default" w:ascii="Times New Roman" w:hAnsi="Times New Roman" w:eastAsia="SimSun" w:cs="Times New Roman"/>
          <w:sz w:val="20"/>
          <w:szCs w:val="20"/>
          <w:lang w:val="en-GB"/>
        </w:rPr>
        <w:t>t</w:t>
      </w:r>
      <w:r>
        <w:rPr>
          <w:rFonts w:hint="default" w:ascii="Times New Roman" w:hAnsi="Times New Roman" w:eastAsia="SimSun" w:cs="Times New Roman"/>
          <w:sz w:val="20"/>
          <w:szCs w:val="20"/>
        </w:rPr>
        <w:t xml:space="preserve"> Difference on Cooperative Learning Approach as Perceived by the two groups</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1155"/>
        <w:gridCol w:w="827"/>
        <w:gridCol w:w="1710"/>
        <w:gridCol w:w="1700"/>
      </w:tblGrid>
      <w:tr w14:paraId="325F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nil"/>
              <w:bottom w:val="single" w:color="auto" w:sz="4" w:space="0"/>
              <w:right w:val="nil"/>
            </w:tcBorders>
          </w:tcPr>
          <w:p w14:paraId="2A4DF42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Sources of Variation</w:t>
            </w:r>
          </w:p>
        </w:tc>
        <w:tc>
          <w:tcPr>
            <w:tcW w:w="0" w:type="auto"/>
            <w:tcBorders>
              <w:top w:val="single" w:color="auto" w:sz="4" w:space="0"/>
              <w:left w:val="nil"/>
              <w:bottom w:val="single" w:color="auto" w:sz="4" w:space="0"/>
              <w:right w:val="nil"/>
            </w:tcBorders>
          </w:tcPr>
          <w:p w14:paraId="0B9B623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Computed t</w:t>
            </w:r>
          </w:p>
        </w:tc>
        <w:tc>
          <w:tcPr>
            <w:tcW w:w="0" w:type="auto"/>
            <w:tcBorders>
              <w:top w:val="single" w:color="auto" w:sz="4" w:space="0"/>
              <w:left w:val="nil"/>
              <w:bottom w:val="single" w:color="auto" w:sz="4" w:space="0"/>
              <w:right w:val="nil"/>
            </w:tcBorders>
          </w:tcPr>
          <w:p w14:paraId="6312C13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P-value</w:t>
            </w:r>
          </w:p>
        </w:tc>
        <w:tc>
          <w:tcPr>
            <w:tcW w:w="0" w:type="auto"/>
            <w:tcBorders>
              <w:top w:val="single" w:color="auto" w:sz="4" w:space="0"/>
              <w:left w:val="nil"/>
              <w:bottom w:val="single" w:color="auto" w:sz="4" w:space="0"/>
              <w:right w:val="nil"/>
            </w:tcBorders>
          </w:tcPr>
          <w:p w14:paraId="618B963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Decision</w:t>
            </w:r>
          </w:p>
        </w:tc>
        <w:tc>
          <w:tcPr>
            <w:tcW w:w="0" w:type="auto"/>
            <w:tcBorders>
              <w:top w:val="single" w:color="auto" w:sz="4" w:space="0"/>
              <w:left w:val="nil"/>
              <w:bottom w:val="single" w:color="auto" w:sz="4" w:space="0"/>
              <w:right w:val="nil"/>
            </w:tcBorders>
          </w:tcPr>
          <w:p w14:paraId="430F05D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lang w:val="en-PH"/>
              </w:rPr>
            </w:pPr>
            <w:r>
              <w:rPr>
                <w:rFonts w:hint="default" w:ascii="Times New Roman" w:hAnsi="Times New Roman" w:eastAsia="SimSun" w:cs="Times New Roman"/>
                <w:sz w:val="20"/>
                <w:szCs w:val="20"/>
                <w:lang w:val="en-PH"/>
              </w:rPr>
              <w:t>Interpretation</w:t>
            </w:r>
          </w:p>
        </w:tc>
      </w:tr>
      <w:tr w14:paraId="3DE9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nil"/>
              <w:bottom w:val="nil"/>
              <w:right w:val="nil"/>
            </w:tcBorders>
          </w:tcPr>
          <w:p w14:paraId="1FC69B4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Curriculum</w:t>
            </w:r>
          </w:p>
        </w:tc>
        <w:tc>
          <w:tcPr>
            <w:tcW w:w="0" w:type="auto"/>
            <w:tcBorders>
              <w:top w:val="single" w:color="auto" w:sz="4" w:space="0"/>
              <w:left w:val="nil"/>
              <w:bottom w:val="nil"/>
              <w:right w:val="nil"/>
            </w:tcBorders>
          </w:tcPr>
          <w:p w14:paraId="214097D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-1.53</w:t>
            </w:r>
          </w:p>
        </w:tc>
        <w:tc>
          <w:tcPr>
            <w:tcW w:w="0" w:type="auto"/>
            <w:tcBorders>
              <w:top w:val="single" w:color="auto" w:sz="4" w:space="0"/>
              <w:left w:val="nil"/>
              <w:bottom w:val="nil"/>
              <w:right w:val="nil"/>
            </w:tcBorders>
          </w:tcPr>
          <w:p w14:paraId="460DD5C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0.165</w:t>
            </w:r>
          </w:p>
        </w:tc>
        <w:tc>
          <w:tcPr>
            <w:tcW w:w="0" w:type="auto"/>
            <w:tcBorders>
              <w:top w:val="single" w:color="auto" w:sz="4" w:space="0"/>
              <w:left w:val="nil"/>
              <w:bottom w:val="nil"/>
              <w:right w:val="nil"/>
            </w:tcBorders>
          </w:tcPr>
          <w:p w14:paraId="1BCF998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single" w:color="auto" w:sz="4" w:space="0"/>
              <w:left w:val="nil"/>
              <w:bottom w:val="nil"/>
              <w:right w:val="nil"/>
            </w:tcBorders>
          </w:tcPr>
          <w:p w14:paraId="064270A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2532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nil"/>
              <w:bottom w:val="nil"/>
              <w:right w:val="nil"/>
            </w:tcBorders>
          </w:tcPr>
          <w:p w14:paraId="3324294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Learning Environment</w:t>
            </w:r>
          </w:p>
        </w:tc>
        <w:tc>
          <w:tcPr>
            <w:tcW w:w="0" w:type="auto"/>
            <w:tcBorders>
              <w:top w:val="nil"/>
              <w:left w:val="nil"/>
              <w:bottom w:val="nil"/>
              <w:right w:val="nil"/>
            </w:tcBorders>
          </w:tcPr>
          <w:p w14:paraId="0D4F46F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0.41</w:t>
            </w:r>
          </w:p>
        </w:tc>
        <w:tc>
          <w:tcPr>
            <w:tcW w:w="0" w:type="auto"/>
            <w:tcBorders>
              <w:top w:val="nil"/>
              <w:left w:val="nil"/>
              <w:bottom w:val="nil"/>
              <w:right w:val="nil"/>
            </w:tcBorders>
          </w:tcPr>
          <w:p w14:paraId="3561DC2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0.683</w:t>
            </w:r>
          </w:p>
        </w:tc>
        <w:tc>
          <w:tcPr>
            <w:tcW w:w="0" w:type="auto"/>
            <w:tcBorders>
              <w:top w:val="nil"/>
              <w:left w:val="nil"/>
              <w:bottom w:val="nil"/>
              <w:right w:val="nil"/>
            </w:tcBorders>
          </w:tcPr>
          <w:p w14:paraId="0647920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02B9991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33EB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nil"/>
              <w:bottom w:val="nil"/>
              <w:right w:val="nil"/>
            </w:tcBorders>
          </w:tcPr>
          <w:p w14:paraId="2CF8C13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Diversity of Learners</w:t>
            </w:r>
          </w:p>
        </w:tc>
        <w:tc>
          <w:tcPr>
            <w:tcW w:w="0" w:type="auto"/>
            <w:tcBorders>
              <w:top w:val="nil"/>
              <w:left w:val="nil"/>
              <w:bottom w:val="nil"/>
              <w:right w:val="nil"/>
            </w:tcBorders>
          </w:tcPr>
          <w:p w14:paraId="5E18984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-0.62</w:t>
            </w:r>
          </w:p>
        </w:tc>
        <w:tc>
          <w:tcPr>
            <w:tcW w:w="0" w:type="auto"/>
            <w:tcBorders>
              <w:top w:val="nil"/>
              <w:left w:val="nil"/>
              <w:bottom w:val="nil"/>
              <w:right w:val="nil"/>
            </w:tcBorders>
          </w:tcPr>
          <w:p w14:paraId="70975C1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0.551</w:t>
            </w:r>
          </w:p>
        </w:tc>
        <w:tc>
          <w:tcPr>
            <w:tcW w:w="0" w:type="auto"/>
            <w:tcBorders>
              <w:top w:val="nil"/>
              <w:left w:val="nil"/>
              <w:bottom w:val="nil"/>
              <w:right w:val="nil"/>
            </w:tcBorders>
          </w:tcPr>
          <w:p w14:paraId="79B5FA2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554ADC1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792D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nil"/>
              <w:bottom w:val="single" w:color="auto" w:sz="4" w:space="0"/>
              <w:right w:val="nil"/>
            </w:tcBorders>
          </w:tcPr>
          <w:p w14:paraId="6BC2FBB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Social Regard for Learning</w:t>
            </w:r>
          </w:p>
        </w:tc>
        <w:tc>
          <w:tcPr>
            <w:tcW w:w="0" w:type="auto"/>
            <w:tcBorders>
              <w:top w:val="nil"/>
              <w:left w:val="nil"/>
              <w:bottom w:val="single" w:color="auto" w:sz="4" w:space="0"/>
              <w:right w:val="nil"/>
            </w:tcBorders>
          </w:tcPr>
          <w:p w14:paraId="324037F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-5.45</w:t>
            </w:r>
          </w:p>
        </w:tc>
        <w:tc>
          <w:tcPr>
            <w:tcW w:w="0" w:type="auto"/>
            <w:tcBorders>
              <w:top w:val="nil"/>
              <w:left w:val="nil"/>
              <w:bottom w:val="single" w:color="auto" w:sz="4" w:space="0"/>
              <w:right w:val="nil"/>
            </w:tcBorders>
          </w:tcPr>
          <w:p w14:paraId="64B08C8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0.000</w:t>
            </w:r>
          </w:p>
        </w:tc>
        <w:tc>
          <w:tcPr>
            <w:tcW w:w="0" w:type="auto"/>
            <w:tcBorders>
              <w:top w:val="nil"/>
              <w:left w:val="nil"/>
              <w:bottom w:val="single" w:color="auto" w:sz="4" w:space="0"/>
              <w:right w:val="nil"/>
            </w:tcBorders>
          </w:tcPr>
          <w:p w14:paraId="640CB41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Reject Ho</w:t>
            </w:r>
          </w:p>
        </w:tc>
        <w:tc>
          <w:tcPr>
            <w:tcW w:w="0" w:type="auto"/>
            <w:tcBorders>
              <w:top w:val="nil"/>
              <w:left w:val="nil"/>
              <w:bottom w:val="single" w:color="auto" w:sz="4" w:space="0"/>
              <w:right w:val="nil"/>
            </w:tcBorders>
          </w:tcPr>
          <w:p w14:paraId="5664EEE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Highly Significant</w:t>
            </w:r>
          </w:p>
        </w:tc>
      </w:tr>
    </w:tbl>
    <w:p w14:paraId="506BA03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ind w:left="643" w:leftChars="0" w:firstLine="643" w:firstLineChars="0"/>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Level of Significance p &gt; 0.05</w:t>
      </w:r>
    </w:p>
    <w:p w14:paraId="3813ABC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4"/>
          <w:szCs w:val="24"/>
        </w:rPr>
      </w:pPr>
    </w:p>
    <w:p w14:paraId="30AB49BF">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The analysis revealed </w:t>
      </w:r>
      <w:r>
        <w:rPr>
          <w:rStyle w:val="28"/>
          <w:rFonts w:hint="default" w:ascii="Times New Roman" w:hAnsi="Times New Roman" w:eastAsia="SimSun" w:cs="Times New Roman"/>
          <w:b w:val="0"/>
          <w:bCs w:val="0"/>
          <w:sz w:val="24"/>
          <w:szCs w:val="24"/>
        </w:rPr>
        <w:t>no significant differences (p &gt; 0.05)</w:t>
      </w:r>
      <w:r>
        <w:rPr>
          <w:rFonts w:hint="default" w:ascii="Times New Roman" w:hAnsi="Times New Roman" w:eastAsia="SimSun" w:cs="Times New Roman"/>
          <w:b w:val="0"/>
          <w:bCs w:val="0"/>
          <w:sz w:val="24"/>
          <w:szCs w:val="24"/>
        </w:rPr>
        <w:t xml:space="preserve"> in the domains of </w:t>
      </w:r>
      <w:r>
        <w:rPr>
          <w:rStyle w:val="28"/>
          <w:rFonts w:hint="default" w:ascii="Times New Roman" w:hAnsi="Times New Roman" w:eastAsia="SimSun" w:cs="Times New Roman"/>
          <w:b w:val="0"/>
          <w:bCs w:val="0"/>
          <w:sz w:val="24"/>
          <w:szCs w:val="24"/>
        </w:rPr>
        <w:t>Curriculum, Learning Environment, and Diversity of Learners</w:t>
      </w:r>
      <w:r>
        <w:rPr>
          <w:rFonts w:hint="default" w:ascii="Times New Roman" w:hAnsi="Times New Roman" w:eastAsia="SimSun" w:cs="Times New Roman"/>
          <w:b w:val="0"/>
          <w:bCs w:val="0"/>
          <w:sz w:val="24"/>
          <w:szCs w:val="24"/>
        </w:rPr>
        <w:t>, indicating strong alignment between teacher and student perceptions. Both groups recognized that cooperative learning was consistently implemented through structured group tasks, inclusive laboratory environments, and strategies accommodating diverse skill levels. This procedural alignment suggests that the mechanical aspects of cooperative learning—such as seating arrangements, grouping strategies, and the use of “expert peers”—were visible and uniformly applied across schools.</w:t>
      </w:r>
    </w:p>
    <w:p w14:paraId="1E761C3C">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1EDD0961">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However, a </w:t>
      </w:r>
      <w:r>
        <w:rPr>
          <w:rStyle w:val="28"/>
          <w:rFonts w:hint="default" w:ascii="Times New Roman" w:hAnsi="Times New Roman" w:eastAsia="SimSun" w:cs="Times New Roman"/>
          <w:b w:val="0"/>
          <w:bCs w:val="0"/>
          <w:sz w:val="24"/>
          <w:szCs w:val="24"/>
        </w:rPr>
        <w:t>highly significant difference</w:t>
      </w:r>
      <w:r>
        <w:rPr>
          <w:rFonts w:hint="default" w:ascii="Times New Roman" w:hAnsi="Times New Roman" w:eastAsia="SimSun" w:cs="Times New Roman"/>
          <w:b w:val="0"/>
          <w:bCs w:val="0"/>
          <w:sz w:val="24"/>
          <w:szCs w:val="24"/>
        </w:rPr>
        <w:t xml:space="preserve"> was observed in the domain of </w:t>
      </w:r>
      <w:r>
        <w:rPr>
          <w:rStyle w:val="28"/>
          <w:rFonts w:hint="default" w:ascii="Times New Roman" w:hAnsi="Times New Roman" w:eastAsia="SimSun" w:cs="Times New Roman"/>
          <w:b w:val="0"/>
          <w:bCs w:val="0"/>
          <w:sz w:val="24"/>
          <w:szCs w:val="24"/>
        </w:rPr>
        <w:t>Social Regard for Learning</w:t>
      </w:r>
      <w:r>
        <w:rPr>
          <w:rFonts w:hint="default" w:ascii="Times New Roman" w:hAnsi="Times New Roman" w:eastAsia="SimSun" w:cs="Times New Roman"/>
          <w:b w:val="0"/>
          <w:bCs w:val="0"/>
          <w:sz w:val="24"/>
          <w:szCs w:val="24"/>
        </w:rPr>
        <w:t xml:space="preserve"> (t = -5.45, p = 0.000). Teachers perceived their role-modeling and social interactions more positively than students did. Several explanatory lenses contextualize this divergence:</w:t>
      </w:r>
      <w:r>
        <w:rPr>
          <w:rFonts w:hint="default" w:ascii="Times New Roman" w:hAnsi="Times New Roman" w:cs="Times New Roman"/>
          <w:b w:val="0"/>
          <w:bCs w:val="0"/>
          <w:sz w:val="24"/>
          <w:szCs w:val="24"/>
          <w:lang w:val="en-PH"/>
        </w:rPr>
        <w:t xml:space="preserve"> </w:t>
      </w:r>
      <w:r>
        <w:rPr>
          <w:rStyle w:val="28"/>
          <w:rFonts w:hint="default" w:ascii="Times New Roman" w:hAnsi="Times New Roman" w:eastAsia="SimSun" w:cs="Times New Roman"/>
          <w:b w:val="0"/>
          <w:bCs w:val="0"/>
          <w:sz w:val="24"/>
          <w:szCs w:val="24"/>
        </w:rPr>
        <w:t>Professional Self-Perception vs. External Observation:</w:t>
      </w:r>
      <w:r>
        <w:rPr>
          <w:rFonts w:hint="default" w:ascii="Times New Roman" w:hAnsi="Times New Roman" w:eastAsia="SimSun" w:cs="Times New Roman"/>
          <w:b w:val="0"/>
          <w:bCs w:val="0"/>
          <w:sz w:val="24"/>
          <w:szCs w:val="24"/>
        </w:rPr>
        <w:t xml:space="preserve"> Teachers, as front-liners in education, may overestimate their impact as role models due to social desirability or intentionality, while students are more attuned to the affective atmosphere of the classroom.</w:t>
      </w:r>
      <w:r>
        <w:rPr>
          <w:rFonts w:hint="default" w:ascii="Times New Roman" w:hAnsi="Times New Roman" w:cs="Times New Roman"/>
          <w:b w:val="0"/>
          <w:bCs w:val="0"/>
          <w:sz w:val="24"/>
          <w:szCs w:val="24"/>
          <w:lang w:val="en-PH"/>
        </w:rPr>
        <w:t xml:space="preserve"> </w:t>
      </w:r>
      <w:r>
        <w:rPr>
          <w:rStyle w:val="28"/>
          <w:rFonts w:hint="default" w:ascii="Times New Roman" w:hAnsi="Times New Roman" w:eastAsia="SimSun" w:cs="Times New Roman"/>
          <w:b w:val="0"/>
          <w:bCs w:val="0"/>
          <w:sz w:val="24"/>
          <w:szCs w:val="24"/>
        </w:rPr>
        <w:t>Implicit vs. Explicit Attitudes:</w:t>
      </w:r>
      <w:r>
        <w:rPr>
          <w:rFonts w:hint="default" w:ascii="Times New Roman" w:hAnsi="Times New Roman" w:eastAsia="SimSun" w:cs="Times New Roman"/>
          <w:b w:val="0"/>
          <w:bCs w:val="0"/>
          <w:sz w:val="24"/>
          <w:szCs w:val="24"/>
        </w:rPr>
        <w:t xml:space="preserve"> Teachers explicitly value social regard, but implicit behaviors under curriculum pressures may be perceived by students as less supportive.</w:t>
      </w:r>
      <w:r>
        <w:rPr>
          <w:rFonts w:hint="default" w:ascii="Times New Roman" w:hAnsi="Times New Roman" w:cs="Times New Roman"/>
          <w:b w:val="0"/>
          <w:bCs w:val="0"/>
          <w:sz w:val="24"/>
          <w:szCs w:val="24"/>
          <w:lang w:val="en-PH"/>
        </w:rPr>
        <w:t xml:space="preserve"> </w:t>
      </w:r>
      <w:r>
        <w:rPr>
          <w:rStyle w:val="28"/>
          <w:rFonts w:hint="default" w:ascii="Times New Roman" w:hAnsi="Times New Roman" w:eastAsia="SimSun" w:cs="Times New Roman"/>
          <w:b w:val="0"/>
          <w:bCs w:val="0"/>
          <w:sz w:val="24"/>
          <w:szCs w:val="24"/>
        </w:rPr>
        <w:t>Developmental Gaps:</w:t>
      </w:r>
      <w:r>
        <w:rPr>
          <w:rFonts w:hint="default" w:ascii="Times New Roman" w:hAnsi="Times New Roman" w:eastAsia="SimSun" w:cs="Times New Roman"/>
          <w:b w:val="0"/>
          <w:bCs w:val="0"/>
          <w:sz w:val="24"/>
          <w:szCs w:val="24"/>
        </w:rPr>
        <w:t xml:space="preserve"> The age difference between mature teachers (41+) and adolescent students (15–16) may contribute to divergent perceptions, as teenagers often undervalue adult-led instruction or its relevance to their lived experience.</w:t>
      </w:r>
      <w:r>
        <w:rPr>
          <w:rFonts w:hint="default" w:ascii="Times New Roman" w:hAnsi="Times New Roman" w:cs="Times New Roman"/>
          <w:b w:val="0"/>
          <w:bCs w:val="0"/>
          <w:sz w:val="24"/>
          <w:szCs w:val="24"/>
          <w:lang w:val="en-PH"/>
        </w:rPr>
        <w:t xml:space="preserve"> </w:t>
      </w:r>
      <w:r>
        <w:rPr>
          <w:rStyle w:val="28"/>
          <w:rFonts w:hint="default" w:ascii="Times New Roman" w:hAnsi="Times New Roman" w:eastAsia="SimSun" w:cs="Times New Roman"/>
          <w:b w:val="0"/>
          <w:bCs w:val="0"/>
          <w:sz w:val="24"/>
          <w:szCs w:val="24"/>
        </w:rPr>
        <w:t>Inclusivity Dynamics:</w:t>
      </w:r>
      <w:r>
        <w:rPr>
          <w:rFonts w:hint="default" w:ascii="Times New Roman" w:hAnsi="Times New Roman" w:eastAsia="SimSun" w:cs="Times New Roman"/>
          <w:b w:val="0"/>
          <w:bCs w:val="0"/>
          <w:sz w:val="24"/>
          <w:szCs w:val="24"/>
        </w:rPr>
        <w:t xml:space="preserve"> As Slee (2019) notes, educators may view their practices as inclusive, yet students can feel overwhelmed or isolated if reciprocity in group learning is imbalanced. When group roles are unevenly distributed, students may perceive cooperative tasks as hierarchical rather than collaborative.</w:t>
      </w:r>
    </w:p>
    <w:p w14:paraId="2FDA50F9">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727B9E9E">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The lack of significant differences in technical and environmental domains underscores </w:t>
      </w:r>
      <w:r>
        <w:rPr>
          <w:rStyle w:val="28"/>
          <w:rFonts w:hint="default" w:ascii="Times New Roman" w:hAnsi="Times New Roman" w:eastAsia="SimSun" w:cs="Times New Roman"/>
          <w:b w:val="0"/>
          <w:bCs w:val="0"/>
          <w:sz w:val="24"/>
          <w:szCs w:val="24"/>
        </w:rPr>
        <w:t>procedural consistency</w:t>
      </w:r>
      <w:r>
        <w:rPr>
          <w:rFonts w:hint="default" w:ascii="Times New Roman" w:hAnsi="Times New Roman" w:eastAsia="SimSun" w:cs="Times New Roman"/>
          <w:b w:val="0"/>
          <w:bCs w:val="0"/>
          <w:sz w:val="24"/>
          <w:szCs w:val="24"/>
        </w:rPr>
        <w:t xml:space="preserve"> in cooperative learning implementation. Yet, the divergence in </w:t>
      </w:r>
      <w:r>
        <w:rPr>
          <w:rStyle w:val="28"/>
          <w:rFonts w:hint="default" w:ascii="Times New Roman" w:hAnsi="Times New Roman" w:eastAsia="SimSun" w:cs="Times New Roman"/>
          <w:b w:val="0"/>
          <w:bCs w:val="0"/>
          <w:sz w:val="24"/>
          <w:szCs w:val="24"/>
        </w:rPr>
        <w:t>Social Regard for Learning</w:t>
      </w:r>
      <w:r>
        <w:rPr>
          <w:rFonts w:hint="default" w:ascii="Times New Roman" w:hAnsi="Times New Roman" w:eastAsia="SimSun" w:cs="Times New Roman"/>
          <w:b w:val="0"/>
          <w:bCs w:val="0"/>
          <w:sz w:val="24"/>
          <w:szCs w:val="24"/>
        </w:rPr>
        <w:t xml:space="preserve"> highlights a critical affective gap: while teachers believe they foster inclusive and supportive environments, students may experience cooperative learning as uneven or less affirming. Addressing this gap requires professional development focused on </w:t>
      </w:r>
      <w:r>
        <w:rPr>
          <w:rStyle w:val="28"/>
          <w:rFonts w:hint="default" w:ascii="Times New Roman" w:hAnsi="Times New Roman" w:eastAsia="SimSun" w:cs="Times New Roman"/>
          <w:b w:val="0"/>
          <w:bCs w:val="0"/>
          <w:sz w:val="24"/>
          <w:szCs w:val="24"/>
        </w:rPr>
        <w:t>relational pedagogy</w:t>
      </w:r>
      <w:r>
        <w:rPr>
          <w:rFonts w:hint="default" w:ascii="Times New Roman" w:hAnsi="Times New Roman" w:eastAsia="SimSun" w:cs="Times New Roman"/>
          <w:b w:val="0"/>
          <w:bCs w:val="0"/>
          <w:sz w:val="24"/>
          <w:szCs w:val="24"/>
        </w:rPr>
        <w:t>, ensuring that cooperative learning not only meets procedural standards but also resonates with students’ social and emotional needs.</w:t>
      </w:r>
    </w:p>
    <w:p w14:paraId="67DAAE6B">
      <w:pPr>
        <w:keepNext w:val="0"/>
        <w:keepLines w:val="0"/>
        <w:pageBreakBefore w:val="0"/>
        <w:widowControl/>
        <w:kinsoku/>
        <w:wordWrap/>
        <w:overflowPunct/>
        <w:topLinePunct w:val="0"/>
        <w:autoSpaceDE/>
        <w:autoSpaceDN/>
        <w:bidi w:val="0"/>
        <w:adjustRightInd/>
        <w:snapToGrid/>
        <w:spacing w:beforeAutospacing="0" w:afterAutospacing="0" w:line="23" w:lineRule="atLeast"/>
        <w:ind w:left="720" w:hanging="720"/>
        <w:textAlignment w:val="auto"/>
        <w:rPr>
          <w:rFonts w:hint="default" w:ascii="Times New Roman" w:hAnsi="Times New Roman" w:cs="Times New Roman"/>
          <w:b/>
          <w:bCs/>
          <w:sz w:val="24"/>
          <w:szCs w:val="24"/>
        </w:rPr>
      </w:pPr>
    </w:p>
    <w:p w14:paraId="13374C4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Relationship Between Respondent Profiles and Cooperative Learning Implementation</w:t>
      </w:r>
    </w:p>
    <w:p w14:paraId="4B763CB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Based on the data provided in the tables for SOP 4, the study explored the relationship between the respondents' demographic profiles and their perceptions of the cooperative learning implementation. The analysis reveals that while many demographic factors are independent of the instructional approach, specific variables particularly Sex for students and Education and Age for teachers play a significant role</w:t>
      </w:r>
    </w:p>
    <w:p w14:paraId="2912DBE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538AEAA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data utilizes Pearson’s “r” Correlation to determine the relationship between student profiles and their perception of the implementation of various educational domains.  The data indicates a significant relationship between the Sex of the student respondents and three specific domains: Curriculum r=0.188, p=0.044, Diversity of Learners r=0.186, p=0.046, and Social Regard for Learning r=0.195, p=0.036. All other variables (Age and Years in School) showed no significant relationship where p &gt; 0.05.</w:t>
      </w:r>
    </w:p>
    <w:p w14:paraId="2527643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cs="Times New Roman"/>
          <w:sz w:val="24"/>
          <w:szCs w:val="24"/>
          <w:lang w:val="en-PH"/>
        </w:rPr>
      </w:pPr>
    </w:p>
    <w:p w14:paraId="6A487159">
      <w:pPr>
        <w:keepNext w:val="0"/>
        <w:keepLines w:val="0"/>
        <w:pageBreakBefore w:val="0"/>
        <w:widowControl/>
        <w:kinsoku/>
        <w:wordWrap/>
        <w:overflowPunct/>
        <w:topLinePunct w:val="0"/>
        <w:autoSpaceDE/>
        <w:autoSpaceDN/>
        <w:bidi w:val="0"/>
        <w:adjustRightInd/>
        <w:snapToGrid/>
        <w:spacing w:beforeAutospacing="0" w:afterAutospacing="0" w:line="23" w:lineRule="atLeast"/>
        <w:ind w:left="720" w:hanging="720"/>
        <w:jc w:val="center"/>
        <w:textAlignment w:val="auto"/>
        <w:rPr>
          <w:rFonts w:hint="default" w:ascii="Times New Roman" w:hAnsi="Times New Roman" w:eastAsia="SimSun" w:cs="Times New Roman"/>
          <w:b w:val="0"/>
          <w:bCs w:val="0"/>
          <w:sz w:val="20"/>
          <w:szCs w:val="20"/>
        </w:rPr>
      </w:pPr>
      <w:r>
        <w:rPr>
          <w:rFonts w:hint="default" w:ascii="Times New Roman" w:hAnsi="Times New Roman" w:eastAsia="SimSun" w:cs="Times New Roman"/>
          <w:b w:val="0"/>
          <w:bCs w:val="0"/>
          <w:sz w:val="20"/>
          <w:szCs w:val="20"/>
        </w:rPr>
        <w:t xml:space="preserve">Table </w:t>
      </w:r>
      <w:r>
        <w:rPr>
          <w:rFonts w:hint="default" w:ascii="Times New Roman" w:hAnsi="Times New Roman" w:eastAsia="SimSun" w:cs="Times New Roman"/>
          <w:b w:val="0"/>
          <w:bCs w:val="0"/>
          <w:sz w:val="20"/>
          <w:szCs w:val="20"/>
          <w:lang w:val="en-PH"/>
        </w:rPr>
        <w:t>5</w:t>
      </w:r>
      <w:r>
        <w:rPr>
          <w:rFonts w:hint="default" w:ascii="Times New Roman" w:hAnsi="Times New Roman" w:eastAsia="SimSun" w:cs="Times New Roman"/>
          <w:b w:val="0"/>
          <w:bCs w:val="0"/>
          <w:sz w:val="20"/>
          <w:szCs w:val="20"/>
          <w:lang w:val="en-GB"/>
        </w:rPr>
        <w:t>.</w:t>
      </w:r>
      <w:r>
        <w:rPr>
          <w:rFonts w:hint="default" w:ascii="Times New Roman" w:hAnsi="Times New Roman" w:eastAsia="SimSun" w:cs="Times New Roman"/>
          <w:b w:val="0"/>
          <w:bCs w:val="0"/>
          <w:sz w:val="20"/>
          <w:szCs w:val="20"/>
        </w:rPr>
        <w:t xml:space="preserve"> Significant Relationship between the Profile and the Extent of Implementation (Students)</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494"/>
        <w:gridCol w:w="1166"/>
        <w:gridCol w:w="827"/>
        <w:gridCol w:w="1710"/>
        <w:gridCol w:w="1444"/>
      </w:tblGrid>
      <w:tr w14:paraId="0F2D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tcBorders>
              <w:top w:val="single" w:color="auto" w:sz="4" w:space="0"/>
              <w:left w:val="nil"/>
              <w:bottom w:val="single" w:color="auto" w:sz="4" w:space="0"/>
              <w:right w:val="nil"/>
            </w:tcBorders>
          </w:tcPr>
          <w:p w14:paraId="783165B4">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val="0"/>
                <w:bCs w:val="0"/>
                <w:sz w:val="20"/>
                <w:szCs w:val="20"/>
              </w:rPr>
            </w:pPr>
            <w:r>
              <w:rPr>
                <w:rFonts w:hint="default" w:ascii="Times New Roman" w:hAnsi="Times New Roman" w:eastAsia="SimSun" w:cs="Times New Roman"/>
                <w:b w:val="0"/>
                <w:bCs w:val="0"/>
                <w:sz w:val="20"/>
                <w:szCs w:val="20"/>
              </w:rPr>
              <w:t>Variables Tested</w:t>
            </w:r>
          </w:p>
        </w:tc>
        <w:tc>
          <w:tcPr>
            <w:tcW w:w="0" w:type="auto"/>
            <w:tcBorders>
              <w:top w:val="single" w:color="auto" w:sz="4" w:space="0"/>
              <w:left w:val="nil"/>
              <w:bottom w:val="single" w:color="auto" w:sz="4" w:space="0"/>
              <w:right w:val="nil"/>
            </w:tcBorders>
          </w:tcPr>
          <w:p w14:paraId="1A17ACB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val="0"/>
                <w:bCs w:val="0"/>
                <w:sz w:val="20"/>
                <w:szCs w:val="20"/>
              </w:rPr>
            </w:pPr>
            <w:r>
              <w:rPr>
                <w:rFonts w:hint="default" w:ascii="Times New Roman" w:hAnsi="Times New Roman" w:eastAsia="SimSun" w:cs="Times New Roman"/>
                <w:b w:val="0"/>
                <w:bCs w:val="0"/>
                <w:sz w:val="20"/>
                <w:szCs w:val="20"/>
              </w:rPr>
              <w:t>Computed r</w:t>
            </w:r>
          </w:p>
        </w:tc>
        <w:tc>
          <w:tcPr>
            <w:tcW w:w="0" w:type="auto"/>
            <w:tcBorders>
              <w:top w:val="single" w:color="auto" w:sz="4" w:space="0"/>
              <w:left w:val="nil"/>
              <w:bottom w:val="single" w:color="auto" w:sz="4" w:space="0"/>
              <w:right w:val="nil"/>
            </w:tcBorders>
          </w:tcPr>
          <w:p w14:paraId="1948D759">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val="0"/>
                <w:bCs w:val="0"/>
                <w:sz w:val="20"/>
                <w:szCs w:val="20"/>
              </w:rPr>
            </w:pPr>
            <w:r>
              <w:rPr>
                <w:rFonts w:hint="default" w:ascii="Times New Roman" w:hAnsi="Times New Roman" w:eastAsia="SimSun" w:cs="Times New Roman"/>
                <w:b w:val="0"/>
                <w:bCs w:val="0"/>
                <w:sz w:val="20"/>
                <w:szCs w:val="20"/>
              </w:rPr>
              <w:t>P-value</w:t>
            </w:r>
          </w:p>
        </w:tc>
        <w:tc>
          <w:tcPr>
            <w:tcW w:w="0" w:type="auto"/>
            <w:tcBorders>
              <w:top w:val="single" w:color="auto" w:sz="4" w:space="0"/>
              <w:left w:val="nil"/>
              <w:bottom w:val="single" w:color="auto" w:sz="4" w:space="0"/>
              <w:right w:val="nil"/>
            </w:tcBorders>
          </w:tcPr>
          <w:p w14:paraId="1A7A2B08">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val="0"/>
                <w:bCs w:val="0"/>
                <w:sz w:val="20"/>
                <w:szCs w:val="20"/>
              </w:rPr>
            </w:pPr>
            <w:r>
              <w:rPr>
                <w:rFonts w:hint="default" w:ascii="Times New Roman" w:hAnsi="Times New Roman" w:eastAsia="SimSun" w:cs="Times New Roman"/>
                <w:b w:val="0"/>
                <w:bCs w:val="0"/>
                <w:sz w:val="20"/>
                <w:szCs w:val="20"/>
              </w:rPr>
              <w:t>Decision</w:t>
            </w:r>
          </w:p>
        </w:tc>
        <w:tc>
          <w:tcPr>
            <w:tcW w:w="0" w:type="auto"/>
            <w:tcBorders>
              <w:top w:val="single" w:color="auto" w:sz="4" w:space="0"/>
              <w:left w:val="nil"/>
              <w:bottom w:val="single" w:color="auto" w:sz="4" w:space="0"/>
              <w:right w:val="nil"/>
            </w:tcBorders>
          </w:tcPr>
          <w:p w14:paraId="5BD18023">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val="0"/>
                <w:bCs w:val="0"/>
                <w:sz w:val="20"/>
                <w:szCs w:val="20"/>
                <w:lang w:val="en-PH"/>
              </w:rPr>
            </w:pPr>
            <w:r>
              <w:rPr>
                <w:rFonts w:hint="default" w:ascii="Times New Roman" w:hAnsi="Times New Roman" w:eastAsia="SimSun" w:cs="Times New Roman"/>
                <w:b w:val="0"/>
                <w:bCs w:val="0"/>
                <w:sz w:val="20"/>
                <w:szCs w:val="20"/>
                <w:lang w:val="en-PH"/>
              </w:rPr>
              <w:t>Interpretation</w:t>
            </w:r>
          </w:p>
        </w:tc>
      </w:tr>
      <w:tr w14:paraId="0C51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single" w:color="auto" w:sz="4" w:space="0"/>
              <w:left w:val="nil"/>
              <w:bottom w:val="nil"/>
              <w:right w:val="nil"/>
            </w:tcBorders>
          </w:tcPr>
          <w:p w14:paraId="63ACAC79">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Curriculum</w:t>
            </w:r>
          </w:p>
        </w:tc>
        <w:tc>
          <w:tcPr>
            <w:tcW w:w="0" w:type="auto"/>
            <w:tcBorders>
              <w:top w:val="single" w:color="auto" w:sz="4" w:space="0"/>
              <w:left w:val="nil"/>
              <w:bottom w:val="nil"/>
              <w:right w:val="nil"/>
            </w:tcBorders>
          </w:tcPr>
          <w:p w14:paraId="72617851">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Age</w:t>
            </w:r>
          </w:p>
        </w:tc>
        <w:tc>
          <w:tcPr>
            <w:tcW w:w="0" w:type="auto"/>
            <w:tcBorders>
              <w:top w:val="single" w:color="auto" w:sz="4" w:space="0"/>
              <w:left w:val="nil"/>
              <w:bottom w:val="nil"/>
              <w:right w:val="nil"/>
            </w:tcBorders>
          </w:tcPr>
          <w:p w14:paraId="2051BDE1">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0.116</w:t>
            </w:r>
          </w:p>
        </w:tc>
        <w:tc>
          <w:tcPr>
            <w:tcW w:w="0" w:type="auto"/>
            <w:tcBorders>
              <w:top w:val="single" w:color="auto" w:sz="4" w:space="0"/>
              <w:left w:val="nil"/>
              <w:bottom w:val="nil"/>
              <w:right w:val="nil"/>
            </w:tcBorders>
          </w:tcPr>
          <w:p w14:paraId="7AEE1D5A">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0.218</w:t>
            </w:r>
          </w:p>
        </w:tc>
        <w:tc>
          <w:tcPr>
            <w:tcW w:w="0" w:type="auto"/>
            <w:tcBorders>
              <w:top w:val="single" w:color="auto" w:sz="4" w:space="0"/>
              <w:left w:val="nil"/>
              <w:bottom w:val="nil"/>
              <w:right w:val="nil"/>
            </w:tcBorders>
          </w:tcPr>
          <w:p w14:paraId="1BE903E1">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single" w:color="auto" w:sz="4" w:space="0"/>
              <w:left w:val="nil"/>
              <w:bottom w:val="nil"/>
              <w:right w:val="nil"/>
            </w:tcBorders>
          </w:tcPr>
          <w:p w14:paraId="55467DB8">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459A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39DB939E">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37BAF28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Sex</w:t>
            </w:r>
          </w:p>
        </w:tc>
        <w:tc>
          <w:tcPr>
            <w:tcW w:w="0" w:type="auto"/>
            <w:tcBorders>
              <w:top w:val="nil"/>
              <w:left w:val="nil"/>
              <w:bottom w:val="nil"/>
              <w:right w:val="nil"/>
            </w:tcBorders>
          </w:tcPr>
          <w:p w14:paraId="19F64477">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0.188 </w:t>
            </w:r>
          </w:p>
        </w:tc>
        <w:tc>
          <w:tcPr>
            <w:tcW w:w="0" w:type="auto"/>
            <w:tcBorders>
              <w:top w:val="nil"/>
              <w:left w:val="nil"/>
              <w:bottom w:val="nil"/>
              <w:right w:val="nil"/>
            </w:tcBorders>
          </w:tcPr>
          <w:p w14:paraId="17AD378A">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0.044 </w:t>
            </w:r>
          </w:p>
        </w:tc>
        <w:tc>
          <w:tcPr>
            <w:tcW w:w="0" w:type="auto"/>
            <w:tcBorders>
              <w:top w:val="nil"/>
              <w:left w:val="nil"/>
              <w:bottom w:val="nil"/>
              <w:right w:val="nil"/>
            </w:tcBorders>
          </w:tcPr>
          <w:p w14:paraId="6B386659">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Reject Hо</w:t>
            </w:r>
          </w:p>
        </w:tc>
        <w:tc>
          <w:tcPr>
            <w:tcW w:w="0" w:type="auto"/>
            <w:tcBorders>
              <w:top w:val="nil"/>
              <w:left w:val="nil"/>
              <w:bottom w:val="nil"/>
              <w:right w:val="nil"/>
            </w:tcBorders>
          </w:tcPr>
          <w:p w14:paraId="6DBB4D87">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Significant</w:t>
            </w:r>
          </w:p>
        </w:tc>
      </w:tr>
      <w:tr w14:paraId="5C06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47F5A515">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35CAEBE6">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Years in School</w:t>
            </w:r>
          </w:p>
        </w:tc>
        <w:tc>
          <w:tcPr>
            <w:tcW w:w="0" w:type="auto"/>
            <w:tcBorders>
              <w:top w:val="nil"/>
              <w:left w:val="nil"/>
              <w:bottom w:val="nil"/>
              <w:right w:val="nil"/>
            </w:tcBorders>
          </w:tcPr>
          <w:p w14:paraId="44C8A528">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0.001 </w:t>
            </w:r>
          </w:p>
        </w:tc>
        <w:tc>
          <w:tcPr>
            <w:tcW w:w="0" w:type="auto"/>
            <w:tcBorders>
              <w:top w:val="nil"/>
              <w:left w:val="nil"/>
              <w:bottom w:val="nil"/>
              <w:right w:val="nil"/>
            </w:tcBorders>
          </w:tcPr>
          <w:p w14:paraId="6074B7C3">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0.991</w:t>
            </w:r>
          </w:p>
        </w:tc>
        <w:tc>
          <w:tcPr>
            <w:tcW w:w="0" w:type="auto"/>
            <w:tcBorders>
              <w:top w:val="nil"/>
              <w:left w:val="nil"/>
              <w:bottom w:val="nil"/>
              <w:right w:val="nil"/>
            </w:tcBorders>
          </w:tcPr>
          <w:p w14:paraId="78BA919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286F9729">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1E1B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nil"/>
              <w:left w:val="nil"/>
              <w:bottom w:val="nil"/>
              <w:right w:val="nil"/>
            </w:tcBorders>
          </w:tcPr>
          <w:p w14:paraId="0A71FA4A">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Learning</w:t>
            </w:r>
          </w:p>
          <w:p w14:paraId="519B8EB9">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Environment</w:t>
            </w:r>
          </w:p>
        </w:tc>
        <w:tc>
          <w:tcPr>
            <w:tcW w:w="0" w:type="auto"/>
            <w:tcBorders>
              <w:top w:val="nil"/>
              <w:left w:val="nil"/>
              <w:bottom w:val="nil"/>
              <w:right w:val="nil"/>
            </w:tcBorders>
          </w:tcPr>
          <w:p w14:paraId="57BF1EA1">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Age</w:t>
            </w:r>
          </w:p>
        </w:tc>
        <w:tc>
          <w:tcPr>
            <w:tcW w:w="0" w:type="auto"/>
            <w:tcBorders>
              <w:top w:val="nil"/>
              <w:left w:val="nil"/>
              <w:bottom w:val="nil"/>
              <w:right w:val="nil"/>
            </w:tcBorders>
          </w:tcPr>
          <w:p w14:paraId="5A06F50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0.138 </w:t>
            </w:r>
          </w:p>
        </w:tc>
        <w:tc>
          <w:tcPr>
            <w:tcW w:w="0" w:type="auto"/>
            <w:tcBorders>
              <w:top w:val="nil"/>
              <w:left w:val="nil"/>
              <w:bottom w:val="nil"/>
              <w:right w:val="nil"/>
            </w:tcBorders>
          </w:tcPr>
          <w:p w14:paraId="57F2247E">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0.141</w:t>
            </w:r>
          </w:p>
        </w:tc>
        <w:tc>
          <w:tcPr>
            <w:tcW w:w="0" w:type="auto"/>
            <w:tcBorders>
              <w:top w:val="nil"/>
              <w:left w:val="nil"/>
              <w:bottom w:val="nil"/>
              <w:right w:val="nil"/>
            </w:tcBorders>
          </w:tcPr>
          <w:p w14:paraId="7F6EDCA5">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5B13B534">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2862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1DCF74F3">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3AC65B14">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Sex</w:t>
            </w:r>
          </w:p>
        </w:tc>
        <w:tc>
          <w:tcPr>
            <w:tcW w:w="0" w:type="auto"/>
            <w:tcBorders>
              <w:top w:val="nil"/>
              <w:left w:val="nil"/>
              <w:bottom w:val="nil"/>
              <w:right w:val="nil"/>
            </w:tcBorders>
          </w:tcPr>
          <w:p w14:paraId="66A0EF1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0.119 </w:t>
            </w:r>
          </w:p>
        </w:tc>
        <w:tc>
          <w:tcPr>
            <w:tcW w:w="0" w:type="auto"/>
            <w:tcBorders>
              <w:top w:val="nil"/>
              <w:left w:val="nil"/>
              <w:bottom w:val="nil"/>
              <w:right w:val="nil"/>
            </w:tcBorders>
          </w:tcPr>
          <w:p w14:paraId="47007974">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0.206</w:t>
            </w:r>
          </w:p>
        </w:tc>
        <w:tc>
          <w:tcPr>
            <w:tcW w:w="0" w:type="auto"/>
            <w:tcBorders>
              <w:top w:val="nil"/>
              <w:left w:val="nil"/>
              <w:bottom w:val="nil"/>
              <w:right w:val="nil"/>
            </w:tcBorders>
          </w:tcPr>
          <w:p w14:paraId="784030E7">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51A0FEFC">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6A68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7549D82B">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2CF6DB24">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Years in School</w:t>
            </w:r>
          </w:p>
        </w:tc>
        <w:tc>
          <w:tcPr>
            <w:tcW w:w="0" w:type="auto"/>
            <w:tcBorders>
              <w:top w:val="nil"/>
              <w:left w:val="nil"/>
              <w:bottom w:val="nil"/>
              <w:right w:val="nil"/>
            </w:tcBorders>
          </w:tcPr>
          <w:p w14:paraId="1541AEC0">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0.136 </w:t>
            </w:r>
          </w:p>
        </w:tc>
        <w:tc>
          <w:tcPr>
            <w:tcW w:w="0" w:type="auto"/>
            <w:tcBorders>
              <w:top w:val="nil"/>
              <w:left w:val="nil"/>
              <w:bottom w:val="nil"/>
              <w:right w:val="nil"/>
            </w:tcBorders>
          </w:tcPr>
          <w:p w14:paraId="13D9B7D8">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0.147</w:t>
            </w:r>
          </w:p>
        </w:tc>
        <w:tc>
          <w:tcPr>
            <w:tcW w:w="0" w:type="auto"/>
            <w:tcBorders>
              <w:top w:val="nil"/>
              <w:left w:val="nil"/>
              <w:bottom w:val="nil"/>
              <w:right w:val="nil"/>
            </w:tcBorders>
          </w:tcPr>
          <w:p w14:paraId="226EA6DF">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0A0484D8">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3EC1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nil"/>
              <w:left w:val="nil"/>
              <w:bottom w:val="nil"/>
              <w:right w:val="nil"/>
            </w:tcBorders>
          </w:tcPr>
          <w:p w14:paraId="590D727C">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Diversity of Learners</w:t>
            </w:r>
          </w:p>
        </w:tc>
        <w:tc>
          <w:tcPr>
            <w:tcW w:w="0" w:type="auto"/>
            <w:tcBorders>
              <w:top w:val="nil"/>
              <w:left w:val="nil"/>
              <w:bottom w:val="nil"/>
              <w:right w:val="nil"/>
            </w:tcBorders>
          </w:tcPr>
          <w:p w14:paraId="73EDD3F0">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Age</w:t>
            </w:r>
          </w:p>
        </w:tc>
        <w:tc>
          <w:tcPr>
            <w:tcW w:w="0" w:type="auto"/>
            <w:tcBorders>
              <w:top w:val="nil"/>
              <w:left w:val="nil"/>
              <w:bottom w:val="nil"/>
              <w:right w:val="nil"/>
            </w:tcBorders>
          </w:tcPr>
          <w:p w14:paraId="05E896AD">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0.135 </w:t>
            </w:r>
          </w:p>
        </w:tc>
        <w:tc>
          <w:tcPr>
            <w:tcW w:w="0" w:type="auto"/>
            <w:tcBorders>
              <w:top w:val="nil"/>
              <w:left w:val="nil"/>
              <w:bottom w:val="nil"/>
              <w:right w:val="nil"/>
            </w:tcBorders>
          </w:tcPr>
          <w:p w14:paraId="46E9215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0.152</w:t>
            </w:r>
          </w:p>
        </w:tc>
        <w:tc>
          <w:tcPr>
            <w:tcW w:w="0" w:type="auto"/>
            <w:tcBorders>
              <w:top w:val="nil"/>
              <w:left w:val="nil"/>
              <w:bottom w:val="nil"/>
              <w:right w:val="nil"/>
            </w:tcBorders>
          </w:tcPr>
          <w:p w14:paraId="78B022A6">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182E2EAC">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7B67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14DDFC18">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p>
        </w:tc>
        <w:tc>
          <w:tcPr>
            <w:tcW w:w="0" w:type="auto"/>
            <w:tcBorders>
              <w:top w:val="nil"/>
              <w:left w:val="nil"/>
              <w:bottom w:val="nil"/>
              <w:right w:val="nil"/>
            </w:tcBorders>
          </w:tcPr>
          <w:p w14:paraId="231CD9FF">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Sex</w:t>
            </w:r>
          </w:p>
        </w:tc>
        <w:tc>
          <w:tcPr>
            <w:tcW w:w="0" w:type="auto"/>
            <w:tcBorders>
              <w:top w:val="nil"/>
              <w:left w:val="nil"/>
              <w:bottom w:val="nil"/>
              <w:right w:val="nil"/>
            </w:tcBorders>
          </w:tcPr>
          <w:p w14:paraId="24E3C4BC">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0.186 </w:t>
            </w:r>
          </w:p>
        </w:tc>
        <w:tc>
          <w:tcPr>
            <w:tcW w:w="0" w:type="auto"/>
            <w:tcBorders>
              <w:top w:val="nil"/>
              <w:left w:val="nil"/>
              <w:bottom w:val="nil"/>
              <w:right w:val="nil"/>
            </w:tcBorders>
          </w:tcPr>
          <w:p w14:paraId="50FF238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0.046</w:t>
            </w:r>
          </w:p>
        </w:tc>
        <w:tc>
          <w:tcPr>
            <w:tcW w:w="0" w:type="auto"/>
            <w:tcBorders>
              <w:top w:val="nil"/>
              <w:left w:val="nil"/>
              <w:bottom w:val="nil"/>
              <w:right w:val="nil"/>
            </w:tcBorders>
          </w:tcPr>
          <w:p w14:paraId="67020971">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Reject Hо</w:t>
            </w:r>
          </w:p>
        </w:tc>
        <w:tc>
          <w:tcPr>
            <w:tcW w:w="0" w:type="auto"/>
            <w:tcBorders>
              <w:top w:val="nil"/>
              <w:left w:val="nil"/>
              <w:bottom w:val="nil"/>
              <w:right w:val="nil"/>
            </w:tcBorders>
          </w:tcPr>
          <w:p w14:paraId="54311E60">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Significant</w:t>
            </w:r>
          </w:p>
        </w:tc>
      </w:tr>
      <w:tr w14:paraId="6D1C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3D38C8D6">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p>
        </w:tc>
        <w:tc>
          <w:tcPr>
            <w:tcW w:w="0" w:type="auto"/>
            <w:tcBorders>
              <w:top w:val="nil"/>
              <w:left w:val="nil"/>
              <w:bottom w:val="nil"/>
              <w:right w:val="nil"/>
            </w:tcBorders>
          </w:tcPr>
          <w:p w14:paraId="467D8DBD">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Years in School</w:t>
            </w:r>
          </w:p>
        </w:tc>
        <w:tc>
          <w:tcPr>
            <w:tcW w:w="0" w:type="auto"/>
            <w:tcBorders>
              <w:top w:val="nil"/>
              <w:left w:val="nil"/>
              <w:bottom w:val="nil"/>
              <w:right w:val="nil"/>
            </w:tcBorders>
          </w:tcPr>
          <w:p w14:paraId="59B356E3">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0.034 </w:t>
            </w:r>
          </w:p>
        </w:tc>
        <w:tc>
          <w:tcPr>
            <w:tcW w:w="0" w:type="auto"/>
            <w:tcBorders>
              <w:top w:val="nil"/>
              <w:left w:val="nil"/>
              <w:bottom w:val="nil"/>
              <w:right w:val="nil"/>
            </w:tcBorders>
          </w:tcPr>
          <w:p w14:paraId="50192A64">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0.715</w:t>
            </w:r>
          </w:p>
        </w:tc>
        <w:tc>
          <w:tcPr>
            <w:tcW w:w="0" w:type="auto"/>
            <w:tcBorders>
              <w:top w:val="nil"/>
              <w:left w:val="nil"/>
              <w:bottom w:val="nil"/>
              <w:right w:val="nil"/>
            </w:tcBorders>
          </w:tcPr>
          <w:p w14:paraId="707C15B1">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63591F8F">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3886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nil"/>
              <w:left w:val="nil"/>
              <w:bottom w:val="nil"/>
              <w:right w:val="nil"/>
            </w:tcBorders>
          </w:tcPr>
          <w:p w14:paraId="7E18D59E">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Social Regard</w:t>
            </w:r>
          </w:p>
        </w:tc>
        <w:tc>
          <w:tcPr>
            <w:tcW w:w="0" w:type="auto"/>
            <w:tcBorders>
              <w:top w:val="nil"/>
              <w:left w:val="nil"/>
              <w:bottom w:val="nil"/>
              <w:right w:val="nil"/>
            </w:tcBorders>
          </w:tcPr>
          <w:p w14:paraId="19C7FD85">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Age</w:t>
            </w:r>
          </w:p>
        </w:tc>
        <w:tc>
          <w:tcPr>
            <w:tcW w:w="0" w:type="auto"/>
            <w:tcBorders>
              <w:top w:val="nil"/>
              <w:left w:val="nil"/>
              <w:bottom w:val="nil"/>
              <w:right w:val="nil"/>
            </w:tcBorders>
          </w:tcPr>
          <w:p w14:paraId="2855992E">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0.121 </w:t>
            </w:r>
          </w:p>
        </w:tc>
        <w:tc>
          <w:tcPr>
            <w:tcW w:w="0" w:type="auto"/>
            <w:tcBorders>
              <w:top w:val="nil"/>
              <w:left w:val="nil"/>
              <w:bottom w:val="nil"/>
              <w:right w:val="nil"/>
            </w:tcBorders>
          </w:tcPr>
          <w:p w14:paraId="76E24696">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0.199</w:t>
            </w:r>
          </w:p>
        </w:tc>
        <w:tc>
          <w:tcPr>
            <w:tcW w:w="0" w:type="auto"/>
            <w:tcBorders>
              <w:top w:val="nil"/>
              <w:left w:val="nil"/>
              <w:bottom w:val="nil"/>
              <w:right w:val="nil"/>
            </w:tcBorders>
          </w:tcPr>
          <w:p w14:paraId="61BAD044">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56D4B09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7628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226D1EDE">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4F45F3ED">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Sex</w:t>
            </w:r>
          </w:p>
        </w:tc>
        <w:tc>
          <w:tcPr>
            <w:tcW w:w="0" w:type="auto"/>
            <w:tcBorders>
              <w:top w:val="nil"/>
              <w:left w:val="nil"/>
              <w:bottom w:val="nil"/>
              <w:right w:val="nil"/>
            </w:tcBorders>
          </w:tcPr>
          <w:p w14:paraId="49ABBDAA">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0.195 </w:t>
            </w:r>
          </w:p>
        </w:tc>
        <w:tc>
          <w:tcPr>
            <w:tcW w:w="0" w:type="auto"/>
            <w:tcBorders>
              <w:top w:val="nil"/>
              <w:left w:val="nil"/>
              <w:bottom w:val="nil"/>
              <w:right w:val="nil"/>
            </w:tcBorders>
          </w:tcPr>
          <w:p w14:paraId="5C97F22E">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0.036</w:t>
            </w:r>
          </w:p>
        </w:tc>
        <w:tc>
          <w:tcPr>
            <w:tcW w:w="0" w:type="auto"/>
            <w:tcBorders>
              <w:top w:val="nil"/>
              <w:left w:val="nil"/>
              <w:bottom w:val="nil"/>
              <w:right w:val="nil"/>
            </w:tcBorders>
          </w:tcPr>
          <w:p w14:paraId="4C32BD3B">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Reject Hо</w:t>
            </w:r>
          </w:p>
        </w:tc>
        <w:tc>
          <w:tcPr>
            <w:tcW w:w="0" w:type="auto"/>
            <w:tcBorders>
              <w:top w:val="nil"/>
              <w:left w:val="nil"/>
              <w:bottom w:val="nil"/>
              <w:right w:val="nil"/>
            </w:tcBorders>
          </w:tcPr>
          <w:p w14:paraId="51925733">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Significant</w:t>
            </w:r>
          </w:p>
        </w:tc>
      </w:tr>
      <w:tr w14:paraId="36A2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single" w:color="auto" w:sz="4" w:space="0"/>
              <w:right w:val="nil"/>
            </w:tcBorders>
          </w:tcPr>
          <w:p w14:paraId="7D562650">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p>
        </w:tc>
        <w:tc>
          <w:tcPr>
            <w:tcW w:w="0" w:type="auto"/>
            <w:tcBorders>
              <w:top w:val="nil"/>
              <w:left w:val="nil"/>
              <w:bottom w:val="single" w:color="auto" w:sz="4" w:space="0"/>
              <w:right w:val="nil"/>
            </w:tcBorders>
          </w:tcPr>
          <w:p w14:paraId="6D08D6A7">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Years in School</w:t>
            </w:r>
          </w:p>
        </w:tc>
        <w:tc>
          <w:tcPr>
            <w:tcW w:w="0" w:type="auto"/>
            <w:tcBorders>
              <w:top w:val="nil"/>
              <w:left w:val="nil"/>
              <w:bottom w:val="single" w:color="auto" w:sz="4" w:space="0"/>
              <w:right w:val="nil"/>
            </w:tcBorders>
          </w:tcPr>
          <w:p w14:paraId="071FADCC">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0.104 </w:t>
            </w:r>
          </w:p>
        </w:tc>
        <w:tc>
          <w:tcPr>
            <w:tcW w:w="0" w:type="auto"/>
            <w:tcBorders>
              <w:top w:val="nil"/>
              <w:left w:val="nil"/>
              <w:bottom w:val="single" w:color="auto" w:sz="4" w:space="0"/>
              <w:right w:val="nil"/>
            </w:tcBorders>
          </w:tcPr>
          <w:p w14:paraId="655B1897">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0.268</w:t>
            </w:r>
          </w:p>
        </w:tc>
        <w:tc>
          <w:tcPr>
            <w:tcW w:w="0" w:type="auto"/>
            <w:tcBorders>
              <w:top w:val="nil"/>
              <w:left w:val="nil"/>
              <w:bottom w:val="single" w:color="auto" w:sz="4" w:space="0"/>
              <w:right w:val="nil"/>
            </w:tcBorders>
          </w:tcPr>
          <w:p w14:paraId="72CB3C8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single" w:color="auto" w:sz="4" w:space="0"/>
              <w:right w:val="nil"/>
            </w:tcBorders>
          </w:tcPr>
          <w:p w14:paraId="79DD3764">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bl>
    <w:p w14:paraId="141E20A5">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3" w:lineRule="atLeast"/>
        <w:ind w:firstLine="643" w:firstLineChars="0"/>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Level of Significance</w:t>
      </w:r>
      <w:r>
        <w:rPr>
          <w:rFonts w:hint="default" w:ascii="Times New Roman" w:hAnsi="Times New Roman" w:eastAsia="SimSun" w:cs="Times New Roman"/>
          <w:b/>
          <w:bCs/>
          <w:sz w:val="20"/>
          <w:szCs w:val="20"/>
        </w:rPr>
        <w:t xml:space="preserve"> </w:t>
      </w:r>
      <w:r>
        <w:rPr>
          <w:rFonts w:hint="default" w:ascii="Times New Roman" w:hAnsi="Times New Roman" w:eastAsia="SimSun" w:cs="Times New Roman"/>
          <w:sz w:val="20"/>
          <w:szCs w:val="20"/>
        </w:rPr>
        <w:t>p &gt; 0.05</w:t>
      </w:r>
    </w:p>
    <w:p w14:paraId="4C11DEE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cs="Times New Roman"/>
          <w:sz w:val="24"/>
          <w:szCs w:val="24"/>
          <w:lang w:val="en-PH"/>
        </w:rPr>
      </w:pPr>
    </w:p>
    <w:p w14:paraId="4347C172">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For </w:t>
      </w:r>
      <w:r>
        <w:rPr>
          <w:rStyle w:val="28"/>
          <w:rFonts w:hint="default" w:ascii="Times New Roman" w:hAnsi="Times New Roman" w:eastAsia="SimSun" w:cs="Times New Roman"/>
          <w:b w:val="0"/>
          <w:bCs w:val="0"/>
          <w:sz w:val="24"/>
          <w:szCs w:val="24"/>
        </w:rPr>
        <w:t>student respondents</w:t>
      </w:r>
      <w:r>
        <w:rPr>
          <w:rFonts w:hint="default" w:ascii="Times New Roman" w:hAnsi="Times New Roman" w:eastAsia="SimSun" w:cs="Times New Roman"/>
          <w:b w:val="0"/>
          <w:bCs w:val="0"/>
          <w:sz w:val="24"/>
          <w:szCs w:val="24"/>
        </w:rPr>
        <w:t xml:space="preserve">, sex was the only variable with a statistically significant relationship (p &lt; 0.05), though correlations were weak (r = 0.186–0.195). Female students consistently perceived higher implementation levels, particularly in </w:t>
      </w:r>
      <w:r>
        <w:rPr>
          <w:rStyle w:val="28"/>
          <w:rFonts w:hint="default" w:ascii="Times New Roman" w:hAnsi="Times New Roman" w:eastAsia="SimSun" w:cs="Times New Roman"/>
          <w:b w:val="0"/>
          <w:bCs w:val="0"/>
          <w:sz w:val="24"/>
          <w:szCs w:val="24"/>
        </w:rPr>
        <w:t>Social Regard for Learning</w:t>
      </w:r>
      <w:r>
        <w:rPr>
          <w:rFonts w:hint="default" w:ascii="Times New Roman" w:hAnsi="Times New Roman" w:eastAsia="SimSun" w:cs="Times New Roman"/>
          <w:b w:val="0"/>
          <w:bCs w:val="0"/>
          <w:sz w:val="24"/>
          <w:szCs w:val="24"/>
        </w:rPr>
        <w:t>, reflecting their greater social sensitivity and collaborative competence (OECD, 2017; Roseth, Johnson, &amp; Johnson, 2008). In contrast, age and years in school showed no significant effects, indicating that maturity and institutional tenure did not alter perceptions of cooperative learning.</w:t>
      </w:r>
    </w:p>
    <w:p w14:paraId="2A23C777">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29C070BC">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For </w:t>
      </w:r>
      <w:r>
        <w:rPr>
          <w:rStyle w:val="28"/>
          <w:rFonts w:hint="default" w:ascii="Times New Roman" w:hAnsi="Times New Roman" w:eastAsia="SimSun" w:cs="Times New Roman"/>
          <w:b w:val="0"/>
          <w:bCs w:val="0"/>
          <w:sz w:val="24"/>
          <w:szCs w:val="24"/>
        </w:rPr>
        <w:t>teacher respondents</w:t>
      </w:r>
      <w:r>
        <w:rPr>
          <w:rFonts w:hint="default" w:ascii="Times New Roman" w:hAnsi="Times New Roman" w:eastAsia="SimSun" w:cs="Times New Roman"/>
          <w:b w:val="0"/>
          <w:bCs w:val="0"/>
          <w:sz w:val="24"/>
          <w:szCs w:val="24"/>
        </w:rPr>
        <w:t xml:space="preserve">, two significant relationships emerged: </w:t>
      </w:r>
      <w:r>
        <w:rPr>
          <w:rStyle w:val="28"/>
          <w:rFonts w:hint="default" w:ascii="Times New Roman" w:hAnsi="Times New Roman" w:eastAsia="SimSun" w:cs="Times New Roman"/>
          <w:b w:val="0"/>
          <w:bCs w:val="0"/>
          <w:sz w:val="24"/>
          <w:szCs w:val="24"/>
        </w:rPr>
        <w:t>Education vs. Curriculum</w:t>
      </w:r>
      <w:r>
        <w:rPr>
          <w:rFonts w:hint="default" w:ascii="Times New Roman" w:hAnsi="Times New Roman" w:eastAsia="SimSun" w:cs="Times New Roman"/>
          <w:b w:val="0"/>
          <w:bCs w:val="0"/>
          <w:sz w:val="24"/>
          <w:szCs w:val="24"/>
        </w:rPr>
        <w:t xml:space="preserve"> (r = 0.676, p = 0.045) and </w:t>
      </w:r>
      <w:r>
        <w:rPr>
          <w:rStyle w:val="28"/>
          <w:rFonts w:hint="default" w:ascii="Times New Roman" w:hAnsi="Times New Roman" w:eastAsia="SimSun" w:cs="Times New Roman"/>
          <w:b w:val="0"/>
          <w:bCs w:val="0"/>
          <w:sz w:val="24"/>
          <w:szCs w:val="24"/>
        </w:rPr>
        <w:t>Age vs. Social Regard for Learning</w:t>
      </w:r>
      <w:r>
        <w:rPr>
          <w:rFonts w:hint="default" w:ascii="Times New Roman" w:hAnsi="Times New Roman" w:eastAsia="SimSun" w:cs="Times New Roman"/>
          <w:b w:val="0"/>
          <w:bCs w:val="0"/>
          <w:sz w:val="24"/>
          <w:szCs w:val="24"/>
        </w:rPr>
        <w:t xml:space="preserve"> (r = 0.816, p = 0.007). Teachers with advanced degrees were more likely to rate curriculum implementation highly, while older teachers perceived stronger social regard, consistent with their mentoring role and experiential knowledge.</w:t>
      </w:r>
    </w:p>
    <w:p w14:paraId="58D5EF56">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Overall, sex influenced student perceptions of cooperative learning, while education and age shaped teacher assessments. These findings highlight the importance of </w:t>
      </w:r>
      <w:r>
        <w:rPr>
          <w:rStyle w:val="28"/>
          <w:rFonts w:hint="default" w:ascii="Times New Roman" w:hAnsi="Times New Roman" w:eastAsia="SimSun" w:cs="Times New Roman"/>
          <w:b w:val="0"/>
          <w:bCs w:val="0"/>
          <w:sz w:val="24"/>
          <w:szCs w:val="24"/>
        </w:rPr>
        <w:t>gender-sensitive strategies</w:t>
      </w:r>
      <w:r>
        <w:rPr>
          <w:rFonts w:hint="default" w:ascii="Times New Roman" w:hAnsi="Times New Roman" w:eastAsia="SimSun" w:cs="Times New Roman"/>
          <w:b w:val="0"/>
          <w:bCs w:val="0"/>
          <w:sz w:val="24"/>
          <w:szCs w:val="24"/>
        </w:rPr>
        <w:t xml:space="preserve"> for students and </w:t>
      </w:r>
      <w:r>
        <w:rPr>
          <w:rStyle w:val="28"/>
          <w:rFonts w:hint="default" w:ascii="Times New Roman" w:hAnsi="Times New Roman" w:eastAsia="SimSun" w:cs="Times New Roman"/>
          <w:b w:val="0"/>
          <w:bCs w:val="0"/>
          <w:sz w:val="24"/>
          <w:szCs w:val="24"/>
        </w:rPr>
        <w:t>continuous professional development</w:t>
      </w:r>
      <w:r>
        <w:rPr>
          <w:rFonts w:hint="default" w:ascii="Times New Roman" w:hAnsi="Times New Roman" w:eastAsia="SimSun" w:cs="Times New Roman"/>
          <w:b w:val="0"/>
          <w:bCs w:val="0"/>
          <w:sz w:val="24"/>
          <w:szCs w:val="24"/>
        </w:rPr>
        <w:t xml:space="preserve"> for teachers to strengthen cooperative learning outcomes.</w:t>
      </w:r>
    </w:p>
    <w:p w14:paraId="582726AB">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3F42F41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textAlignment w:val="auto"/>
        <w:rPr>
          <w:rStyle w:val="28"/>
          <w:rFonts w:hint="default" w:ascii="Times New Roman" w:hAnsi="Times New Roman" w:cs="Times New Roman"/>
          <w:b/>
          <w:bCs/>
          <w:sz w:val="24"/>
          <w:szCs w:val="24"/>
        </w:rPr>
      </w:pPr>
      <w:r>
        <w:rPr>
          <w:rStyle w:val="28"/>
          <w:rFonts w:hint="default" w:ascii="Times New Roman" w:hAnsi="Times New Roman" w:cs="Times New Roman"/>
          <w:b/>
          <w:bCs/>
          <w:sz w:val="24"/>
          <w:szCs w:val="24"/>
        </w:rPr>
        <w:t>Significant Relationships Between Teacher Profiles and Cooperative Learning Implementation</w:t>
      </w:r>
    </w:p>
    <w:p w14:paraId="371D3CC8">
      <w:pPr>
        <w:rPr>
          <w:rFonts w:hint="default"/>
        </w:rPr>
      </w:pPr>
    </w:p>
    <w:p w14:paraId="4BCADDE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Table </w:t>
      </w:r>
      <w:r>
        <w:rPr>
          <w:rFonts w:hint="default" w:ascii="Times New Roman" w:hAnsi="Times New Roman" w:eastAsia="SimSun" w:cs="Times New Roman"/>
          <w:sz w:val="20"/>
          <w:szCs w:val="20"/>
          <w:lang w:val="en-PH"/>
        </w:rPr>
        <w:t>6</w:t>
      </w:r>
      <w:r>
        <w:rPr>
          <w:rFonts w:hint="default" w:ascii="Times New Roman" w:hAnsi="Times New Roman" w:eastAsia="SimSun" w:cs="Times New Roman"/>
          <w:sz w:val="20"/>
          <w:szCs w:val="20"/>
          <w:lang w:val="en-GB"/>
        </w:rPr>
        <w:t>.</w:t>
      </w:r>
      <w:r>
        <w:rPr>
          <w:rFonts w:hint="default" w:ascii="Times New Roman" w:hAnsi="Times New Roman" w:eastAsia="SimSun" w:cs="Times New Roman"/>
          <w:sz w:val="20"/>
          <w:szCs w:val="20"/>
        </w:rPr>
        <w:t xml:space="preserve"> Significant Relationship between the Profile and the Extent of Implementation</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027"/>
        <w:gridCol w:w="1166"/>
        <w:gridCol w:w="827"/>
        <w:gridCol w:w="1710"/>
        <w:gridCol w:w="1444"/>
      </w:tblGrid>
      <w:tr w14:paraId="29BE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tcBorders>
              <w:top w:val="single" w:color="auto" w:sz="4" w:space="0"/>
              <w:left w:val="nil"/>
              <w:bottom w:val="single" w:color="auto" w:sz="4" w:space="0"/>
              <w:right w:val="nil"/>
            </w:tcBorders>
          </w:tcPr>
          <w:p w14:paraId="08EF33D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Variables Tested</w:t>
            </w:r>
          </w:p>
        </w:tc>
        <w:tc>
          <w:tcPr>
            <w:tcW w:w="0" w:type="auto"/>
            <w:tcBorders>
              <w:top w:val="single" w:color="auto" w:sz="4" w:space="0"/>
              <w:left w:val="nil"/>
              <w:bottom w:val="single" w:color="auto" w:sz="4" w:space="0"/>
              <w:right w:val="nil"/>
            </w:tcBorders>
          </w:tcPr>
          <w:p w14:paraId="5BA46E2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Computed r</w:t>
            </w:r>
          </w:p>
        </w:tc>
        <w:tc>
          <w:tcPr>
            <w:tcW w:w="0" w:type="auto"/>
            <w:tcBorders>
              <w:top w:val="single" w:color="auto" w:sz="4" w:space="0"/>
              <w:left w:val="nil"/>
              <w:bottom w:val="single" w:color="auto" w:sz="4" w:space="0"/>
              <w:right w:val="nil"/>
            </w:tcBorders>
          </w:tcPr>
          <w:p w14:paraId="4E22F76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P-value</w:t>
            </w:r>
          </w:p>
        </w:tc>
        <w:tc>
          <w:tcPr>
            <w:tcW w:w="0" w:type="auto"/>
            <w:tcBorders>
              <w:top w:val="single" w:color="auto" w:sz="4" w:space="0"/>
              <w:left w:val="nil"/>
              <w:bottom w:val="single" w:color="auto" w:sz="4" w:space="0"/>
              <w:right w:val="nil"/>
            </w:tcBorders>
          </w:tcPr>
          <w:p w14:paraId="2E7B1D5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Decision</w:t>
            </w:r>
          </w:p>
        </w:tc>
        <w:tc>
          <w:tcPr>
            <w:tcW w:w="0" w:type="auto"/>
            <w:tcBorders>
              <w:top w:val="single" w:color="auto" w:sz="4" w:space="0"/>
              <w:left w:val="nil"/>
              <w:bottom w:val="single" w:color="auto" w:sz="4" w:space="0"/>
              <w:right w:val="nil"/>
            </w:tcBorders>
          </w:tcPr>
          <w:p w14:paraId="4420648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lang w:val="en-PH"/>
              </w:rPr>
            </w:pPr>
            <w:r>
              <w:rPr>
                <w:rFonts w:hint="default" w:ascii="Times New Roman" w:hAnsi="Times New Roman" w:eastAsia="SimSun" w:cs="Times New Roman"/>
                <w:sz w:val="20"/>
                <w:szCs w:val="20"/>
                <w:lang w:val="en-PH"/>
              </w:rPr>
              <w:t>Interpretation</w:t>
            </w:r>
          </w:p>
        </w:tc>
      </w:tr>
      <w:tr w14:paraId="37EF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single" w:color="auto" w:sz="4" w:space="0"/>
              <w:left w:val="nil"/>
              <w:bottom w:val="nil"/>
              <w:right w:val="nil"/>
            </w:tcBorders>
          </w:tcPr>
          <w:p w14:paraId="7F74097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Curriculum</w:t>
            </w:r>
          </w:p>
        </w:tc>
        <w:tc>
          <w:tcPr>
            <w:tcW w:w="0" w:type="auto"/>
            <w:tcBorders>
              <w:top w:val="single" w:color="auto" w:sz="4" w:space="0"/>
              <w:left w:val="nil"/>
              <w:bottom w:val="nil"/>
              <w:right w:val="nil"/>
            </w:tcBorders>
          </w:tcPr>
          <w:p w14:paraId="219BFFB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Age</w:t>
            </w:r>
          </w:p>
        </w:tc>
        <w:tc>
          <w:tcPr>
            <w:tcW w:w="0" w:type="auto"/>
            <w:tcBorders>
              <w:top w:val="single" w:color="auto" w:sz="4" w:space="0"/>
              <w:left w:val="nil"/>
              <w:bottom w:val="nil"/>
              <w:right w:val="nil"/>
            </w:tcBorders>
          </w:tcPr>
          <w:p w14:paraId="78ACB45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0.180</w:t>
            </w:r>
          </w:p>
        </w:tc>
        <w:tc>
          <w:tcPr>
            <w:tcW w:w="0" w:type="auto"/>
            <w:tcBorders>
              <w:top w:val="single" w:color="auto" w:sz="4" w:space="0"/>
              <w:left w:val="nil"/>
              <w:bottom w:val="nil"/>
              <w:right w:val="nil"/>
            </w:tcBorders>
          </w:tcPr>
          <w:p w14:paraId="148E55C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0.642</w:t>
            </w:r>
          </w:p>
        </w:tc>
        <w:tc>
          <w:tcPr>
            <w:tcW w:w="0" w:type="auto"/>
            <w:tcBorders>
              <w:top w:val="single" w:color="auto" w:sz="4" w:space="0"/>
              <w:left w:val="nil"/>
              <w:bottom w:val="nil"/>
              <w:right w:val="nil"/>
            </w:tcBorders>
          </w:tcPr>
          <w:p w14:paraId="337E735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single" w:color="auto" w:sz="4" w:space="0"/>
              <w:left w:val="nil"/>
              <w:bottom w:val="nil"/>
              <w:right w:val="nil"/>
            </w:tcBorders>
          </w:tcPr>
          <w:p w14:paraId="151A95B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2E64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6CABFC2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1CF5A30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Sex</w:t>
            </w:r>
          </w:p>
        </w:tc>
        <w:tc>
          <w:tcPr>
            <w:tcW w:w="0" w:type="auto"/>
            <w:tcBorders>
              <w:top w:val="nil"/>
              <w:left w:val="nil"/>
              <w:bottom w:val="nil"/>
              <w:right w:val="nil"/>
            </w:tcBorders>
          </w:tcPr>
          <w:p w14:paraId="167B762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0.195</w:t>
            </w:r>
          </w:p>
        </w:tc>
        <w:tc>
          <w:tcPr>
            <w:tcW w:w="0" w:type="auto"/>
            <w:tcBorders>
              <w:top w:val="nil"/>
              <w:left w:val="nil"/>
              <w:bottom w:val="nil"/>
              <w:right w:val="nil"/>
            </w:tcBorders>
          </w:tcPr>
          <w:p w14:paraId="19702AE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0.615</w:t>
            </w:r>
          </w:p>
        </w:tc>
        <w:tc>
          <w:tcPr>
            <w:tcW w:w="0" w:type="auto"/>
            <w:tcBorders>
              <w:top w:val="nil"/>
              <w:left w:val="nil"/>
              <w:bottom w:val="nil"/>
              <w:right w:val="nil"/>
            </w:tcBorders>
          </w:tcPr>
          <w:p w14:paraId="7F2BBCD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4BF919F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7A52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72DBC98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74D02E1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Education</w:t>
            </w:r>
          </w:p>
        </w:tc>
        <w:tc>
          <w:tcPr>
            <w:tcW w:w="0" w:type="auto"/>
            <w:tcBorders>
              <w:top w:val="nil"/>
              <w:left w:val="nil"/>
              <w:bottom w:val="nil"/>
              <w:right w:val="nil"/>
            </w:tcBorders>
          </w:tcPr>
          <w:p w14:paraId="7184282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0.676</w:t>
            </w:r>
          </w:p>
        </w:tc>
        <w:tc>
          <w:tcPr>
            <w:tcW w:w="0" w:type="auto"/>
            <w:tcBorders>
              <w:top w:val="nil"/>
              <w:left w:val="nil"/>
              <w:bottom w:val="nil"/>
              <w:right w:val="nil"/>
            </w:tcBorders>
          </w:tcPr>
          <w:p w14:paraId="7605423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0.045</w:t>
            </w:r>
          </w:p>
        </w:tc>
        <w:tc>
          <w:tcPr>
            <w:tcW w:w="0" w:type="auto"/>
            <w:tcBorders>
              <w:top w:val="nil"/>
              <w:left w:val="nil"/>
              <w:bottom w:val="nil"/>
              <w:right w:val="nil"/>
            </w:tcBorders>
          </w:tcPr>
          <w:p w14:paraId="42CB623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0F84F25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76B7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50DEBD0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0C06083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Service</w:t>
            </w:r>
          </w:p>
        </w:tc>
        <w:tc>
          <w:tcPr>
            <w:tcW w:w="0" w:type="auto"/>
            <w:tcBorders>
              <w:top w:val="nil"/>
              <w:left w:val="nil"/>
              <w:bottom w:val="nil"/>
              <w:right w:val="nil"/>
            </w:tcBorders>
          </w:tcPr>
          <w:p w14:paraId="5E75DD9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0.086</w:t>
            </w:r>
          </w:p>
        </w:tc>
        <w:tc>
          <w:tcPr>
            <w:tcW w:w="0" w:type="auto"/>
            <w:tcBorders>
              <w:top w:val="nil"/>
              <w:left w:val="nil"/>
              <w:bottom w:val="nil"/>
              <w:right w:val="nil"/>
            </w:tcBorders>
          </w:tcPr>
          <w:p w14:paraId="6AC2480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0.0825</w:t>
            </w:r>
          </w:p>
        </w:tc>
        <w:tc>
          <w:tcPr>
            <w:tcW w:w="0" w:type="auto"/>
            <w:tcBorders>
              <w:top w:val="nil"/>
              <w:left w:val="nil"/>
              <w:bottom w:val="nil"/>
              <w:right w:val="nil"/>
            </w:tcBorders>
          </w:tcPr>
          <w:p w14:paraId="3A536AB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2D321E0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1C0A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0" w:type="auto"/>
            <w:vMerge w:val="continue"/>
            <w:tcBorders>
              <w:top w:val="nil"/>
              <w:left w:val="nil"/>
              <w:bottom w:val="nil"/>
              <w:right w:val="nil"/>
            </w:tcBorders>
          </w:tcPr>
          <w:p w14:paraId="6CA6922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4D429D3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Training</w:t>
            </w:r>
          </w:p>
        </w:tc>
        <w:tc>
          <w:tcPr>
            <w:tcW w:w="0" w:type="auto"/>
            <w:tcBorders>
              <w:top w:val="nil"/>
              <w:left w:val="nil"/>
              <w:bottom w:val="nil"/>
              <w:right w:val="nil"/>
            </w:tcBorders>
          </w:tcPr>
          <w:p w14:paraId="0F9725B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0.234</w:t>
            </w:r>
          </w:p>
        </w:tc>
        <w:tc>
          <w:tcPr>
            <w:tcW w:w="0" w:type="auto"/>
            <w:tcBorders>
              <w:top w:val="nil"/>
              <w:left w:val="nil"/>
              <w:bottom w:val="nil"/>
              <w:right w:val="nil"/>
            </w:tcBorders>
          </w:tcPr>
          <w:p w14:paraId="348EE7A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0.544</w:t>
            </w:r>
          </w:p>
        </w:tc>
        <w:tc>
          <w:tcPr>
            <w:tcW w:w="0" w:type="auto"/>
            <w:tcBorders>
              <w:top w:val="nil"/>
              <w:left w:val="nil"/>
              <w:bottom w:val="nil"/>
              <w:right w:val="nil"/>
            </w:tcBorders>
          </w:tcPr>
          <w:p w14:paraId="6959A30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2ED0D1B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3083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nil"/>
              <w:left w:val="nil"/>
              <w:bottom w:val="nil"/>
              <w:right w:val="nil"/>
            </w:tcBorders>
          </w:tcPr>
          <w:p w14:paraId="6B1897A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Learning</w:t>
            </w:r>
          </w:p>
          <w:p w14:paraId="297E769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Environment</w:t>
            </w:r>
          </w:p>
        </w:tc>
        <w:tc>
          <w:tcPr>
            <w:tcW w:w="0" w:type="auto"/>
            <w:tcBorders>
              <w:top w:val="nil"/>
              <w:left w:val="nil"/>
              <w:bottom w:val="nil"/>
              <w:right w:val="nil"/>
            </w:tcBorders>
          </w:tcPr>
          <w:p w14:paraId="7397B2F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Age</w:t>
            </w:r>
          </w:p>
        </w:tc>
        <w:tc>
          <w:tcPr>
            <w:tcW w:w="0" w:type="auto"/>
            <w:tcBorders>
              <w:top w:val="nil"/>
              <w:left w:val="nil"/>
              <w:bottom w:val="nil"/>
              <w:right w:val="nil"/>
            </w:tcBorders>
          </w:tcPr>
          <w:p w14:paraId="1DB9146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0.567</w:t>
            </w:r>
          </w:p>
        </w:tc>
        <w:tc>
          <w:tcPr>
            <w:tcW w:w="0" w:type="auto"/>
            <w:tcBorders>
              <w:top w:val="nil"/>
              <w:left w:val="nil"/>
              <w:bottom w:val="nil"/>
              <w:right w:val="nil"/>
            </w:tcBorders>
          </w:tcPr>
          <w:p w14:paraId="6050A4A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0.111</w:t>
            </w:r>
          </w:p>
        </w:tc>
        <w:tc>
          <w:tcPr>
            <w:tcW w:w="0" w:type="auto"/>
            <w:tcBorders>
              <w:top w:val="nil"/>
              <w:left w:val="nil"/>
              <w:bottom w:val="nil"/>
              <w:right w:val="nil"/>
            </w:tcBorders>
          </w:tcPr>
          <w:p w14:paraId="10C8C64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016C3D9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0D88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3833AAB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3128C96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Sex</w:t>
            </w:r>
          </w:p>
        </w:tc>
        <w:tc>
          <w:tcPr>
            <w:tcW w:w="0" w:type="auto"/>
            <w:tcBorders>
              <w:top w:val="nil"/>
              <w:left w:val="nil"/>
              <w:bottom w:val="nil"/>
              <w:right w:val="nil"/>
            </w:tcBorders>
          </w:tcPr>
          <w:p w14:paraId="04C3DFF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0.154</w:t>
            </w:r>
          </w:p>
        </w:tc>
        <w:tc>
          <w:tcPr>
            <w:tcW w:w="0" w:type="auto"/>
            <w:tcBorders>
              <w:top w:val="nil"/>
              <w:left w:val="nil"/>
              <w:bottom w:val="nil"/>
              <w:right w:val="nil"/>
            </w:tcBorders>
          </w:tcPr>
          <w:p w14:paraId="6974F01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0.693</w:t>
            </w:r>
          </w:p>
        </w:tc>
        <w:tc>
          <w:tcPr>
            <w:tcW w:w="0" w:type="auto"/>
            <w:tcBorders>
              <w:top w:val="nil"/>
              <w:left w:val="nil"/>
              <w:bottom w:val="nil"/>
              <w:right w:val="nil"/>
            </w:tcBorders>
          </w:tcPr>
          <w:p w14:paraId="462C3E0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2A54AD4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4110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3772352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336D391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Education</w:t>
            </w:r>
          </w:p>
        </w:tc>
        <w:tc>
          <w:tcPr>
            <w:tcW w:w="0" w:type="auto"/>
            <w:tcBorders>
              <w:top w:val="nil"/>
              <w:left w:val="nil"/>
              <w:bottom w:val="nil"/>
              <w:right w:val="nil"/>
            </w:tcBorders>
          </w:tcPr>
          <w:p w14:paraId="0034C64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0.646</w:t>
            </w:r>
          </w:p>
        </w:tc>
        <w:tc>
          <w:tcPr>
            <w:tcW w:w="0" w:type="auto"/>
            <w:tcBorders>
              <w:top w:val="nil"/>
              <w:left w:val="nil"/>
              <w:bottom w:val="nil"/>
              <w:right w:val="nil"/>
            </w:tcBorders>
          </w:tcPr>
          <w:p w14:paraId="03A698B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0.060</w:t>
            </w:r>
          </w:p>
        </w:tc>
        <w:tc>
          <w:tcPr>
            <w:tcW w:w="0" w:type="auto"/>
            <w:tcBorders>
              <w:top w:val="nil"/>
              <w:left w:val="nil"/>
              <w:bottom w:val="nil"/>
              <w:right w:val="nil"/>
            </w:tcBorders>
          </w:tcPr>
          <w:p w14:paraId="293D439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2E56553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28A6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2B132D6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19C14DA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Service</w:t>
            </w:r>
          </w:p>
        </w:tc>
        <w:tc>
          <w:tcPr>
            <w:tcW w:w="0" w:type="auto"/>
            <w:tcBorders>
              <w:top w:val="nil"/>
              <w:left w:val="nil"/>
              <w:bottom w:val="nil"/>
              <w:right w:val="nil"/>
            </w:tcBorders>
          </w:tcPr>
          <w:p w14:paraId="27CD41A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0.258</w:t>
            </w:r>
          </w:p>
        </w:tc>
        <w:tc>
          <w:tcPr>
            <w:tcW w:w="0" w:type="auto"/>
            <w:tcBorders>
              <w:top w:val="nil"/>
              <w:left w:val="nil"/>
              <w:bottom w:val="nil"/>
              <w:right w:val="nil"/>
            </w:tcBorders>
          </w:tcPr>
          <w:p w14:paraId="085CAE2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0.503</w:t>
            </w:r>
          </w:p>
        </w:tc>
        <w:tc>
          <w:tcPr>
            <w:tcW w:w="0" w:type="auto"/>
            <w:tcBorders>
              <w:top w:val="nil"/>
              <w:left w:val="nil"/>
              <w:bottom w:val="nil"/>
              <w:right w:val="nil"/>
            </w:tcBorders>
          </w:tcPr>
          <w:p w14:paraId="669141F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6D9C84F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6529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1958126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62C61C8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Training</w:t>
            </w:r>
          </w:p>
        </w:tc>
        <w:tc>
          <w:tcPr>
            <w:tcW w:w="0" w:type="auto"/>
            <w:tcBorders>
              <w:top w:val="nil"/>
              <w:left w:val="nil"/>
              <w:bottom w:val="nil"/>
              <w:right w:val="nil"/>
            </w:tcBorders>
          </w:tcPr>
          <w:p w14:paraId="6540781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0.246</w:t>
            </w:r>
          </w:p>
        </w:tc>
        <w:tc>
          <w:tcPr>
            <w:tcW w:w="0" w:type="auto"/>
            <w:tcBorders>
              <w:top w:val="nil"/>
              <w:left w:val="nil"/>
              <w:bottom w:val="nil"/>
              <w:right w:val="nil"/>
            </w:tcBorders>
          </w:tcPr>
          <w:p w14:paraId="754B4A5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0.524</w:t>
            </w:r>
          </w:p>
        </w:tc>
        <w:tc>
          <w:tcPr>
            <w:tcW w:w="0" w:type="auto"/>
            <w:tcBorders>
              <w:top w:val="nil"/>
              <w:left w:val="nil"/>
              <w:bottom w:val="nil"/>
              <w:right w:val="nil"/>
            </w:tcBorders>
          </w:tcPr>
          <w:p w14:paraId="6470CD5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568270A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6C27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nil"/>
              <w:left w:val="nil"/>
              <w:bottom w:val="nil"/>
              <w:right w:val="nil"/>
            </w:tcBorders>
          </w:tcPr>
          <w:p w14:paraId="01C0FAD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Diversity of Learners</w:t>
            </w:r>
          </w:p>
        </w:tc>
        <w:tc>
          <w:tcPr>
            <w:tcW w:w="0" w:type="auto"/>
            <w:tcBorders>
              <w:top w:val="nil"/>
              <w:left w:val="nil"/>
              <w:bottom w:val="nil"/>
              <w:right w:val="nil"/>
            </w:tcBorders>
          </w:tcPr>
          <w:p w14:paraId="6364B09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Age</w:t>
            </w:r>
          </w:p>
        </w:tc>
        <w:tc>
          <w:tcPr>
            <w:tcW w:w="0" w:type="auto"/>
            <w:tcBorders>
              <w:top w:val="nil"/>
              <w:left w:val="nil"/>
              <w:bottom w:val="nil"/>
              <w:right w:val="nil"/>
            </w:tcBorders>
          </w:tcPr>
          <w:p w14:paraId="28D6CB6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0.603</w:t>
            </w:r>
          </w:p>
        </w:tc>
        <w:tc>
          <w:tcPr>
            <w:tcW w:w="0" w:type="auto"/>
            <w:tcBorders>
              <w:top w:val="nil"/>
              <w:left w:val="nil"/>
              <w:bottom w:val="nil"/>
              <w:right w:val="nil"/>
            </w:tcBorders>
          </w:tcPr>
          <w:p w14:paraId="5345EA4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0,086</w:t>
            </w:r>
          </w:p>
        </w:tc>
        <w:tc>
          <w:tcPr>
            <w:tcW w:w="0" w:type="auto"/>
            <w:tcBorders>
              <w:top w:val="nil"/>
              <w:left w:val="nil"/>
              <w:bottom w:val="nil"/>
              <w:right w:val="nil"/>
            </w:tcBorders>
          </w:tcPr>
          <w:p w14:paraId="3C39D16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11224E6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1B8E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47C316F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2255879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Sex</w:t>
            </w:r>
          </w:p>
        </w:tc>
        <w:tc>
          <w:tcPr>
            <w:tcW w:w="0" w:type="auto"/>
            <w:tcBorders>
              <w:top w:val="nil"/>
              <w:left w:val="nil"/>
              <w:bottom w:val="nil"/>
              <w:right w:val="nil"/>
            </w:tcBorders>
          </w:tcPr>
          <w:p w14:paraId="464018C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0.166</w:t>
            </w:r>
          </w:p>
        </w:tc>
        <w:tc>
          <w:tcPr>
            <w:tcW w:w="0" w:type="auto"/>
            <w:tcBorders>
              <w:top w:val="nil"/>
              <w:left w:val="nil"/>
              <w:bottom w:val="nil"/>
              <w:right w:val="nil"/>
            </w:tcBorders>
          </w:tcPr>
          <w:p w14:paraId="2403717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0.669</w:t>
            </w:r>
          </w:p>
        </w:tc>
        <w:tc>
          <w:tcPr>
            <w:tcW w:w="0" w:type="auto"/>
            <w:tcBorders>
              <w:top w:val="nil"/>
              <w:left w:val="nil"/>
              <w:bottom w:val="nil"/>
              <w:right w:val="nil"/>
            </w:tcBorders>
          </w:tcPr>
          <w:p w14:paraId="3324E70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29BEE61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5DF7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45787C2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3A3F25D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Education</w:t>
            </w:r>
          </w:p>
        </w:tc>
        <w:tc>
          <w:tcPr>
            <w:tcW w:w="0" w:type="auto"/>
            <w:tcBorders>
              <w:top w:val="nil"/>
              <w:left w:val="nil"/>
              <w:bottom w:val="nil"/>
              <w:right w:val="nil"/>
            </w:tcBorders>
          </w:tcPr>
          <w:p w14:paraId="239B0B1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0.646</w:t>
            </w:r>
          </w:p>
        </w:tc>
        <w:tc>
          <w:tcPr>
            <w:tcW w:w="0" w:type="auto"/>
            <w:tcBorders>
              <w:top w:val="nil"/>
              <w:left w:val="nil"/>
              <w:bottom w:val="nil"/>
              <w:right w:val="nil"/>
            </w:tcBorders>
          </w:tcPr>
          <w:p w14:paraId="0E041E8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0.060</w:t>
            </w:r>
          </w:p>
        </w:tc>
        <w:tc>
          <w:tcPr>
            <w:tcW w:w="0" w:type="auto"/>
            <w:tcBorders>
              <w:top w:val="nil"/>
              <w:left w:val="nil"/>
              <w:bottom w:val="nil"/>
              <w:right w:val="nil"/>
            </w:tcBorders>
          </w:tcPr>
          <w:p w14:paraId="4F1335D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2F0495E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0D96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7BD7BCB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1E707AC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Service</w:t>
            </w:r>
          </w:p>
        </w:tc>
        <w:tc>
          <w:tcPr>
            <w:tcW w:w="0" w:type="auto"/>
            <w:tcBorders>
              <w:top w:val="nil"/>
              <w:left w:val="nil"/>
              <w:bottom w:val="nil"/>
              <w:right w:val="nil"/>
            </w:tcBorders>
          </w:tcPr>
          <w:p w14:paraId="5C21D45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0.288</w:t>
            </w:r>
          </w:p>
        </w:tc>
        <w:tc>
          <w:tcPr>
            <w:tcW w:w="0" w:type="auto"/>
            <w:tcBorders>
              <w:top w:val="nil"/>
              <w:left w:val="nil"/>
              <w:bottom w:val="nil"/>
              <w:right w:val="nil"/>
            </w:tcBorders>
          </w:tcPr>
          <w:p w14:paraId="18DCF1F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0.452</w:t>
            </w:r>
          </w:p>
        </w:tc>
        <w:tc>
          <w:tcPr>
            <w:tcW w:w="0" w:type="auto"/>
            <w:tcBorders>
              <w:top w:val="nil"/>
              <w:left w:val="nil"/>
              <w:bottom w:val="nil"/>
              <w:right w:val="nil"/>
            </w:tcBorders>
          </w:tcPr>
          <w:p w14:paraId="6F3B661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54C7BC7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77C9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5611540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71D1678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Training</w:t>
            </w:r>
          </w:p>
        </w:tc>
        <w:tc>
          <w:tcPr>
            <w:tcW w:w="0" w:type="auto"/>
            <w:tcBorders>
              <w:top w:val="nil"/>
              <w:left w:val="nil"/>
              <w:bottom w:val="nil"/>
              <w:right w:val="nil"/>
            </w:tcBorders>
          </w:tcPr>
          <w:p w14:paraId="097DC83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0.237</w:t>
            </w:r>
          </w:p>
        </w:tc>
        <w:tc>
          <w:tcPr>
            <w:tcW w:w="0" w:type="auto"/>
            <w:tcBorders>
              <w:top w:val="nil"/>
              <w:left w:val="nil"/>
              <w:bottom w:val="nil"/>
              <w:right w:val="nil"/>
            </w:tcBorders>
          </w:tcPr>
          <w:p w14:paraId="3975B5F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0.539</w:t>
            </w:r>
          </w:p>
        </w:tc>
        <w:tc>
          <w:tcPr>
            <w:tcW w:w="0" w:type="auto"/>
            <w:tcBorders>
              <w:top w:val="nil"/>
              <w:left w:val="nil"/>
              <w:bottom w:val="nil"/>
              <w:right w:val="nil"/>
            </w:tcBorders>
          </w:tcPr>
          <w:p w14:paraId="73D2F7C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7F799EA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6C07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nil"/>
              <w:left w:val="nil"/>
              <w:bottom w:val="nil"/>
              <w:right w:val="nil"/>
            </w:tcBorders>
          </w:tcPr>
          <w:p w14:paraId="078E65E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Social Regard</w:t>
            </w:r>
          </w:p>
        </w:tc>
        <w:tc>
          <w:tcPr>
            <w:tcW w:w="0" w:type="auto"/>
            <w:tcBorders>
              <w:top w:val="nil"/>
              <w:left w:val="nil"/>
              <w:bottom w:val="nil"/>
              <w:right w:val="nil"/>
            </w:tcBorders>
          </w:tcPr>
          <w:p w14:paraId="7CE7C43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Age</w:t>
            </w:r>
          </w:p>
        </w:tc>
        <w:tc>
          <w:tcPr>
            <w:tcW w:w="0" w:type="auto"/>
            <w:tcBorders>
              <w:top w:val="nil"/>
              <w:left w:val="nil"/>
              <w:bottom w:val="nil"/>
              <w:right w:val="nil"/>
            </w:tcBorders>
          </w:tcPr>
          <w:p w14:paraId="625ED9B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0.816</w:t>
            </w:r>
          </w:p>
        </w:tc>
        <w:tc>
          <w:tcPr>
            <w:tcW w:w="0" w:type="auto"/>
            <w:tcBorders>
              <w:top w:val="nil"/>
              <w:left w:val="nil"/>
              <w:bottom w:val="nil"/>
              <w:right w:val="nil"/>
            </w:tcBorders>
          </w:tcPr>
          <w:p w14:paraId="6BD2ADE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0.007</w:t>
            </w:r>
          </w:p>
        </w:tc>
        <w:tc>
          <w:tcPr>
            <w:tcW w:w="0" w:type="auto"/>
            <w:tcBorders>
              <w:top w:val="nil"/>
              <w:left w:val="nil"/>
              <w:bottom w:val="nil"/>
              <w:right w:val="nil"/>
            </w:tcBorders>
          </w:tcPr>
          <w:p w14:paraId="0C67274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Reject Hо</w:t>
            </w:r>
          </w:p>
        </w:tc>
        <w:tc>
          <w:tcPr>
            <w:tcW w:w="0" w:type="auto"/>
            <w:tcBorders>
              <w:top w:val="nil"/>
              <w:left w:val="nil"/>
              <w:bottom w:val="nil"/>
              <w:right w:val="nil"/>
            </w:tcBorders>
          </w:tcPr>
          <w:p w14:paraId="6C5AA20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Significant</w:t>
            </w:r>
          </w:p>
        </w:tc>
      </w:tr>
      <w:tr w14:paraId="2E4A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6A2C27D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3B0144B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Sex</w:t>
            </w:r>
          </w:p>
        </w:tc>
        <w:tc>
          <w:tcPr>
            <w:tcW w:w="0" w:type="auto"/>
            <w:tcBorders>
              <w:top w:val="nil"/>
              <w:left w:val="nil"/>
              <w:bottom w:val="nil"/>
              <w:right w:val="nil"/>
            </w:tcBorders>
          </w:tcPr>
          <w:p w14:paraId="3AB6D42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0.354</w:t>
            </w:r>
          </w:p>
        </w:tc>
        <w:tc>
          <w:tcPr>
            <w:tcW w:w="0" w:type="auto"/>
            <w:tcBorders>
              <w:top w:val="nil"/>
              <w:left w:val="nil"/>
              <w:bottom w:val="nil"/>
              <w:right w:val="nil"/>
            </w:tcBorders>
          </w:tcPr>
          <w:p w14:paraId="12F5158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0.351</w:t>
            </w:r>
          </w:p>
        </w:tc>
        <w:tc>
          <w:tcPr>
            <w:tcW w:w="0" w:type="auto"/>
            <w:tcBorders>
              <w:top w:val="nil"/>
              <w:left w:val="nil"/>
              <w:bottom w:val="nil"/>
              <w:right w:val="nil"/>
            </w:tcBorders>
          </w:tcPr>
          <w:p w14:paraId="5F47116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4473ECA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3B48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729EABF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4C371B4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Education</w:t>
            </w:r>
          </w:p>
        </w:tc>
        <w:tc>
          <w:tcPr>
            <w:tcW w:w="0" w:type="auto"/>
            <w:tcBorders>
              <w:top w:val="nil"/>
              <w:left w:val="nil"/>
              <w:bottom w:val="nil"/>
              <w:right w:val="nil"/>
            </w:tcBorders>
          </w:tcPr>
          <w:p w14:paraId="791DA39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0.438</w:t>
            </w:r>
          </w:p>
        </w:tc>
        <w:tc>
          <w:tcPr>
            <w:tcW w:w="0" w:type="auto"/>
            <w:tcBorders>
              <w:top w:val="nil"/>
              <w:left w:val="nil"/>
              <w:bottom w:val="nil"/>
              <w:right w:val="nil"/>
            </w:tcBorders>
          </w:tcPr>
          <w:p w14:paraId="0119D84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0.239</w:t>
            </w:r>
          </w:p>
        </w:tc>
        <w:tc>
          <w:tcPr>
            <w:tcW w:w="0" w:type="auto"/>
            <w:tcBorders>
              <w:top w:val="nil"/>
              <w:left w:val="nil"/>
              <w:bottom w:val="nil"/>
              <w:right w:val="nil"/>
            </w:tcBorders>
          </w:tcPr>
          <w:p w14:paraId="578B28E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10AC411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5077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79EEAEA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54AFBF9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Service</w:t>
            </w:r>
          </w:p>
        </w:tc>
        <w:tc>
          <w:tcPr>
            <w:tcW w:w="0" w:type="auto"/>
            <w:tcBorders>
              <w:top w:val="nil"/>
              <w:left w:val="nil"/>
              <w:bottom w:val="nil"/>
              <w:right w:val="nil"/>
            </w:tcBorders>
          </w:tcPr>
          <w:p w14:paraId="7557070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0.547</w:t>
            </w:r>
          </w:p>
        </w:tc>
        <w:tc>
          <w:tcPr>
            <w:tcW w:w="0" w:type="auto"/>
            <w:tcBorders>
              <w:top w:val="nil"/>
              <w:left w:val="nil"/>
              <w:bottom w:val="nil"/>
              <w:right w:val="nil"/>
            </w:tcBorders>
          </w:tcPr>
          <w:p w14:paraId="26B4C62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0.128</w:t>
            </w:r>
          </w:p>
        </w:tc>
        <w:tc>
          <w:tcPr>
            <w:tcW w:w="0" w:type="auto"/>
            <w:tcBorders>
              <w:top w:val="nil"/>
              <w:left w:val="nil"/>
              <w:bottom w:val="nil"/>
              <w:right w:val="nil"/>
            </w:tcBorders>
          </w:tcPr>
          <w:p w14:paraId="002355F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66A4846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09D5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single" w:color="auto" w:sz="4" w:space="0"/>
              <w:right w:val="nil"/>
            </w:tcBorders>
          </w:tcPr>
          <w:p w14:paraId="254AA65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single" w:color="auto" w:sz="4" w:space="0"/>
              <w:right w:val="nil"/>
            </w:tcBorders>
          </w:tcPr>
          <w:p w14:paraId="3BDC496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Training</w:t>
            </w:r>
          </w:p>
        </w:tc>
        <w:tc>
          <w:tcPr>
            <w:tcW w:w="0" w:type="auto"/>
            <w:tcBorders>
              <w:top w:val="nil"/>
              <w:left w:val="nil"/>
              <w:bottom w:val="single" w:color="auto" w:sz="4" w:space="0"/>
              <w:right w:val="nil"/>
            </w:tcBorders>
          </w:tcPr>
          <w:p w14:paraId="0CF98AB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0.000</w:t>
            </w:r>
          </w:p>
        </w:tc>
        <w:tc>
          <w:tcPr>
            <w:tcW w:w="0" w:type="auto"/>
            <w:tcBorders>
              <w:top w:val="nil"/>
              <w:left w:val="nil"/>
              <w:bottom w:val="single" w:color="auto" w:sz="4" w:space="0"/>
              <w:right w:val="nil"/>
            </w:tcBorders>
          </w:tcPr>
          <w:p w14:paraId="5C4AE66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1.000</w:t>
            </w:r>
          </w:p>
        </w:tc>
        <w:tc>
          <w:tcPr>
            <w:tcW w:w="0" w:type="auto"/>
            <w:tcBorders>
              <w:top w:val="nil"/>
              <w:left w:val="nil"/>
              <w:bottom w:val="single" w:color="auto" w:sz="4" w:space="0"/>
              <w:right w:val="nil"/>
            </w:tcBorders>
          </w:tcPr>
          <w:p w14:paraId="407583B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single" w:color="auto" w:sz="4" w:space="0"/>
              <w:right w:val="nil"/>
            </w:tcBorders>
          </w:tcPr>
          <w:p w14:paraId="774AC0D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bl>
    <w:p w14:paraId="3553A20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ind w:left="643" w:leftChars="0" w:firstLine="643" w:firstLineChars="0"/>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Level of Significance p &gt; 0.05</w:t>
      </w:r>
    </w:p>
    <w:p w14:paraId="578315C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ind w:left="643" w:leftChars="0" w:firstLine="643" w:firstLineChars="0"/>
        <w:textAlignment w:val="auto"/>
        <w:rPr>
          <w:rFonts w:hint="default" w:ascii="Times New Roman" w:hAnsi="Times New Roman" w:eastAsia="SimSun" w:cs="Times New Roman"/>
          <w:sz w:val="20"/>
          <w:szCs w:val="20"/>
        </w:rPr>
      </w:pPr>
    </w:p>
    <w:p w14:paraId="6891D175">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The study found a </w:t>
      </w:r>
      <w:r>
        <w:rPr>
          <w:rStyle w:val="28"/>
          <w:rFonts w:hint="default" w:ascii="Times New Roman" w:hAnsi="Times New Roman" w:eastAsia="SimSun" w:cs="Times New Roman"/>
          <w:b w:val="0"/>
          <w:bCs w:val="0"/>
          <w:sz w:val="24"/>
          <w:szCs w:val="24"/>
        </w:rPr>
        <w:t>strong positive correlation</w:t>
      </w:r>
      <w:r>
        <w:rPr>
          <w:rFonts w:hint="default" w:ascii="Times New Roman" w:hAnsi="Times New Roman" w:eastAsia="SimSun" w:cs="Times New Roman"/>
          <w:b w:val="0"/>
          <w:bCs w:val="0"/>
          <w:sz w:val="24"/>
          <w:szCs w:val="24"/>
        </w:rPr>
        <w:t xml:space="preserve"> between teachers’ </w:t>
      </w:r>
      <w:r>
        <w:rPr>
          <w:rStyle w:val="28"/>
          <w:rFonts w:hint="default" w:ascii="Times New Roman" w:hAnsi="Times New Roman" w:eastAsia="SimSun" w:cs="Times New Roman"/>
          <w:b w:val="0"/>
          <w:bCs w:val="0"/>
          <w:sz w:val="24"/>
          <w:szCs w:val="24"/>
        </w:rPr>
        <w:t>educational attainment and curriculum implementation</w:t>
      </w:r>
      <w:r>
        <w:rPr>
          <w:rFonts w:hint="default" w:ascii="Times New Roman" w:hAnsi="Times New Roman" w:eastAsia="SimSun" w:cs="Times New Roman"/>
          <w:b w:val="0"/>
          <w:bCs w:val="0"/>
          <w:sz w:val="24"/>
          <w:szCs w:val="24"/>
        </w:rPr>
        <w:t xml:space="preserve"> (r = 0.676, p = 0.045). Teachers with advanced degrees were more effective in integrating cooperative structures into TLE, reflecting the impact of graduate-level training on student-centered instructional design (Darling-Hammond et al., 2017).</w:t>
      </w:r>
      <w:r>
        <w:rPr>
          <w:rFonts w:hint="default" w:ascii="Times New Roman" w:hAnsi="Times New Roman" w:cs="Times New Roman"/>
          <w:b w:val="0"/>
          <w:bCs w:val="0"/>
          <w:sz w:val="24"/>
          <w:szCs w:val="24"/>
          <w:lang w:val="en-PH"/>
        </w:rPr>
        <w:t xml:space="preserve"> </w:t>
      </w:r>
      <w:r>
        <w:rPr>
          <w:rFonts w:hint="default" w:ascii="Times New Roman" w:hAnsi="Times New Roman" w:eastAsia="SimSun" w:cs="Times New Roman"/>
          <w:b w:val="0"/>
          <w:bCs w:val="0"/>
          <w:sz w:val="24"/>
          <w:szCs w:val="24"/>
        </w:rPr>
        <w:t xml:space="preserve">An even stronger relationship emerged between </w:t>
      </w:r>
      <w:r>
        <w:rPr>
          <w:rStyle w:val="28"/>
          <w:rFonts w:hint="default" w:ascii="Times New Roman" w:hAnsi="Times New Roman" w:eastAsia="SimSun" w:cs="Times New Roman"/>
          <w:b w:val="0"/>
          <w:bCs w:val="0"/>
          <w:sz w:val="24"/>
          <w:szCs w:val="24"/>
        </w:rPr>
        <w:t>age and social regard for learning</w:t>
      </w:r>
      <w:r>
        <w:rPr>
          <w:rFonts w:hint="default" w:ascii="Times New Roman" w:hAnsi="Times New Roman" w:eastAsia="SimSun" w:cs="Times New Roman"/>
          <w:b w:val="0"/>
          <w:bCs w:val="0"/>
          <w:sz w:val="24"/>
          <w:szCs w:val="24"/>
        </w:rPr>
        <w:t xml:space="preserve"> (r = 0.816, p = 0.007). Veteran teachers placed greater emphasis on trust, leadership, and conflict resolution, consistent with findings that experience enhances social capital and resilience in classroom management (Kini &amp; Podolsky, 2016).</w:t>
      </w:r>
    </w:p>
    <w:p w14:paraId="518598B3">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5DEC7210">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Interestingly, </w:t>
      </w:r>
      <w:r>
        <w:rPr>
          <w:rStyle w:val="28"/>
          <w:rFonts w:hint="default" w:ascii="Times New Roman" w:hAnsi="Times New Roman" w:eastAsia="SimSun" w:cs="Times New Roman"/>
          <w:b w:val="0"/>
          <w:bCs w:val="0"/>
          <w:sz w:val="24"/>
          <w:szCs w:val="24"/>
        </w:rPr>
        <w:t>training showed no significant relationship</w:t>
      </w:r>
      <w:r>
        <w:rPr>
          <w:rFonts w:hint="default" w:ascii="Times New Roman" w:hAnsi="Times New Roman" w:eastAsia="SimSun" w:cs="Times New Roman"/>
          <w:b w:val="0"/>
          <w:bCs w:val="0"/>
          <w:sz w:val="24"/>
          <w:szCs w:val="24"/>
        </w:rPr>
        <w:t xml:space="preserve"> (p = 1.000), suggesting that formal workshops alone may be less influential than academic background and lived experience.</w:t>
      </w:r>
      <w:r>
        <w:rPr>
          <w:rFonts w:hint="default" w:ascii="Times New Roman" w:hAnsi="Times New Roman" w:cs="Times New Roman"/>
          <w:b w:val="0"/>
          <w:bCs w:val="0"/>
          <w:sz w:val="24"/>
          <w:szCs w:val="24"/>
          <w:lang w:val="en-PH"/>
        </w:rPr>
        <w:t xml:space="preserve"> </w:t>
      </w:r>
      <w:r>
        <w:rPr>
          <w:rFonts w:hint="default" w:ascii="Times New Roman" w:hAnsi="Times New Roman" w:eastAsia="SimSun" w:cs="Times New Roman"/>
          <w:b w:val="0"/>
          <w:bCs w:val="0"/>
          <w:sz w:val="24"/>
          <w:szCs w:val="24"/>
        </w:rPr>
        <w:t xml:space="preserve">The results highlight a </w:t>
      </w:r>
      <w:r>
        <w:rPr>
          <w:rStyle w:val="28"/>
          <w:rFonts w:hint="default" w:ascii="Times New Roman" w:hAnsi="Times New Roman" w:eastAsia="SimSun" w:cs="Times New Roman"/>
          <w:b w:val="0"/>
          <w:bCs w:val="0"/>
          <w:sz w:val="24"/>
          <w:szCs w:val="24"/>
        </w:rPr>
        <w:t>perception gap</w:t>
      </w:r>
      <w:r>
        <w:rPr>
          <w:rFonts w:hint="default" w:ascii="Times New Roman" w:hAnsi="Times New Roman" w:eastAsia="SimSun" w:cs="Times New Roman"/>
          <w:b w:val="0"/>
          <w:bCs w:val="0"/>
          <w:sz w:val="24"/>
          <w:szCs w:val="24"/>
        </w:rPr>
        <w:t xml:space="preserve">: students’ experiences are shaped by gendered social dynamics, while teachers’ effectiveness is driven by </w:t>
      </w:r>
      <w:r>
        <w:rPr>
          <w:rStyle w:val="28"/>
          <w:rFonts w:hint="default" w:ascii="Times New Roman" w:hAnsi="Times New Roman" w:eastAsia="SimSun" w:cs="Times New Roman"/>
          <w:b w:val="0"/>
          <w:bCs w:val="0"/>
          <w:sz w:val="24"/>
          <w:szCs w:val="24"/>
        </w:rPr>
        <w:t>professional maturity and academic advancement</w:t>
      </w:r>
      <w:r>
        <w:rPr>
          <w:rFonts w:hint="default" w:ascii="Times New Roman" w:hAnsi="Times New Roman" w:eastAsia="SimSun" w:cs="Times New Roman"/>
          <w:b w:val="0"/>
          <w:bCs w:val="0"/>
          <w:sz w:val="24"/>
          <w:szCs w:val="24"/>
        </w:rPr>
        <w:t xml:space="preserve">. These findings underscore the need for </w:t>
      </w:r>
      <w:r>
        <w:rPr>
          <w:rStyle w:val="28"/>
          <w:rFonts w:hint="default" w:ascii="Times New Roman" w:hAnsi="Times New Roman" w:eastAsia="SimSun" w:cs="Times New Roman"/>
          <w:b w:val="0"/>
          <w:bCs w:val="0"/>
          <w:sz w:val="24"/>
          <w:szCs w:val="24"/>
        </w:rPr>
        <w:t>gender-sensitive grouping strategies</w:t>
      </w:r>
      <w:r>
        <w:rPr>
          <w:rFonts w:hint="default" w:ascii="Times New Roman" w:hAnsi="Times New Roman" w:eastAsia="SimSun" w:cs="Times New Roman"/>
          <w:b w:val="0"/>
          <w:bCs w:val="0"/>
          <w:sz w:val="24"/>
          <w:szCs w:val="24"/>
        </w:rPr>
        <w:t xml:space="preserve"> for students and </w:t>
      </w:r>
      <w:r>
        <w:rPr>
          <w:rStyle w:val="28"/>
          <w:rFonts w:hint="default" w:ascii="Times New Roman" w:hAnsi="Times New Roman" w:eastAsia="SimSun" w:cs="Times New Roman"/>
          <w:b w:val="0"/>
          <w:bCs w:val="0"/>
          <w:sz w:val="24"/>
          <w:szCs w:val="24"/>
        </w:rPr>
        <w:t>continuous professional development</w:t>
      </w:r>
      <w:r>
        <w:rPr>
          <w:rFonts w:hint="default" w:ascii="Times New Roman" w:hAnsi="Times New Roman" w:eastAsia="SimSun" w:cs="Times New Roman"/>
          <w:b w:val="0"/>
          <w:bCs w:val="0"/>
          <w:sz w:val="24"/>
          <w:szCs w:val="24"/>
        </w:rPr>
        <w:t xml:space="preserve"> for teachers to sustain high-quality cooperative learning implementation.</w:t>
      </w:r>
    </w:p>
    <w:p w14:paraId="3D6B4977">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387F5DE1">
      <w:pPr>
        <w:pStyle w:val="70"/>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0" w:firstLineChars="0"/>
        <w:jc w:val="both"/>
        <w:textAlignment w:val="auto"/>
        <w:rPr>
          <w:rFonts w:hint="default" w:ascii="Times New Roman" w:hAnsi="Times New Roman" w:eastAsia="SimSun" w:cs="Times New Roman"/>
          <w:b/>
          <w:bCs/>
          <w:sz w:val="28"/>
          <w:szCs w:val="28"/>
          <w:lang w:val="en-PH"/>
        </w:rPr>
      </w:pPr>
      <w:r>
        <w:rPr>
          <w:rFonts w:hint="default" w:ascii="Times New Roman" w:hAnsi="Times New Roman" w:eastAsia="SimSun" w:cs="Times New Roman"/>
          <w:b/>
          <w:bCs/>
          <w:sz w:val="28"/>
          <w:szCs w:val="28"/>
          <w:lang w:val="en-PH"/>
        </w:rPr>
        <w:t>Conclusion</w:t>
      </w:r>
    </w:p>
    <w:p w14:paraId="1D047FD6">
      <w:pPr>
        <w:pStyle w:val="70"/>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SimSun" w:cs="Times New Roman"/>
          <w:b w:val="0"/>
          <w:bCs w:val="0"/>
          <w:sz w:val="24"/>
          <w:szCs w:val="24"/>
          <w:lang w:val="en-PH"/>
        </w:rPr>
      </w:pPr>
    </w:p>
    <w:p w14:paraId="31DB6E17">
      <w:pPr>
        <w:pStyle w:val="70"/>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SimSun" w:cs="Times New Roman"/>
          <w:sz w:val="24"/>
          <w:szCs w:val="24"/>
          <w:lang w:val="en-PH"/>
        </w:rPr>
      </w:pPr>
      <w:r>
        <w:rPr>
          <w:rFonts w:hint="default" w:ascii="Times New Roman" w:hAnsi="Times New Roman" w:eastAsia="SimSun" w:cs="Times New Roman"/>
          <w:sz w:val="24"/>
          <w:szCs w:val="24"/>
        </w:rPr>
        <w:t>The study indicate</w:t>
      </w:r>
      <w:r>
        <w:rPr>
          <w:rFonts w:hint="default" w:ascii="Times New Roman" w:hAnsi="Times New Roman" w:eastAsia="SimSun" w:cs="Times New Roman"/>
          <w:sz w:val="24"/>
          <w:szCs w:val="24"/>
          <w:lang w:val="en-PH"/>
        </w:rPr>
        <w:t>d</w:t>
      </w:r>
      <w:r>
        <w:rPr>
          <w:rFonts w:hint="default" w:ascii="Times New Roman" w:hAnsi="Times New Roman" w:eastAsia="SimSun" w:cs="Times New Roman"/>
          <w:sz w:val="24"/>
          <w:szCs w:val="24"/>
        </w:rPr>
        <w:t xml:space="preserve"> that the Tandag City Division possesses a stable and mature teaching workforce alongside students who are developmentally primed for cooperative learning. There is strong procedural alignment between teachers and students in the mechanical aspects of cooperative learning, such as group tasks and seating arrangements. However, a significant perception gap persists in the affective domain, particularly in Social Regard for Learning, where teachers perceive their role-modeling more positively than students do. The findings further suggest that teacher maturity and educational attainment are the primary drivers of quality implementation, while student gender influences how social interdependence is valued and perceived. Based on these results, it is concluded that an intervention program is necessary to strengthen cooperative learning practices and address the identified perceptual and pedagogical gaps</w:t>
      </w:r>
      <w:r>
        <w:rPr>
          <w:rFonts w:hint="default" w:ascii="Times New Roman" w:hAnsi="Times New Roman" w:eastAsia="SimSun" w:cs="Times New Roman"/>
          <w:sz w:val="24"/>
          <w:szCs w:val="24"/>
          <w:lang w:val="en-PH"/>
        </w:rPr>
        <w:t>.</w:t>
      </w:r>
    </w:p>
    <w:p w14:paraId="29D40738">
      <w:pPr>
        <w:pStyle w:val="70"/>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SimSun" w:cs="Times New Roman"/>
          <w:sz w:val="24"/>
          <w:szCs w:val="24"/>
          <w:lang w:val="en-PH"/>
        </w:rPr>
      </w:pPr>
    </w:p>
    <w:p w14:paraId="4EA0EF15">
      <w:pPr>
        <w:pStyle w:val="70"/>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0" w:firstLineChars="0"/>
        <w:jc w:val="both"/>
        <w:textAlignment w:val="auto"/>
        <w:rPr>
          <w:rFonts w:hint="default" w:ascii="Times New Roman" w:hAnsi="Times New Roman" w:eastAsia="SimSun" w:cs="Times New Roman"/>
          <w:b/>
          <w:bCs/>
          <w:sz w:val="28"/>
          <w:szCs w:val="28"/>
          <w:lang w:val="en-PH"/>
        </w:rPr>
      </w:pPr>
      <w:r>
        <w:rPr>
          <w:rFonts w:hint="default" w:ascii="Times New Roman" w:hAnsi="Times New Roman" w:eastAsia="SimSun" w:cs="Times New Roman"/>
          <w:b/>
          <w:bCs/>
          <w:sz w:val="28"/>
          <w:szCs w:val="28"/>
          <w:lang w:val="en-PH"/>
        </w:rPr>
        <w:t xml:space="preserve">Recommendation </w:t>
      </w:r>
    </w:p>
    <w:p w14:paraId="091B72BE">
      <w:pPr>
        <w:pStyle w:val="70"/>
        <w:bidi w:val="0"/>
        <w:jc w:val="both"/>
        <w:rPr>
          <w:rFonts w:hint="default" w:ascii="Times New Roman" w:hAnsi="Times New Roman" w:eastAsia="SimSun" w:cs="Times New Roman"/>
          <w:sz w:val="24"/>
          <w:szCs w:val="24"/>
          <w:lang w:val="en-PH"/>
        </w:rPr>
      </w:pPr>
      <w:r>
        <w:rPr>
          <w:rFonts w:hint="default" w:ascii="Times New Roman" w:hAnsi="Times New Roman" w:eastAsia="SimSun" w:cs="Times New Roman"/>
          <w:sz w:val="24"/>
          <w:szCs w:val="24"/>
          <w:lang w:val="en-PH"/>
        </w:rPr>
        <w:t>T</w:t>
      </w:r>
      <w:r>
        <w:rPr>
          <w:rFonts w:hint="default" w:ascii="Times New Roman" w:hAnsi="Times New Roman" w:eastAsia="SimSun" w:cs="Times New Roman"/>
          <w:sz w:val="24"/>
          <w:szCs w:val="24"/>
        </w:rPr>
        <w:t>he study emphasize</w:t>
      </w:r>
      <w:r>
        <w:rPr>
          <w:rFonts w:hint="default" w:ascii="Times New Roman" w:hAnsi="Times New Roman" w:eastAsia="SimSun" w:cs="Times New Roman"/>
          <w:sz w:val="24"/>
          <w:szCs w:val="24"/>
          <w:lang w:val="en-PH"/>
        </w:rPr>
        <w:t>d</w:t>
      </w:r>
      <w:r>
        <w:rPr>
          <w:rFonts w:hint="default" w:ascii="Times New Roman" w:hAnsi="Times New Roman" w:eastAsia="SimSun" w:cs="Times New Roman"/>
          <w:sz w:val="24"/>
          <w:szCs w:val="24"/>
        </w:rPr>
        <w:t xml:space="preserve"> the need for continuous improvement in cooperative learning practices within the Tandag City Division. Specifically, professional development initiatives should be prioritized to upskill Bachelor of Secondary Education (BSE) graduates, thereby equipping them to meet the evolving technical demands of the Technology and Livelihood Education (TLE) curriculum. Teachers are encouraged to move beyond mechanical grouping strategies and instead foster psychological safety and balanced group dynamics to ensure inclusivity and student voice. Gender-responsive engagement strategies must be developed to address the lower levels of cooperative learning perception among male students. Furthermore, targeted intervention programs should be designed using empirical evidence to address both technical and pedagogical needs. Veteran teachers aged 41 and above should be leveraged as “More Knowledgeable Others” to mentor younger faculty in managing classroom dynamics and modeling social regard for learning. Finally, future researchers are encouraged to conduct further studies in this field to explore unexamined issues and expand insights, thereby contributing to the refinement of cooperative learning practices in secondary education</w:t>
      </w:r>
      <w:r>
        <w:rPr>
          <w:rFonts w:hint="default" w:ascii="Times New Roman" w:hAnsi="Times New Roman" w:eastAsia="SimSun" w:cs="Times New Roman"/>
          <w:sz w:val="24"/>
          <w:szCs w:val="24"/>
          <w:lang w:val="en-PH"/>
        </w:rPr>
        <w:t>.</w:t>
      </w:r>
    </w:p>
    <w:p w14:paraId="2BB527A6">
      <w:pPr>
        <w:pStyle w:val="26"/>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23" w:lineRule="atLeast"/>
        <w:ind w:leftChars="0" w:right="0" w:rightChars="0"/>
        <w:jc w:val="both"/>
        <w:textAlignment w:val="auto"/>
        <w:rPr>
          <w:rFonts w:hint="default" w:ascii="Times New Roman" w:hAnsi="Times New Roman" w:eastAsia="SimSun" w:cs="Times New Roman"/>
          <w:sz w:val="24"/>
          <w:szCs w:val="24"/>
          <w:lang w:val="en-PH"/>
        </w:rPr>
      </w:pPr>
    </w:p>
    <w:p w14:paraId="6F6AFAA9">
      <w:pPr>
        <w:pStyle w:val="2"/>
        <w:keepNext/>
        <w:keepLines/>
        <w:widowControl/>
        <w:numPr>
          <w:ilvl w:val="0"/>
          <w:numId w:val="3"/>
        </w:numPr>
        <w:suppressAutoHyphens/>
        <w:bidi w:val="0"/>
        <w:spacing w:before="0" w:after="0" w:line="276" w:lineRule="auto"/>
        <w:ind w:left="0" w:leftChars="0" w:right="0" w:rightChars="0" w:firstLine="0" w:firstLineChars="0"/>
        <w:jc w:val="both"/>
      </w:pPr>
      <w:r>
        <w:t>Conflict of Interest</w:t>
      </w:r>
    </w:p>
    <w:p w14:paraId="345B7317">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authors declare no conflict of interest. The study was conducted independently, with no financial, institutional, or personal relationships that could have influenced the outcomes or interpretations of the research.</w:t>
      </w:r>
    </w:p>
    <w:p w14:paraId="3DC3B207">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SimSun" w:cs="Times New Roman"/>
          <w:sz w:val="24"/>
          <w:szCs w:val="24"/>
        </w:rPr>
      </w:pPr>
    </w:p>
    <w:p w14:paraId="3868E6E4">
      <w:pPr>
        <w:pStyle w:val="2"/>
        <w:keepNext/>
        <w:keepLines/>
        <w:widowControl/>
        <w:numPr>
          <w:ilvl w:val="0"/>
          <w:numId w:val="3"/>
        </w:numPr>
        <w:suppressAutoHyphens/>
        <w:bidi w:val="0"/>
        <w:spacing w:before="0" w:after="0" w:line="276" w:lineRule="auto"/>
        <w:ind w:left="0" w:leftChars="0" w:right="0" w:rightChars="0" w:firstLine="0" w:firstLineChars="0"/>
        <w:jc w:val="both"/>
      </w:pPr>
      <w:r>
        <w:t>Acknowledgement</w:t>
      </w:r>
    </w:p>
    <w:p w14:paraId="5870570A">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3" w:lineRule="atLeast"/>
        <w:ind w:leftChars="0" w:right="0" w:right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b w:val="0"/>
          <w:bCs w:val="0"/>
          <w:sz w:val="24"/>
          <w:szCs w:val="24"/>
        </w:rPr>
        <w:t xml:space="preserve">The </w:t>
      </w:r>
      <w:r>
        <w:rPr>
          <w:rFonts w:hint="default" w:ascii="Times New Roman" w:hAnsi="Times New Roman" w:cs="Times New Roman"/>
          <w:b w:val="0"/>
          <w:bCs w:val="0"/>
          <w:sz w:val="24"/>
          <w:szCs w:val="24"/>
          <w:lang w:val="en-PH"/>
        </w:rPr>
        <w:t>authors</w:t>
      </w:r>
      <w:r>
        <w:rPr>
          <w:rFonts w:hint="default" w:ascii="Times New Roman" w:hAnsi="Times New Roman" w:eastAsia="SimSun" w:cs="Times New Roman"/>
          <w:b w:val="0"/>
          <w:bCs w:val="0"/>
          <w:sz w:val="24"/>
          <w:szCs w:val="24"/>
        </w:rPr>
        <w:t xml:space="preserve"> extend their sincere gratitude to the </w:t>
      </w:r>
      <w:r>
        <w:rPr>
          <w:rStyle w:val="28"/>
          <w:rFonts w:hint="default" w:ascii="Times New Roman" w:hAnsi="Times New Roman" w:eastAsia="SimSun" w:cs="Times New Roman"/>
          <w:b w:val="0"/>
          <w:bCs w:val="0"/>
          <w:sz w:val="24"/>
          <w:szCs w:val="24"/>
        </w:rPr>
        <w:t>Department of Education – Tandag City Division</w:t>
      </w:r>
      <w:r>
        <w:rPr>
          <w:rFonts w:hint="default" w:ascii="Times New Roman" w:hAnsi="Times New Roman" w:eastAsia="SimSun" w:cs="Times New Roman"/>
          <w:b w:val="0"/>
          <w:bCs w:val="0"/>
          <w:sz w:val="24"/>
          <w:szCs w:val="24"/>
        </w:rPr>
        <w:t xml:space="preserve"> officials and school administrators for their support and permission to conduct this study. Heartfelt appreciation is also given to the </w:t>
      </w:r>
      <w:r>
        <w:rPr>
          <w:rStyle w:val="28"/>
          <w:rFonts w:hint="default" w:ascii="Times New Roman" w:hAnsi="Times New Roman" w:eastAsia="SimSun" w:cs="Times New Roman"/>
          <w:b w:val="0"/>
          <w:bCs w:val="0"/>
          <w:sz w:val="24"/>
          <w:szCs w:val="24"/>
        </w:rPr>
        <w:t>TLE teachers and Grade 9 students</w:t>
      </w:r>
      <w:r>
        <w:rPr>
          <w:rFonts w:hint="default" w:ascii="Times New Roman" w:hAnsi="Times New Roman" w:eastAsia="SimSun" w:cs="Times New Roman"/>
          <w:b w:val="0"/>
          <w:bCs w:val="0"/>
          <w:sz w:val="24"/>
          <w:szCs w:val="24"/>
        </w:rPr>
        <w:t xml:space="preserve"> who participated and provided honest responses, making this research possible. The authors acknowledge the guidance of </w:t>
      </w:r>
      <w:r>
        <w:rPr>
          <w:rStyle w:val="28"/>
          <w:rFonts w:hint="default" w:ascii="Times New Roman" w:hAnsi="Times New Roman" w:eastAsia="SimSun" w:cs="Times New Roman"/>
          <w:b w:val="0"/>
          <w:bCs w:val="0"/>
          <w:sz w:val="24"/>
          <w:szCs w:val="24"/>
        </w:rPr>
        <w:t>Dr. Ramonito Y. Tan</w:t>
      </w:r>
      <w:r>
        <w:rPr>
          <w:rFonts w:hint="default" w:ascii="Times New Roman" w:hAnsi="Times New Roman" w:eastAsia="SimSun" w:cs="Times New Roman"/>
          <w:b w:val="0"/>
          <w:bCs w:val="0"/>
          <w:sz w:val="24"/>
          <w:szCs w:val="24"/>
        </w:rPr>
        <w:t xml:space="preserve"> of </w:t>
      </w:r>
      <w:r>
        <w:rPr>
          <w:rStyle w:val="28"/>
          <w:rFonts w:hint="default" w:ascii="Times New Roman" w:hAnsi="Times New Roman" w:eastAsia="SimSun" w:cs="Times New Roman"/>
          <w:b w:val="0"/>
          <w:bCs w:val="0"/>
          <w:sz w:val="24"/>
          <w:szCs w:val="24"/>
        </w:rPr>
        <w:t>North Eastern Mindanao State University – Main Campus</w:t>
      </w:r>
      <w:r>
        <w:rPr>
          <w:rFonts w:hint="default" w:ascii="Times New Roman" w:hAnsi="Times New Roman" w:eastAsia="SimSun" w:cs="Times New Roman"/>
          <w:b w:val="0"/>
          <w:bCs w:val="0"/>
          <w:sz w:val="24"/>
          <w:szCs w:val="24"/>
        </w:rPr>
        <w:t xml:space="preserve"> for his invaluable mentorship and constructive feedback throughout the development of this work. This paper is dedicated to all educators who continuously strive to make learning collaborative, inclusive, and transformative.</w:t>
      </w:r>
    </w:p>
    <w:p w14:paraId="05B4264F">
      <w:pPr>
        <w:spacing w:before="0" w:after="0" w:line="276" w:lineRule="auto"/>
        <w:ind w:firstLine="0"/>
        <w:jc w:val="both"/>
        <w:rPr>
          <w:rFonts w:ascii="Times New Roman" w:hAnsi="Times New Roman"/>
          <w:b w:val="0"/>
          <w:bCs w:val="0"/>
          <w:i/>
          <w:spacing w:val="0"/>
          <w:sz w:val="24"/>
          <w:szCs w:val="24"/>
        </w:rPr>
      </w:pPr>
    </w:p>
    <w:p w14:paraId="0610BBC5">
      <w:pPr>
        <w:pStyle w:val="2"/>
        <w:keepNext/>
        <w:keepLines/>
        <w:widowControl/>
        <w:numPr>
          <w:ilvl w:val="0"/>
          <w:numId w:val="3"/>
        </w:numPr>
        <w:suppressAutoHyphens/>
        <w:bidi w:val="0"/>
        <w:spacing w:before="0" w:after="0" w:line="276" w:lineRule="auto"/>
        <w:ind w:left="0" w:leftChars="0" w:right="0" w:rightChars="0" w:firstLine="0" w:firstLineChars="0"/>
        <w:jc w:val="both"/>
      </w:pPr>
      <w:r>
        <w:t>Authors' Biography</w:t>
      </w:r>
    </w:p>
    <w:p w14:paraId="757F4381">
      <w:pPr>
        <w:pStyle w:val="26"/>
        <w:keepNext w:val="0"/>
        <w:keepLines w:val="0"/>
        <w:pageBreakBefore w:val="0"/>
        <w:widowControl/>
        <w:suppressLineNumbers w:val="0"/>
        <w:kinsoku/>
        <w:wordWrap/>
        <w:overflowPunct/>
        <w:topLinePunct w:val="0"/>
        <w:autoSpaceDE/>
        <w:autoSpaceDN/>
        <w:bidi w:val="0"/>
        <w:adjustRightInd/>
        <w:snapToGrid/>
        <w:textAlignment w:val="auto"/>
        <w:rPr>
          <w:b w:val="0"/>
          <w:bCs w:val="0"/>
        </w:rPr>
      </w:pPr>
      <w:r>
        <w:rPr>
          <w:rStyle w:val="28"/>
          <w:b w:val="0"/>
          <w:bCs w:val="0"/>
        </w:rPr>
        <w:t>Catherine B. Verdeflor</w:t>
      </w:r>
      <w:r>
        <w:rPr>
          <w:rStyle w:val="28"/>
          <w:rFonts w:hint="default"/>
          <w:b w:val="0"/>
          <w:bCs w:val="0"/>
          <w:lang w:val="en-PH"/>
        </w:rPr>
        <w:t xml:space="preserve">; </w:t>
      </w:r>
      <w:r>
        <w:rPr>
          <w:b w:val="0"/>
          <w:bCs w:val="0"/>
        </w:rPr>
        <w:t xml:space="preserve">Technology and Livelihood Education teacher at the </w:t>
      </w:r>
      <w:r>
        <w:rPr>
          <w:rStyle w:val="28"/>
          <w:b w:val="0"/>
          <w:bCs w:val="0"/>
        </w:rPr>
        <w:t>Department of Education – Tandag City Division</w:t>
      </w:r>
      <w:r>
        <w:rPr>
          <w:b w:val="0"/>
          <w:bCs w:val="0"/>
        </w:rPr>
        <w:t xml:space="preserve">, Surigao del Sur, Philippines. </w:t>
      </w:r>
    </w:p>
    <w:p w14:paraId="29B5F8C2">
      <w:pPr>
        <w:pStyle w:val="26"/>
        <w:keepNext w:val="0"/>
        <w:keepLines w:val="0"/>
        <w:pageBreakBefore w:val="0"/>
        <w:widowControl/>
        <w:suppressLineNumbers w:val="0"/>
        <w:kinsoku/>
        <w:wordWrap/>
        <w:overflowPunct/>
        <w:topLinePunct w:val="0"/>
        <w:autoSpaceDE/>
        <w:autoSpaceDN/>
        <w:bidi w:val="0"/>
        <w:adjustRightInd/>
        <w:snapToGrid/>
        <w:textAlignment w:val="auto"/>
        <w:rPr>
          <w:rFonts w:ascii="Times New Roman" w:hAnsi="Times New Roman" w:eastAsia="Times New Roman"/>
          <w:b/>
          <w:bCs/>
          <w:i w:val="0"/>
          <w:iCs w:val="0"/>
          <w:spacing w:val="0"/>
          <w:sz w:val="24"/>
          <w:szCs w:val="24"/>
        </w:rPr>
      </w:pPr>
      <w:r>
        <w:rPr>
          <w:rStyle w:val="28"/>
          <w:b w:val="0"/>
          <w:bCs w:val="0"/>
        </w:rPr>
        <w:t>Dr. Ramonito Y. Tan</w:t>
      </w:r>
      <w:r>
        <w:rPr>
          <w:rStyle w:val="28"/>
          <w:rFonts w:hint="default"/>
          <w:b w:val="0"/>
          <w:bCs w:val="0"/>
          <w:lang w:val="en-PH"/>
        </w:rPr>
        <w:t xml:space="preserve">; </w:t>
      </w:r>
      <w:r>
        <w:rPr>
          <w:b w:val="0"/>
          <w:bCs w:val="0"/>
        </w:rPr>
        <w:t xml:space="preserve">Faculty member at </w:t>
      </w:r>
      <w:r>
        <w:rPr>
          <w:rStyle w:val="28"/>
          <w:b w:val="0"/>
          <w:bCs w:val="0"/>
        </w:rPr>
        <w:t>North Eastern Mindanao State University – Main Campus</w:t>
      </w:r>
      <w:r>
        <w:rPr>
          <w:b w:val="0"/>
          <w:bCs w:val="0"/>
        </w:rPr>
        <w:t xml:space="preserve">, Tandag City, Surigao del Sur, Philippines. </w:t>
      </w:r>
    </w:p>
    <w:p w14:paraId="09514BEF">
      <w:pPr>
        <w:pStyle w:val="2"/>
        <w:keepNext/>
        <w:keepLines/>
        <w:widowControl/>
        <w:numPr>
          <w:ilvl w:val="0"/>
          <w:numId w:val="3"/>
        </w:numPr>
        <w:suppressAutoHyphens/>
        <w:bidi w:val="0"/>
        <w:spacing w:before="0" w:after="0" w:line="276" w:lineRule="auto"/>
        <w:ind w:left="0" w:leftChars="0" w:right="0" w:rightChars="0" w:firstLine="0" w:firstLineChars="0"/>
        <w:jc w:val="both"/>
      </w:pPr>
      <w:r>
        <w:t>References</w:t>
      </w:r>
    </w:p>
    <w:p w14:paraId="0CD06D32">
      <w:pPr>
        <w:numPr>
          <w:numId w:val="0"/>
        </w:numPr>
        <w:ind w:left="-15" w:leftChars="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Alwardt, T. (2019). A quasi-experimental validation of Transactional strategies instruction with low-achieving second-grade teachers. New York: International reading Association. </w:t>
      </w:r>
    </w:p>
    <w:p w14:paraId="35EDE694">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Armayan, J. (2022). Technical skills performance of Technology and Livelihood Education (TLE) students in the Tandag City Division [Unpublished research report]. Department of Education.</w:t>
      </w:r>
    </w:p>
    <w:p w14:paraId="3CC0310E">
      <w:pPr>
        <w:spacing w:line="243" w:lineRule="auto"/>
        <w:ind w:left="806" w:hanging="806"/>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Cabansag, M. (2019). Impact Statements on the K-12 Science Program in the Enhanced </w:t>
      </w:r>
      <w:r>
        <w:rPr>
          <w:rFonts w:hint="default" w:ascii="Times New Roman" w:hAnsi="Times New Roman" w:eastAsia="SimSun" w:cs="Times New Roman"/>
          <w:color w:val="000000" w:themeColor="text1"/>
          <w:sz w:val="20"/>
          <w:szCs w:val="20"/>
        </w:rPr>
        <w:tab/>
      </w:r>
      <w:r>
        <w:rPr>
          <w:rFonts w:hint="default" w:ascii="Times New Roman" w:hAnsi="Times New Roman" w:eastAsia="SimSun" w:cs="Times New Roman"/>
          <w:color w:val="000000" w:themeColor="text1"/>
          <w:sz w:val="20"/>
          <w:szCs w:val="20"/>
        </w:rPr>
        <w:t xml:space="preserve">Basic </w:t>
      </w:r>
      <w:r>
        <w:rPr>
          <w:rFonts w:hint="default" w:ascii="Times New Roman" w:hAnsi="Times New Roman" w:eastAsia="SimSun" w:cs="Times New Roman"/>
          <w:color w:val="000000" w:themeColor="text1"/>
          <w:sz w:val="20"/>
          <w:szCs w:val="20"/>
        </w:rPr>
        <w:tab/>
      </w:r>
      <w:r>
        <w:rPr>
          <w:rFonts w:hint="default" w:ascii="Times New Roman" w:hAnsi="Times New Roman" w:eastAsia="SimSun" w:cs="Times New Roman"/>
          <w:color w:val="000000" w:themeColor="text1"/>
          <w:sz w:val="20"/>
          <w:szCs w:val="20"/>
        </w:rPr>
        <w:t xml:space="preserve">Education </w:t>
      </w:r>
      <w:r>
        <w:rPr>
          <w:rFonts w:hint="default" w:ascii="Times New Roman" w:hAnsi="Times New Roman" w:eastAsia="SimSun" w:cs="Times New Roman"/>
          <w:color w:val="000000" w:themeColor="text1"/>
          <w:sz w:val="20"/>
          <w:szCs w:val="20"/>
        </w:rPr>
        <w:tab/>
      </w:r>
      <w:r>
        <w:rPr>
          <w:rFonts w:hint="default" w:ascii="Times New Roman" w:hAnsi="Times New Roman" w:eastAsia="SimSun" w:cs="Times New Roman"/>
          <w:color w:val="000000" w:themeColor="text1"/>
          <w:sz w:val="20"/>
          <w:szCs w:val="20"/>
        </w:rPr>
        <w:t xml:space="preserve">Curriculum </w:t>
      </w:r>
      <w:r>
        <w:rPr>
          <w:rFonts w:hint="default" w:ascii="Times New Roman" w:hAnsi="Times New Roman" w:eastAsia="SimSun" w:cs="Times New Roman"/>
          <w:color w:val="000000" w:themeColor="text1"/>
          <w:sz w:val="20"/>
          <w:szCs w:val="20"/>
        </w:rPr>
        <w:tab/>
      </w:r>
      <w:r>
        <w:rPr>
          <w:rFonts w:hint="default" w:ascii="Times New Roman" w:hAnsi="Times New Roman" w:eastAsia="SimSun" w:cs="Times New Roman"/>
          <w:color w:val="000000" w:themeColor="text1"/>
          <w:sz w:val="20"/>
          <w:szCs w:val="20"/>
        </w:rPr>
        <w:t xml:space="preserve">in </w:t>
      </w:r>
      <w:r>
        <w:rPr>
          <w:rFonts w:hint="default" w:ascii="Times New Roman" w:hAnsi="Times New Roman" w:eastAsia="SimSun" w:cs="Times New Roman"/>
          <w:color w:val="000000" w:themeColor="text1"/>
          <w:sz w:val="20"/>
          <w:szCs w:val="20"/>
        </w:rPr>
        <w:tab/>
      </w:r>
      <w:r>
        <w:rPr>
          <w:rFonts w:hint="default" w:ascii="Times New Roman" w:hAnsi="Times New Roman" w:eastAsia="SimSun" w:cs="Times New Roman"/>
          <w:color w:val="000000" w:themeColor="text1"/>
          <w:sz w:val="20"/>
          <w:szCs w:val="20"/>
        </w:rPr>
        <w:t xml:space="preserve">Provincial </w:t>
      </w:r>
      <w:r>
        <w:rPr>
          <w:rFonts w:hint="default" w:ascii="Times New Roman" w:hAnsi="Times New Roman" w:eastAsia="SimSun" w:cs="Times New Roman"/>
          <w:color w:val="000000" w:themeColor="text1"/>
          <w:sz w:val="20"/>
          <w:szCs w:val="20"/>
        </w:rPr>
        <w:tab/>
      </w:r>
      <w:r>
        <w:rPr>
          <w:rFonts w:hint="default" w:ascii="Times New Roman" w:hAnsi="Times New Roman" w:eastAsia="SimSun" w:cs="Times New Roman"/>
          <w:color w:val="000000" w:themeColor="text1"/>
          <w:sz w:val="20"/>
          <w:szCs w:val="20"/>
        </w:rPr>
        <w:t xml:space="preserve">Schools. Researchers World, 5(2). 29. </w:t>
      </w:r>
    </w:p>
    <w:p w14:paraId="50BC1A50">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Cole, A., (2020). Cooperative learning and peer evaluation: The effect of free riders on team performance and the relationship between course performance and peer evaluation, Journal of the Scholarship of Teaching and Learning, 13(1):45 – 56. </w:t>
      </w:r>
      <w:bookmarkStart w:id="0" w:name="_GoBack"/>
      <w:bookmarkEnd w:id="0"/>
    </w:p>
    <w:p w14:paraId="4827F044">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Corbin, K. (2018). Learning to teach cooperative learning as inquiry in the rough and table of practice. Journal of Research in Teaching.  </w:t>
      </w:r>
    </w:p>
    <w:p w14:paraId="116AF977">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Darling-Hammond, L., Hyler, M. E., &amp; Gardner, M. (2017). Effective teacher professional development. Learning Policy Institute.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"https://doi.org/10.54300/122.311"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rPr>
        <w:t>https://doi.org/10.54300/122.311</w:t>
      </w:r>
      <w:r>
        <w:rPr>
          <w:rStyle w:val="23"/>
          <w:rFonts w:hint="default" w:ascii="Times New Roman" w:hAnsi="Times New Roman" w:eastAsia="SimSun" w:cs="Times New Roman"/>
          <w:color w:val="000000" w:themeColor="text1"/>
          <w:sz w:val="20"/>
          <w:szCs w:val="20"/>
        </w:rPr>
        <w:fldChar w:fldCharType="end"/>
      </w:r>
    </w:p>
    <w:p w14:paraId="7BA8A4C7">
      <w:pPr>
        <w:ind w:left="-5"/>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De Dios, A. (2018). Curriculum Development. Mandaluyong: Lorimar publishing. </w:t>
      </w:r>
    </w:p>
    <w:p w14:paraId="09EC4B57">
      <w:pPr>
        <w:ind w:left="705" w:hanging="720"/>
        <w:jc w:val="both"/>
        <w:rPr>
          <w:rFonts w:hint="default" w:ascii="Times New Roman" w:hAnsi="Times New Roman" w:eastAsia="SimSun" w:cs="Times New Roman"/>
          <w:color w:val="000000" w:themeColor="text1"/>
          <w:sz w:val="20"/>
          <w:szCs w:val="20"/>
          <w:lang w:val="en-PH" w:eastAsia="en-PH"/>
        </w:rPr>
      </w:pPr>
      <w:r>
        <w:rPr>
          <w:rFonts w:hint="default" w:ascii="Times New Roman" w:hAnsi="Times New Roman" w:eastAsia="SimSun" w:cs="Times New Roman"/>
          <w:color w:val="000000" w:themeColor="text1"/>
          <w:sz w:val="20"/>
          <w:szCs w:val="20"/>
          <w:lang w:val="en-PH" w:eastAsia="en-PH"/>
        </w:rPr>
        <w:t xml:space="preserve">Desimone, L. M. (2009). Improving communication between researchers and practitioners through a common reform-based model of professional development. Educational Researcher, 38(3), 181–199.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"https://doi.org/10.3102/0013189X08331140"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lang w:val="en-PH" w:eastAsia="en-PH"/>
        </w:rPr>
        <w:t>https://doi.org/10.3102/0013189X08331140</w:t>
      </w:r>
      <w:r>
        <w:rPr>
          <w:rStyle w:val="23"/>
          <w:rFonts w:hint="default" w:ascii="Times New Roman" w:hAnsi="Times New Roman" w:eastAsia="SimSun" w:cs="Times New Roman"/>
          <w:color w:val="000000" w:themeColor="text1"/>
          <w:sz w:val="20"/>
          <w:szCs w:val="20"/>
          <w:lang w:val="en-PH" w:eastAsia="en-PH"/>
        </w:rPr>
        <w:fldChar w:fldCharType="end"/>
      </w:r>
    </w:p>
    <w:p w14:paraId="538EA1F0">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Deutsch, D.  (2019). An educational psychology success story: Social interdependence theory and cooperative learning. Educational Researcher, 38(5), 365–379.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"https://doi.org/10.3102/0013189X09339057"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rPr>
        <w:t>https://doi.org/10.3102/0013189X09339057</w:t>
      </w:r>
      <w:r>
        <w:rPr>
          <w:rStyle w:val="23"/>
          <w:rFonts w:hint="default" w:ascii="Times New Roman" w:hAnsi="Times New Roman" w:eastAsia="SimSun" w:cs="Times New Roman"/>
          <w:color w:val="000000" w:themeColor="text1"/>
          <w:sz w:val="20"/>
          <w:szCs w:val="20"/>
        </w:rPr>
        <w:fldChar w:fldCharType="end"/>
      </w:r>
    </w:p>
    <w:p w14:paraId="6D063E1A">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Gil, S. and Jurado, A. (2021). </w:t>
      </w:r>
      <w:r>
        <w:rPr>
          <w:rFonts w:hint="default" w:ascii="Times New Roman" w:hAnsi="Times New Roman" w:eastAsia="SimSun" w:cs="Times New Roman"/>
          <w:i/>
          <w:color w:val="000000" w:themeColor="text1"/>
          <w:sz w:val="20"/>
          <w:szCs w:val="20"/>
        </w:rPr>
        <w:t>Improving cooperative learning work processes by making the invisible visit</w:t>
      </w:r>
      <w:r>
        <w:rPr>
          <w:rFonts w:hint="default" w:ascii="Times New Roman" w:hAnsi="Times New Roman" w:eastAsia="SimSun" w:cs="Times New Roman"/>
          <w:color w:val="000000" w:themeColor="text1"/>
          <w:sz w:val="20"/>
          <w:szCs w:val="20"/>
        </w:rPr>
        <w:t xml:space="preserve">”, Philippine Journal of Education and Work. 19(4), 343-361. </w:t>
      </w:r>
    </w:p>
    <w:p w14:paraId="7A258675">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Gillies, R. M. (2016). Cooperative learning: Review of research and practice. Australian Journal of Teacher Education, 41(3), 39–54.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"https://doi.org/10.14221/ajte.2016v41n3.3"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rPr>
        <w:t>https://doi.org/10.14221/ajte.2016v41n3.3</w:t>
      </w:r>
      <w:r>
        <w:rPr>
          <w:rStyle w:val="23"/>
          <w:rFonts w:hint="default" w:ascii="Times New Roman" w:hAnsi="Times New Roman" w:eastAsia="SimSun" w:cs="Times New Roman"/>
          <w:color w:val="000000" w:themeColor="text1"/>
          <w:sz w:val="20"/>
          <w:szCs w:val="20"/>
        </w:rPr>
        <w:fldChar w:fldCharType="end"/>
      </w:r>
    </w:p>
    <w:p w14:paraId="058EC7BD">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High, L. (2019) School Readiness and Teaching cooperative learning in the interactive classroom. </w:t>
      </w:r>
      <w:r>
        <w:rPr>
          <w:rFonts w:hint="default" w:ascii="Times New Roman" w:hAnsi="Times New Roman" w:eastAsia="SimSun" w:cs="Times New Roman"/>
          <w:i/>
          <w:color w:val="000000" w:themeColor="text1"/>
          <w:sz w:val="20"/>
          <w:szCs w:val="20"/>
        </w:rPr>
        <w:t>Advances in Physiology Education, 30</w:t>
      </w:r>
      <w:r>
        <w:rPr>
          <w:rFonts w:hint="default" w:ascii="Times New Roman" w:hAnsi="Times New Roman" w:eastAsia="SimSun" w:cs="Times New Roman"/>
          <w:color w:val="000000" w:themeColor="text1"/>
          <w:sz w:val="20"/>
          <w:szCs w:val="20"/>
        </w:rPr>
        <w:t xml:space="preserve">, 135-140. </w:t>
      </w:r>
    </w:p>
    <w:p w14:paraId="6806F600">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Johnson, D. W., &amp; Johnson, R. T. (2018). Cooperative learning: The foundation for active learning. Interaction Book Company.</w:t>
      </w:r>
    </w:p>
    <w:p w14:paraId="5CA484C0">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Johnson, D., &amp; Johnson, T. (2021). Cooperation and competition: Theory and research. Edina, MN: Interaction Book </w:t>
      </w:r>
    </w:p>
    <w:p w14:paraId="3396C74A">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Johnson, D. W., Johnson, R. T., &amp; Smith, K. A. (1991). Cooperative learning: Increasing college faculty instructional productivity. ASHE-ERIC Higher Education Reports. </w:t>
      </w:r>
    </w:p>
    <w:p w14:paraId="45911D44">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Kagan, S. (2019). The Structural Approach to Cooperative Learning. Educational Leadership, Dec 89/ Jan 90, 12-15. </w:t>
      </w:r>
    </w:p>
    <w:p w14:paraId="0E40A261">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Kini, T., &amp; Podolsky, A. (2016). Does teaching experience increase teacher effectiveness? A review of the research. Learning Policy Institute.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"https://doi.org/10.54300/625.342"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rPr>
        <w:t>https://doi.org/10.54300/625.342</w:t>
      </w:r>
      <w:r>
        <w:rPr>
          <w:rStyle w:val="23"/>
          <w:rFonts w:hint="default" w:ascii="Times New Roman" w:hAnsi="Times New Roman" w:eastAsia="SimSun" w:cs="Times New Roman"/>
          <w:color w:val="000000" w:themeColor="text1"/>
          <w:sz w:val="20"/>
          <w:szCs w:val="20"/>
        </w:rPr>
        <w:fldChar w:fldCharType="end"/>
      </w:r>
    </w:p>
    <w:p w14:paraId="1A68F17E">
      <w:pPr>
        <w:ind w:left="705" w:hanging="720"/>
        <w:jc w:val="both"/>
        <w:rPr>
          <w:rFonts w:hint="default" w:ascii="Times New Roman" w:hAnsi="Times New Roman" w:eastAsia="SimSun" w:cs="Times New Roman"/>
          <w:color w:val="000000" w:themeColor="text1"/>
          <w:sz w:val="20"/>
          <w:szCs w:val="20"/>
        </w:rPr>
      </w:pPr>
    </w:p>
    <w:p w14:paraId="253441C9">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Kyndt, E., Raes, E., Lismont, B., Timmers, F., Cascallar, E., &amp; Dochy, F. (2013). A meta-analysis of the effects of face-to-face cooperative learning on student proficiency in the context of tertiary education. Educational Research Review, 10, 133–159.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"https://doi.org/10.1016/j.edurev.2013.02.002"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rPr>
        <w:t>https://doi.org/10.1016/j.edurev.2013.02.002</w:t>
      </w:r>
      <w:r>
        <w:rPr>
          <w:rStyle w:val="23"/>
          <w:rFonts w:hint="default" w:ascii="Times New Roman" w:hAnsi="Times New Roman" w:eastAsia="SimSun" w:cs="Times New Roman"/>
          <w:color w:val="000000" w:themeColor="text1"/>
          <w:sz w:val="20"/>
          <w:szCs w:val="20"/>
        </w:rPr>
        <w:fldChar w:fldCharType="end"/>
      </w:r>
    </w:p>
    <w:p w14:paraId="4038A57B">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Korkmaz, M. (2019). Traditional versus contemporary goals and methods in accounting education: Bridging the gap with cooperative learning. Journal of Education for Business, 70(5), 278–284. </w:t>
      </w:r>
    </w:p>
    <w:p w14:paraId="1CA2BA6B">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Hattie, J. (2023). Visible learning: The sequel: A synthesis of over 2,100 meta-analyses relating to achievement. Routledge.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"https://doi.org/10.4324/9781003380542"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rPr>
        <w:t>https://doi.org/10.4324/9781003380542</w:t>
      </w:r>
      <w:r>
        <w:rPr>
          <w:rStyle w:val="23"/>
          <w:rFonts w:hint="default" w:ascii="Times New Roman" w:hAnsi="Times New Roman" w:eastAsia="SimSun" w:cs="Times New Roman"/>
          <w:color w:val="000000" w:themeColor="text1"/>
          <w:sz w:val="20"/>
          <w:szCs w:val="20"/>
        </w:rPr>
        <w:fldChar w:fldCharType="end"/>
      </w:r>
    </w:p>
    <w:p w14:paraId="52300480">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Laroza, A. C. (2023). Competencies of TVL teachers in the implementation of the specialized curriculum: Basis for a professional development program. Journal of Technical Education and Humanities, 5(2), 45–58.</w:t>
      </w:r>
    </w:p>
    <w:p w14:paraId="02C90DC4">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Levin, B. (2018). The Language and Thought of The Child (Vol. 5). Chicago: Psychology Press. </w:t>
      </w:r>
    </w:p>
    <w:p w14:paraId="748C8EEF">
      <w:pPr>
        <w:spacing w:line="241" w:lineRule="auto"/>
        <w:ind w:left="720" w:right="3"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Magno, K. (2018). “</w:t>
      </w:r>
      <w:r>
        <w:rPr>
          <w:rFonts w:hint="default" w:ascii="Times New Roman" w:hAnsi="Times New Roman" w:eastAsia="SimSun" w:cs="Times New Roman"/>
          <w:i/>
          <w:color w:val="000000" w:themeColor="text1"/>
          <w:sz w:val="20"/>
          <w:szCs w:val="20"/>
        </w:rPr>
        <w:t>Effective Programs in Middle and High School Cooperative Learning: A Best Evidence Synthesis</w:t>
      </w:r>
      <w:r>
        <w:rPr>
          <w:rFonts w:hint="default" w:ascii="Times New Roman" w:hAnsi="Times New Roman" w:eastAsia="SimSun" w:cs="Times New Roman"/>
          <w:color w:val="000000" w:themeColor="text1"/>
          <w:sz w:val="20"/>
          <w:szCs w:val="20"/>
        </w:rPr>
        <w:t xml:space="preserve">”, Review of Educational Research, 79(2), 839-911.  </w:t>
      </w:r>
    </w:p>
    <w:p w14:paraId="5E9D3EEA">
      <w:pPr>
        <w:spacing w:line="241" w:lineRule="auto"/>
        <w:ind w:left="720" w:right="3"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Maligalig, D. S., Albert, J. R. G., &amp; Martinez, A., Jr. (2020). Gender and the labor market in the Philippines. Asian Development Bank.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"https://doi.org/10.22617/WPS200311-2"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rPr>
        <w:t>https://doi.org/10.22617/WPS200311-2</w:t>
      </w:r>
      <w:r>
        <w:rPr>
          <w:rStyle w:val="23"/>
          <w:rFonts w:hint="default" w:ascii="Times New Roman" w:hAnsi="Times New Roman" w:eastAsia="SimSun" w:cs="Times New Roman"/>
          <w:color w:val="000000" w:themeColor="text1"/>
          <w:sz w:val="20"/>
          <w:szCs w:val="20"/>
        </w:rPr>
        <w:fldChar w:fldCharType="end"/>
      </w:r>
    </w:p>
    <w:p w14:paraId="7E76BE68">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Mantiza, A. (2018). Assessing 21st century skills. A Guide to Evaluating Mastery and Brookway, D. The Nations Report Card: Assessment of student’s performance in Grades 4, 8, and 12. Washington, DC. </w:t>
      </w:r>
    </w:p>
    <w:p w14:paraId="4FF73984">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 Meza, B. P. L., Simões, L., Ryan, G., Saunders, M., Turley, K., &amp; Dudovitz, R. N. (2025). Adolescent perspectives on the effect of cooperative classroom learning on social networks and health. PLoS One, 20(7), e0328437. https://doi.org/10.1371/journal.pone.0328437 </w:t>
      </w:r>
    </w:p>
    <w:p w14:paraId="1931D9EA">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Morales, K. (2020). Assessing 21st century skills. A Guide to Evaluating Mastery on Cooperative Learning. The Nations Report Card.  </w:t>
      </w:r>
    </w:p>
    <w:p w14:paraId="5C5EB91A">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National Competency Based-Teacher Standard as perceived by the senior high school students of state universities colleges. European Online Journal of Natural and Social Sciences: Proceedings, 11(4).</w:t>
      </w:r>
    </w:p>
    <w:p w14:paraId="4B256D34">
      <w:pPr>
        <w:ind w:left="791" w:hanging="806"/>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National Institutes of Health. (2023). Best practices for mixed methods research in the health sciences. U.S. Department of Health and Human Services.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"https://obssr.od.nih.gov/training/mixed-methods-research-training"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rPr>
        <w:t>https://obssr.od.nih.gov/training/mixed-methods-research-training</w:t>
      </w:r>
      <w:r>
        <w:rPr>
          <w:rStyle w:val="23"/>
          <w:rFonts w:hint="default" w:ascii="Times New Roman" w:hAnsi="Times New Roman" w:eastAsia="SimSun" w:cs="Times New Roman"/>
          <w:color w:val="000000" w:themeColor="text1"/>
          <w:sz w:val="20"/>
          <w:szCs w:val="20"/>
        </w:rPr>
        <w:fldChar w:fldCharType="end"/>
      </w:r>
    </w:p>
    <w:p w14:paraId="694A6857">
      <w:pPr>
        <w:ind w:left="791" w:hanging="806"/>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Ocampo, A. (2018). Cooperative Learning Approach to Teaching and Learning. National Institute of Education Development.  </w:t>
      </w:r>
    </w:p>
    <w:p w14:paraId="6C376CA2">
      <w:pPr>
        <w:ind w:left="720" w:hanging="735"/>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OECD. (2017). PISA 2015 Results (Volume V): Collaborative Problem Solving. OECD Publishing.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"https://doi.org/10.1787/9789264285521-en"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rPr>
        <w:t>https://doi.org/10.1787/9789264285521-en</w:t>
      </w:r>
      <w:r>
        <w:rPr>
          <w:rStyle w:val="23"/>
          <w:rFonts w:hint="default" w:ascii="Times New Roman" w:hAnsi="Times New Roman" w:eastAsia="SimSun" w:cs="Times New Roman"/>
          <w:color w:val="000000" w:themeColor="text1"/>
          <w:sz w:val="20"/>
          <w:szCs w:val="20"/>
        </w:rPr>
        <w:fldChar w:fldCharType="end"/>
      </w:r>
    </w:p>
    <w:p w14:paraId="4DD81673">
      <w:pPr>
        <w:ind w:left="720" w:hanging="735"/>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Pieget, J. and Vygotsky, Lev. (2017).’Jean Piaget and Lev Vygotsky’s Theories on Cognitive </w:t>
      </w:r>
      <w:r>
        <w:rPr>
          <w:rFonts w:hint="default" w:ascii="Times New Roman" w:hAnsi="Times New Roman" w:eastAsia="SimSun" w:cs="Times New Roman"/>
          <w:color w:val="000000" w:themeColor="text1"/>
          <w:sz w:val="20"/>
          <w:szCs w:val="20"/>
        </w:rPr>
        <w:tab/>
      </w:r>
      <w:r>
        <w:rPr>
          <w:rFonts w:hint="default" w:ascii="Times New Roman" w:hAnsi="Times New Roman" w:eastAsia="SimSun" w:cs="Times New Roman"/>
          <w:color w:val="000000" w:themeColor="text1"/>
          <w:sz w:val="20"/>
          <w:szCs w:val="20"/>
        </w:rPr>
        <w:t xml:space="preserve">Development. </w:t>
      </w:r>
      <w:r>
        <w:rPr>
          <w:rFonts w:hint="default" w:ascii="Times New Roman" w:hAnsi="Times New Roman" w:eastAsia="SimSun" w:cs="Times New Roman"/>
          <w:color w:val="000000" w:themeColor="text1"/>
          <w:sz w:val="20"/>
          <w:szCs w:val="20"/>
        </w:rPr>
        <w:tab/>
      </w:r>
      <w:r>
        <w:rPr>
          <w:rFonts w:hint="default" w:ascii="Times New Roman" w:hAnsi="Times New Roman" w:eastAsia="SimSun" w:cs="Times New Roman"/>
          <w:color w:val="000000" w:themeColor="text1"/>
          <w:sz w:val="20"/>
          <w:szCs w:val="20"/>
        </w:rPr>
        <w:t xml:space="preserve">https:// </w:t>
      </w:r>
      <w:r>
        <w:rPr>
          <w:rFonts w:hint="default" w:ascii="Times New Roman" w:hAnsi="Times New Roman" w:eastAsia="SimSun" w:cs="Times New Roman"/>
          <w:color w:val="000000" w:themeColor="text1"/>
          <w:sz w:val="20"/>
          <w:szCs w:val="20"/>
        </w:rPr>
        <w:tab/>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"http://www.ukessays.com/" \h </w:instrText>
      </w:r>
      <w:r>
        <w:rPr>
          <w:rFonts w:hint="default" w:ascii="Times New Roman" w:hAnsi="Times New Roman" w:eastAsia="SimSun" w:cs="Times New Roman"/>
          <w:sz w:val="20"/>
          <w:szCs w:val="20"/>
        </w:rPr>
        <w:fldChar w:fldCharType="separate"/>
      </w:r>
      <w:r>
        <w:rPr>
          <w:rFonts w:hint="default" w:ascii="Times New Roman" w:hAnsi="Times New Roman" w:eastAsia="SimSun" w:cs="Times New Roman"/>
          <w:color w:val="000000" w:themeColor="text1"/>
          <w:sz w:val="20"/>
          <w:szCs w:val="20"/>
          <w:u w:val="single" w:color="0000FF"/>
        </w:rPr>
        <w:t>www.ukessays.com/</w:t>
      </w:r>
      <w:r>
        <w:rPr>
          <w:rFonts w:hint="default" w:ascii="Times New Roman" w:hAnsi="Times New Roman" w:eastAsia="SimSun" w:cs="Times New Roman"/>
          <w:color w:val="000000" w:themeColor="text1"/>
          <w:sz w:val="20"/>
          <w:szCs w:val="20"/>
          <w:u w:val="single" w:color="0000FF"/>
        </w:rPr>
        <w:fldChar w:fldCharType="end"/>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"http://www.ukessays.com/" \h </w:instrText>
      </w:r>
      <w:r>
        <w:rPr>
          <w:rFonts w:hint="default" w:ascii="Times New Roman" w:hAnsi="Times New Roman" w:eastAsia="SimSun" w:cs="Times New Roman"/>
          <w:sz w:val="20"/>
          <w:szCs w:val="20"/>
        </w:rPr>
        <w:fldChar w:fldCharType="separate"/>
      </w:r>
      <w:r>
        <w:rPr>
          <w:rFonts w:hint="default" w:ascii="Times New Roman" w:hAnsi="Times New Roman" w:eastAsia="SimSun" w:cs="Times New Roman"/>
          <w:color w:val="000000" w:themeColor="text1"/>
          <w:sz w:val="20"/>
          <w:szCs w:val="20"/>
        </w:rPr>
        <w:t xml:space="preserve"> </w:t>
      </w:r>
      <w:r>
        <w:rPr>
          <w:rFonts w:hint="default" w:ascii="Times New Roman" w:hAnsi="Times New Roman" w:eastAsia="SimSun" w:cs="Times New Roman"/>
          <w:color w:val="000000" w:themeColor="text1"/>
          <w:sz w:val="20"/>
          <w:szCs w:val="20"/>
        </w:rPr>
        <w:fldChar w:fldCharType="end"/>
      </w:r>
      <w:r>
        <w:rPr>
          <w:rFonts w:hint="default" w:ascii="Times New Roman" w:hAnsi="Times New Roman" w:eastAsia="SimSun" w:cs="Times New Roman"/>
          <w:color w:val="000000" w:themeColor="text1"/>
          <w:sz w:val="20"/>
          <w:szCs w:val="20"/>
        </w:rPr>
        <w:t xml:space="preserve">essays/education/jean-piaget-and-levvygotskys-theories-on-cognitiveeducation-essay.php </w:t>
      </w:r>
    </w:p>
    <w:p w14:paraId="02FC9EE4">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Rafoth, J. (2018). “An Analysis on the Application of Selected Theories in the Teaching of Grade 9- TLE: An Exploratory Study”, Master’s Thesis. </w:t>
      </w:r>
    </w:p>
    <w:p w14:paraId="4173993A">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Reeves, G. (2018). A Study of the Effects of an Experimental Cooperative Learning Taught to Seventh Grade Girls and Boys. The Ministry of Education, Culture, Sports, Science and Technology, p.25. </w:t>
      </w:r>
    </w:p>
    <w:p w14:paraId="31637150">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Rosemarie, E. (2018). Science and you in the 21st Century Technology: Third year Textbook. Quezon City: JMC Press, Inc.  </w:t>
      </w:r>
    </w:p>
    <w:p w14:paraId="2AC72634">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Roseth, C. J., Johnson, D. W., &amp; Johnson, R. T. (2008). Promoting Early Adolescents' Achievement and Peer Relationships: The Effects of Cooperative, Competitive, and Individualistic Goal Structures. Psychological Bulletin, 134(2), 223–246.</w:t>
      </w:r>
    </w:p>
    <w:p w14:paraId="4701EEBE">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Sears &amp; Hersh (2020). The effects of cooperative learning on students' achievement and attitude. Journal of Social Sciences, 6(2), 272-- 275.</w:t>
      </w:r>
    </w:p>
    <w:p w14:paraId="5DAE72EB">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Slavin, R. E. (2015). Cooperative learning in elementary and secondary schools. In J. D. Wright (Ed.), International Encyclopedia of the Social &amp; Behavioral Sciences (2nd ed., Vol. 4, pp. 881–884). Elsevier.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"https://doi.org/10.1016/B978-0-08-097086-8.92013-1"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rPr>
        <w:t>https://doi.org/10.1016/B978-0-08-097086-8.92013-1</w:t>
      </w:r>
      <w:r>
        <w:rPr>
          <w:rStyle w:val="23"/>
          <w:rFonts w:hint="default" w:ascii="Times New Roman" w:hAnsi="Times New Roman" w:eastAsia="SimSun" w:cs="Times New Roman"/>
          <w:color w:val="000000" w:themeColor="text1"/>
          <w:sz w:val="20"/>
          <w:szCs w:val="20"/>
        </w:rPr>
        <w:fldChar w:fldCharType="end"/>
      </w:r>
    </w:p>
    <w:p w14:paraId="1F9A3336">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Schmidt, A. (2018). Examining the curriculum and assessment framework of the Australian Curriculum: Science. Volume 33 Number 1, 2013; Pages 15. </w:t>
      </w:r>
    </w:p>
    <w:p w14:paraId="3CC11128">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Schmoker, A. (2018). Adapting teaching styles to accommodate learning preferences for effective development. </w:t>
      </w:r>
      <w:r>
        <w:rPr>
          <w:rFonts w:hint="default" w:ascii="Times New Roman" w:hAnsi="Times New Roman" w:eastAsia="SimSun" w:cs="Times New Roman"/>
          <w:i/>
          <w:color w:val="000000" w:themeColor="text1"/>
          <w:sz w:val="20"/>
          <w:szCs w:val="20"/>
        </w:rPr>
        <w:t>Progress in Transplantation, 18</w:t>
      </w:r>
      <w:r>
        <w:rPr>
          <w:rFonts w:hint="default" w:ascii="Times New Roman" w:hAnsi="Times New Roman" w:eastAsia="SimSun" w:cs="Times New Roman"/>
          <w:color w:val="000000" w:themeColor="text1"/>
          <w:sz w:val="20"/>
          <w:szCs w:val="20"/>
        </w:rPr>
        <w:t xml:space="preserve">(4), 297-300.  </w:t>
      </w:r>
    </w:p>
    <w:p w14:paraId="6989D5A2">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Slee, R. (2019). Inclusive education: Uniqueness as an opportunity to enhance learning. (Cited in ). </w:t>
      </w:r>
    </w:p>
    <w:p w14:paraId="7F3729FB">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Smith, K. A. (2020). Cooperative learning: Effective teamwork for engineering classrooms. (5th ed.). IEEE.</w:t>
      </w:r>
    </w:p>
    <w:p w14:paraId="4F1843DC">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Steinberg, L. (2014). Age of opportunity: Lessons from the new science of adolescence. Eamon Dolan/Houghton Mifflin Harcourt.</w:t>
      </w:r>
    </w:p>
    <w:p w14:paraId="5535A6F1">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Theoretical Perspectives on Cooperative Learning (2018). Examining the curriculum approaches and assessment framework of the Australian Curriculum: Science. Volume 33 Number 1, 2020; Pages 15–30.</w:t>
      </w:r>
    </w:p>
    <w:p w14:paraId="01AD4826">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Tullao, R. (2018). Teachers Perceptions Toward Subject Specialization by Primary School Teachers. University of Visayas</w:t>
      </w:r>
    </w:p>
    <w:p w14:paraId="1082F9D4">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Tomlinson, C. A. (2014). The differentiated classroom: Responding to the needs of all learners (2nd ed.). ASCD</w:t>
      </w:r>
    </w:p>
    <w:p w14:paraId="75BEEE2B">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UNESCO. (2020). International standard classification of education (ISCED) 2011. UNESCO Institute for Statistics.</w:t>
      </w:r>
    </w:p>
    <w:p w14:paraId="05C1756E">
      <w:pPr>
        <w:ind w:left="705" w:hanging="720"/>
        <w:jc w:val="both"/>
        <w:rPr>
          <w:rFonts w:hint="default" w:ascii="Times New Roman" w:hAnsi="Times New Roman" w:eastAsia="SimSun" w:cs="Times New Roman"/>
          <w:color w:val="000000" w:themeColor="text1"/>
          <w:sz w:val="20"/>
          <w:szCs w:val="20"/>
        </w:rPr>
      </w:pPr>
    </w:p>
    <w:p w14:paraId="6C341327">
      <w:pPr>
        <w:ind w:left="705" w:hanging="720"/>
        <w:jc w:val="both"/>
        <w:rPr>
          <w:rFonts w:hint="default" w:ascii="Times New Roman" w:hAnsi="Times New Roman" w:eastAsia="SimSun" w:cs="Times New Roman"/>
          <w:color w:val="000000" w:themeColor="text1"/>
          <w:sz w:val="20"/>
          <w:szCs w:val="20"/>
          <w:lang w:val="en-PH" w:eastAsia="en-PH"/>
        </w:rPr>
      </w:pPr>
      <w:r>
        <w:rPr>
          <w:rFonts w:hint="default" w:ascii="Times New Roman" w:hAnsi="Times New Roman" w:eastAsia="SimSun" w:cs="Times New Roman"/>
          <w:color w:val="000000" w:themeColor="text1"/>
          <w:sz w:val="20"/>
          <w:szCs w:val="20"/>
          <w:lang w:val="en-PH" w:eastAsia="en-PH"/>
        </w:rPr>
        <w:t xml:space="preserve">Verdeflor, V. (2025). Cooperative learning practices in Technology and Livelihood Education among public high school teachers. </w:t>
      </w:r>
      <w:r>
        <w:rPr>
          <w:rFonts w:hint="default" w:ascii="Times New Roman" w:hAnsi="Times New Roman" w:eastAsia="SimSun" w:cs="Times New Roman"/>
          <w:i/>
          <w:iCs/>
          <w:color w:val="000000" w:themeColor="text1"/>
          <w:sz w:val="20"/>
          <w:szCs w:val="20"/>
          <w:lang w:val="en-PH" w:eastAsia="en-PH"/>
        </w:rPr>
        <w:t>International Journal of Science and Research Archive</w:t>
      </w:r>
      <w:r>
        <w:rPr>
          <w:rFonts w:hint="default" w:ascii="Times New Roman" w:hAnsi="Times New Roman" w:eastAsia="SimSun" w:cs="Times New Roman"/>
          <w:color w:val="000000" w:themeColor="text1"/>
          <w:sz w:val="20"/>
          <w:szCs w:val="20"/>
          <w:lang w:val="en-PH" w:eastAsia="en-PH"/>
        </w:rPr>
        <w:t xml:space="preserve">, </w:t>
      </w:r>
      <w:r>
        <w:rPr>
          <w:rFonts w:hint="default" w:ascii="Times New Roman" w:hAnsi="Times New Roman" w:eastAsia="SimSun" w:cs="Times New Roman"/>
          <w:i/>
          <w:iCs/>
          <w:color w:val="000000" w:themeColor="text1"/>
          <w:sz w:val="20"/>
          <w:szCs w:val="20"/>
          <w:lang w:val="en-PH" w:eastAsia="en-PH"/>
        </w:rPr>
        <w:t>16</w:t>
      </w:r>
      <w:r>
        <w:rPr>
          <w:rFonts w:hint="default" w:ascii="Times New Roman" w:hAnsi="Times New Roman" w:eastAsia="SimSun" w:cs="Times New Roman"/>
          <w:color w:val="000000" w:themeColor="text1"/>
          <w:sz w:val="20"/>
          <w:szCs w:val="20"/>
          <w:lang w:val="en-PH" w:eastAsia="en-PH"/>
        </w:rPr>
        <w:t xml:space="preserve">(1). </w:t>
      </w:r>
    </w:p>
    <w:p w14:paraId="6D037397">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 xml:space="preserve">Vygotsky, L. S. (1978). Mind in Society: The Development of Higher Psychological Processes. Cambridge, MA: Harvard University Press.  </w:t>
      </w:r>
    </w:p>
    <w:p w14:paraId="673746B1">
      <w:pPr>
        <w:ind w:left="705" w:hanging="720"/>
        <w:jc w:val="both"/>
        <w:rPr>
          <w:rFonts w:hint="default" w:ascii="Times New Roman" w:hAnsi="Times New Roman" w:eastAsia="SimSun" w:cs="Times New Roman"/>
          <w:color w:val="000000" w:themeColor="text1"/>
          <w:sz w:val="20"/>
          <w:szCs w:val="20"/>
          <w:lang w:val="en-PH" w:eastAsia="en-PH"/>
        </w:rPr>
      </w:pPr>
      <w:r>
        <w:rPr>
          <w:rFonts w:hint="default" w:ascii="Times New Roman" w:hAnsi="Times New Roman" w:eastAsia="SimSun" w:cs="Times New Roman"/>
          <w:color w:val="000000" w:themeColor="text1"/>
          <w:sz w:val="20"/>
          <w:szCs w:val="20"/>
          <w:lang w:val="en-PH" w:eastAsia="en-PH"/>
        </w:rPr>
        <w:t>Wentzel, K. R. (2017). Peer relationships, motivation, and academic capacity at school. In A. J. Elliot, C. S. Dweck, &amp; D. S. Yeager (Eds.), Handbook of competence and motivation: Theory and application (pp. 420–439). The Guilford Press.</w:t>
      </w:r>
    </w:p>
    <w:p w14:paraId="2C25937C">
      <w:pPr>
        <w:ind w:left="705" w:hanging="720"/>
        <w:jc w:val="both"/>
        <w:rPr>
          <w:rFonts w:hint="default" w:ascii="Times New Roman" w:hAnsi="Times New Roman" w:eastAsia="SimSun" w:cs="Times New Roman"/>
          <w:color w:val="000000" w:themeColor="text1"/>
          <w:sz w:val="20"/>
          <w:szCs w:val="20"/>
        </w:rPr>
      </w:pPr>
      <w:r>
        <w:rPr>
          <w:rFonts w:hint="default" w:ascii="Times New Roman" w:hAnsi="Times New Roman" w:eastAsia="SimSun" w:cs="Times New Roman"/>
          <w:color w:val="000000" w:themeColor="text1"/>
          <w:sz w:val="20"/>
          <w:szCs w:val="20"/>
        </w:rPr>
        <w:t>Zevenbergen and Zevenbergen (2019). The impact of cooperative learning strategies on math anxiety and self-efficacy among adult basic education students [Doctoral dissertation, Clemson University]. Clemson OPEN.</w:t>
      </w:r>
    </w:p>
    <w:p w14:paraId="2E57B68D">
      <w:pPr>
        <w:pStyle w:val="70"/>
        <w:bidi w:val="0"/>
        <w:jc w:val="both"/>
        <w:rPr>
          <w:rFonts w:hint="default" w:ascii="Times New Roman" w:hAnsi="Times New Roman" w:eastAsia="SimSun" w:cs="Times New Roman"/>
          <w:sz w:val="20"/>
          <w:szCs w:val="20"/>
          <w:lang w:val="en-PH"/>
        </w:rPr>
      </w:pPr>
    </w:p>
    <w:p w14:paraId="00BC79E7">
      <w:pPr>
        <w:pStyle w:val="3"/>
      </w:pPr>
    </w:p>
    <w:p w14:paraId="04EF9479">
      <w:pPr>
        <w:pStyle w:val="3"/>
      </w:pPr>
    </w:p>
    <w:sectPr>
      <w:headerReference r:id="rId5" w:type="default"/>
      <w:footerReference r:id="rId6" w:type="default"/>
      <w:pgSz w:w="11906" w:h="16838"/>
      <w:pgMar w:top="737" w:right="907" w:bottom="397" w:left="907" w:header="680" w:footer="34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OpenSymbol">
    <w:altName w:val="Segoe Print"/>
    <w:panose1 w:val="00000000000000000000"/>
    <w:charset w:val="01"/>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Liberation Mono">
    <w:altName w:val="Courier New"/>
    <w:panose1 w:val="00000000000000000000"/>
    <w:charset w:val="01"/>
    <w:family w:val="roman"/>
    <w:pitch w:val="default"/>
    <w:sig w:usb0="00000000" w:usb1="00000000" w:usb2="00000000" w:usb3="00000000" w:csb0="00000000" w:csb1="00000000"/>
  </w:font>
  <w:font w:name="DejaVu Sans">
    <w:altName w:val="Segoe Print"/>
    <w:panose1 w:val="00000000000000000000"/>
    <w:charset w:val="00"/>
    <w:family w:val="auto"/>
    <w:pitch w:val="default"/>
    <w:sig w:usb0="00000000" w:usb1="00000000" w:usb2="00000000" w:usb3="00000000" w:csb0="00000000" w:csb1="00000000"/>
  </w:font>
  <w:font w:name="Lohit Hindi">
    <w:altName w:val="Segoe Print"/>
    <w:panose1 w:val="00000000000000000000"/>
    <w:charset w:val="00"/>
    <w:family w:val="auto"/>
    <w:pitch w:val="default"/>
    <w:sig w:usb0="00000000" w:usb1="00000000" w:usb2="00000000" w:usb3="00000000" w:csb0="00000000" w:csb1="00000000"/>
  </w:font>
  <w:font w:name="Lohit Marathi">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Arial">
    <w:panose1 w:val="020B0604020202020204"/>
    <w:charset w:val="01"/>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39B5B">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D211D">
    <w:pPr>
      <w:pStyle w:val="22"/>
      <w:widowControl/>
      <w:suppressAutoHyphens/>
      <w:bidi w:val="0"/>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tabs>
          <w:tab w:val="left" w:pos="0"/>
        </w:tabs>
        <w:ind w:left="0" w:firstLine="0"/>
      </w:pPr>
    </w:lvl>
    <w:lvl w:ilvl="1" w:tentative="0">
      <w:start w:val="1"/>
      <w:numFmt w:val="decimal"/>
      <w:lvlText w:val="%2."/>
      <w:lvlJc w:val="left"/>
      <w:pPr>
        <w:tabs>
          <w:tab w:val="left" w:pos="1080"/>
        </w:tabs>
        <w:ind w:left="1080" w:hanging="360"/>
      </w:pPr>
      <w:rPr>
        <w:b w:val="0"/>
        <w:bCs w:val="0"/>
        <w:sz w:val="24"/>
        <w:szCs w:val="24"/>
      </w:rPr>
    </w:lvl>
    <w:lvl w:ilvl="2" w:tentative="0">
      <w:start w:val="1"/>
      <w:numFmt w:val="decimal"/>
      <w:lvlText w:val="%3."/>
      <w:lvlJc w:val="left"/>
      <w:pPr>
        <w:tabs>
          <w:tab w:val="left" w:pos="1440"/>
        </w:tabs>
        <w:ind w:left="1440" w:hanging="360"/>
      </w:pPr>
      <w:rPr>
        <w:b w:val="0"/>
        <w:bCs w:val="0"/>
        <w:sz w:val="24"/>
        <w:szCs w:val="24"/>
      </w:rPr>
    </w:lvl>
    <w:lvl w:ilvl="3" w:tentative="0">
      <w:start w:val="1"/>
      <w:numFmt w:val="decimal"/>
      <w:lvlText w:val="%4."/>
      <w:lvlJc w:val="left"/>
      <w:pPr>
        <w:tabs>
          <w:tab w:val="left" w:pos="1800"/>
        </w:tabs>
        <w:ind w:left="1800" w:hanging="360"/>
      </w:pPr>
      <w:rPr>
        <w:b w:val="0"/>
        <w:bCs w:val="0"/>
        <w:sz w:val="24"/>
        <w:szCs w:val="24"/>
      </w:rPr>
    </w:lvl>
    <w:lvl w:ilvl="4" w:tentative="0">
      <w:start w:val="1"/>
      <w:numFmt w:val="decimal"/>
      <w:lvlText w:val="%5."/>
      <w:lvlJc w:val="left"/>
      <w:pPr>
        <w:tabs>
          <w:tab w:val="left" w:pos="2160"/>
        </w:tabs>
        <w:ind w:left="2160" w:hanging="360"/>
      </w:pPr>
      <w:rPr>
        <w:b w:val="0"/>
        <w:bCs w:val="0"/>
        <w:sz w:val="24"/>
        <w:szCs w:val="24"/>
      </w:rPr>
    </w:lvl>
    <w:lvl w:ilvl="5" w:tentative="0">
      <w:start w:val="1"/>
      <w:numFmt w:val="decimal"/>
      <w:lvlText w:val="%6."/>
      <w:lvlJc w:val="left"/>
      <w:pPr>
        <w:tabs>
          <w:tab w:val="left" w:pos="2520"/>
        </w:tabs>
        <w:ind w:left="2520" w:hanging="360"/>
      </w:pPr>
      <w:rPr>
        <w:b w:val="0"/>
        <w:bCs w:val="0"/>
        <w:sz w:val="24"/>
        <w:szCs w:val="24"/>
      </w:rPr>
    </w:lvl>
    <w:lvl w:ilvl="6" w:tentative="0">
      <w:start w:val="1"/>
      <w:numFmt w:val="decimal"/>
      <w:lvlText w:val="%7."/>
      <w:lvlJc w:val="left"/>
      <w:pPr>
        <w:tabs>
          <w:tab w:val="left" w:pos="2880"/>
        </w:tabs>
        <w:ind w:left="2880" w:hanging="360"/>
      </w:pPr>
      <w:rPr>
        <w:b w:val="0"/>
        <w:bCs w:val="0"/>
        <w:sz w:val="24"/>
        <w:szCs w:val="24"/>
      </w:rPr>
    </w:lvl>
    <w:lvl w:ilvl="7" w:tentative="0">
      <w:start w:val="1"/>
      <w:numFmt w:val="decimal"/>
      <w:lvlText w:val="%8."/>
      <w:lvlJc w:val="left"/>
      <w:pPr>
        <w:tabs>
          <w:tab w:val="left" w:pos="3240"/>
        </w:tabs>
        <w:ind w:left="3240" w:hanging="360"/>
      </w:pPr>
      <w:rPr>
        <w:b w:val="0"/>
        <w:bCs w:val="0"/>
        <w:sz w:val="24"/>
        <w:szCs w:val="24"/>
      </w:rPr>
    </w:lvl>
    <w:lvl w:ilvl="8" w:tentative="0">
      <w:start w:val="1"/>
      <w:numFmt w:val="decimal"/>
      <w:lvlText w:val="%9."/>
      <w:lvlJc w:val="left"/>
      <w:pPr>
        <w:tabs>
          <w:tab w:val="left" w:pos="3600"/>
        </w:tabs>
        <w:ind w:left="3600" w:hanging="360"/>
      </w:pPr>
      <w:rPr>
        <w:b w:val="0"/>
        <w:bCs w:val="0"/>
        <w:sz w:val="24"/>
        <w:szCs w:val="24"/>
      </w:rPr>
    </w:lvl>
  </w:abstractNum>
  <w:abstractNum w:abstractNumId="1">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pStyle w:val="8"/>
      <w:suff w:val="nothing"/>
      <w:lvlText w:val=""/>
      <w:lvlJc w:val="left"/>
      <w:pPr>
        <w:tabs>
          <w:tab w:val="left" w:pos="0"/>
        </w:tabs>
        <w:ind w:left="0" w:firstLine="0"/>
      </w:pPr>
    </w:lvl>
    <w:lvl w:ilvl="6" w:tentative="0">
      <w:start w:val="1"/>
      <w:numFmt w:val="none"/>
      <w:pStyle w:val="10"/>
      <w:suff w:val="nothing"/>
      <w:lvlText w:val=""/>
      <w:lvlJc w:val="left"/>
      <w:pPr>
        <w:tabs>
          <w:tab w:val="left" w:pos="0"/>
        </w:tabs>
        <w:ind w:left="0" w:firstLine="0"/>
      </w:pPr>
    </w:lvl>
    <w:lvl w:ilvl="7" w:tentative="0">
      <w:start w:val="1"/>
      <w:numFmt w:val="none"/>
      <w:pStyle w:val="11"/>
      <w:suff w:val="nothing"/>
      <w:lvlText w:val=""/>
      <w:lvlJc w:val="left"/>
      <w:pPr>
        <w:tabs>
          <w:tab w:val="left" w:pos="0"/>
        </w:tabs>
        <w:ind w:left="0" w:firstLine="0"/>
      </w:pPr>
    </w:lvl>
    <w:lvl w:ilvl="8" w:tentative="0">
      <w:start w:val="1"/>
      <w:numFmt w:val="none"/>
      <w:pStyle w:val="12"/>
      <w:suff w:val="nothing"/>
      <w:lvlText w:val=""/>
      <w:lvlJc w:val="left"/>
      <w:pPr>
        <w:tabs>
          <w:tab w:val="left" w:pos="0"/>
        </w:tabs>
        <w:ind w:left="0" w:firstLine="0"/>
      </w:pPr>
    </w:lvl>
  </w:abstractNum>
  <w:abstractNum w:abstractNumId="2">
    <w:nsid w:val="6679FDC7"/>
    <w:multiLevelType w:val="singleLevel"/>
    <w:tmpl w:val="6679FDC7"/>
    <w:lvl w:ilvl="0" w:tentative="0">
      <w:start w:val="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643"/>
  <w:autoHyphenation/>
  <w:displayHorizontalDrawingGridEvery w:val="1"/>
  <w:displayVerticalDrawingGridEvery w:val="1"/>
  <w:noPunctuationKerning w:val="1"/>
  <w:hdrShapeDefaults>
    <o:shapelayout v:ext="edit">
      <o:idmap v:ext="edit" data="2"/>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C5371"/>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nhideWhenUsed="0" w:uiPriority="0" w:semiHidden="0"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nhideWhenUsed="0" w:uiPriority="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0" w:line="276" w:lineRule="auto"/>
      <w:jc w:val="both"/>
    </w:pPr>
    <w:rPr>
      <w:rFonts w:ascii="Times New Roman" w:hAnsi="Times New Roman" w:eastAsia="SimSun" w:cs="Times New Roman"/>
      <w:color w:val="auto"/>
      <w:kern w:val="0"/>
      <w:sz w:val="24"/>
      <w:szCs w:val="20"/>
      <w:lang w:val="en-US" w:eastAsia="zh-CN" w:bidi="ar-SA"/>
    </w:rPr>
  </w:style>
  <w:style w:type="paragraph" w:styleId="2">
    <w:name w:val="heading 1"/>
    <w:basedOn w:val="1"/>
    <w:next w:val="3"/>
    <w:qFormat/>
    <w:uiPriority w:val="0"/>
    <w:pPr>
      <w:keepNext/>
      <w:keepLines/>
      <w:spacing w:before="0" w:after="0"/>
      <w:ind w:left="397" w:right="0" w:hanging="397"/>
      <w:outlineLvl w:val="0"/>
    </w:pPr>
    <w:rPr>
      <w:b/>
      <w:sz w:val="28"/>
      <w:lang w:eastAsia="en-US"/>
    </w:rPr>
  </w:style>
  <w:style w:type="paragraph" w:styleId="4">
    <w:name w:val="heading 2"/>
    <w:basedOn w:val="1"/>
    <w:next w:val="1"/>
    <w:qFormat/>
    <w:uiPriority w:val="0"/>
    <w:pPr>
      <w:keepNext/>
      <w:keepLines/>
      <w:tabs>
        <w:tab w:val="left" w:pos="227"/>
      </w:tabs>
      <w:spacing w:before="0" w:after="0"/>
      <w:ind w:left="397" w:right="0" w:hanging="397"/>
      <w:jc w:val="left"/>
      <w:outlineLvl w:val="1"/>
    </w:pPr>
    <w:rPr>
      <w:b/>
      <w:iCs/>
      <w:sz w:val="28"/>
      <w:lang w:eastAsia="en-US"/>
    </w:rPr>
  </w:style>
  <w:style w:type="paragraph" w:styleId="5">
    <w:name w:val="heading 3"/>
    <w:basedOn w:val="1"/>
    <w:next w:val="1"/>
    <w:qFormat/>
    <w:uiPriority w:val="0"/>
    <w:pPr>
      <w:tabs>
        <w:tab w:val="left" w:pos="425"/>
        <w:tab w:val="left" w:pos="540"/>
      </w:tabs>
      <w:spacing w:line="276" w:lineRule="auto"/>
      <w:ind w:left="397" w:right="0" w:hanging="397"/>
      <w:jc w:val="both"/>
      <w:outlineLvl w:val="2"/>
    </w:pPr>
    <w:rPr>
      <w:b/>
      <w:iCs/>
      <w:sz w:val="28"/>
      <w:lang w:eastAsia="en-US"/>
    </w:rPr>
  </w:style>
  <w:style w:type="paragraph" w:styleId="6">
    <w:name w:val="heading 4"/>
    <w:basedOn w:val="1"/>
    <w:next w:val="3"/>
    <w:qFormat/>
    <w:uiPriority w:val="0"/>
    <w:pPr>
      <w:spacing w:before="0" w:after="0"/>
      <w:ind w:left="397" w:right="0" w:hanging="397"/>
      <w:jc w:val="both"/>
      <w:outlineLvl w:val="3"/>
    </w:pPr>
    <w:rPr>
      <w:b/>
      <w:iCs/>
      <w:sz w:val="28"/>
      <w:lang w:eastAsia="en-US"/>
    </w:rPr>
  </w:style>
  <w:style w:type="paragraph" w:styleId="7">
    <w:name w:val="heading 5"/>
    <w:basedOn w:val="1"/>
    <w:next w:val="3"/>
    <w:qFormat/>
    <w:uiPriority w:val="0"/>
    <w:pPr>
      <w:spacing w:before="0" w:after="0"/>
      <w:outlineLvl w:val="4"/>
    </w:pPr>
    <w:rPr>
      <w:b/>
      <w:sz w:val="28"/>
      <w:lang w:eastAsia="en-US"/>
    </w:rPr>
  </w:style>
  <w:style w:type="paragraph" w:styleId="8">
    <w:name w:val="heading 6"/>
    <w:basedOn w:val="9"/>
    <w:next w:val="3"/>
    <w:qFormat/>
    <w:uiPriority w:val="0"/>
    <w:pPr>
      <w:numPr>
        <w:ilvl w:val="5"/>
        <w:numId w:val="1"/>
      </w:numPr>
      <w:spacing w:before="0" w:after="0"/>
      <w:ind w:left="397" w:right="0" w:firstLine="397"/>
      <w:outlineLvl w:val="5"/>
    </w:pPr>
    <w:rPr>
      <w:rFonts w:ascii="Times New Roman" w:hAnsi="Times New Roman"/>
      <w:bCs/>
      <w:iCs/>
      <w:sz w:val="28"/>
      <w:szCs w:val="24"/>
    </w:rPr>
  </w:style>
  <w:style w:type="paragraph" w:styleId="10">
    <w:name w:val="heading 7"/>
    <w:basedOn w:val="9"/>
    <w:next w:val="3"/>
    <w:qFormat/>
    <w:uiPriority w:val="0"/>
    <w:pPr>
      <w:numPr>
        <w:ilvl w:val="6"/>
        <w:numId w:val="1"/>
      </w:numPr>
      <w:spacing w:before="0" w:after="0"/>
      <w:ind w:left="397" w:right="0" w:firstLine="397"/>
      <w:outlineLvl w:val="6"/>
    </w:pPr>
    <w:rPr>
      <w:rFonts w:ascii="Times New Roman" w:hAnsi="Times New Roman"/>
      <w:bCs/>
      <w:sz w:val="28"/>
      <w:szCs w:val="22"/>
    </w:rPr>
  </w:style>
  <w:style w:type="paragraph" w:styleId="11">
    <w:name w:val="heading 8"/>
    <w:basedOn w:val="9"/>
    <w:next w:val="3"/>
    <w:qFormat/>
    <w:uiPriority w:val="0"/>
    <w:pPr>
      <w:numPr>
        <w:ilvl w:val="7"/>
        <w:numId w:val="1"/>
      </w:numPr>
      <w:spacing w:before="0" w:after="0"/>
      <w:ind w:left="397" w:right="0" w:firstLine="397"/>
      <w:outlineLvl w:val="7"/>
    </w:pPr>
    <w:rPr>
      <w:rFonts w:ascii="Times New Roman" w:hAnsi="Times New Roman"/>
      <w:bCs/>
      <w:iCs/>
      <w:sz w:val="28"/>
      <w:szCs w:val="22"/>
    </w:rPr>
  </w:style>
  <w:style w:type="paragraph" w:styleId="12">
    <w:name w:val="heading 9"/>
    <w:basedOn w:val="9"/>
    <w:next w:val="3"/>
    <w:qFormat/>
    <w:uiPriority w:val="0"/>
    <w:pPr>
      <w:numPr>
        <w:ilvl w:val="8"/>
        <w:numId w:val="1"/>
      </w:numPr>
      <w:spacing w:before="0" w:after="0"/>
      <w:ind w:left="397" w:right="0" w:firstLine="397"/>
      <w:outlineLvl w:val="8"/>
    </w:pPr>
    <w:rPr>
      <w:rFonts w:ascii="Times New Roman" w:hAnsi="Times New Roman"/>
      <w:bCs/>
      <w:sz w:val="28"/>
      <w:szCs w:val="21"/>
    </w:rPr>
  </w:style>
  <w:style w:type="character" w:default="1" w:styleId="13">
    <w:name w:val="Default Paragraph Font"/>
    <w:semiHidden/>
    <w:qFormat/>
    <w:uiPriority w:val="0"/>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snapToGrid w:val="0"/>
      <w:spacing w:before="0" w:after="0"/>
      <w:ind w:left="0" w:right="0" w:firstLine="0"/>
      <w:jc w:val="both"/>
    </w:pPr>
    <w:rPr>
      <w:spacing w:val="0"/>
    </w:rPr>
  </w:style>
  <w:style w:type="paragraph" w:customStyle="1" w:styleId="9">
    <w:name w:val="Heading"/>
    <w:basedOn w:val="1"/>
    <w:next w:val="3"/>
    <w:qFormat/>
    <w:uiPriority w:val="0"/>
    <w:pPr>
      <w:keepNext/>
      <w:spacing w:before="0" w:after="0"/>
      <w:ind w:left="0" w:right="0" w:firstLine="0"/>
    </w:pPr>
    <w:rPr>
      <w:rFonts w:ascii="Times New Roman" w:hAnsi="Times New Roman" w:eastAsia="DejaVu Sans" w:cs="Lohit Hindi"/>
      <w:b/>
      <w:sz w:val="28"/>
      <w:szCs w:val="28"/>
    </w:rPr>
  </w:style>
  <w:style w:type="paragraph" w:styleId="15">
    <w:name w:val="caption"/>
    <w:basedOn w:val="1"/>
    <w:qFormat/>
    <w:uiPriority w:val="0"/>
    <w:pPr>
      <w:suppressLineNumbers/>
      <w:spacing w:before="0" w:after="113"/>
      <w:jc w:val="center"/>
    </w:pPr>
    <w:rPr>
      <w:rFonts w:ascii="Times New Roman" w:hAnsi="Times New Roman" w:cs="Lohit Marathi"/>
      <w:iCs/>
      <w:sz w:val="24"/>
      <w:szCs w:val="24"/>
    </w:rPr>
  </w:style>
  <w:style w:type="paragraph" w:styleId="16">
    <w:name w:val="Closing"/>
    <w:basedOn w:val="9"/>
    <w:next w:val="3"/>
    <w:qFormat/>
    <w:uiPriority w:val="0"/>
    <w:pPr>
      <w:spacing w:before="0" w:after="0"/>
      <w:jc w:val="both"/>
    </w:pPr>
    <w:rPr>
      <w:rFonts w:ascii="Times New Roman" w:hAnsi="Times New Roman"/>
      <w:bCs/>
      <w:sz w:val="28"/>
      <w:szCs w:val="32"/>
    </w:rPr>
  </w:style>
  <w:style w:type="character" w:styleId="17">
    <w:name w:val="Emphasis"/>
    <w:qFormat/>
    <w:uiPriority w:val="0"/>
    <w:rPr>
      <w:i/>
      <w:iCs/>
      <w:sz w:val="24"/>
    </w:rPr>
  </w:style>
  <w:style w:type="paragraph" w:styleId="18">
    <w:name w:val="endnote text"/>
    <w:basedOn w:val="1"/>
    <w:uiPriority w:val="0"/>
    <w:pPr>
      <w:suppressLineNumbers/>
      <w:ind w:left="227" w:right="0" w:firstLine="227"/>
    </w:pPr>
    <w:rPr>
      <w:sz w:val="20"/>
      <w:szCs w:val="20"/>
    </w:rPr>
  </w:style>
  <w:style w:type="paragraph" w:styleId="19">
    <w:name w:val="envelope address"/>
    <w:basedOn w:val="1"/>
    <w:uiPriority w:val="0"/>
    <w:pPr>
      <w:suppressLineNumbers/>
      <w:spacing w:before="0" w:after="60"/>
    </w:pPr>
  </w:style>
  <w:style w:type="character" w:styleId="20">
    <w:name w:val="FollowedHyperlink"/>
    <w:uiPriority w:val="0"/>
    <w:rPr>
      <w:color w:val="800000"/>
      <w:sz w:val="24"/>
      <w:u w:val="single"/>
      <w:lang w:val="zh-CN" w:eastAsia="zh-CN" w:bidi="zh-CN"/>
    </w:rPr>
  </w:style>
  <w:style w:type="paragraph" w:styleId="21">
    <w:name w:val="footer"/>
    <w:basedOn w:val="1"/>
    <w:unhideWhenUsed/>
    <w:uiPriority w:val="99"/>
    <w:pPr>
      <w:spacing w:line="240" w:lineRule="auto"/>
      <w:jc w:val="center"/>
    </w:pPr>
    <w:rPr>
      <w:rFonts w:ascii="Arial" w:hAnsi="Arial"/>
      <w:sz w:val="20"/>
    </w:rPr>
  </w:style>
  <w:style w:type="paragraph" w:styleId="22">
    <w:name w:val="header"/>
    <w:basedOn w:val="1"/>
    <w:unhideWhenUsed/>
    <w:uiPriority w:val="99"/>
    <w:pPr>
      <w:spacing w:line="240" w:lineRule="auto"/>
      <w:jc w:val="center"/>
    </w:pPr>
    <w:rPr>
      <w:rFonts w:ascii="Arial" w:hAnsi="Arial"/>
      <w:sz w:val="20"/>
    </w:rPr>
  </w:style>
  <w:style w:type="character" w:styleId="23">
    <w:name w:val="Hyperlink"/>
    <w:basedOn w:val="13"/>
    <w:unhideWhenUsed/>
    <w:qFormat/>
    <w:uiPriority w:val="99"/>
    <w:rPr>
      <w:color w:val="0000FF" w:themeColor="hyperlink"/>
      <w:sz w:val="24"/>
      <w:u w:val="single"/>
    </w:rPr>
  </w:style>
  <w:style w:type="paragraph" w:styleId="24">
    <w:name w:val="index heading"/>
    <w:basedOn w:val="9"/>
    <w:uiPriority w:val="0"/>
    <w:pPr>
      <w:suppressLineNumbers/>
      <w:spacing w:before="0" w:after="0"/>
      <w:ind w:left="0" w:right="0" w:firstLine="0"/>
    </w:pPr>
    <w:rPr>
      <w:rFonts w:ascii="Times New Roman" w:hAnsi="Times New Roman"/>
      <w:bCs/>
      <w:sz w:val="28"/>
      <w:szCs w:val="32"/>
    </w:rPr>
  </w:style>
  <w:style w:type="paragraph" w:styleId="25">
    <w:name w:val="List"/>
    <w:basedOn w:val="3"/>
    <w:uiPriority w:val="0"/>
    <w:rPr>
      <w:rFonts w:cs="Lohit Hindi"/>
    </w:rPr>
  </w:style>
  <w:style w:type="paragraph" w:styleId="26">
    <w:name w:val="Normal (Web)"/>
    <w:basedOn w:val="1"/>
    <w:qFormat/>
    <w:uiPriority w:val="0"/>
    <w:pPr>
      <w:spacing w:before="0" w:beforeAutospacing="1" w:after="0" w:afterAutospacing="1"/>
      <w:ind w:left="0" w:right="0"/>
      <w:jc w:val="left"/>
    </w:pPr>
    <w:rPr>
      <w:kern w:val="0"/>
      <w:sz w:val="24"/>
      <w:szCs w:val="24"/>
      <w:lang w:val="en-US" w:eastAsia="zh-CN" w:bidi="ar"/>
    </w:rPr>
  </w:style>
  <w:style w:type="character" w:styleId="27">
    <w:name w:val="page number"/>
    <w:qFormat/>
    <w:uiPriority w:val="0"/>
    <w:rPr>
      <w:sz w:val="20"/>
    </w:rPr>
  </w:style>
  <w:style w:type="character" w:styleId="28">
    <w:name w:val="Strong"/>
    <w:basedOn w:val="13"/>
    <w:qFormat/>
    <w:uiPriority w:val="0"/>
    <w:rPr>
      <w:b/>
      <w:bCs/>
    </w:rPr>
  </w:style>
  <w:style w:type="paragraph" w:styleId="29">
    <w:name w:val="Subtitle"/>
    <w:basedOn w:val="9"/>
    <w:next w:val="3"/>
    <w:qFormat/>
    <w:uiPriority w:val="0"/>
    <w:pPr>
      <w:spacing w:before="0" w:after="0"/>
      <w:jc w:val="center"/>
    </w:pPr>
    <w:rPr>
      <w:sz w:val="36"/>
      <w:szCs w:val="36"/>
    </w:rPr>
  </w:style>
  <w:style w:type="table" w:styleId="30">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
    <w:name w:val="table of figures"/>
    <w:basedOn w:val="15"/>
    <w:qFormat/>
    <w:uiPriority w:val="0"/>
  </w:style>
  <w:style w:type="paragraph" w:styleId="32">
    <w:name w:val="Title"/>
    <w:basedOn w:val="9"/>
    <w:next w:val="3"/>
    <w:qFormat/>
    <w:uiPriority w:val="0"/>
    <w:pPr>
      <w:spacing w:before="0" w:after="0"/>
      <w:jc w:val="center"/>
    </w:pPr>
    <w:rPr>
      <w:rFonts w:ascii="Times New Roman" w:hAnsi="Times New Roman"/>
      <w:bCs/>
      <w:sz w:val="48"/>
      <w:szCs w:val="56"/>
    </w:rPr>
  </w:style>
  <w:style w:type="character" w:customStyle="1" w:styleId="33">
    <w:name w:val="Bullets"/>
    <w:qFormat/>
    <w:uiPriority w:val="0"/>
    <w:rPr>
      <w:rFonts w:ascii="Times New Roman" w:hAnsi="Times New Roman" w:eastAsia="OpenSymbol" w:cs="OpenSymbol"/>
      <w:sz w:val="24"/>
      <w:szCs w:val="24"/>
    </w:rPr>
  </w:style>
  <w:style w:type="character" w:customStyle="1" w:styleId="34">
    <w:name w:val="Numbering Symbols"/>
    <w:qFormat/>
    <w:uiPriority w:val="0"/>
    <w:rPr>
      <w:sz w:val="24"/>
      <w:szCs w:val="24"/>
    </w:rPr>
  </w:style>
  <w:style w:type="character" w:customStyle="1" w:styleId="35">
    <w:name w:val="Quotation"/>
    <w:qFormat/>
    <w:uiPriority w:val="0"/>
    <w:rPr>
      <w:iCs/>
      <w:sz w:val="24"/>
    </w:rPr>
  </w:style>
  <w:style w:type="character" w:customStyle="1" w:styleId="36">
    <w:name w:val="Caption Characters"/>
    <w:qFormat/>
    <w:uiPriority w:val="0"/>
    <w:rPr>
      <w:sz w:val="24"/>
    </w:rPr>
  </w:style>
  <w:style w:type="character" w:customStyle="1" w:styleId="37">
    <w:name w:val="Definition"/>
    <w:qFormat/>
    <w:uiPriority w:val="0"/>
    <w:rPr>
      <w:sz w:val="24"/>
    </w:rPr>
  </w:style>
  <w:style w:type="character" w:customStyle="1" w:styleId="38">
    <w:name w:val="Endnote Anchor"/>
    <w:qFormat/>
    <w:uiPriority w:val="0"/>
    <w:rPr>
      <w:sz w:val="20"/>
      <w:vertAlign w:val="superscript"/>
    </w:rPr>
  </w:style>
  <w:style w:type="character" w:customStyle="1" w:styleId="39">
    <w:name w:val="Endnote Characters"/>
    <w:qFormat/>
    <w:uiPriority w:val="0"/>
    <w:rPr>
      <w:sz w:val="20"/>
    </w:rPr>
  </w:style>
  <w:style w:type="character" w:customStyle="1" w:styleId="40">
    <w:name w:val="Example"/>
    <w:qFormat/>
    <w:uiPriority w:val="0"/>
    <w:rPr>
      <w:rFonts w:ascii="Liberation Mono" w:hAnsi="Liberation Mono" w:eastAsia="Liberation Mono" w:cs="Liberation Mono"/>
      <w:sz w:val="24"/>
    </w:rPr>
  </w:style>
  <w:style w:type="character" w:customStyle="1" w:styleId="41">
    <w:name w:val="Variable"/>
    <w:qFormat/>
    <w:uiPriority w:val="0"/>
    <w:rPr>
      <w:iCs/>
      <w:sz w:val="24"/>
    </w:rPr>
  </w:style>
  <w:style w:type="character" w:customStyle="1" w:styleId="42">
    <w:name w:val="Line Numbering"/>
    <w:uiPriority w:val="0"/>
    <w:rPr>
      <w:sz w:val="24"/>
    </w:rPr>
  </w:style>
  <w:style w:type="character" w:customStyle="1" w:styleId="43">
    <w:name w:val="Drop Caps"/>
    <w:qFormat/>
    <w:uiPriority w:val="0"/>
    <w:rPr>
      <w:sz w:val="24"/>
    </w:rPr>
  </w:style>
  <w:style w:type="character" w:customStyle="1" w:styleId="44">
    <w:name w:val="Footnote Anchor"/>
    <w:uiPriority w:val="0"/>
    <w:rPr>
      <w:sz w:val="20"/>
      <w:vertAlign w:val="superscript"/>
    </w:rPr>
  </w:style>
  <w:style w:type="character" w:customStyle="1" w:styleId="45">
    <w:name w:val="Footnote Characters"/>
    <w:qFormat/>
    <w:uiPriority w:val="0"/>
    <w:rPr>
      <w:sz w:val="24"/>
    </w:rPr>
  </w:style>
  <w:style w:type="character" w:customStyle="1" w:styleId="46">
    <w:name w:val="Index Link"/>
    <w:qFormat/>
    <w:uiPriority w:val="0"/>
    <w:rPr>
      <w:sz w:val="24"/>
    </w:rPr>
  </w:style>
  <w:style w:type="character" w:customStyle="1" w:styleId="47">
    <w:name w:val="Main Index Entry"/>
    <w:qFormat/>
    <w:uiPriority w:val="0"/>
    <w:rPr>
      <w:bCs/>
      <w:sz w:val="24"/>
    </w:rPr>
  </w:style>
  <w:style w:type="character" w:customStyle="1" w:styleId="48">
    <w:name w:val="Placeholder"/>
    <w:qFormat/>
    <w:uiPriority w:val="0"/>
    <w:rPr>
      <w:smallCaps/>
      <w:color w:val="008080"/>
      <w:sz w:val="24"/>
      <w:u w:val="dotted"/>
    </w:rPr>
  </w:style>
  <w:style w:type="character" w:customStyle="1" w:styleId="49">
    <w:name w:val="Source Text"/>
    <w:qFormat/>
    <w:uiPriority w:val="0"/>
    <w:rPr>
      <w:rFonts w:ascii="Liberation Mono" w:hAnsi="Liberation Mono" w:eastAsia="Liberation Mono" w:cs="Liberation Mono"/>
      <w:sz w:val="24"/>
    </w:rPr>
  </w:style>
  <w:style w:type="character" w:customStyle="1" w:styleId="50">
    <w:name w:val="Strong Emphasis"/>
    <w:qFormat/>
    <w:uiPriority w:val="0"/>
    <w:rPr>
      <w:b/>
      <w:bCs/>
      <w:i/>
      <w:sz w:val="24"/>
    </w:rPr>
  </w:style>
  <w:style w:type="character" w:customStyle="1" w:styleId="51">
    <w:name w:val="Teletype"/>
    <w:qFormat/>
    <w:uiPriority w:val="0"/>
    <w:rPr>
      <w:rFonts w:ascii="Liberation Mono" w:hAnsi="Liberation Mono" w:eastAsia="Liberation Mono" w:cs="Liberation Mono"/>
      <w:sz w:val="24"/>
    </w:rPr>
  </w:style>
  <w:style w:type="character" w:customStyle="1" w:styleId="52">
    <w:name w:val="User Entry"/>
    <w:qFormat/>
    <w:uiPriority w:val="0"/>
    <w:rPr>
      <w:rFonts w:ascii="Liberation Mono" w:hAnsi="Liberation Mono" w:eastAsia="Liberation Mono" w:cs="Liberation Mono"/>
      <w:sz w:val="24"/>
    </w:rPr>
  </w:style>
  <w:style w:type="character" w:customStyle="1" w:styleId="53">
    <w:name w:val="Vertical Numbering Symbols"/>
    <w:qFormat/>
    <w:uiPriority w:val="0"/>
    <w:rPr>
      <w:sz w:val="24"/>
      <w:eastAsianLayout w:id="1" w:vert="1"/>
    </w:rPr>
  </w:style>
  <w:style w:type="paragraph" w:customStyle="1" w:styleId="54">
    <w:name w:val="Index"/>
    <w:basedOn w:val="1"/>
    <w:qFormat/>
    <w:uiPriority w:val="0"/>
    <w:pPr>
      <w:suppressLineNumbers/>
    </w:pPr>
    <w:rPr>
      <w:rFonts w:cs="Lohit Hindi"/>
    </w:rPr>
  </w:style>
  <w:style w:type="paragraph" w:customStyle="1" w:styleId="55">
    <w:name w:val="Author"/>
    <w:basedOn w:val="1"/>
    <w:qFormat/>
    <w:uiPriority w:val="0"/>
    <w:pPr>
      <w:widowControl/>
      <w:suppressAutoHyphens/>
      <w:bidi w:val="0"/>
      <w:spacing w:before="0" w:after="0" w:line="276" w:lineRule="auto"/>
      <w:jc w:val="center"/>
    </w:pPr>
    <w:rPr>
      <w:rFonts w:ascii="Times New Roman" w:hAnsi="Times New Roman" w:eastAsia="SimSun" w:cs="Times New Roman"/>
      <w:b/>
      <w:color w:val="auto"/>
      <w:kern w:val="0"/>
      <w:sz w:val="32"/>
      <w:szCs w:val="22"/>
      <w:lang w:val="en-US" w:eastAsia="en-US" w:bidi="ar-SA"/>
    </w:rPr>
  </w:style>
  <w:style w:type="paragraph" w:customStyle="1" w:styleId="56">
    <w:name w:val="Equation"/>
    <w:basedOn w:val="1"/>
    <w:qFormat/>
    <w:uiPriority w:val="0"/>
    <w:pPr>
      <w:spacing w:before="0" w:after="0" w:line="276" w:lineRule="auto"/>
      <w:ind w:left="-57" w:right="0" w:firstLine="0"/>
      <w:jc w:val="left"/>
    </w:pPr>
    <w:rPr>
      <w:rFonts w:ascii="Symbol" w:hAnsi="Symbol" w:cs="Symbol"/>
    </w:rPr>
  </w:style>
  <w:style w:type="paragraph" w:customStyle="1" w:styleId="57">
    <w:name w:val="Frame Contents"/>
    <w:basedOn w:val="3"/>
    <w:qFormat/>
    <w:uiPriority w:val="0"/>
  </w:style>
  <w:style w:type="paragraph" w:customStyle="1" w:styleId="58">
    <w:name w:val="Table Contents"/>
    <w:basedOn w:val="1"/>
    <w:qFormat/>
    <w:uiPriority w:val="0"/>
    <w:pPr>
      <w:suppressLineNumbers/>
      <w:jc w:val="left"/>
    </w:pPr>
  </w:style>
  <w:style w:type="paragraph" w:customStyle="1" w:styleId="59">
    <w:name w:val="Table Heading"/>
    <w:basedOn w:val="58"/>
    <w:qFormat/>
    <w:uiPriority w:val="0"/>
    <w:rPr>
      <w:b/>
      <w:bCs/>
    </w:rPr>
  </w:style>
  <w:style w:type="paragraph" w:customStyle="1" w:styleId="60">
    <w:name w:val="Header and Footer"/>
    <w:basedOn w:val="1"/>
    <w:qFormat/>
    <w:uiPriority w:val="0"/>
  </w:style>
  <w:style w:type="paragraph" w:customStyle="1" w:styleId="61">
    <w:name w:val="Table"/>
    <w:basedOn w:val="15"/>
    <w:qFormat/>
    <w:uiPriority w:val="0"/>
  </w:style>
  <w:style w:type="paragraph" w:customStyle="1" w:styleId="62">
    <w:name w:val="Figure"/>
    <w:basedOn w:val="15"/>
    <w:qFormat/>
    <w:uiPriority w:val="0"/>
  </w:style>
  <w:style w:type="paragraph" w:customStyle="1" w:styleId="63">
    <w:name w:val="Text"/>
    <w:basedOn w:val="15"/>
    <w:qFormat/>
    <w:uiPriority w:val="0"/>
  </w:style>
  <w:style w:type="paragraph" w:customStyle="1" w:styleId="64">
    <w:name w:val="Heading 10"/>
    <w:basedOn w:val="9"/>
    <w:next w:val="3"/>
    <w:qFormat/>
    <w:uiPriority w:val="0"/>
    <w:pPr>
      <w:spacing w:before="0" w:after="0"/>
      <w:ind w:left="397" w:right="0" w:firstLine="397"/>
      <w:outlineLvl w:val="8"/>
    </w:pPr>
    <w:rPr>
      <w:rFonts w:ascii="Times New Roman" w:hAnsi="Times New Roman"/>
      <w:bCs/>
      <w:sz w:val="28"/>
      <w:szCs w:val="21"/>
    </w:rPr>
  </w:style>
  <w:style w:type="paragraph" w:customStyle="1" w:styleId="65">
    <w:name w:val="List Contents"/>
    <w:basedOn w:val="1"/>
    <w:qFormat/>
    <w:uiPriority w:val="0"/>
    <w:pPr>
      <w:ind w:left="397" w:right="0" w:hanging="397"/>
    </w:pPr>
  </w:style>
  <w:style w:type="paragraph" w:customStyle="1" w:styleId="66">
    <w:name w:val="List Heading"/>
    <w:basedOn w:val="1"/>
    <w:next w:val="65"/>
    <w:qFormat/>
    <w:uiPriority w:val="0"/>
    <w:pPr>
      <w:ind w:firstLine="0"/>
    </w:pPr>
  </w:style>
  <w:style w:type="paragraph" w:customStyle="1" w:styleId="67">
    <w:name w:val="Quotations"/>
    <w:basedOn w:val="1"/>
    <w:qFormat/>
    <w:uiPriority w:val="0"/>
    <w:pPr>
      <w:spacing w:before="0" w:after="0"/>
      <w:ind w:left="397" w:right="567" w:firstLine="0"/>
    </w:pPr>
  </w:style>
  <w:style w:type="paragraph" w:customStyle="1" w:styleId="68">
    <w:name w:val="Footer Left"/>
    <w:basedOn w:val="21"/>
    <w:qFormat/>
    <w:uiPriority w:val="0"/>
    <w:pPr>
      <w:suppressLineNumbers/>
      <w:tabs>
        <w:tab w:val="center" w:pos="5046"/>
        <w:tab w:val="right" w:pos="10092"/>
      </w:tabs>
    </w:pPr>
  </w:style>
  <w:style w:type="paragraph" w:customStyle="1" w:styleId="69">
    <w:name w:val="Footer Right"/>
    <w:basedOn w:val="21"/>
    <w:qFormat/>
    <w:uiPriority w:val="0"/>
    <w:pPr>
      <w:suppressLineNumbers/>
      <w:tabs>
        <w:tab w:val="center" w:pos="5046"/>
        <w:tab w:val="right" w:pos="10092"/>
      </w:tabs>
      <w:jc w:val="right"/>
    </w:pPr>
  </w:style>
  <w:style w:type="paragraph" w:styleId="70">
    <w:name w:val="No Spacing"/>
    <w:qFormat/>
    <w:uiPriority w:val="1"/>
    <w:rPr>
      <w:rFonts w:ascii="Calibri" w:hAnsi="Calibri" w:eastAsia="Times New Roman"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1032</Words>
  <Characters>5119</Characters>
  <Paragraphs>155</Paragraphs>
  <TotalTime>6</TotalTime>
  <ScaleCrop>false</ScaleCrop>
  <LinksUpToDate>false</LinksUpToDate>
  <CharactersWithSpaces>6085</CharactersWithSpaces>
  <Application>WPS Office_12.1.0.25862_F1E327BC-269C-435d-A152-05C5408002CA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2014-04-03T02:00:00Z</dcterms:created>
  <dc:creator>IEEE</dc:creator>
  <cp:lastModifiedBy>JOEL CUBIO</cp:lastModifiedBy>
  <cp:lastPrinted>1900-12-31T18:30:00Z</cp:lastPrinted>
  <dcterms:modified xsi:type="dcterms:W3CDTF">2026-05-25T01:47:35Z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eyJoZGlkIjoiYTc1NjQ5YjEwYWUwNjkwMTk2OTIyYTZmZjJhOTZlNDMiLCJ1c2VySWQiOiI4ODEzODI0NzA4NTIxIn0=</vt:lpwstr>
  </property>
  <property fmtid="{D5CDD505-2E9C-101B-9397-08002B2CF9AE}" pid="3" name="KSOProductBuildVer">
    <vt:lpwstr>1033-12.1.0.25862</vt:lpwstr>
  </property>
  <property fmtid="{D5CDD505-2E9C-101B-9397-08002B2CF9AE}" pid="4" name="ICV">
    <vt:lpwstr>AC3939863F814EA5BEA3E44BAFC9AA0F_13</vt:lpwstr>
  </property>
</Properties>
</file>