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1896A" w14:textId="7FE43F7E" w:rsidR="002868B5" w:rsidRPr="007475F4" w:rsidRDefault="6C28203E" w:rsidP="007475F4">
      <w:pPr>
        <w:pStyle w:val="NoSpacing"/>
        <w:jc w:val="center"/>
        <w:rPr>
          <w:b/>
          <w:sz w:val="32"/>
        </w:rPr>
      </w:pPr>
      <w:bookmarkStart w:id="0" w:name="_GoBack"/>
      <w:r w:rsidRPr="007475F4">
        <w:rPr>
          <w:b/>
          <w:sz w:val="32"/>
        </w:rPr>
        <w:t xml:space="preserve">Digital Financial Literacy and Its Influence on the Management of Finances: A Correlational Study among the students of </w:t>
      </w:r>
      <w:r w:rsidR="009B454C" w:rsidRPr="007475F4">
        <w:rPr>
          <w:b/>
          <w:sz w:val="32"/>
        </w:rPr>
        <w:t>Quezon City University</w:t>
      </w:r>
    </w:p>
    <w:bookmarkEnd w:id="0"/>
    <w:p w14:paraId="1F91F4CF" w14:textId="77777777" w:rsidR="007475F4" w:rsidRPr="007475F4" w:rsidRDefault="007475F4" w:rsidP="007475F4">
      <w:pPr>
        <w:pStyle w:val="NoSpacing"/>
        <w:jc w:val="center"/>
        <w:rPr>
          <w:sz w:val="20"/>
          <w:szCs w:val="20"/>
          <w:lang w:val="fr-FR"/>
        </w:rPr>
      </w:pPr>
    </w:p>
    <w:p w14:paraId="31A281EA" w14:textId="536FAF4B" w:rsidR="005A0C60" w:rsidRPr="007475F4" w:rsidRDefault="00AB7388" w:rsidP="007475F4">
      <w:pPr>
        <w:pStyle w:val="NoSpacing"/>
        <w:jc w:val="center"/>
        <w:rPr>
          <w:sz w:val="20"/>
          <w:szCs w:val="20"/>
          <w:lang w:val="fr-FR"/>
        </w:rPr>
      </w:pPr>
      <w:r w:rsidRPr="007475F4">
        <w:rPr>
          <w:sz w:val="20"/>
          <w:szCs w:val="20"/>
          <w:lang w:val="fr-FR"/>
        </w:rPr>
        <w:t>Carlo C. Pimentel</w:t>
      </w:r>
      <w:r w:rsidRPr="007475F4">
        <w:rPr>
          <w:sz w:val="20"/>
          <w:szCs w:val="20"/>
          <w:vertAlign w:val="superscript"/>
          <w:lang w:val="fr-FR"/>
        </w:rPr>
        <w:t>1</w:t>
      </w:r>
      <w:r w:rsidR="00EE51C3" w:rsidRPr="007475F4">
        <w:rPr>
          <w:sz w:val="20"/>
          <w:szCs w:val="20"/>
          <w:lang w:val="fr-FR"/>
        </w:rPr>
        <w:t xml:space="preserve">, </w:t>
      </w:r>
      <w:proofErr w:type="spellStart"/>
      <w:r w:rsidR="578380F9" w:rsidRPr="007475F4">
        <w:rPr>
          <w:sz w:val="20"/>
          <w:szCs w:val="20"/>
          <w:lang w:val="fr-FR"/>
        </w:rPr>
        <w:t>Riemar</w:t>
      </w:r>
      <w:proofErr w:type="spellEnd"/>
      <w:r w:rsidR="578380F9" w:rsidRPr="007475F4">
        <w:rPr>
          <w:sz w:val="20"/>
          <w:szCs w:val="20"/>
          <w:lang w:val="fr-FR"/>
        </w:rPr>
        <w:t xml:space="preserve"> B. </w:t>
      </w:r>
      <w:r w:rsidR="311EBB8B" w:rsidRPr="007475F4">
        <w:rPr>
          <w:sz w:val="20"/>
          <w:szCs w:val="20"/>
          <w:lang w:val="fr-FR"/>
        </w:rPr>
        <w:t>Ligad</w:t>
      </w:r>
      <w:r w:rsidR="311EBB8B" w:rsidRPr="007475F4">
        <w:rPr>
          <w:sz w:val="20"/>
          <w:szCs w:val="20"/>
          <w:vertAlign w:val="superscript"/>
          <w:lang w:val="fr-FR"/>
        </w:rPr>
        <w:t>2</w:t>
      </w:r>
      <w:r w:rsidR="00EE51C3" w:rsidRPr="007475F4">
        <w:rPr>
          <w:sz w:val="20"/>
          <w:szCs w:val="20"/>
          <w:lang w:val="fr-FR"/>
        </w:rPr>
        <w:t xml:space="preserve">, </w:t>
      </w:r>
      <w:r w:rsidRPr="007475F4">
        <w:rPr>
          <w:sz w:val="20"/>
          <w:szCs w:val="20"/>
          <w:lang w:val="fr-FR"/>
        </w:rPr>
        <w:t>Jessica L. Sarmiento</w:t>
      </w:r>
      <w:proofErr w:type="gramStart"/>
      <w:r w:rsidRPr="007475F4">
        <w:rPr>
          <w:sz w:val="20"/>
          <w:szCs w:val="20"/>
          <w:vertAlign w:val="superscript"/>
          <w:lang w:val="fr-FR"/>
        </w:rPr>
        <w:t>3</w:t>
      </w:r>
      <w:r w:rsidR="00EE51C3" w:rsidRPr="007475F4">
        <w:rPr>
          <w:sz w:val="20"/>
          <w:szCs w:val="20"/>
          <w:lang w:val="fr-FR"/>
        </w:rPr>
        <w:t>,</w:t>
      </w:r>
      <w:r w:rsidR="00A274FA" w:rsidRPr="007475F4">
        <w:rPr>
          <w:sz w:val="20"/>
          <w:szCs w:val="20"/>
          <w:lang w:val="fr-FR"/>
        </w:rPr>
        <w:t>Justine</w:t>
      </w:r>
      <w:proofErr w:type="gramEnd"/>
      <w:r w:rsidR="00A274FA" w:rsidRPr="007475F4">
        <w:rPr>
          <w:sz w:val="20"/>
          <w:szCs w:val="20"/>
          <w:lang w:val="fr-FR"/>
        </w:rPr>
        <w:t xml:space="preserve"> </w:t>
      </w:r>
      <w:r w:rsidR="031C86CE" w:rsidRPr="007475F4">
        <w:rPr>
          <w:sz w:val="20"/>
          <w:szCs w:val="20"/>
          <w:lang w:val="fr-FR"/>
        </w:rPr>
        <w:t xml:space="preserve">E. </w:t>
      </w:r>
      <w:r w:rsidR="00A274FA" w:rsidRPr="007475F4">
        <w:rPr>
          <w:sz w:val="20"/>
          <w:szCs w:val="20"/>
          <w:lang w:val="fr-FR"/>
        </w:rPr>
        <w:t>Ritaga</w:t>
      </w:r>
      <w:r w:rsidR="00A274FA" w:rsidRPr="007475F4">
        <w:rPr>
          <w:sz w:val="20"/>
          <w:szCs w:val="20"/>
          <w:vertAlign w:val="superscript"/>
          <w:lang w:val="fr-FR"/>
        </w:rPr>
        <w:t>4</w:t>
      </w:r>
      <w:r w:rsidR="00EE51C3" w:rsidRPr="007475F4">
        <w:rPr>
          <w:sz w:val="20"/>
          <w:szCs w:val="20"/>
          <w:lang w:val="fr-FR"/>
        </w:rPr>
        <w:t xml:space="preserve">, </w:t>
      </w:r>
      <w:proofErr w:type="spellStart"/>
      <w:r w:rsidR="00F701C2" w:rsidRPr="007475F4">
        <w:rPr>
          <w:sz w:val="20"/>
          <w:szCs w:val="20"/>
          <w:lang w:val="fr-FR"/>
        </w:rPr>
        <w:t>Hyller</w:t>
      </w:r>
      <w:proofErr w:type="spellEnd"/>
      <w:r w:rsidR="00F701C2" w:rsidRPr="007475F4">
        <w:rPr>
          <w:sz w:val="20"/>
          <w:szCs w:val="20"/>
          <w:lang w:val="fr-FR"/>
        </w:rPr>
        <w:t xml:space="preserve"> M. Bonje</w:t>
      </w:r>
      <w:r w:rsidR="00EE51C3" w:rsidRPr="007475F4">
        <w:rPr>
          <w:sz w:val="20"/>
          <w:szCs w:val="20"/>
          <w:vertAlign w:val="superscript"/>
          <w:lang w:val="fr-FR"/>
        </w:rPr>
        <w:t>5</w:t>
      </w:r>
      <w:r w:rsidR="00F15E18" w:rsidRPr="007475F4">
        <w:rPr>
          <w:sz w:val="20"/>
          <w:szCs w:val="20"/>
          <w:lang w:val="fr-FR"/>
        </w:rPr>
        <w:t xml:space="preserve">, </w:t>
      </w:r>
      <w:r w:rsidR="00F15E18">
        <w:rPr>
          <w:sz w:val="20"/>
          <w:szCs w:val="20"/>
          <w:lang w:val="fr-FR"/>
        </w:rPr>
        <w:t>Harold R. Lucero</w:t>
      </w:r>
      <w:r w:rsidR="00F15E18">
        <w:rPr>
          <w:sz w:val="20"/>
          <w:szCs w:val="20"/>
          <w:vertAlign w:val="superscript"/>
          <w:lang w:val="fr-FR"/>
        </w:rPr>
        <w:t>6</w:t>
      </w:r>
    </w:p>
    <w:p w14:paraId="2271DEC0" w14:textId="77777777" w:rsidR="007475F4" w:rsidRDefault="007475F4" w:rsidP="007475F4">
      <w:pPr>
        <w:pStyle w:val="NoSpacing"/>
        <w:jc w:val="center"/>
        <w:rPr>
          <w:sz w:val="20"/>
          <w:szCs w:val="20"/>
          <w:lang w:val="en-PH"/>
        </w:rPr>
      </w:pPr>
    </w:p>
    <w:p w14:paraId="6D190856" w14:textId="057B31BD" w:rsidR="005A0C60" w:rsidRDefault="00487498" w:rsidP="007475F4">
      <w:pPr>
        <w:pStyle w:val="NoSpacing"/>
        <w:jc w:val="center"/>
        <w:rPr>
          <w:sz w:val="20"/>
          <w:szCs w:val="20"/>
          <w:lang w:val="en-PH"/>
        </w:rPr>
      </w:pPr>
      <w:r w:rsidRPr="007475F4">
        <w:rPr>
          <w:sz w:val="20"/>
          <w:szCs w:val="20"/>
          <w:lang w:val="en-PH"/>
        </w:rPr>
        <w:t>College of Computer Studies</w:t>
      </w:r>
      <w:r w:rsidR="00F10A0A" w:rsidRPr="007475F4">
        <w:rPr>
          <w:sz w:val="20"/>
          <w:szCs w:val="20"/>
          <w:lang w:val="en-PH"/>
        </w:rPr>
        <w:t xml:space="preserve">, </w:t>
      </w:r>
      <w:r w:rsidRPr="007475F4">
        <w:rPr>
          <w:sz w:val="20"/>
          <w:szCs w:val="20"/>
          <w:lang w:val="en-PH"/>
        </w:rPr>
        <w:t>Quezon City University</w:t>
      </w:r>
    </w:p>
    <w:p w14:paraId="622FC5CC" w14:textId="77777777" w:rsidR="007475F4" w:rsidRPr="007475F4" w:rsidRDefault="007475F4" w:rsidP="007475F4">
      <w:pPr>
        <w:pStyle w:val="NoSpacing"/>
        <w:jc w:val="center"/>
        <w:rPr>
          <w:sz w:val="20"/>
          <w:szCs w:val="20"/>
          <w:lang w:val="en-PH"/>
        </w:rPr>
      </w:pPr>
    </w:p>
    <w:p w14:paraId="1A9086D1" w14:textId="02408185" w:rsidR="00EE51C3" w:rsidRPr="007475F4" w:rsidRDefault="0010225B" w:rsidP="007475F4">
      <w:pPr>
        <w:pStyle w:val="NoSpacing"/>
        <w:jc w:val="center"/>
        <w:rPr>
          <w:sz w:val="20"/>
          <w:szCs w:val="20"/>
          <w:lang w:val="en-PH" w:eastAsia="en-GB"/>
        </w:rPr>
      </w:pPr>
      <w:hyperlink r:id="rId8">
        <w:r w:rsidR="33171FC6" w:rsidRPr="007475F4">
          <w:rPr>
            <w:rStyle w:val="Hyperlink"/>
            <w:color w:val="000000" w:themeColor="text1"/>
            <w:sz w:val="20"/>
            <w:szCs w:val="20"/>
            <w:u w:val="none"/>
            <w:vertAlign w:val="superscript"/>
            <w:lang w:val="en-PH" w:eastAsia="en-GB"/>
          </w:rPr>
          <w:t>1</w:t>
        </w:r>
        <w:r w:rsidR="33171FC6" w:rsidRPr="007475F4">
          <w:rPr>
            <w:rStyle w:val="Hyperlink"/>
            <w:color w:val="000000" w:themeColor="text1"/>
            <w:sz w:val="20"/>
            <w:szCs w:val="20"/>
            <w:u w:val="none"/>
            <w:lang w:val="en-PH" w:eastAsia="en-GB"/>
          </w:rPr>
          <w:t>pimentel.carlo.celiz@gmail.com</w:t>
        </w:r>
      </w:hyperlink>
      <w:r w:rsidR="45685FFE" w:rsidRPr="007475F4">
        <w:rPr>
          <w:sz w:val="20"/>
          <w:szCs w:val="20"/>
          <w:lang w:val="en-PH" w:eastAsia="en-GB"/>
        </w:rPr>
        <w:t>,</w:t>
      </w:r>
      <w:r w:rsidR="33171FC6" w:rsidRPr="007475F4">
        <w:rPr>
          <w:sz w:val="20"/>
          <w:szCs w:val="20"/>
          <w:lang w:val="en-PH" w:eastAsia="en-GB"/>
        </w:rPr>
        <w:t xml:space="preserve"> </w:t>
      </w:r>
      <w:r w:rsidR="33171FC6" w:rsidRPr="007475F4">
        <w:rPr>
          <w:sz w:val="20"/>
          <w:szCs w:val="20"/>
          <w:vertAlign w:val="superscript"/>
          <w:lang w:val="en-PH" w:eastAsia="en-GB"/>
        </w:rPr>
        <w:t>2</w:t>
      </w:r>
      <w:r w:rsidR="33171FC6" w:rsidRPr="007475F4">
        <w:rPr>
          <w:sz w:val="20"/>
          <w:szCs w:val="20"/>
          <w:lang w:val="en-PH" w:eastAsia="en-GB"/>
        </w:rPr>
        <w:t>ligad.riemar.bondoc@gmail.com</w:t>
      </w:r>
      <w:r w:rsidR="45685FFE" w:rsidRPr="007475F4">
        <w:rPr>
          <w:sz w:val="20"/>
          <w:szCs w:val="20"/>
          <w:lang w:val="en-PH" w:eastAsia="en-GB"/>
        </w:rPr>
        <w:t xml:space="preserve">, </w:t>
      </w:r>
      <w:r w:rsidR="336FCD2B" w:rsidRPr="007475F4">
        <w:rPr>
          <w:sz w:val="20"/>
          <w:szCs w:val="20"/>
          <w:vertAlign w:val="superscript"/>
          <w:lang w:val="en-PH" w:eastAsia="en-GB"/>
        </w:rPr>
        <w:t>3</w:t>
      </w:r>
      <w:r w:rsidR="336FCD2B" w:rsidRPr="007475F4">
        <w:rPr>
          <w:sz w:val="20"/>
          <w:szCs w:val="20"/>
          <w:lang w:val="en-PH" w:eastAsia="en-GB"/>
        </w:rPr>
        <w:t>sarmiento.jessica.laguda</w:t>
      </w:r>
      <w:r w:rsidR="45685FFE" w:rsidRPr="007475F4">
        <w:rPr>
          <w:sz w:val="20"/>
          <w:szCs w:val="20"/>
          <w:lang w:val="en-PH" w:eastAsia="en-GB"/>
        </w:rPr>
        <w:t xml:space="preserve">@gmail.com, </w:t>
      </w:r>
      <w:r w:rsidR="33171FC6" w:rsidRPr="007475F4">
        <w:rPr>
          <w:sz w:val="20"/>
          <w:szCs w:val="20"/>
          <w:vertAlign w:val="superscript"/>
          <w:lang w:val="en-PH" w:eastAsia="en-GB"/>
        </w:rPr>
        <w:t>4</w:t>
      </w:r>
      <w:r w:rsidR="33171FC6" w:rsidRPr="007475F4">
        <w:rPr>
          <w:sz w:val="20"/>
          <w:szCs w:val="20"/>
          <w:lang w:val="en-PH" w:eastAsia="en-GB"/>
        </w:rPr>
        <w:t>ritaga.justine.estrellado@gmail.com</w:t>
      </w:r>
      <w:r w:rsidR="45685FFE" w:rsidRPr="007475F4">
        <w:rPr>
          <w:sz w:val="20"/>
          <w:szCs w:val="20"/>
          <w:lang w:val="en-PH" w:eastAsia="en-GB"/>
        </w:rPr>
        <w:t>,</w:t>
      </w:r>
      <w:r w:rsidR="45685FFE" w:rsidRPr="007475F4">
        <w:rPr>
          <w:sz w:val="20"/>
          <w:szCs w:val="20"/>
          <w:vertAlign w:val="superscript"/>
          <w:lang w:val="en-PH" w:eastAsia="en-GB"/>
        </w:rPr>
        <w:t xml:space="preserve"> </w:t>
      </w:r>
      <w:hyperlink r:id="rId9">
        <w:r w:rsidR="336FCD2B" w:rsidRPr="007475F4">
          <w:rPr>
            <w:rStyle w:val="Hyperlink"/>
            <w:sz w:val="20"/>
            <w:szCs w:val="20"/>
            <w:vertAlign w:val="superscript"/>
            <w:lang w:val="en-PH" w:eastAsia="en-GB"/>
          </w:rPr>
          <w:t>5</w:t>
        </w:r>
        <w:r w:rsidR="336FCD2B" w:rsidRPr="007475F4">
          <w:rPr>
            <w:rStyle w:val="Hyperlink"/>
            <w:sz w:val="20"/>
            <w:szCs w:val="20"/>
            <w:lang w:val="en-PH" w:eastAsia="en-GB"/>
          </w:rPr>
          <w:t>bonje.hyller.maico@gmail.com.</w:t>
        </w:r>
      </w:hyperlink>
    </w:p>
    <w:p w14:paraId="3C2F66BD" w14:textId="78F2E62C" w:rsidR="000C4E25" w:rsidRPr="007475F4" w:rsidRDefault="000C4E25" w:rsidP="007475F4">
      <w:pPr>
        <w:pStyle w:val="NoSpacing"/>
        <w:jc w:val="center"/>
        <w:rPr>
          <w:rStyle w:val="IEEEAbstractHeadingChar"/>
          <w:sz w:val="20"/>
          <w:szCs w:val="20"/>
        </w:rPr>
      </w:pPr>
    </w:p>
    <w:p w14:paraId="581FACC3" w14:textId="03ED284B" w:rsidR="00EE51C3" w:rsidRPr="007475F4" w:rsidRDefault="00EE51C3" w:rsidP="007475F4">
      <w:pPr>
        <w:pStyle w:val="NoSpacing"/>
        <w:jc w:val="center"/>
        <w:rPr>
          <w:sz w:val="20"/>
          <w:szCs w:val="20"/>
          <w:lang w:val="en-GB" w:eastAsia="en-GB"/>
        </w:rPr>
        <w:sectPr w:rsidR="00EE51C3" w:rsidRPr="007475F4" w:rsidSect="007475F4">
          <w:headerReference w:type="default" r:id="rId10"/>
          <w:footerReference w:type="default" r:id="rId11"/>
          <w:pgSz w:w="11907" w:h="16839" w:code="9"/>
          <w:pgMar w:top="1196" w:right="605" w:bottom="605" w:left="605" w:header="288" w:footer="144" w:gutter="0"/>
          <w:cols w:space="238"/>
          <w:docGrid w:linePitch="360"/>
        </w:sectPr>
      </w:pPr>
    </w:p>
    <w:p w14:paraId="32762503" w14:textId="09267AFE" w:rsidR="00487498" w:rsidRPr="007475F4" w:rsidRDefault="00F4035C" w:rsidP="77D8C2B3">
      <w:pPr>
        <w:spacing w:after="240"/>
        <w:jc w:val="both"/>
        <w:rPr>
          <w:b/>
          <w:sz w:val="20"/>
          <w:szCs w:val="20"/>
        </w:rPr>
      </w:pPr>
      <w:r w:rsidRPr="007475F4">
        <w:rPr>
          <w:b/>
          <w:bCs/>
          <w:sz w:val="20"/>
          <w:szCs w:val="20"/>
        </w:rPr>
        <w:t>ABSTRACT</w:t>
      </w:r>
    </w:p>
    <w:p w14:paraId="4C069FF8" w14:textId="1E11058B" w:rsidR="00487498" w:rsidRPr="007475F4" w:rsidRDefault="6F37F01D" w:rsidP="00046041">
      <w:pPr>
        <w:spacing w:after="240"/>
        <w:ind w:firstLine="720"/>
        <w:jc w:val="both"/>
        <w:rPr>
          <w:sz w:val="20"/>
          <w:szCs w:val="20"/>
        </w:rPr>
      </w:pPr>
      <w:r w:rsidRPr="007475F4">
        <w:rPr>
          <w:sz w:val="20"/>
          <w:szCs w:val="20"/>
        </w:rPr>
        <w:t xml:space="preserve">Digital financial literacy has become essential as students increasingly use FinTech platforms such as e-wallets, online banking, and digital payment systems in their daily financial activities. This study aimed to determine the level of digital financial literacy and financial management practices among third-year students of Quezon City University and examine their relationship. Using a descriptive-correlational quantitative research design, data were collected from 300 randomly selected students online. Statistical tools such as weighted mean, standard deviation, and Pearson Product-Moment Correlation Coefficient were used to </w:t>
      </w:r>
      <w:proofErr w:type="spellStart"/>
      <w:r w:rsidRPr="007475F4">
        <w:rPr>
          <w:sz w:val="20"/>
          <w:szCs w:val="20"/>
        </w:rPr>
        <w:t>analyze</w:t>
      </w:r>
      <w:proofErr w:type="spellEnd"/>
      <w:r w:rsidRPr="007475F4">
        <w:rPr>
          <w:sz w:val="20"/>
          <w:szCs w:val="20"/>
        </w:rPr>
        <w:t xml:space="preserve"> the </w:t>
      </w:r>
      <w:proofErr w:type="spellStart"/>
      <w:proofErr w:type="gramStart"/>
      <w:r w:rsidRPr="007475F4">
        <w:rPr>
          <w:sz w:val="20"/>
          <w:szCs w:val="20"/>
        </w:rPr>
        <w:t>data.The</w:t>
      </w:r>
      <w:proofErr w:type="spellEnd"/>
      <w:proofErr w:type="gramEnd"/>
      <w:r w:rsidRPr="007475F4">
        <w:rPr>
          <w:sz w:val="20"/>
          <w:szCs w:val="20"/>
        </w:rPr>
        <w:t xml:space="preserve"> findings showed that students have a high level of digital financial literacy and financial management practices, particularly in budgeting, saving, and spending. However, information comprehension was found to be higher than information accessibility, indicating a gap in digital access. Results also revealed a significant moderate positive relationship between digital financial literacy and financial management practices, meaning that higher digital literacy is associated with better financial </w:t>
      </w:r>
      <w:proofErr w:type="spellStart"/>
      <w:proofErr w:type="gramStart"/>
      <w:r w:rsidRPr="007475F4">
        <w:rPr>
          <w:sz w:val="20"/>
          <w:szCs w:val="20"/>
        </w:rPr>
        <w:t>behavior.The</w:t>
      </w:r>
      <w:proofErr w:type="spellEnd"/>
      <w:proofErr w:type="gramEnd"/>
      <w:r w:rsidRPr="007475F4">
        <w:rPr>
          <w:sz w:val="20"/>
          <w:szCs w:val="20"/>
        </w:rPr>
        <w:t xml:space="preserve"> study concludes that while students are generally financially capable in digital environments, improving accessibility and digital understanding may further enhance their financial management skills.</w:t>
      </w:r>
    </w:p>
    <w:p w14:paraId="5D838132" w14:textId="164B0F4B" w:rsidR="00487498" w:rsidRPr="007475F4" w:rsidRDefault="6F37F01D" w:rsidP="00F4035C">
      <w:pPr>
        <w:spacing w:after="240"/>
        <w:jc w:val="both"/>
        <w:rPr>
          <w:sz w:val="20"/>
          <w:szCs w:val="20"/>
        </w:rPr>
      </w:pPr>
      <w:r w:rsidRPr="007475F4">
        <w:rPr>
          <w:b/>
          <w:sz w:val="20"/>
          <w:szCs w:val="20"/>
        </w:rPr>
        <w:t>Keywords:</w:t>
      </w:r>
      <w:r w:rsidRPr="007475F4">
        <w:rPr>
          <w:sz w:val="20"/>
          <w:szCs w:val="20"/>
        </w:rPr>
        <w:t xml:space="preserve"> Digital Financial Literacy, Financial Management Practices, FinTech</w:t>
      </w:r>
      <w:r w:rsidR="0071081B" w:rsidRPr="007475F4">
        <w:rPr>
          <w:sz w:val="20"/>
          <w:szCs w:val="20"/>
        </w:rPr>
        <w:t xml:space="preserve"> (Financial Technology)</w:t>
      </w:r>
      <w:r w:rsidRPr="007475F4">
        <w:rPr>
          <w:sz w:val="20"/>
          <w:szCs w:val="20"/>
        </w:rPr>
        <w:t>, Budgeting, Saving Habits, University Students.</w:t>
      </w:r>
    </w:p>
    <w:p w14:paraId="4A127FAA" w14:textId="274F3BBA" w:rsidR="00A56B91" w:rsidRPr="007475F4" w:rsidRDefault="6C28203E" w:rsidP="6C28203E">
      <w:pPr>
        <w:pStyle w:val="IEEEHeading1"/>
        <w:numPr>
          <w:ilvl w:val="0"/>
          <w:numId w:val="0"/>
        </w:numPr>
        <w:spacing w:before="0" w:after="240"/>
        <w:jc w:val="both"/>
        <w:rPr>
          <w:b/>
          <w:bCs/>
          <w:szCs w:val="20"/>
          <w:lang w:val="en-PH"/>
        </w:rPr>
      </w:pPr>
      <w:r w:rsidRPr="007475F4">
        <w:rPr>
          <w:b/>
          <w:bCs/>
          <w:szCs w:val="20"/>
          <w:lang w:val="en-PH"/>
        </w:rPr>
        <w:t>INTRODUCTION</w:t>
      </w:r>
    </w:p>
    <w:p w14:paraId="10AD5819" w14:textId="69F9C4AB" w:rsidR="00F15E18" w:rsidRPr="00F15E18" w:rsidRDefault="00F15E18" w:rsidP="00F15E18">
      <w:pPr>
        <w:spacing w:before="240" w:after="120"/>
        <w:ind w:firstLine="360"/>
        <w:jc w:val="both"/>
        <w:rPr>
          <w:rFonts w:eastAsia="Times New Roman"/>
          <w:color w:val="000000" w:themeColor="text1"/>
          <w:sz w:val="20"/>
          <w:szCs w:val="20"/>
          <w:lang w:val="en-PH" w:eastAsia="en-US"/>
        </w:rPr>
      </w:pPr>
      <w:r w:rsidRPr="00F15E18">
        <w:rPr>
          <w:rFonts w:eastAsia="Times New Roman"/>
          <w:color w:val="000000" w:themeColor="text1"/>
          <w:sz w:val="20"/>
          <w:szCs w:val="20"/>
          <w:lang w:val="en-PH" w:eastAsia="en-US"/>
        </w:rPr>
        <w:t>In the era of rapid digital transformation, information systems have significantly reshaped the financial sector through fintech innovations such as mobile banking, digital wallets, and peer-to-peer payment systems, as discussed in a study by (Brodie et al., 2021). While these technologies streamline financial transactions, they also require users to develop new digital competencies, as further emphasized by (Brodie et al., 2021). Consequently, financial literacy is no longer limited to traditional money management but has evolved into digital financial literacy (DFL), which (</w:t>
      </w:r>
      <w:proofErr w:type="spellStart"/>
      <w:r w:rsidRPr="00F15E18">
        <w:rPr>
          <w:rFonts w:eastAsia="Times New Roman"/>
          <w:color w:val="000000" w:themeColor="text1"/>
          <w:sz w:val="20"/>
          <w:szCs w:val="20"/>
          <w:lang w:val="en-PH" w:eastAsia="en-US"/>
        </w:rPr>
        <w:t>Respati</w:t>
      </w:r>
      <w:proofErr w:type="spellEnd"/>
      <w:r w:rsidRPr="00F15E18">
        <w:rPr>
          <w:rFonts w:eastAsia="Times New Roman"/>
          <w:color w:val="000000" w:themeColor="text1"/>
          <w:sz w:val="20"/>
          <w:szCs w:val="20"/>
          <w:lang w:val="en-PH" w:eastAsia="en-US"/>
        </w:rPr>
        <w:t xml:space="preserve"> et al., 2023) defines as the knowledge and skills necessary to effectively navigate technology-driven financial tools. According to (</w:t>
      </w:r>
      <w:proofErr w:type="spellStart"/>
      <w:r w:rsidRPr="00F15E18">
        <w:rPr>
          <w:rFonts w:eastAsia="Times New Roman"/>
          <w:color w:val="000000" w:themeColor="text1"/>
          <w:sz w:val="20"/>
          <w:szCs w:val="20"/>
          <w:lang w:val="en-PH" w:eastAsia="en-US"/>
        </w:rPr>
        <w:t>Respati</w:t>
      </w:r>
      <w:proofErr w:type="spellEnd"/>
      <w:r w:rsidRPr="00F15E18">
        <w:rPr>
          <w:rFonts w:eastAsia="Times New Roman"/>
          <w:color w:val="000000" w:themeColor="text1"/>
          <w:sz w:val="20"/>
          <w:szCs w:val="20"/>
          <w:lang w:val="en-PH" w:eastAsia="en-US"/>
        </w:rPr>
        <w:t xml:space="preserve"> et al., 2023), DFL plays a critical role in shaping financial behavior and well-being, particularly among younger generations who are highly immersed in digital financial ecosystems. However, despite its importance, financial literacy levels remain low in many contexts, as reflected in Indonesia’s 38.03% financial literacy index reported by </w:t>
      </w:r>
      <w:proofErr w:type="spellStart"/>
      <w:r w:rsidRPr="00F15E18">
        <w:rPr>
          <w:rFonts w:eastAsia="Times New Roman"/>
          <w:color w:val="000000" w:themeColor="text1"/>
          <w:sz w:val="20"/>
          <w:szCs w:val="20"/>
          <w:lang w:val="en-PH" w:eastAsia="en-US"/>
        </w:rPr>
        <w:t>Lubis</w:t>
      </w:r>
      <w:proofErr w:type="spellEnd"/>
      <w:r w:rsidRPr="00F15E18">
        <w:rPr>
          <w:rFonts w:eastAsia="Times New Roman"/>
          <w:color w:val="000000" w:themeColor="text1"/>
          <w:sz w:val="20"/>
          <w:szCs w:val="20"/>
          <w:lang w:val="en-PH" w:eastAsia="en-US"/>
        </w:rPr>
        <w:t xml:space="preserve"> (2020, as cited in </w:t>
      </w:r>
      <w:proofErr w:type="spellStart"/>
      <w:r w:rsidRPr="00F15E18">
        <w:rPr>
          <w:rFonts w:eastAsia="Times New Roman"/>
          <w:color w:val="000000" w:themeColor="text1"/>
          <w:sz w:val="20"/>
          <w:szCs w:val="20"/>
          <w:lang w:val="en-PH" w:eastAsia="en-US"/>
        </w:rPr>
        <w:t>Respati</w:t>
      </w:r>
      <w:proofErr w:type="spellEnd"/>
      <w:r w:rsidRPr="00F15E18">
        <w:rPr>
          <w:rFonts w:eastAsia="Times New Roman"/>
          <w:color w:val="000000" w:themeColor="text1"/>
          <w:sz w:val="20"/>
          <w:szCs w:val="20"/>
          <w:lang w:val="en-PH" w:eastAsia="en-US"/>
        </w:rPr>
        <w:t xml:space="preserve"> et al., 2023), indicating widespread vulnerability to poor financial decision-making. This concern is especially relevant for college students, who must manage academic expenses and personal needs within limited resources. As noted by </w:t>
      </w:r>
      <w:proofErr w:type="spellStart"/>
      <w:r w:rsidRPr="00F15E18">
        <w:rPr>
          <w:rFonts w:eastAsia="Times New Roman"/>
          <w:color w:val="000000" w:themeColor="text1"/>
          <w:sz w:val="20"/>
          <w:szCs w:val="20"/>
          <w:lang w:val="en-PH" w:eastAsia="en-US"/>
        </w:rPr>
        <w:t>Sholeh</w:t>
      </w:r>
      <w:proofErr w:type="spellEnd"/>
      <w:r w:rsidRPr="00F15E18">
        <w:rPr>
          <w:rFonts w:eastAsia="Times New Roman"/>
          <w:color w:val="000000" w:themeColor="text1"/>
          <w:sz w:val="20"/>
          <w:szCs w:val="20"/>
          <w:lang w:val="en-PH" w:eastAsia="en-US"/>
        </w:rPr>
        <w:t xml:space="preserve"> (2019, as cited in </w:t>
      </w:r>
      <w:proofErr w:type="spellStart"/>
      <w:r w:rsidRPr="00F15E18">
        <w:rPr>
          <w:rFonts w:eastAsia="Times New Roman"/>
          <w:color w:val="000000" w:themeColor="text1"/>
          <w:sz w:val="20"/>
          <w:szCs w:val="20"/>
          <w:lang w:val="en-PH" w:eastAsia="en-US"/>
        </w:rPr>
        <w:t>Respati</w:t>
      </w:r>
      <w:proofErr w:type="spellEnd"/>
      <w:r w:rsidRPr="00F15E18">
        <w:rPr>
          <w:rFonts w:eastAsia="Times New Roman"/>
          <w:color w:val="000000" w:themeColor="text1"/>
          <w:sz w:val="20"/>
          <w:szCs w:val="20"/>
          <w:lang w:val="en-PH" w:eastAsia="en-US"/>
        </w:rPr>
        <w:t xml:space="preserve"> et al., 2023), students increasingly rely on financial decision-making skills to balance dynamic lifestyles and educational demands. Ultimately, higher levels of DFL are associated with improved financial decision-making and economic stability, a point further emphasized by </w:t>
      </w:r>
      <w:proofErr w:type="spellStart"/>
      <w:r w:rsidRPr="00F15E18">
        <w:rPr>
          <w:rFonts w:eastAsia="Times New Roman"/>
          <w:color w:val="000000" w:themeColor="text1"/>
          <w:sz w:val="20"/>
          <w:szCs w:val="20"/>
          <w:lang w:val="en-PH" w:eastAsia="en-US"/>
        </w:rPr>
        <w:t>Lubis</w:t>
      </w:r>
      <w:proofErr w:type="spellEnd"/>
      <w:r w:rsidRPr="00F15E18">
        <w:rPr>
          <w:rFonts w:eastAsia="Times New Roman"/>
          <w:color w:val="000000" w:themeColor="text1"/>
          <w:sz w:val="20"/>
          <w:szCs w:val="20"/>
          <w:lang w:val="en-PH" w:eastAsia="en-US"/>
        </w:rPr>
        <w:t xml:space="preserve"> (2020, as cited in </w:t>
      </w:r>
      <w:proofErr w:type="spellStart"/>
      <w:r w:rsidRPr="00F15E18">
        <w:rPr>
          <w:rFonts w:eastAsia="Times New Roman"/>
          <w:color w:val="000000" w:themeColor="text1"/>
          <w:sz w:val="20"/>
          <w:szCs w:val="20"/>
          <w:lang w:val="en-PH" w:eastAsia="en-US"/>
        </w:rPr>
        <w:t>Respati</w:t>
      </w:r>
      <w:proofErr w:type="spellEnd"/>
      <w:r w:rsidRPr="00F15E18">
        <w:rPr>
          <w:rFonts w:eastAsia="Times New Roman"/>
          <w:color w:val="000000" w:themeColor="text1"/>
          <w:sz w:val="20"/>
          <w:szCs w:val="20"/>
          <w:lang w:val="en-PH" w:eastAsia="en-US"/>
        </w:rPr>
        <w:t xml:space="preserve"> et al., 2023). In this context, the present correlational study examines the influence of digital financial literacy on financial management among Quezon City University students to address the need for localized empirical evidence.</w:t>
      </w:r>
    </w:p>
    <w:p w14:paraId="1AC0A5A2" w14:textId="2DFAB574" w:rsidR="00F15E18" w:rsidRPr="00F15E18" w:rsidRDefault="00F15E18" w:rsidP="00F15E18">
      <w:pPr>
        <w:spacing w:before="240" w:after="120"/>
        <w:ind w:firstLine="360"/>
        <w:jc w:val="both"/>
        <w:rPr>
          <w:rFonts w:eastAsia="Times New Roman"/>
          <w:color w:val="000000" w:themeColor="text1"/>
          <w:sz w:val="20"/>
          <w:szCs w:val="20"/>
          <w:lang w:val="en-PH" w:eastAsia="en-US"/>
        </w:rPr>
      </w:pPr>
      <w:r w:rsidRPr="00F15E18">
        <w:rPr>
          <w:rFonts w:eastAsia="Times New Roman"/>
          <w:color w:val="000000" w:themeColor="text1"/>
          <w:sz w:val="20"/>
          <w:szCs w:val="20"/>
          <w:lang w:val="en-PH" w:eastAsia="en-US"/>
        </w:rPr>
        <w:t xml:space="preserve">In the current digital financial landscape, university students increasingly depend on fintech applications such as mobile payments, online banking, and buy-now-pay-later services for everyday transactions, budgeting, and consumption, as illustrated in the study of </w:t>
      </w:r>
      <w:proofErr w:type="spellStart"/>
      <w:r w:rsidRPr="00F15E18">
        <w:rPr>
          <w:rFonts w:eastAsia="Times New Roman"/>
          <w:color w:val="000000" w:themeColor="text1"/>
          <w:sz w:val="20"/>
          <w:szCs w:val="20"/>
          <w:lang w:val="en-PH" w:eastAsia="en-US"/>
        </w:rPr>
        <w:t>Koskelainen</w:t>
      </w:r>
      <w:proofErr w:type="spellEnd"/>
      <w:r w:rsidRPr="00F15E18">
        <w:rPr>
          <w:rFonts w:eastAsia="Times New Roman"/>
          <w:color w:val="000000" w:themeColor="text1"/>
          <w:sz w:val="20"/>
          <w:szCs w:val="20"/>
          <w:lang w:val="en-PH" w:eastAsia="en-US"/>
        </w:rPr>
        <w:t xml:space="preserve"> et al. (2023). While these platforms offer convenience and immediate access to financial services, they may also encourage impulsive spending due to low-friction interfaces and algorithm-driven nudges that reduce perceived spending barriers, as observed by (</w:t>
      </w:r>
      <w:proofErr w:type="spellStart"/>
      <w:r w:rsidRPr="00F15E18">
        <w:rPr>
          <w:rFonts w:eastAsia="Times New Roman"/>
          <w:color w:val="000000" w:themeColor="text1"/>
          <w:sz w:val="20"/>
          <w:szCs w:val="20"/>
          <w:lang w:val="en-PH" w:eastAsia="en-US"/>
        </w:rPr>
        <w:t>Koskelainen</w:t>
      </w:r>
      <w:proofErr w:type="spellEnd"/>
      <w:r w:rsidRPr="00F15E18">
        <w:rPr>
          <w:rFonts w:eastAsia="Times New Roman"/>
          <w:color w:val="000000" w:themeColor="text1"/>
          <w:sz w:val="20"/>
          <w:szCs w:val="20"/>
          <w:lang w:val="en-PH" w:eastAsia="en-US"/>
        </w:rPr>
        <w:t xml:space="preserve"> et al., 2023). Despite widespread adoption, several inefficiencies persist. Global OECD/INFE data indicate that only about 29% of adults demonstrate adequate digital financial proficiency, while </w:t>
      </w:r>
      <w:proofErr w:type="spellStart"/>
      <w:r w:rsidRPr="00F15E18">
        <w:rPr>
          <w:rFonts w:eastAsia="Times New Roman"/>
          <w:color w:val="000000" w:themeColor="text1"/>
          <w:sz w:val="20"/>
          <w:szCs w:val="20"/>
          <w:lang w:val="en-PH" w:eastAsia="en-US"/>
        </w:rPr>
        <w:t>Bangko</w:t>
      </w:r>
      <w:proofErr w:type="spellEnd"/>
      <w:r w:rsidRPr="00F15E18">
        <w:rPr>
          <w:rFonts w:eastAsia="Times New Roman"/>
          <w:color w:val="000000" w:themeColor="text1"/>
          <w:sz w:val="20"/>
          <w:szCs w:val="20"/>
          <w:lang w:val="en-PH" w:eastAsia="en-US"/>
        </w:rPr>
        <w:t xml:space="preserve"> </w:t>
      </w:r>
      <w:proofErr w:type="spellStart"/>
      <w:r w:rsidRPr="00F15E18">
        <w:rPr>
          <w:rFonts w:eastAsia="Times New Roman"/>
          <w:color w:val="000000" w:themeColor="text1"/>
          <w:sz w:val="20"/>
          <w:szCs w:val="20"/>
          <w:lang w:val="en-PH" w:eastAsia="en-US"/>
        </w:rPr>
        <w:t>Sentral</w:t>
      </w:r>
      <w:proofErr w:type="spellEnd"/>
      <w:r w:rsidRPr="00F15E18">
        <w:rPr>
          <w:rFonts w:eastAsia="Times New Roman"/>
          <w:color w:val="000000" w:themeColor="text1"/>
          <w:sz w:val="20"/>
          <w:szCs w:val="20"/>
          <w:lang w:val="en-PH" w:eastAsia="en-US"/>
        </w:rPr>
        <w:t xml:space="preserve"> ng </w:t>
      </w:r>
      <w:proofErr w:type="spellStart"/>
      <w:r w:rsidRPr="00F15E18">
        <w:rPr>
          <w:rFonts w:eastAsia="Times New Roman"/>
          <w:color w:val="000000" w:themeColor="text1"/>
          <w:sz w:val="20"/>
          <w:szCs w:val="20"/>
          <w:lang w:val="en-PH" w:eastAsia="en-US"/>
        </w:rPr>
        <w:t>Pilipinas</w:t>
      </w:r>
      <w:proofErr w:type="spellEnd"/>
      <w:r w:rsidRPr="00F15E18">
        <w:rPr>
          <w:rFonts w:eastAsia="Times New Roman"/>
          <w:color w:val="000000" w:themeColor="text1"/>
          <w:sz w:val="20"/>
          <w:szCs w:val="20"/>
          <w:lang w:val="en-PH" w:eastAsia="en-US"/>
        </w:rPr>
        <w:t xml:space="preserve"> (BSP) reports in 2024 reveal that Filipino youth continue to experience significant financial literacy gaps, with formal banking participation declining to 34% despite increased fintech usage. These challenges are compounded by issues such as cyber fraud, data privacy risks, fragmented financial oversight, and potential debt accumulation from unregulated financial services, particularly affecting students with limited financial capacity, as noted by (</w:t>
      </w:r>
      <w:proofErr w:type="spellStart"/>
      <w:r w:rsidRPr="00F15E18">
        <w:rPr>
          <w:rFonts w:eastAsia="Times New Roman"/>
          <w:color w:val="000000" w:themeColor="text1"/>
          <w:sz w:val="20"/>
          <w:szCs w:val="20"/>
          <w:lang w:val="en-PH" w:eastAsia="en-US"/>
        </w:rPr>
        <w:t>Respati</w:t>
      </w:r>
      <w:proofErr w:type="spellEnd"/>
      <w:r w:rsidRPr="00F15E18">
        <w:rPr>
          <w:rFonts w:eastAsia="Times New Roman"/>
          <w:color w:val="000000" w:themeColor="text1"/>
          <w:sz w:val="20"/>
          <w:szCs w:val="20"/>
          <w:lang w:val="en-PH" w:eastAsia="en-US"/>
        </w:rPr>
        <w:t xml:space="preserve"> et al., 2023). Local studies further support these findings, reporting that more than half of college students in Quezon City demonstrate low financial literacy in fundamental concepts such as interest computation and purchasing power, limiting their ability to manage finances effectively amid changing student lifestyles, as discussed by (</w:t>
      </w:r>
      <w:proofErr w:type="spellStart"/>
      <w:r w:rsidRPr="00F15E18">
        <w:rPr>
          <w:rFonts w:eastAsia="Times New Roman"/>
          <w:color w:val="000000" w:themeColor="text1"/>
          <w:sz w:val="20"/>
          <w:szCs w:val="20"/>
          <w:lang w:val="en-PH" w:eastAsia="en-US"/>
        </w:rPr>
        <w:t>Koskelainen</w:t>
      </w:r>
      <w:proofErr w:type="spellEnd"/>
      <w:r w:rsidRPr="00F15E18">
        <w:rPr>
          <w:rFonts w:eastAsia="Times New Roman"/>
          <w:color w:val="000000" w:themeColor="text1"/>
          <w:sz w:val="20"/>
          <w:szCs w:val="20"/>
          <w:lang w:val="en-PH" w:eastAsia="en-US"/>
        </w:rPr>
        <w:t xml:space="preserve"> et al., 2023).</w:t>
      </w:r>
    </w:p>
    <w:p w14:paraId="4C8B521B" w14:textId="060FFB1C" w:rsidR="00F15E18" w:rsidRPr="00F15E18" w:rsidRDefault="00F15E18" w:rsidP="00F15E18">
      <w:pPr>
        <w:spacing w:before="240" w:after="120"/>
        <w:ind w:firstLine="360"/>
        <w:jc w:val="both"/>
        <w:rPr>
          <w:rFonts w:eastAsia="Times New Roman"/>
          <w:color w:val="000000" w:themeColor="text1"/>
          <w:sz w:val="20"/>
          <w:szCs w:val="20"/>
          <w:lang w:val="en-PH" w:eastAsia="en-US"/>
        </w:rPr>
      </w:pPr>
      <w:r w:rsidRPr="00F15E18">
        <w:rPr>
          <w:rFonts w:eastAsia="Times New Roman"/>
          <w:color w:val="000000" w:themeColor="text1"/>
          <w:sz w:val="20"/>
          <w:szCs w:val="20"/>
          <w:lang w:val="en-PH" w:eastAsia="en-US"/>
        </w:rPr>
        <w:t xml:space="preserve">Although prior studies have examined general financial literacy and its relationship with budgeting and financial behavior among Philippine college students, such as the work of </w:t>
      </w:r>
      <w:proofErr w:type="spellStart"/>
      <w:r w:rsidRPr="00F15E18">
        <w:rPr>
          <w:rFonts w:eastAsia="Times New Roman"/>
          <w:color w:val="000000" w:themeColor="text1"/>
          <w:sz w:val="20"/>
          <w:szCs w:val="20"/>
          <w:lang w:val="en-PH" w:eastAsia="en-US"/>
        </w:rPr>
        <w:t>Dela</w:t>
      </w:r>
      <w:proofErr w:type="spellEnd"/>
      <w:r w:rsidRPr="00F15E18">
        <w:rPr>
          <w:rFonts w:eastAsia="Times New Roman"/>
          <w:color w:val="000000" w:themeColor="text1"/>
          <w:sz w:val="20"/>
          <w:szCs w:val="20"/>
          <w:lang w:val="en-PH" w:eastAsia="en-US"/>
        </w:rPr>
        <w:t xml:space="preserve"> Cruz and Reyes (2021), which reported strong correlations between financial literacy and positive financial attitudes (r = 0.85) but persistent weaknesses in risk management, these studies often fail to isolate the specific role of digital financial literacy (DFL). Both (</w:t>
      </w:r>
      <w:proofErr w:type="spellStart"/>
      <w:r w:rsidRPr="00F15E18">
        <w:rPr>
          <w:rFonts w:eastAsia="Times New Roman"/>
          <w:color w:val="000000" w:themeColor="text1"/>
          <w:sz w:val="20"/>
          <w:szCs w:val="20"/>
          <w:lang w:val="en-PH" w:eastAsia="en-US"/>
        </w:rPr>
        <w:t>Koskelainen</w:t>
      </w:r>
      <w:proofErr w:type="spellEnd"/>
      <w:r w:rsidRPr="00F15E18">
        <w:rPr>
          <w:rFonts w:eastAsia="Times New Roman"/>
          <w:color w:val="000000" w:themeColor="text1"/>
          <w:sz w:val="20"/>
          <w:szCs w:val="20"/>
          <w:lang w:val="en-PH" w:eastAsia="en-US"/>
        </w:rPr>
        <w:t xml:space="preserve"> et al., 2023) and (</w:t>
      </w:r>
      <w:proofErr w:type="spellStart"/>
      <w:r w:rsidRPr="00F15E18">
        <w:rPr>
          <w:rFonts w:eastAsia="Times New Roman"/>
          <w:color w:val="000000" w:themeColor="text1"/>
          <w:sz w:val="20"/>
          <w:szCs w:val="20"/>
          <w:lang w:val="en-PH" w:eastAsia="en-US"/>
        </w:rPr>
        <w:t>Respati</w:t>
      </w:r>
      <w:proofErr w:type="spellEnd"/>
      <w:r w:rsidRPr="00F15E18">
        <w:rPr>
          <w:rFonts w:eastAsia="Times New Roman"/>
          <w:color w:val="000000" w:themeColor="text1"/>
          <w:sz w:val="20"/>
          <w:szCs w:val="20"/>
          <w:lang w:val="en-PH" w:eastAsia="en-US"/>
        </w:rPr>
        <w:t xml:space="preserve"> et al., 2023) highlight global and emerging gaps in DFL frameworks, measurement tools, and the integration of digital competencies such as cybersecurity awareness with traditional financial knowledge. However, empirical studies focusing on student populations in developing contexts like the Philippines remain limited. While fintech adoption among Filipino youth is increasing, proficiency in areas such as financial security, risk </w:t>
      </w:r>
      <w:r w:rsidRPr="00F15E18">
        <w:rPr>
          <w:rFonts w:eastAsia="Times New Roman"/>
          <w:color w:val="000000" w:themeColor="text1"/>
          <w:sz w:val="20"/>
          <w:szCs w:val="20"/>
          <w:lang w:val="en-PH" w:eastAsia="en-US"/>
        </w:rPr>
        <w:lastRenderedPageBreak/>
        <w:t>management, and investment decision-making remains low, partly due to the lack of structured digital financial education in academic curricula, as reflected in BSP-related findings in 2024. Moreover, existing correlational studies rarely examine DFL as an independent predictor of financial management behavior, particularly in relation to local fintech risks such as fraud and debt exposure, as also noted in BSP reports in 2024. Additional limitations include the predominance of cross-sectional designs, limited consideration of mediating factors such as financial confidence or well-being, and insufficient focus on public urban universities such as Quezon City University, where student socioeconomic conditions may heighten financial vulnerability. This study addresses these gaps by examining the relationship between digital financial literacy and financial management practices among Quezon City University students.</w:t>
      </w:r>
    </w:p>
    <w:p w14:paraId="17F7652A" w14:textId="2E211E17" w:rsidR="00F15E18" w:rsidRPr="00F15E18" w:rsidRDefault="00F15E18" w:rsidP="00F15E18">
      <w:pPr>
        <w:spacing w:before="240" w:after="120"/>
        <w:ind w:firstLine="360"/>
        <w:jc w:val="both"/>
        <w:rPr>
          <w:rFonts w:eastAsia="Times New Roman"/>
          <w:color w:val="000000" w:themeColor="text1"/>
          <w:sz w:val="20"/>
          <w:szCs w:val="20"/>
          <w:lang w:val="en-PH" w:eastAsia="en-US"/>
        </w:rPr>
      </w:pPr>
      <w:r w:rsidRPr="00F15E18">
        <w:rPr>
          <w:rFonts w:eastAsia="Times New Roman"/>
          <w:color w:val="000000" w:themeColor="text1"/>
          <w:sz w:val="20"/>
          <w:szCs w:val="20"/>
          <w:lang w:val="en-PH" w:eastAsia="en-US"/>
        </w:rPr>
        <w:t xml:space="preserve">Despite widespread fintech adoption among Quezon City University (QCU) students, who frequently use platforms such as </w:t>
      </w:r>
      <w:proofErr w:type="spellStart"/>
      <w:r w:rsidRPr="00F15E18">
        <w:rPr>
          <w:rFonts w:eastAsia="Times New Roman"/>
          <w:color w:val="000000" w:themeColor="text1"/>
          <w:sz w:val="20"/>
          <w:szCs w:val="20"/>
          <w:lang w:val="en-PH" w:eastAsia="en-US"/>
        </w:rPr>
        <w:t>GCash</w:t>
      </w:r>
      <w:proofErr w:type="spellEnd"/>
      <w:r w:rsidRPr="00F15E18">
        <w:rPr>
          <w:rFonts w:eastAsia="Times New Roman"/>
          <w:color w:val="000000" w:themeColor="text1"/>
          <w:sz w:val="20"/>
          <w:szCs w:val="20"/>
          <w:lang w:val="en-PH" w:eastAsia="en-US"/>
        </w:rPr>
        <w:t>, Maya, and buy-now-pay-later services for daily financial activities, a significant gap exists between technical familiarity and effective financial decision-making. This gap reflects low digital financial literacy (DFL), where students may demonstrate operational proficiency in using applications but lack deeper understanding of financial concepts, risks, and responsible financial application, consistent with the framework presented by (</w:t>
      </w:r>
      <w:proofErr w:type="spellStart"/>
      <w:r w:rsidRPr="00F15E18">
        <w:rPr>
          <w:rFonts w:eastAsia="Times New Roman"/>
          <w:color w:val="000000" w:themeColor="text1"/>
          <w:sz w:val="20"/>
          <w:szCs w:val="20"/>
          <w:lang w:val="en-PH" w:eastAsia="en-US"/>
        </w:rPr>
        <w:t>Respati</w:t>
      </w:r>
      <w:proofErr w:type="spellEnd"/>
      <w:r w:rsidRPr="00F15E18">
        <w:rPr>
          <w:rFonts w:eastAsia="Times New Roman"/>
          <w:color w:val="000000" w:themeColor="text1"/>
          <w:sz w:val="20"/>
          <w:szCs w:val="20"/>
          <w:lang w:val="en-PH" w:eastAsia="en-US"/>
        </w:rPr>
        <w:t xml:space="preserve"> et al., 2023). This issue is evident in several dimensions. First, while financial information is highly accessible through user-friendly interfaces, students often struggle to comprehend key features such as fees, interest charges, and security protocols, resulting in impulsive spending and potential debt accumulation, as reflected in contemporary digital consumer behavior studies. Second, digital barriers such as inconsistent internet access, fear of cyber fraud, and concerns over data privacy further increase vulnerability, especially in a national context where BSP (2024) reports only 34% formal banking participation among youth. Third, poor financial management practices remain evident, including weak budgeting, inconsistent saving behavior, and uncontrolled spending patterns, often influenced by limited student allowances. In the local context, QCU students—typically from budget-constrained urban households with monthly allowances ranging from ₱5,000 to ₱15,000—demonstrate general financial literacy-attitude relationships, as found in </w:t>
      </w:r>
      <w:proofErr w:type="spellStart"/>
      <w:r w:rsidRPr="00F15E18">
        <w:rPr>
          <w:rFonts w:eastAsia="Times New Roman"/>
          <w:color w:val="000000" w:themeColor="text1"/>
          <w:sz w:val="20"/>
          <w:szCs w:val="20"/>
          <w:lang w:val="en-PH" w:eastAsia="en-US"/>
        </w:rPr>
        <w:t>Dela</w:t>
      </w:r>
      <w:proofErr w:type="spellEnd"/>
      <w:r w:rsidRPr="00F15E18">
        <w:rPr>
          <w:rFonts w:eastAsia="Times New Roman"/>
          <w:color w:val="000000" w:themeColor="text1"/>
          <w:sz w:val="20"/>
          <w:szCs w:val="20"/>
          <w:lang w:val="en-PH" w:eastAsia="en-US"/>
        </w:rPr>
        <w:t xml:space="preserve"> Cruz and Reyes (2021), yet lack specific DFL-focused data, leaving them exposed to fintech-related financial risks.</w:t>
      </w:r>
    </w:p>
    <w:p w14:paraId="17CE6BBA" w14:textId="478C25AE" w:rsidR="00F15E18" w:rsidRPr="00F15E18" w:rsidRDefault="00F15E18" w:rsidP="00F15E18">
      <w:pPr>
        <w:spacing w:before="240" w:after="120"/>
        <w:ind w:firstLine="360"/>
        <w:jc w:val="both"/>
        <w:rPr>
          <w:rFonts w:eastAsia="Times New Roman"/>
          <w:color w:val="000000" w:themeColor="text1"/>
          <w:sz w:val="20"/>
          <w:szCs w:val="20"/>
          <w:lang w:val="en-PH" w:eastAsia="en-US"/>
        </w:rPr>
      </w:pPr>
      <w:r w:rsidRPr="00F15E18">
        <w:rPr>
          <w:rFonts w:eastAsia="Times New Roman"/>
          <w:color w:val="000000" w:themeColor="text1"/>
          <w:sz w:val="20"/>
          <w:szCs w:val="20"/>
          <w:lang w:val="en-PH" w:eastAsia="en-US"/>
        </w:rPr>
        <w:t>In response, this study entitled Digital Financial Literacy and Its Influence on the Management of Finances: A Correlational Study among the Students of Quezon City University aims to examine the relationship between digital financial literacy and financial management practices. It utilizes a localized assessment framework measuring key DFL dimensions such as fintech navigation skills, accessibility–comprehension gaps, and digital barriers, alongside financial management indicators including budgeting, saving, and spending behavior. The data will be analyzed using statistical tools such as Pearson correlation to determine the significance of the relationship between variables.</w:t>
      </w:r>
    </w:p>
    <w:p w14:paraId="3AC9FEFD" w14:textId="650773FE" w:rsidR="00B01F89" w:rsidRPr="007475F4" w:rsidRDefault="00F15E18" w:rsidP="00F15E18">
      <w:pPr>
        <w:spacing w:before="240" w:after="120"/>
        <w:ind w:firstLine="360"/>
        <w:jc w:val="both"/>
        <w:rPr>
          <w:rFonts w:eastAsia="Times New Roman"/>
          <w:color w:val="000000" w:themeColor="text1"/>
          <w:sz w:val="20"/>
          <w:szCs w:val="20"/>
          <w:lang w:val="en-PH"/>
        </w:rPr>
      </w:pPr>
      <w:r w:rsidRPr="00F15E18">
        <w:rPr>
          <w:rFonts w:eastAsia="Times New Roman"/>
          <w:color w:val="000000" w:themeColor="text1"/>
          <w:sz w:val="20"/>
          <w:szCs w:val="20"/>
          <w:lang w:val="en-PH" w:eastAsia="en-US"/>
        </w:rPr>
        <w:t xml:space="preserve">The findings of this study may benefit several stakeholders. For students, it may enhance awareness and application of digital financial literacy, enabling improved use of fintech platforms such as </w:t>
      </w:r>
      <w:proofErr w:type="spellStart"/>
      <w:r w:rsidRPr="00F15E18">
        <w:rPr>
          <w:rFonts w:eastAsia="Times New Roman"/>
          <w:color w:val="000000" w:themeColor="text1"/>
          <w:sz w:val="20"/>
          <w:szCs w:val="20"/>
          <w:lang w:val="en-PH" w:eastAsia="en-US"/>
        </w:rPr>
        <w:t>GCash</w:t>
      </w:r>
      <w:proofErr w:type="spellEnd"/>
      <w:r w:rsidRPr="00F15E18">
        <w:rPr>
          <w:rFonts w:eastAsia="Times New Roman"/>
          <w:color w:val="000000" w:themeColor="text1"/>
          <w:sz w:val="20"/>
          <w:szCs w:val="20"/>
          <w:lang w:val="en-PH" w:eastAsia="en-US"/>
        </w:rPr>
        <w:t xml:space="preserve"> and Maya for more responsible budgeting, saving, and spending while mitigating risks such as fraud and impulsive purchasing. For faculty members, the results may support the integration of DFL concepts into BSIT and Accountancy curricula, strengthening students’ practical financial competencies. For administrators, the study may provide evidence for policy development, including financial literacy programs, seminars, and potential partnerships with institutions such as the BSP to address existing proficiency gaps. Finally, for future researchers, this study may serve as a valuable reference for empirical investigations on digital financial literacy and financial management within Philippine higher education contexts.</w:t>
      </w:r>
    </w:p>
    <w:p w14:paraId="575352CC" w14:textId="2E1B50F7" w:rsidR="00856D4D" w:rsidRPr="007475F4" w:rsidRDefault="6A26EA1D" w:rsidP="6A26EA1D">
      <w:pPr>
        <w:pStyle w:val="NormalWeb"/>
        <w:numPr>
          <w:ilvl w:val="0"/>
          <w:numId w:val="34"/>
        </w:numPr>
        <w:spacing w:after="240"/>
        <w:jc w:val="both"/>
        <w:rPr>
          <w:b/>
          <w:bCs/>
          <w:i/>
          <w:iCs/>
          <w:sz w:val="20"/>
          <w:szCs w:val="20"/>
        </w:rPr>
      </w:pPr>
      <w:r w:rsidRPr="007475F4">
        <w:rPr>
          <w:b/>
          <w:bCs/>
          <w:i/>
          <w:iCs/>
          <w:sz w:val="20"/>
          <w:szCs w:val="20"/>
        </w:rPr>
        <w:t>Statement of the Problem</w:t>
      </w:r>
    </w:p>
    <w:p w14:paraId="037C2C9E" w14:textId="1C1B3DFA" w:rsidR="00BF1ABD" w:rsidRPr="00BF1ABD" w:rsidRDefault="00BF1ABD" w:rsidP="00BF1ABD">
      <w:pPr>
        <w:pStyle w:val="NormalWeb"/>
        <w:ind w:firstLine="360"/>
        <w:jc w:val="both"/>
        <w:textAlignment w:val="baseline"/>
        <w:rPr>
          <w:color w:val="000000" w:themeColor="text1"/>
          <w:sz w:val="20"/>
          <w:szCs w:val="20"/>
        </w:rPr>
      </w:pPr>
      <w:r w:rsidRPr="00BF1ABD">
        <w:rPr>
          <w:color w:val="000000" w:themeColor="text1"/>
          <w:sz w:val="20"/>
          <w:szCs w:val="20"/>
        </w:rPr>
        <w:t>This study aims to determine the relationship between digital financial literacy and the financial management practices of students at Quezon City University. In the present digital era, students increasingly rely on financial technologies such as e-wallets, online banking applications, and other FinTech platforms for transactions including payments, money transfers, budgeting, and saving. While financial information and digital services are widely accessible, not all students possess the necessary knowledge and skills to effectively understand and utilize these platforms in managing their personal finances. As a result, this study seeks to examine whether digital financial literacy significantly influences students’ financial behaviors, particularly in terms of budgeting, saving, and spending.</w:t>
      </w:r>
    </w:p>
    <w:p w14:paraId="48E69C7F" w14:textId="5C257251" w:rsidR="00B3455C" w:rsidRPr="00BF1ABD" w:rsidRDefault="00BF1ABD" w:rsidP="00BF1ABD">
      <w:pPr>
        <w:pStyle w:val="NormalWeb"/>
        <w:spacing w:before="0" w:beforeAutospacing="0" w:after="0" w:afterAutospacing="0"/>
        <w:ind w:firstLine="360"/>
        <w:jc w:val="both"/>
        <w:textAlignment w:val="baseline"/>
        <w:rPr>
          <w:color w:val="000000"/>
          <w:sz w:val="20"/>
          <w:szCs w:val="20"/>
        </w:rPr>
      </w:pPr>
      <w:r w:rsidRPr="00BF1ABD">
        <w:rPr>
          <w:color w:val="000000" w:themeColor="text1"/>
          <w:sz w:val="20"/>
          <w:szCs w:val="20"/>
        </w:rPr>
        <w:t>Specifically, this study seeks to answer the following questions:</w:t>
      </w:r>
    </w:p>
    <w:p w14:paraId="6E39B737" w14:textId="258CF9A0" w:rsidR="00CB6481" w:rsidRPr="007475F4" w:rsidRDefault="00CB6481" w:rsidP="00CB6481">
      <w:pPr>
        <w:pStyle w:val="NormalWeb"/>
        <w:numPr>
          <w:ilvl w:val="0"/>
          <w:numId w:val="38"/>
        </w:numPr>
        <w:spacing w:before="240" w:beforeAutospacing="0" w:after="0" w:afterAutospacing="0"/>
        <w:textAlignment w:val="baseline"/>
        <w:rPr>
          <w:color w:val="000000"/>
          <w:sz w:val="20"/>
          <w:szCs w:val="20"/>
          <w:lang w:val="fil-PH" w:eastAsia="fil-PH"/>
        </w:rPr>
      </w:pPr>
      <w:r w:rsidRPr="007475F4">
        <w:rPr>
          <w:color w:val="000000"/>
          <w:sz w:val="20"/>
          <w:szCs w:val="20"/>
        </w:rPr>
        <w:t>What is the level of digital financial literacy among Quezon City University students in terms of:</w:t>
      </w:r>
    </w:p>
    <w:p w14:paraId="3736BCB5" w14:textId="77777777" w:rsidR="00CB6481" w:rsidRPr="007475F4" w:rsidRDefault="00CB6481" w:rsidP="00BF1ABD">
      <w:pPr>
        <w:pStyle w:val="NormalWeb"/>
        <w:numPr>
          <w:ilvl w:val="0"/>
          <w:numId w:val="43"/>
        </w:numPr>
        <w:spacing w:before="0" w:beforeAutospacing="0" w:after="0" w:afterAutospacing="0"/>
        <w:textAlignment w:val="baseline"/>
        <w:rPr>
          <w:color w:val="000000"/>
          <w:sz w:val="20"/>
          <w:szCs w:val="20"/>
        </w:rPr>
      </w:pPr>
      <w:r w:rsidRPr="007475F4">
        <w:rPr>
          <w:color w:val="000000"/>
          <w:sz w:val="20"/>
          <w:szCs w:val="20"/>
        </w:rPr>
        <w:t>Navigating financial technology (FinTech) platforms</w:t>
      </w:r>
    </w:p>
    <w:p w14:paraId="49F22BD1" w14:textId="77777777" w:rsidR="00CB6481" w:rsidRPr="007475F4" w:rsidRDefault="00CB6481" w:rsidP="00BF1ABD">
      <w:pPr>
        <w:pStyle w:val="NormalWeb"/>
        <w:numPr>
          <w:ilvl w:val="0"/>
          <w:numId w:val="43"/>
        </w:numPr>
        <w:spacing w:before="0" w:beforeAutospacing="0" w:after="0" w:afterAutospacing="0"/>
        <w:textAlignment w:val="baseline"/>
        <w:rPr>
          <w:color w:val="000000"/>
          <w:sz w:val="20"/>
          <w:szCs w:val="20"/>
        </w:rPr>
      </w:pPr>
      <w:r w:rsidRPr="007475F4">
        <w:rPr>
          <w:color w:val="000000"/>
          <w:sz w:val="20"/>
          <w:szCs w:val="20"/>
        </w:rPr>
        <w:t>Information accessibility vs. information comprehension</w:t>
      </w:r>
    </w:p>
    <w:p w14:paraId="5D9E4BD4" w14:textId="7ACCC324" w:rsidR="00CB6481" w:rsidRPr="007475F4" w:rsidRDefault="00CB6481" w:rsidP="00BF1ABD">
      <w:pPr>
        <w:pStyle w:val="NormalWeb"/>
        <w:numPr>
          <w:ilvl w:val="0"/>
          <w:numId w:val="43"/>
        </w:numPr>
        <w:spacing w:before="0" w:beforeAutospacing="0" w:after="0" w:afterAutospacing="0"/>
        <w:textAlignment w:val="baseline"/>
        <w:rPr>
          <w:color w:val="000000"/>
          <w:sz w:val="20"/>
          <w:szCs w:val="20"/>
        </w:rPr>
      </w:pPr>
      <w:r w:rsidRPr="007475F4">
        <w:rPr>
          <w:color w:val="000000"/>
          <w:sz w:val="20"/>
          <w:szCs w:val="20"/>
        </w:rPr>
        <w:t>Identification of digital barriers </w:t>
      </w:r>
    </w:p>
    <w:p w14:paraId="1C67292D" w14:textId="77777777" w:rsidR="00CB6481" w:rsidRPr="007475F4" w:rsidRDefault="00CB6481" w:rsidP="008903FA">
      <w:pPr>
        <w:pStyle w:val="NormalWeb"/>
        <w:spacing w:before="0" w:beforeAutospacing="0" w:after="0" w:afterAutospacing="0"/>
        <w:ind w:left="1440"/>
        <w:jc w:val="right"/>
        <w:textAlignment w:val="baseline"/>
        <w:rPr>
          <w:color w:val="000000"/>
          <w:sz w:val="20"/>
          <w:szCs w:val="20"/>
        </w:rPr>
      </w:pPr>
    </w:p>
    <w:p w14:paraId="78381ED4" w14:textId="18B5355C" w:rsidR="00CB6481" w:rsidRPr="007475F4" w:rsidRDefault="00CB6481" w:rsidP="00CB6481">
      <w:pPr>
        <w:pStyle w:val="NormalWeb"/>
        <w:numPr>
          <w:ilvl w:val="0"/>
          <w:numId w:val="38"/>
        </w:numPr>
        <w:spacing w:before="0" w:beforeAutospacing="0" w:after="0" w:afterAutospacing="0"/>
        <w:textAlignment w:val="baseline"/>
        <w:rPr>
          <w:color w:val="000000"/>
          <w:sz w:val="20"/>
          <w:szCs w:val="20"/>
        </w:rPr>
      </w:pPr>
      <w:r w:rsidRPr="007475F4">
        <w:rPr>
          <w:color w:val="000000"/>
          <w:sz w:val="20"/>
          <w:szCs w:val="20"/>
        </w:rPr>
        <w:t>What is the status of the students' financial management in terms of:</w:t>
      </w:r>
    </w:p>
    <w:p w14:paraId="1C0391D2" w14:textId="77777777" w:rsidR="00CB6481" w:rsidRPr="007475F4" w:rsidRDefault="00CB6481" w:rsidP="00BF1ABD">
      <w:pPr>
        <w:pStyle w:val="NormalWeb"/>
        <w:numPr>
          <w:ilvl w:val="0"/>
          <w:numId w:val="41"/>
        </w:numPr>
        <w:spacing w:before="0" w:beforeAutospacing="0" w:after="0" w:afterAutospacing="0"/>
        <w:textAlignment w:val="baseline"/>
        <w:rPr>
          <w:color w:val="000000"/>
          <w:sz w:val="20"/>
          <w:szCs w:val="20"/>
        </w:rPr>
      </w:pPr>
      <w:r w:rsidRPr="007475F4">
        <w:rPr>
          <w:color w:val="000000"/>
          <w:sz w:val="20"/>
          <w:szCs w:val="20"/>
        </w:rPr>
        <w:t>Budgeting and spending </w:t>
      </w:r>
    </w:p>
    <w:p w14:paraId="4FFDE0DB" w14:textId="77777777" w:rsidR="00CB6481" w:rsidRPr="007475F4" w:rsidRDefault="00CB6481" w:rsidP="00BF1ABD">
      <w:pPr>
        <w:pStyle w:val="NormalWeb"/>
        <w:numPr>
          <w:ilvl w:val="0"/>
          <w:numId w:val="41"/>
        </w:numPr>
        <w:spacing w:before="0" w:beforeAutospacing="0" w:after="0" w:afterAutospacing="0"/>
        <w:textAlignment w:val="baseline"/>
        <w:rPr>
          <w:color w:val="000000"/>
          <w:sz w:val="20"/>
          <w:szCs w:val="20"/>
        </w:rPr>
      </w:pPr>
      <w:r w:rsidRPr="007475F4">
        <w:rPr>
          <w:color w:val="000000"/>
          <w:sz w:val="20"/>
          <w:szCs w:val="20"/>
        </w:rPr>
        <w:t>Saving habits </w:t>
      </w:r>
    </w:p>
    <w:p w14:paraId="59A81AE8" w14:textId="77777777" w:rsidR="00CB6481" w:rsidRPr="007475F4" w:rsidRDefault="00CB6481" w:rsidP="00BF1ABD">
      <w:pPr>
        <w:pStyle w:val="NormalWeb"/>
        <w:numPr>
          <w:ilvl w:val="0"/>
          <w:numId w:val="41"/>
        </w:numPr>
        <w:spacing w:before="0" w:beforeAutospacing="0" w:after="0" w:afterAutospacing="0"/>
        <w:textAlignment w:val="baseline"/>
        <w:rPr>
          <w:color w:val="000000"/>
          <w:sz w:val="20"/>
          <w:szCs w:val="20"/>
        </w:rPr>
      </w:pPr>
      <w:r w:rsidRPr="007475F4">
        <w:rPr>
          <w:color w:val="000000"/>
          <w:sz w:val="20"/>
          <w:szCs w:val="20"/>
        </w:rPr>
        <w:t>Spending habits</w:t>
      </w:r>
    </w:p>
    <w:p w14:paraId="211D1EF5" w14:textId="11A21E76" w:rsidR="00CB6481" w:rsidRPr="007475F4" w:rsidRDefault="00CB6481" w:rsidP="00CB6481">
      <w:pPr>
        <w:pStyle w:val="NormalWeb"/>
        <w:numPr>
          <w:ilvl w:val="0"/>
          <w:numId w:val="38"/>
        </w:numPr>
        <w:spacing w:before="240" w:beforeAutospacing="0" w:after="0" w:afterAutospacing="0"/>
        <w:textAlignment w:val="baseline"/>
        <w:rPr>
          <w:color w:val="000000"/>
          <w:sz w:val="20"/>
          <w:szCs w:val="20"/>
        </w:rPr>
      </w:pPr>
      <w:r w:rsidRPr="007475F4">
        <w:rPr>
          <w:color w:val="000000"/>
          <w:sz w:val="20"/>
          <w:szCs w:val="20"/>
        </w:rPr>
        <w:t>Is there a significant relationship between digital financial literacy and the financial management practices of the students?</w:t>
      </w:r>
    </w:p>
    <w:p w14:paraId="6E63AF6E" w14:textId="77777777" w:rsidR="00CB6481" w:rsidRPr="007475F4" w:rsidRDefault="00CB6481" w:rsidP="00856D4D">
      <w:pPr>
        <w:pStyle w:val="NormalWeb"/>
        <w:spacing w:before="0" w:beforeAutospacing="0" w:after="240" w:afterAutospacing="0"/>
        <w:jc w:val="both"/>
        <w:rPr>
          <w:b/>
          <w:bCs/>
          <w:sz w:val="20"/>
          <w:szCs w:val="20"/>
        </w:rPr>
      </w:pPr>
    </w:p>
    <w:p w14:paraId="1C2162DB" w14:textId="5FCEA98A" w:rsidR="0047176F" w:rsidRPr="007475F4" w:rsidRDefault="00BF1ABD" w:rsidP="00856D4D">
      <w:pPr>
        <w:pStyle w:val="NormalWeb"/>
        <w:spacing w:before="0" w:beforeAutospacing="0" w:after="240" w:afterAutospacing="0"/>
        <w:jc w:val="both"/>
        <w:rPr>
          <w:sz w:val="20"/>
          <w:szCs w:val="20"/>
        </w:rPr>
      </w:pPr>
      <w:r>
        <w:rPr>
          <w:b/>
          <w:bCs/>
          <w:sz w:val="20"/>
          <w:szCs w:val="20"/>
        </w:rPr>
        <w:t>RELATED STUDIES</w:t>
      </w:r>
    </w:p>
    <w:p w14:paraId="584AAB1D" w14:textId="5C3EC161" w:rsidR="00BF1ABD" w:rsidRPr="00BF1ABD" w:rsidRDefault="00BF1ABD" w:rsidP="00BF1ABD">
      <w:pPr>
        <w:pStyle w:val="BodyText"/>
        <w:spacing w:after="240"/>
        <w:ind w:firstLine="360"/>
        <w:jc w:val="both"/>
        <w:rPr>
          <w:sz w:val="20"/>
          <w:szCs w:val="20"/>
        </w:rPr>
      </w:pPr>
      <w:r w:rsidRPr="00BF1ABD">
        <w:rPr>
          <w:sz w:val="20"/>
          <w:szCs w:val="20"/>
        </w:rPr>
        <w:t xml:space="preserve">Money management in the digital era has become increasingly complex, as financial decision-making is no longer limited to traditional budgeting and saving practices. Instead, individuals are now required to navigate a rapidly expanding ecosystem of digital financial tools such as mobile wallets, online banking platforms, and investment applications. These technologies, while enhancing </w:t>
      </w:r>
      <w:r w:rsidRPr="00BF1ABD">
        <w:rPr>
          <w:sz w:val="20"/>
          <w:szCs w:val="20"/>
        </w:rPr>
        <w:lastRenderedPageBreak/>
        <w:t>convenience, also introduce algorithm-driven influences and automated financial nudges that can subtly shape user behavior without their full awareness (</w:t>
      </w:r>
      <w:proofErr w:type="spellStart"/>
      <w:r w:rsidRPr="00BF1ABD">
        <w:rPr>
          <w:sz w:val="20"/>
          <w:szCs w:val="20"/>
        </w:rPr>
        <w:t>Zaimovic</w:t>
      </w:r>
      <w:proofErr w:type="spellEnd"/>
      <w:r w:rsidRPr="00BF1ABD">
        <w:rPr>
          <w:sz w:val="20"/>
          <w:szCs w:val="20"/>
        </w:rPr>
        <w:t xml:space="preserve"> et al., 2023). As a result, financial capability in the modern context extends beyond income and education, requiring individuals to develop digital financial literacy that enables informed and responsible decision-making. When effectively developed, digital financial literacy not only improves convenience but also strengthens financial well-being and resilience during economic uncertainty (Choung et al., 2023).</w:t>
      </w:r>
    </w:p>
    <w:p w14:paraId="07774C9A" w14:textId="6E8D8ADD" w:rsidR="00BF1ABD" w:rsidRPr="00BF1ABD" w:rsidRDefault="00BF1ABD" w:rsidP="00BF1ABD">
      <w:pPr>
        <w:pStyle w:val="BodyText"/>
        <w:spacing w:after="240"/>
        <w:ind w:firstLine="360"/>
        <w:jc w:val="both"/>
        <w:rPr>
          <w:sz w:val="20"/>
          <w:szCs w:val="20"/>
        </w:rPr>
      </w:pPr>
      <w:r w:rsidRPr="00BF1ABD">
        <w:rPr>
          <w:sz w:val="20"/>
          <w:szCs w:val="20"/>
        </w:rPr>
        <w:t>Digital transformation has also redefined access to financial markets, particularly by lowering entry barriers for previously excluded populations such as rural communities (Hu &amp; Liu, 2025). However, access alone does not guarantee positive financial outcomes. The ability to benefit from digital financial systems largely depends on an individual’s level of financial literacy, which serves as a critical factor in distinguishing informed financial decisions from risky or uninformed behavior. In this sense, digital financial literacy becomes a key determinant of whether expanded financial access translates into meaningful financial improvement.</w:t>
      </w:r>
    </w:p>
    <w:p w14:paraId="680B9352" w14:textId="47153E50" w:rsidR="00BF1ABD" w:rsidRPr="00BF1ABD" w:rsidRDefault="00BF1ABD" w:rsidP="00BF1ABD">
      <w:pPr>
        <w:pStyle w:val="BodyText"/>
        <w:spacing w:after="240"/>
        <w:ind w:firstLine="360"/>
        <w:jc w:val="both"/>
        <w:rPr>
          <w:sz w:val="20"/>
          <w:szCs w:val="20"/>
        </w:rPr>
      </w:pPr>
      <w:r w:rsidRPr="00BF1ABD">
        <w:rPr>
          <w:sz w:val="20"/>
          <w:szCs w:val="20"/>
        </w:rPr>
        <w:t>In the Southeast Asian context, research on digital financial literacy is still developing, with countries such as Indonesia and Malaysia contributing a growing body of literature, while the Philippines remains underrepresented in academic discourse, particularly in relation to digital finance among small-scale users and students (</w:t>
      </w:r>
      <w:proofErr w:type="spellStart"/>
      <w:r w:rsidRPr="00BF1ABD">
        <w:rPr>
          <w:sz w:val="20"/>
          <w:szCs w:val="20"/>
        </w:rPr>
        <w:t>Sarsale</w:t>
      </w:r>
      <w:proofErr w:type="spellEnd"/>
      <w:r w:rsidRPr="00BF1ABD">
        <w:rPr>
          <w:sz w:val="20"/>
          <w:szCs w:val="20"/>
        </w:rPr>
        <w:t xml:space="preserve">, 2025a). Despite this gap, real-world trends indicate strong fintech adoption among young Filipinos, including college students who actively use platforms such as </w:t>
      </w:r>
      <w:proofErr w:type="spellStart"/>
      <w:r w:rsidRPr="00BF1ABD">
        <w:rPr>
          <w:sz w:val="20"/>
          <w:szCs w:val="20"/>
        </w:rPr>
        <w:t>GCash</w:t>
      </w:r>
      <w:proofErr w:type="spellEnd"/>
      <w:r w:rsidRPr="00BF1ABD">
        <w:rPr>
          <w:sz w:val="20"/>
          <w:szCs w:val="20"/>
        </w:rPr>
        <w:t xml:space="preserve"> and </w:t>
      </w:r>
      <w:proofErr w:type="spellStart"/>
      <w:r w:rsidRPr="00BF1ABD">
        <w:rPr>
          <w:sz w:val="20"/>
          <w:szCs w:val="20"/>
        </w:rPr>
        <w:t>PayMaya</w:t>
      </w:r>
      <w:proofErr w:type="spellEnd"/>
      <w:r w:rsidRPr="00BF1ABD">
        <w:rPr>
          <w:sz w:val="20"/>
          <w:szCs w:val="20"/>
        </w:rPr>
        <w:t>. Studies show that financial confidence among these users is closely linked to their familiarity and competence in using digital financial tools (</w:t>
      </w:r>
      <w:proofErr w:type="spellStart"/>
      <w:r w:rsidRPr="00BF1ABD">
        <w:rPr>
          <w:sz w:val="20"/>
          <w:szCs w:val="20"/>
        </w:rPr>
        <w:t>Apreal</w:t>
      </w:r>
      <w:proofErr w:type="spellEnd"/>
      <w:r w:rsidRPr="00BF1ABD">
        <w:rPr>
          <w:sz w:val="20"/>
          <w:szCs w:val="20"/>
        </w:rPr>
        <w:t xml:space="preserve"> Marjorie </w:t>
      </w:r>
      <w:proofErr w:type="spellStart"/>
      <w:r w:rsidRPr="00BF1ABD">
        <w:rPr>
          <w:sz w:val="20"/>
          <w:szCs w:val="20"/>
        </w:rPr>
        <w:t>Bisquera</w:t>
      </w:r>
      <w:proofErr w:type="spellEnd"/>
      <w:r w:rsidRPr="00BF1ABD">
        <w:rPr>
          <w:sz w:val="20"/>
          <w:szCs w:val="20"/>
        </w:rPr>
        <w:t xml:space="preserve"> Silva et al., 2024a). As fintech continues to expand across the country, there is a growing need to ensure that digital financial skills are widely accessible, rather than concentrated among already advantaged groups (</w:t>
      </w:r>
      <w:proofErr w:type="spellStart"/>
      <w:r w:rsidRPr="00BF1ABD">
        <w:rPr>
          <w:sz w:val="20"/>
          <w:szCs w:val="20"/>
        </w:rPr>
        <w:t>Apreal</w:t>
      </w:r>
      <w:proofErr w:type="spellEnd"/>
      <w:r w:rsidRPr="00BF1ABD">
        <w:rPr>
          <w:sz w:val="20"/>
          <w:szCs w:val="20"/>
        </w:rPr>
        <w:t xml:space="preserve"> Marjorie </w:t>
      </w:r>
      <w:proofErr w:type="spellStart"/>
      <w:r w:rsidRPr="00BF1ABD">
        <w:rPr>
          <w:sz w:val="20"/>
          <w:szCs w:val="20"/>
        </w:rPr>
        <w:t>Bisquera</w:t>
      </w:r>
      <w:proofErr w:type="spellEnd"/>
      <w:r w:rsidRPr="00BF1ABD">
        <w:rPr>
          <w:sz w:val="20"/>
          <w:szCs w:val="20"/>
        </w:rPr>
        <w:t xml:space="preserve"> Silva et al., 2024b; </w:t>
      </w:r>
      <w:proofErr w:type="spellStart"/>
      <w:r w:rsidRPr="00BF1ABD">
        <w:rPr>
          <w:sz w:val="20"/>
          <w:szCs w:val="20"/>
        </w:rPr>
        <w:t>Sarsale</w:t>
      </w:r>
      <w:proofErr w:type="spellEnd"/>
      <w:r w:rsidRPr="00BF1ABD">
        <w:rPr>
          <w:sz w:val="20"/>
          <w:szCs w:val="20"/>
        </w:rPr>
        <w:t>, 2025b).</w:t>
      </w:r>
    </w:p>
    <w:p w14:paraId="1C7721BA" w14:textId="150470FC" w:rsidR="00BF1ABD" w:rsidRPr="00BF1ABD" w:rsidRDefault="00BF1ABD" w:rsidP="00BF1ABD">
      <w:pPr>
        <w:pStyle w:val="BodyText"/>
        <w:spacing w:after="240"/>
        <w:ind w:firstLine="360"/>
        <w:jc w:val="both"/>
        <w:rPr>
          <w:sz w:val="20"/>
          <w:szCs w:val="20"/>
        </w:rPr>
      </w:pPr>
      <w:r w:rsidRPr="00BF1ABD">
        <w:rPr>
          <w:sz w:val="20"/>
          <w:szCs w:val="20"/>
        </w:rPr>
        <w:t xml:space="preserve">Local studies further emphasize the importance of digital financial literacy in shaping responsible financial behavior. A study involving 372 college students in </w:t>
      </w:r>
      <w:proofErr w:type="spellStart"/>
      <w:r w:rsidRPr="00BF1ABD">
        <w:rPr>
          <w:sz w:val="20"/>
          <w:szCs w:val="20"/>
        </w:rPr>
        <w:t>Calapan</w:t>
      </w:r>
      <w:proofErr w:type="spellEnd"/>
      <w:r w:rsidRPr="00BF1ABD">
        <w:rPr>
          <w:sz w:val="20"/>
          <w:szCs w:val="20"/>
        </w:rPr>
        <w:t xml:space="preserve"> City found that students who were proficient in using digital financial platforms such as </w:t>
      </w:r>
      <w:proofErr w:type="spellStart"/>
      <w:r w:rsidRPr="00BF1ABD">
        <w:rPr>
          <w:sz w:val="20"/>
          <w:szCs w:val="20"/>
        </w:rPr>
        <w:t>GCash</w:t>
      </w:r>
      <w:proofErr w:type="spellEnd"/>
      <w:r w:rsidRPr="00BF1ABD">
        <w:rPr>
          <w:sz w:val="20"/>
          <w:szCs w:val="20"/>
        </w:rPr>
        <w:t xml:space="preserve">, </w:t>
      </w:r>
      <w:proofErr w:type="spellStart"/>
      <w:r w:rsidRPr="00BF1ABD">
        <w:rPr>
          <w:sz w:val="20"/>
          <w:szCs w:val="20"/>
        </w:rPr>
        <w:t>PayMaya</w:t>
      </w:r>
      <w:proofErr w:type="spellEnd"/>
      <w:r w:rsidRPr="00BF1ABD">
        <w:rPr>
          <w:sz w:val="20"/>
          <w:szCs w:val="20"/>
        </w:rPr>
        <w:t>, and PayPal demonstrated better financial practices, including controlled spending and consistent saving behavior (</w:t>
      </w:r>
      <w:proofErr w:type="spellStart"/>
      <w:r w:rsidRPr="00BF1ABD">
        <w:rPr>
          <w:sz w:val="20"/>
          <w:szCs w:val="20"/>
        </w:rPr>
        <w:t>Apreal</w:t>
      </w:r>
      <w:proofErr w:type="spellEnd"/>
      <w:r w:rsidRPr="00BF1ABD">
        <w:rPr>
          <w:sz w:val="20"/>
          <w:szCs w:val="20"/>
        </w:rPr>
        <w:t xml:space="preserve"> Marjorie </w:t>
      </w:r>
      <w:proofErr w:type="spellStart"/>
      <w:r w:rsidRPr="00BF1ABD">
        <w:rPr>
          <w:sz w:val="20"/>
          <w:szCs w:val="20"/>
        </w:rPr>
        <w:t>Bisquera</w:t>
      </w:r>
      <w:proofErr w:type="spellEnd"/>
      <w:r w:rsidRPr="00BF1ABD">
        <w:rPr>
          <w:sz w:val="20"/>
          <w:szCs w:val="20"/>
        </w:rPr>
        <w:t xml:space="preserve"> Silva et al., 2024a). Similarly, </w:t>
      </w:r>
      <w:proofErr w:type="spellStart"/>
      <w:r w:rsidRPr="00BF1ABD">
        <w:rPr>
          <w:sz w:val="20"/>
          <w:szCs w:val="20"/>
        </w:rPr>
        <w:t>Dimaunahan</w:t>
      </w:r>
      <w:proofErr w:type="spellEnd"/>
      <w:r w:rsidRPr="00BF1ABD">
        <w:rPr>
          <w:sz w:val="20"/>
          <w:szCs w:val="20"/>
        </w:rPr>
        <w:t xml:space="preserve"> et al. (2025) found that Filipino millennials exhibited generally low financial literacy levels, with financial planning influenced more by income and occupation than by knowledge alone, highlighting the gap between financial awareness and practical application. </w:t>
      </w:r>
      <w:proofErr w:type="spellStart"/>
      <w:r w:rsidRPr="00BF1ABD">
        <w:rPr>
          <w:sz w:val="20"/>
          <w:szCs w:val="20"/>
        </w:rPr>
        <w:t>Abiera</w:t>
      </w:r>
      <w:proofErr w:type="spellEnd"/>
      <w:r w:rsidRPr="00BF1ABD">
        <w:rPr>
          <w:sz w:val="20"/>
          <w:szCs w:val="20"/>
        </w:rPr>
        <w:t xml:space="preserve"> et al. (n.d.) further supported this by emphasizing that financial knowledge must be reinforced with real-life application to achieve meaningful financial behavior change.</w:t>
      </w:r>
    </w:p>
    <w:p w14:paraId="6B0DE7D2" w14:textId="666F38EE" w:rsidR="00BF1ABD" w:rsidRPr="00BF1ABD" w:rsidRDefault="00BF1ABD" w:rsidP="00BF1ABD">
      <w:pPr>
        <w:pStyle w:val="BodyText"/>
        <w:spacing w:after="240"/>
        <w:ind w:firstLine="360"/>
        <w:jc w:val="both"/>
        <w:rPr>
          <w:sz w:val="20"/>
          <w:szCs w:val="20"/>
        </w:rPr>
      </w:pPr>
      <w:r w:rsidRPr="00BF1ABD">
        <w:rPr>
          <w:sz w:val="20"/>
          <w:szCs w:val="20"/>
        </w:rPr>
        <w:t xml:space="preserve">In addition, studies focusing on Generation Z and student populations reinforce the relationship between literacy and financial behavior. Research conducted in </w:t>
      </w:r>
      <w:proofErr w:type="spellStart"/>
      <w:r w:rsidRPr="00BF1ABD">
        <w:rPr>
          <w:sz w:val="20"/>
          <w:szCs w:val="20"/>
        </w:rPr>
        <w:t>Panabo</w:t>
      </w:r>
      <w:proofErr w:type="spellEnd"/>
      <w:r w:rsidRPr="00BF1ABD">
        <w:rPr>
          <w:sz w:val="20"/>
          <w:szCs w:val="20"/>
        </w:rPr>
        <w:t xml:space="preserve"> City revealed a significant positive relationship between financial literacy and financial behavior, where students with higher literacy levels demonstrated better budgeting, saving, and spending discipline. The study concluded that financial literacy contributes directly to improved financial well-being. Likewise, Espiritu (2025) found that financial knowledge, attitudes, and practices among business administration students varied significantly based on demographic factors such as age, sex, and income, indicating that financial literacy is not uniform across populations. </w:t>
      </w:r>
      <w:proofErr w:type="spellStart"/>
      <w:r w:rsidRPr="00BF1ABD">
        <w:rPr>
          <w:sz w:val="20"/>
          <w:szCs w:val="20"/>
        </w:rPr>
        <w:t>Barrot</w:t>
      </w:r>
      <w:proofErr w:type="spellEnd"/>
      <w:r w:rsidRPr="00BF1ABD">
        <w:rPr>
          <w:sz w:val="20"/>
          <w:szCs w:val="20"/>
        </w:rPr>
        <w:t xml:space="preserve"> et al. (2024) further highlighted the importance of early financial education by showing that while educators recognize its value, challenges in implementation hinder effective delivery in schools. Complementing this, </w:t>
      </w:r>
      <w:proofErr w:type="spellStart"/>
      <w:r w:rsidRPr="00BF1ABD">
        <w:rPr>
          <w:sz w:val="20"/>
          <w:szCs w:val="20"/>
        </w:rPr>
        <w:t>Naingue</w:t>
      </w:r>
      <w:proofErr w:type="spellEnd"/>
      <w:r w:rsidRPr="00BF1ABD">
        <w:rPr>
          <w:sz w:val="20"/>
          <w:szCs w:val="20"/>
        </w:rPr>
        <w:t xml:space="preserve"> et al. (2026) demonstrated that experiential financial literacy programs, such as </w:t>
      </w:r>
      <w:proofErr w:type="spellStart"/>
      <w:r w:rsidRPr="00BF1ABD">
        <w:rPr>
          <w:sz w:val="20"/>
          <w:szCs w:val="20"/>
        </w:rPr>
        <w:t>microsavings</w:t>
      </w:r>
      <w:proofErr w:type="spellEnd"/>
      <w:r w:rsidRPr="00BF1ABD">
        <w:rPr>
          <w:sz w:val="20"/>
          <w:szCs w:val="20"/>
        </w:rPr>
        <w:t xml:space="preserve"> and entrepreneurial activities, not only improve student behavior but also positively influence household financial practices, emphasizing the broader impact of applied financial education.</w:t>
      </w:r>
    </w:p>
    <w:p w14:paraId="3D9575A5" w14:textId="53E7E3F1" w:rsidR="00BF1ABD" w:rsidRPr="00BF1ABD" w:rsidRDefault="00BF1ABD" w:rsidP="00BF1ABD">
      <w:pPr>
        <w:pStyle w:val="BodyText"/>
        <w:spacing w:after="240"/>
        <w:ind w:firstLine="360"/>
        <w:jc w:val="both"/>
        <w:rPr>
          <w:sz w:val="20"/>
          <w:szCs w:val="20"/>
        </w:rPr>
      </w:pPr>
      <w:r w:rsidRPr="00BF1ABD">
        <w:rPr>
          <w:sz w:val="20"/>
          <w:szCs w:val="20"/>
        </w:rPr>
        <w:t>Foreign literature similarly underscores the global relevance of financial literacy. Zhang and Li (2025) found significant variation in literacy levels among student groups, suggesting the need for targeted financial education programs. Chen and Volpe (1998) similarly reported that U.S. college students often lack basic financial knowledge, leading to poor financial decisions, demonstrating that financial literacy gaps persist even in developed countries. These findings reinforce the idea that financial education must be systematically integrated into academic systems across different contexts.</w:t>
      </w:r>
    </w:p>
    <w:p w14:paraId="04F61585" w14:textId="02207A75" w:rsidR="00BF1ABD" w:rsidRPr="00BF1ABD" w:rsidRDefault="00BF1ABD" w:rsidP="00BF1ABD">
      <w:pPr>
        <w:pStyle w:val="BodyText"/>
        <w:spacing w:after="240"/>
        <w:ind w:firstLine="360"/>
        <w:jc w:val="both"/>
        <w:rPr>
          <w:sz w:val="20"/>
          <w:szCs w:val="20"/>
        </w:rPr>
      </w:pPr>
      <w:r w:rsidRPr="00BF1ABD">
        <w:rPr>
          <w:sz w:val="20"/>
          <w:szCs w:val="20"/>
        </w:rPr>
        <w:t>Other studies highlight the intersection of financial literacy, digital behavior, and generational differences. Li and Wang (2025) found that higher digital literacy is associated with safer online financial behavior, while Patel et al. (2025) revealed that fintech access increases investment opportunities but also exposes financially illiterate users to higher risks. Kumar and Singh (2025) observed generational differences in digital finance adoption, with younger users being more open to fintech compared to older groups. Rahman et al. (2025) further emphasized that financial behavior among Gen Z is influenced not only by literacy but also by trust and social media exposure, indicating that financial decisions are shaped by both cognitive and social factors.</w:t>
      </w:r>
    </w:p>
    <w:p w14:paraId="08F9F612" w14:textId="33068F2E" w:rsidR="00BF1ABD" w:rsidRPr="00BF1ABD" w:rsidRDefault="00BF1ABD" w:rsidP="00BF1ABD">
      <w:pPr>
        <w:pStyle w:val="BodyText"/>
        <w:spacing w:after="240"/>
        <w:ind w:firstLine="360"/>
        <w:jc w:val="both"/>
        <w:rPr>
          <w:sz w:val="20"/>
          <w:szCs w:val="20"/>
        </w:rPr>
      </w:pPr>
      <w:r w:rsidRPr="00BF1ABD">
        <w:rPr>
          <w:sz w:val="20"/>
          <w:szCs w:val="20"/>
        </w:rPr>
        <w:t xml:space="preserve">Finally, innovations in financial education have demonstrated promising results in improving financial literacy outcomes. </w:t>
      </w:r>
      <w:proofErr w:type="spellStart"/>
      <w:r w:rsidRPr="00BF1ABD">
        <w:rPr>
          <w:sz w:val="20"/>
          <w:szCs w:val="20"/>
        </w:rPr>
        <w:t>Hoseiny</w:t>
      </w:r>
      <w:proofErr w:type="spellEnd"/>
      <w:r w:rsidRPr="00BF1ABD">
        <w:rPr>
          <w:sz w:val="20"/>
          <w:szCs w:val="20"/>
        </w:rPr>
        <w:t xml:space="preserve"> and </w:t>
      </w:r>
      <w:proofErr w:type="spellStart"/>
      <w:r w:rsidRPr="00BF1ABD">
        <w:rPr>
          <w:sz w:val="20"/>
          <w:szCs w:val="20"/>
        </w:rPr>
        <w:t>Niknafas</w:t>
      </w:r>
      <w:proofErr w:type="spellEnd"/>
      <w:r w:rsidRPr="00BF1ABD">
        <w:rPr>
          <w:sz w:val="20"/>
          <w:szCs w:val="20"/>
        </w:rPr>
        <w:t xml:space="preserve"> (2020) found that serious game-based learning enhances engagement and understanding of financial concepts. Similarly, AI-driven educational tools designed for financial literacy instruction have been shown to effectively deliver structured learning content aligned with educational standards, although improvements in engagement and system interaction are still needed. These studies suggest that integrating technology into financial education can enhance learning effectiveness and accessibility.</w:t>
      </w:r>
    </w:p>
    <w:p w14:paraId="6C88935F" w14:textId="7861D53F" w:rsidR="007F02C1" w:rsidRPr="007475F4" w:rsidRDefault="00BF1ABD" w:rsidP="00BF1ABD">
      <w:pPr>
        <w:pStyle w:val="BodyText"/>
        <w:spacing w:after="240"/>
        <w:ind w:firstLine="360"/>
        <w:jc w:val="both"/>
        <w:rPr>
          <w:sz w:val="20"/>
          <w:szCs w:val="20"/>
        </w:rPr>
      </w:pPr>
      <w:r w:rsidRPr="00BF1ABD">
        <w:rPr>
          <w:sz w:val="20"/>
          <w:szCs w:val="20"/>
        </w:rPr>
        <w:t>Overall, the reviewed literature consistently shows that digital financial literacy plays a critical role in shaping financial behavior, particularly among students. While fintech provides greater access to financial services, its benefits are maximized only when users possess sufficient digital financial knowledge and skills. However, gaps remain in both local and international contexts, particularly in developing countries such as the Philippines, where student-focused empirical studies are still limited. These gaps highlight the need for further research, particularly in understanding how digital financial literacy influences financial management practices among university students such as those at Quezon City University.</w:t>
      </w:r>
    </w:p>
    <w:p w14:paraId="02BB4D88" w14:textId="375B85F5" w:rsidR="6C28203E" w:rsidRPr="007475F4" w:rsidRDefault="6C28203E" w:rsidP="6C28203E">
      <w:pPr>
        <w:pStyle w:val="BodyText"/>
        <w:spacing w:after="240"/>
        <w:ind w:right="67"/>
        <w:jc w:val="both"/>
        <w:rPr>
          <w:b/>
          <w:bCs/>
          <w:sz w:val="20"/>
          <w:szCs w:val="20"/>
        </w:rPr>
      </w:pPr>
    </w:p>
    <w:p w14:paraId="145A7441" w14:textId="1DAFA5CA" w:rsidR="007F02C1" w:rsidRPr="007475F4" w:rsidRDefault="55C04680" w:rsidP="4EBEB373">
      <w:pPr>
        <w:pStyle w:val="BodyText"/>
        <w:spacing w:after="240"/>
        <w:ind w:right="67"/>
        <w:jc w:val="both"/>
        <w:rPr>
          <w:sz w:val="20"/>
          <w:szCs w:val="20"/>
        </w:rPr>
      </w:pPr>
      <w:r w:rsidRPr="007475F4">
        <w:rPr>
          <w:b/>
          <w:bCs/>
          <w:sz w:val="20"/>
          <w:szCs w:val="20"/>
        </w:rPr>
        <w:lastRenderedPageBreak/>
        <w:t>METHODOLOGY</w:t>
      </w:r>
    </w:p>
    <w:p w14:paraId="66B1196F" w14:textId="3AD8CE77" w:rsidR="0061725C" w:rsidRPr="00BF1ABD" w:rsidRDefault="00487498" w:rsidP="00BF1ABD">
      <w:pPr>
        <w:pStyle w:val="NoSpacing"/>
        <w:rPr>
          <w:b/>
          <w:i/>
          <w:sz w:val="20"/>
          <w:szCs w:val="20"/>
          <w:lang w:val="en-US"/>
        </w:rPr>
      </w:pPr>
      <w:r w:rsidRPr="00BF1ABD">
        <w:rPr>
          <w:b/>
          <w:i/>
          <w:sz w:val="20"/>
          <w:szCs w:val="20"/>
          <w:lang w:val="en-US"/>
        </w:rPr>
        <w:t>A. Research Design</w:t>
      </w:r>
    </w:p>
    <w:p w14:paraId="150D19DB" w14:textId="1782F004" w:rsidR="6C28203E" w:rsidRDefault="6C28203E" w:rsidP="00BF1ABD">
      <w:pPr>
        <w:pStyle w:val="NoSpacing"/>
        <w:rPr>
          <w:sz w:val="20"/>
          <w:szCs w:val="20"/>
          <w:lang w:val="en-US"/>
        </w:rPr>
      </w:pPr>
    </w:p>
    <w:p w14:paraId="1C3C127A" w14:textId="77777777" w:rsidR="00BF1ABD" w:rsidRPr="00BF1ABD" w:rsidRDefault="00BF1ABD" w:rsidP="00BF1ABD">
      <w:pPr>
        <w:pStyle w:val="NoSpacing"/>
        <w:ind w:firstLine="360"/>
        <w:jc w:val="both"/>
        <w:rPr>
          <w:sz w:val="20"/>
          <w:szCs w:val="20"/>
          <w:lang w:val="en-US"/>
        </w:rPr>
      </w:pPr>
      <w:r w:rsidRPr="00BF1ABD">
        <w:rPr>
          <w:sz w:val="20"/>
          <w:szCs w:val="20"/>
          <w:lang w:val="en-US"/>
        </w:rPr>
        <w:t>This study employed a quantitative correlational research design to determine the relationship between digital financial literacy and the financial management practices of Quezon City University students. A correlational design is a non-experimental approach that examines the degree and direction of association between variables without manipulating them. This design is appropriate for the present study because it allows the researchers to identify patterns and measure the strength of the relationship between students’ digital financial literacy—particularly their ability to navigate financial technologies—and their financial management behaviors, including budgeting, saving, and spending.</w:t>
      </w:r>
    </w:p>
    <w:p w14:paraId="479D9023" w14:textId="77777777" w:rsidR="00BF1ABD" w:rsidRPr="00BF1ABD" w:rsidRDefault="00BF1ABD" w:rsidP="00BF1ABD">
      <w:pPr>
        <w:pStyle w:val="NoSpacing"/>
        <w:ind w:firstLine="360"/>
        <w:jc w:val="both"/>
        <w:rPr>
          <w:sz w:val="20"/>
          <w:szCs w:val="20"/>
          <w:lang w:val="en-US"/>
        </w:rPr>
      </w:pPr>
    </w:p>
    <w:p w14:paraId="153E9476" w14:textId="02AF62F0" w:rsidR="00BF1ABD" w:rsidRDefault="00BF1ABD" w:rsidP="00BF1ABD">
      <w:pPr>
        <w:pStyle w:val="NoSpacing"/>
        <w:ind w:firstLine="360"/>
        <w:jc w:val="both"/>
        <w:rPr>
          <w:sz w:val="20"/>
          <w:szCs w:val="20"/>
          <w:lang w:val="en-US"/>
        </w:rPr>
      </w:pPr>
      <w:r w:rsidRPr="00BF1ABD">
        <w:rPr>
          <w:sz w:val="20"/>
          <w:szCs w:val="20"/>
          <w:lang w:val="en-US"/>
        </w:rPr>
        <w:t xml:space="preserve">According to Creswell and Creswell (2018), correlational research is useful for describing relationships between variables and making predictions based on naturally occurring data. In addition, </w:t>
      </w:r>
      <w:proofErr w:type="spellStart"/>
      <w:r w:rsidRPr="00BF1ABD">
        <w:rPr>
          <w:sz w:val="20"/>
          <w:szCs w:val="20"/>
          <w:lang w:val="en-US"/>
        </w:rPr>
        <w:t>Siedlecki</w:t>
      </w:r>
      <w:proofErr w:type="spellEnd"/>
      <w:r w:rsidRPr="00BF1ABD">
        <w:rPr>
          <w:sz w:val="20"/>
          <w:szCs w:val="20"/>
          <w:lang w:val="en-US"/>
        </w:rPr>
        <w:t xml:space="preserve"> (2020) emphasized that this design is effective in examining variables as they naturally exist, making it suitable for studies involving behavioral and cognitive factors such as financial literacy. Through this approach, the study determines both the direction and magnitude of the relationship between digital financial literacy and financial management practices among university students.</w:t>
      </w:r>
    </w:p>
    <w:p w14:paraId="44103B69" w14:textId="595C3F2B" w:rsidR="00BF1ABD" w:rsidRDefault="00BF1ABD" w:rsidP="00BF1ABD">
      <w:pPr>
        <w:pStyle w:val="NoSpacing"/>
        <w:rPr>
          <w:sz w:val="20"/>
          <w:szCs w:val="20"/>
          <w:lang w:val="en-US"/>
        </w:rPr>
      </w:pPr>
    </w:p>
    <w:p w14:paraId="42F039C6" w14:textId="05FCF6A1" w:rsidR="00BF1ABD" w:rsidRPr="00BF1ABD" w:rsidRDefault="00BF1ABD" w:rsidP="00BF1ABD">
      <w:pPr>
        <w:pStyle w:val="NoSpacing"/>
        <w:rPr>
          <w:b/>
          <w:i/>
          <w:sz w:val="20"/>
          <w:szCs w:val="20"/>
          <w:lang w:val="en-US"/>
        </w:rPr>
      </w:pPr>
      <w:r w:rsidRPr="00BF1ABD">
        <w:rPr>
          <w:b/>
          <w:i/>
          <w:sz w:val="20"/>
          <w:szCs w:val="20"/>
          <w:lang w:val="en-US"/>
        </w:rPr>
        <w:t>B. Data Gathering Procedure</w:t>
      </w:r>
    </w:p>
    <w:p w14:paraId="548E3A33" w14:textId="6F5BA62F" w:rsidR="00BF1ABD" w:rsidRDefault="00BF1ABD" w:rsidP="00BF1ABD">
      <w:pPr>
        <w:pStyle w:val="NoSpacing"/>
        <w:rPr>
          <w:sz w:val="20"/>
          <w:szCs w:val="20"/>
          <w:lang w:val="en-US"/>
        </w:rPr>
      </w:pPr>
    </w:p>
    <w:p w14:paraId="7AE6E353" w14:textId="77777777" w:rsidR="00BF1ABD" w:rsidRPr="00BF1ABD" w:rsidRDefault="00BF1ABD" w:rsidP="00BF1ABD">
      <w:pPr>
        <w:pStyle w:val="NoSpacing"/>
        <w:ind w:firstLine="360"/>
        <w:jc w:val="both"/>
        <w:rPr>
          <w:sz w:val="20"/>
          <w:szCs w:val="20"/>
          <w:lang w:val="en-US"/>
        </w:rPr>
      </w:pPr>
      <w:r w:rsidRPr="00BF1ABD">
        <w:rPr>
          <w:sz w:val="20"/>
          <w:szCs w:val="20"/>
          <w:lang w:val="en-US"/>
        </w:rPr>
        <w:t>The respondents of this study were students enrolled at Quezon City University. Data were collected using a combination of online and face-to-face survey distribution methods to ensure wider reach and accessibility. The online survey was administered through Google Forms, while printed questionnaires and QR code access were also distributed within the university premises.</w:t>
      </w:r>
    </w:p>
    <w:p w14:paraId="06ABDCF2" w14:textId="77777777" w:rsidR="00BF1ABD" w:rsidRPr="00BF1ABD" w:rsidRDefault="00BF1ABD" w:rsidP="00BF1ABD">
      <w:pPr>
        <w:pStyle w:val="NoSpacing"/>
        <w:ind w:firstLine="360"/>
        <w:jc w:val="both"/>
        <w:rPr>
          <w:sz w:val="20"/>
          <w:szCs w:val="20"/>
          <w:lang w:val="en-US"/>
        </w:rPr>
      </w:pPr>
    </w:p>
    <w:p w14:paraId="2A033C22" w14:textId="0A47D1B6" w:rsidR="00BF1ABD" w:rsidRDefault="00BF1ABD" w:rsidP="00BF1ABD">
      <w:pPr>
        <w:pStyle w:val="NoSpacing"/>
        <w:ind w:firstLine="360"/>
        <w:jc w:val="both"/>
        <w:rPr>
          <w:sz w:val="20"/>
          <w:szCs w:val="20"/>
          <w:lang w:val="en-US"/>
        </w:rPr>
      </w:pPr>
      <w:r w:rsidRPr="00BF1ABD">
        <w:rPr>
          <w:sz w:val="20"/>
          <w:szCs w:val="20"/>
          <w:lang w:val="en-US"/>
        </w:rPr>
        <w:t>Using both methods allowed the researchers to include students from different academic programs and ensure greater participation. The primary objective of data collection was to assess the level of digital financial literacy in terms of FinTech navigation, information comprehension, and identification of digital barriers. In addition, the study gathered data on students’ financial management practices in terms of budgeting, saving, and spending behaviors to determine whether a significant relationship exists between the two variables.</w:t>
      </w:r>
    </w:p>
    <w:p w14:paraId="3A489B03" w14:textId="0044E386" w:rsidR="00BF1ABD" w:rsidRDefault="00BF1ABD" w:rsidP="00BF1ABD">
      <w:pPr>
        <w:pStyle w:val="NoSpacing"/>
        <w:rPr>
          <w:sz w:val="20"/>
          <w:szCs w:val="20"/>
          <w:lang w:val="en-US"/>
        </w:rPr>
      </w:pPr>
    </w:p>
    <w:p w14:paraId="6DD94C31" w14:textId="101FA7CF" w:rsidR="00BF1ABD" w:rsidRPr="00BF1ABD" w:rsidRDefault="00BF1ABD" w:rsidP="00BF1ABD">
      <w:pPr>
        <w:pStyle w:val="NoSpacing"/>
        <w:rPr>
          <w:b/>
          <w:i/>
          <w:sz w:val="20"/>
          <w:szCs w:val="20"/>
          <w:lang w:val="en-US"/>
        </w:rPr>
      </w:pPr>
      <w:r w:rsidRPr="00BF1ABD">
        <w:rPr>
          <w:b/>
          <w:i/>
          <w:sz w:val="20"/>
          <w:szCs w:val="20"/>
          <w:lang w:val="en-US"/>
        </w:rPr>
        <w:t>C. Population and Sample Size</w:t>
      </w:r>
    </w:p>
    <w:p w14:paraId="29756B2B" w14:textId="189D2897" w:rsidR="00BF1ABD" w:rsidRDefault="00BF1ABD" w:rsidP="00BF1ABD">
      <w:pPr>
        <w:pStyle w:val="NoSpacing"/>
        <w:rPr>
          <w:sz w:val="20"/>
          <w:szCs w:val="20"/>
          <w:lang w:val="en-US"/>
        </w:rPr>
      </w:pPr>
    </w:p>
    <w:p w14:paraId="312AF791" w14:textId="77777777" w:rsidR="00BF1ABD" w:rsidRPr="00BF1ABD" w:rsidRDefault="00BF1ABD" w:rsidP="00BF1ABD">
      <w:pPr>
        <w:pStyle w:val="NoSpacing"/>
        <w:ind w:firstLine="360"/>
        <w:jc w:val="both"/>
        <w:rPr>
          <w:sz w:val="20"/>
          <w:szCs w:val="20"/>
          <w:lang w:val="en-US"/>
        </w:rPr>
      </w:pPr>
      <w:r w:rsidRPr="00BF1ABD">
        <w:rPr>
          <w:sz w:val="20"/>
          <w:szCs w:val="20"/>
          <w:lang w:val="en-US"/>
        </w:rPr>
        <w:t>The target population of this study consisted of third-year students of Quezon City University. A total of 300 respondents were selected as the sample size. To ensure fairness and reduce selection bias, the researchers employed a random sampling technique, giving each eligible student an equal chance of being included in the study.</w:t>
      </w:r>
    </w:p>
    <w:p w14:paraId="58684E2A" w14:textId="77777777" w:rsidR="00BF1ABD" w:rsidRPr="00BF1ABD" w:rsidRDefault="00BF1ABD" w:rsidP="00BF1ABD">
      <w:pPr>
        <w:pStyle w:val="NoSpacing"/>
        <w:ind w:firstLine="360"/>
        <w:jc w:val="both"/>
        <w:rPr>
          <w:sz w:val="20"/>
          <w:szCs w:val="20"/>
          <w:lang w:val="en-US"/>
        </w:rPr>
      </w:pPr>
    </w:p>
    <w:p w14:paraId="602AE5C5" w14:textId="348B8EF4" w:rsidR="00BF1ABD" w:rsidRDefault="00BF1ABD" w:rsidP="00BF1ABD">
      <w:pPr>
        <w:pStyle w:val="NoSpacing"/>
        <w:ind w:firstLine="360"/>
        <w:jc w:val="both"/>
        <w:rPr>
          <w:sz w:val="20"/>
          <w:szCs w:val="20"/>
          <w:lang w:val="en-US"/>
        </w:rPr>
      </w:pPr>
      <w:r w:rsidRPr="00BF1ABD">
        <w:rPr>
          <w:sz w:val="20"/>
          <w:szCs w:val="20"/>
          <w:lang w:val="en-US"/>
        </w:rPr>
        <w:t>This sampling method was chosen to enhance the reliability and generalizability of the findings across third-year students from different academic programs within the university.</w:t>
      </w:r>
    </w:p>
    <w:p w14:paraId="53BBB2A4" w14:textId="68F7FD7B" w:rsidR="00BF1ABD" w:rsidRDefault="00BF1ABD" w:rsidP="00BF1ABD">
      <w:pPr>
        <w:pStyle w:val="NoSpacing"/>
        <w:rPr>
          <w:sz w:val="20"/>
          <w:szCs w:val="20"/>
          <w:lang w:val="en-US"/>
        </w:rPr>
      </w:pPr>
    </w:p>
    <w:p w14:paraId="0CC44588" w14:textId="35BFF445" w:rsidR="00BF1ABD" w:rsidRPr="00B1341C" w:rsidRDefault="00B1341C" w:rsidP="00BF1ABD">
      <w:pPr>
        <w:pStyle w:val="NoSpacing"/>
        <w:rPr>
          <w:b/>
          <w:i/>
          <w:sz w:val="20"/>
          <w:szCs w:val="20"/>
          <w:lang w:val="en-US"/>
        </w:rPr>
      </w:pPr>
      <w:r w:rsidRPr="00B1341C">
        <w:rPr>
          <w:b/>
          <w:i/>
          <w:sz w:val="20"/>
          <w:szCs w:val="20"/>
          <w:lang w:val="en-US"/>
        </w:rPr>
        <w:t>D. Research Instrument</w:t>
      </w:r>
    </w:p>
    <w:p w14:paraId="200AB9EF" w14:textId="568BC882" w:rsidR="00B1341C" w:rsidRDefault="00B1341C" w:rsidP="00BF1ABD">
      <w:pPr>
        <w:pStyle w:val="NoSpacing"/>
        <w:rPr>
          <w:sz w:val="20"/>
          <w:szCs w:val="20"/>
          <w:lang w:val="en-US"/>
        </w:rPr>
      </w:pPr>
    </w:p>
    <w:p w14:paraId="3BEECA79" w14:textId="77777777" w:rsidR="00B1341C" w:rsidRPr="00B1341C" w:rsidRDefault="00B1341C" w:rsidP="00B1341C">
      <w:pPr>
        <w:pStyle w:val="NoSpacing"/>
        <w:ind w:firstLine="360"/>
        <w:jc w:val="both"/>
        <w:rPr>
          <w:sz w:val="20"/>
          <w:szCs w:val="20"/>
          <w:lang w:val="en-US"/>
        </w:rPr>
      </w:pPr>
      <w:r w:rsidRPr="00B1341C">
        <w:rPr>
          <w:sz w:val="20"/>
          <w:szCs w:val="20"/>
          <w:lang w:val="en-US"/>
        </w:rPr>
        <w:t>The primary data collection tool used in this study was a researcher-developed structured questionnaire designed to measure two key variables: digital financial literacy and financial management practices.</w:t>
      </w:r>
    </w:p>
    <w:p w14:paraId="52DA581A" w14:textId="77777777" w:rsidR="00B1341C" w:rsidRPr="00B1341C" w:rsidRDefault="00B1341C" w:rsidP="00B1341C">
      <w:pPr>
        <w:pStyle w:val="NoSpacing"/>
        <w:ind w:firstLine="360"/>
        <w:jc w:val="both"/>
        <w:rPr>
          <w:sz w:val="20"/>
          <w:szCs w:val="20"/>
          <w:lang w:val="en-US"/>
        </w:rPr>
      </w:pPr>
    </w:p>
    <w:p w14:paraId="1D72B69D" w14:textId="77777777" w:rsidR="00B1341C" w:rsidRPr="00B1341C" w:rsidRDefault="00B1341C" w:rsidP="00B1341C">
      <w:pPr>
        <w:pStyle w:val="NoSpacing"/>
        <w:ind w:firstLine="360"/>
        <w:jc w:val="both"/>
        <w:rPr>
          <w:sz w:val="20"/>
          <w:szCs w:val="20"/>
          <w:lang w:val="en-US"/>
        </w:rPr>
      </w:pPr>
      <w:r w:rsidRPr="00B1341C">
        <w:rPr>
          <w:sz w:val="20"/>
          <w:szCs w:val="20"/>
          <w:lang w:val="en-US"/>
        </w:rPr>
        <w:t>The instrument consisted of 32 items, divided into two main sections. The first section contained 17 items measuring digital financial literacy, focusing on FinTech navigation skills, accessibility versus comprehension of financial information, and identification of digital barriers. Responses were rated using a 4-point Likert scale: 4 – Strongly Agree, 3 – Agree, 2 – Disagree, and 1 – Strongly Disagree.</w:t>
      </w:r>
    </w:p>
    <w:p w14:paraId="54D45E5B" w14:textId="77777777" w:rsidR="00B1341C" w:rsidRPr="00B1341C" w:rsidRDefault="00B1341C" w:rsidP="00B1341C">
      <w:pPr>
        <w:pStyle w:val="NoSpacing"/>
        <w:ind w:firstLine="360"/>
        <w:jc w:val="both"/>
        <w:rPr>
          <w:sz w:val="20"/>
          <w:szCs w:val="20"/>
          <w:lang w:val="en-US"/>
        </w:rPr>
      </w:pPr>
    </w:p>
    <w:p w14:paraId="7234A12C" w14:textId="77777777" w:rsidR="00B1341C" w:rsidRPr="00B1341C" w:rsidRDefault="00B1341C" w:rsidP="00B1341C">
      <w:pPr>
        <w:pStyle w:val="NoSpacing"/>
        <w:ind w:firstLine="360"/>
        <w:jc w:val="both"/>
        <w:rPr>
          <w:sz w:val="20"/>
          <w:szCs w:val="20"/>
          <w:lang w:val="en-US"/>
        </w:rPr>
      </w:pPr>
      <w:r w:rsidRPr="00B1341C">
        <w:rPr>
          <w:sz w:val="20"/>
          <w:szCs w:val="20"/>
          <w:lang w:val="en-US"/>
        </w:rPr>
        <w:t>The second section included 15 items assessing financial management practices in terms of budgeting, saving, and spending behaviors. This section used a frequency-based 4-point Likert scale: 4 – Always, 3 – Often, 2 – Sometimes, and 1 – Never.</w:t>
      </w:r>
    </w:p>
    <w:p w14:paraId="68180633" w14:textId="77777777" w:rsidR="00B1341C" w:rsidRPr="00B1341C" w:rsidRDefault="00B1341C" w:rsidP="00B1341C">
      <w:pPr>
        <w:pStyle w:val="NoSpacing"/>
        <w:ind w:firstLine="360"/>
        <w:jc w:val="both"/>
        <w:rPr>
          <w:sz w:val="20"/>
          <w:szCs w:val="20"/>
          <w:lang w:val="en-US"/>
        </w:rPr>
      </w:pPr>
    </w:p>
    <w:p w14:paraId="7CB2BE0C" w14:textId="77777777" w:rsidR="00B1341C" w:rsidRPr="00B1341C" w:rsidRDefault="00B1341C" w:rsidP="00B1341C">
      <w:pPr>
        <w:pStyle w:val="NoSpacing"/>
        <w:ind w:firstLine="360"/>
        <w:jc w:val="both"/>
        <w:rPr>
          <w:sz w:val="20"/>
          <w:szCs w:val="20"/>
          <w:lang w:val="en-US"/>
        </w:rPr>
      </w:pPr>
      <w:r w:rsidRPr="00B1341C">
        <w:rPr>
          <w:sz w:val="20"/>
          <w:szCs w:val="20"/>
          <w:lang w:val="en-US"/>
        </w:rPr>
        <w:t>A forced-choice 4-point scale was used in both sections to eliminate neutral responses and encourage more decisive answers, resulting in clearer interpretation of respondents’ perceptions and behaviors.</w:t>
      </w:r>
    </w:p>
    <w:p w14:paraId="7031C54C" w14:textId="77777777" w:rsidR="00B1341C" w:rsidRPr="00B1341C" w:rsidRDefault="00B1341C" w:rsidP="00B1341C">
      <w:pPr>
        <w:pStyle w:val="NoSpacing"/>
        <w:ind w:firstLine="360"/>
        <w:jc w:val="both"/>
        <w:rPr>
          <w:sz w:val="20"/>
          <w:szCs w:val="20"/>
          <w:lang w:val="en-US"/>
        </w:rPr>
      </w:pPr>
    </w:p>
    <w:p w14:paraId="4B981664" w14:textId="406AE706" w:rsidR="00B1341C" w:rsidRDefault="00B1341C" w:rsidP="00B1341C">
      <w:pPr>
        <w:pStyle w:val="NoSpacing"/>
        <w:ind w:firstLine="360"/>
        <w:jc w:val="both"/>
        <w:rPr>
          <w:sz w:val="20"/>
          <w:szCs w:val="20"/>
          <w:lang w:val="en-US"/>
        </w:rPr>
      </w:pPr>
      <w:r w:rsidRPr="00B1341C">
        <w:rPr>
          <w:sz w:val="20"/>
          <w:szCs w:val="20"/>
          <w:lang w:val="en-US"/>
        </w:rPr>
        <w:t>The survey was distributed through both online platforms and on-campus administration. Online dissemination was facilitated through student group chats and academic organization pages, while QR-coded and printed versions were personally distributed within the university. All respondents were provided with a brief orientation explaining the purpose of the study and standardized instructions before answering the questionnaire.</w:t>
      </w:r>
    </w:p>
    <w:p w14:paraId="263BC392" w14:textId="77777777" w:rsidR="00BF1ABD" w:rsidRDefault="00BF1ABD" w:rsidP="00BF1ABD">
      <w:pPr>
        <w:pStyle w:val="NoSpacing"/>
        <w:rPr>
          <w:sz w:val="20"/>
          <w:szCs w:val="20"/>
          <w:lang w:val="en-US"/>
        </w:rPr>
      </w:pPr>
    </w:p>
    <w:p w14:paraId="6BBABFC0" w14:textId="74B017D7" w:rsidR="00BF1ABD" w:rsidRPr="00B1341C" w:rsidRDefault="00B1341C" w:rsidP="00BF1ABD">
      <w:pPr>
        <w:pStyle w:val="NoSpacing"/>
        <w:rPr>
          <w:b/>
          <w:i/>
          <w:sz w:val="20"/>
          <w:szCs w:val="20"/>
          <w:lang w:val="en-US"/>
        </w:rPr>
      </w:pPr>
      <w:r w:rsidRPr="00B1341C">
        <w:rPr>
          <w:b/>
          <w:i/>
          <w:sz w:val="20"/>
          <w:szCs w:val="20"/>
          <w:lang w:val="en-US"/>
        </w:rPr>
        <w:t>E. Statistical Treatment of Data</w:t>
      </w:r>
    </w:p>
    <w:p w14:paraId="228F9542" w14:textId="795DCC15" w:rsidR="00B1341C" w:rsidRDefault="00B1341C" w:rsidP="00BF1ABD">
      <w:pPr>
        <w:pStyle w:val="NoSpacing"/>
        <w:rPr>
          <w:sz w:val="20"/>
          <w:szCs w:val="20"/>
          <w:lang w:val="en-US"/>
        </w:rPr>
      </w:pPr>
    </w:p>
    <w:p w14:paraId="33F20D8D" w14:textId="77777777" w:rsidR="00B1341C" w:rsidRPr="00B1341C" w:rsidRDefault="00B1341C" w:rsidP="00B1341C">
      <w:pPr>
        <w:pStyle w:val="NoSpacing"/>
        <w:ind w:firstLine="360"/>
        <w:jc w:val="both"/>
        <w:rPr>
          <w:sz w:val="20"/>
          <w:szCs w:val="20"/>
          <w:lang w:val="en-US"/>
        </w:rPr>
      </w:pPr>
      <w:r w:rsidRPr="00B1341C">
        <w:rPr>
          <w:sz w:val="20"/>
          <w:szCs w:val="20"/>
          <w:lang w:val="en-US"/>
        </w:rPr>
        <w:t>The data collected were analyzed using both descriptive and inferential statistics. Descriptive statistics were used to determine the level of digital financial literacy and financial management practices among respondents, while inferential statistics were applied to examine the relationship between the two variables.</w:t>
      </w:r>
    </w:p>
    <w:p w14:paraId="67FEAAC5" w14:textId="77777777" w:rsidR="00B1341C" w:rsidRPr="00B1341C" w:rsidRDefault="00B1341C" w:rsidP="00B1341C">
      <w:pPr>
        <w:pStyle w:val="NoSpacing"/>
        <w:ind w:firstLine="360"/>
        <w:jc w:val="both"/>
        <w:rPr>
          <w:sz w:val="20"/>
          <w:szCs w:val="20"/>
          <w:lang w:val="en-US"/>
        </w:rPr>
      </w:pPr>
    </w:p>
    <w:p w14:paraId="2FEA2B86" w14:textId="77777777" w:rsidR="00B1341C" w:rsidRPr="00B1341C" w:rsidRDefault="00B1341C" w:rsidP="00B1341C">
      <w:pPr>
        <w:pStyle w:val="NoSpacing"/>
        <w:ind w:firstLine="360"/>
        <w:jc w:val="both"/>
        <w:rPr>
          <w:sz w:val="20"/>
          <w:szCs w:val="20"/>
          <w:lang w:val="en-US"/>
        </w:rPr>
      </w:pPr>
      <w:r w:rsidRPr="00B1341C">
        <w:rPr>
          <w:sz w:val="20"/>
          <w:szCs w:val="20"/>
          <w:lang w:val="en-US"/>
        </w:rPr>
        <w:t>Prior to analysis, all negatively worded items were reverse-coded to ensure consistency, such that higher mean scores consistently reflected higher levels of digital financial literacy or better financial management practices.</w:t>
      </w:r>
    </w:p>
    <w:p w14:paraId="459472FE" w14:textId="77777777" w:rsidR="00B1341C" w:rsidRPr="00B1341C" w:rsidRDefault="00B1341C" w:rsidP="00B1341C">
      <w:pPr>
        <w:pStyle w:val="NoSpacing"/>
        <w:ind w:firstLine="360"/>
        <w:jc w:val="both"/>
        <w:rPr>
          <w:sz w:val="20"/>
          <w:szCs w:val="20"/>
          <w:lang w:val="en-US"/>
        </w:rPr>
      </w:pPr>
    </w:p>
    <w:p w14:paraId="1E6B29EE" w14:textId="303D6BDA" w:rsidR="00B1341C" w:rsidRDefault="00B1341C" w:rsidP="00B1341C">
      <w:pPr>
        <w:pStyle w:val="NoSpacing"/>
        <w:ind w:firstLine="360"/>
        <w:jc w:val="both"/>
        <w:rPr>
          <w:sz w:val="20"/>
          <w:szCs w:val="20"/>
          <w:lang w:val="en-US"/>
        </w:rPr>
      </w:pPr>
      <w:r w:rsidRPr="00B1341C">
        <w:rPr>
          <w:sz w:val="20"/>
          <w:szCs w:val="20"/>
          <w:lang w:val="en-US"/>
        </w:rPr>
        <w:lastRenderedPageBreak/>
        <w:t>The weighted mean was used to determine the average responses for each indicator, while the standard deviation measured the variability and consistency of responses among students. To determine the relationship between digital financial literacy and financial management practices, the Pearson Product-Moment Correlation Coefficient (r) was used as the primary statistical tool.</w:t>
      </w:r>
    </w:p>
    <w:p w14:paraId="3F5F4E01" w14:textId="464064F7" w:rsidR="00B1341C" w:rsidRDefault="00B1341C" w:rsidP="00B1341C">
      <w:pPr>
        <w:pStyle w:val="NoSpacing"/>
        <w:ind w:firstLine="360"/>
        <w:jc w:val="both"/>
        <w:rPr>
          <w:sz w:val="20"/>
          <w:szCs w:val="20"/>
          <w:lang w:val="en-US"/>
        </w:rPr>
      </w:pPr>
    </w:p>
    <w:p w14:paraId="2F6E2116" w14:textId="3617A5B9" w:rsidR="00B1341C" w:rsidRDefault="00B1341C" w:rsidP="00B1341C">
      <w:pPr>
        <w:pStyle w:val="NoSpacing"/>
        <w:jc w:val="center"/>
        <w:rPr>
          <w:sz w:val="20"/>
          <w:szCs w:val="20"/>
          <w:lang w:val="en-US"/>
        </w:rPr>
      </w:pPr>
      <w:r>
        <w:rPr>
          <w:sz w:val="20"/>
          <w:szCs w:val="20"/>
          <w:lang w:val="en-US"/>
        </w:rPr>
        <w:t>Table 1</w:t>
      </w:r>
    </w:p>
    <w:p w14:paraId="443D8060" w14:textId="1CB7BEC2" w:rsidR="00B1341C" w:rsidRDefault="00B1341C" w:rsidP="00B1341C">
      <w:pPr>
        <w:pStyle w:val="NoSpacing"/>
        <w:jc w:val="center"/>
        <w:rPr>
          <w:sz w:val="20"/>
          <w:szCs w:val="20"/>
          <w:lang w:val="en-US"/>
        </w:rPr>
      </w:pPr>
      <w:r>
        <w:rPr>
          <w:sz w:val="20"/>
          <w:szCs w:val="20"/>
          <w:lang w:val="en-US"/>
        </w:rPr>
        <w:t xml:space="preserve">Interpretation of Weighted Mean </w:t>
      </w:r>
    </w:p>
    <w:tbl>
      <w:tblPr>
        <w:tblStyle w:val="PlainTable3"/>
        <w:tblW w:w="0" w:type="auto"/>
        <w:tblLook w:val="04A0" w:firstRow="1" w:lastRow="0" w:firstColumn="1" w:lastColumn="0" w:noHBand="0" w:noVBand="1"/>
      </w:tblPr>
      <w:tblGrid>
        <w:gridCol w:w="5343"/>
        <w:gridCol w:w="5344"/>
      </w:tblGrid>
      <w:tr w:rsidR="00B1341C" w14:paraId="65958045" w14:textId="77777777" w:rsidTr="00B134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43" w:type="dxa"/>
          </w:tcPr>
          <w:p w14:paraId="16E34404" w14:textId="1BCFF597" w:rsidR="00B1341C" w:rsidRPr="00B1341C" w:rsidRDefault="00B1341C" w:rsidP="00B1341C">
            <w:pPr>
              <w:pStyle w:val="NoSpacing"/>
              <w:jc w:val="center"/>
              <w:rPr>
                <w:caps w:val="0"/>
                <w:sz w:val="20"/>
                <w:szCs w:val="20"/>
                <w:lang w:val="en-US"/>
              </w:rPr>
            </w:pPr>
            <w:r w:rsidRPr="00B1341C">
              <w:rPr>
                <w:caps w:val="0"/>
                <w:sz w:val="20"/>
                <w:szCs w:val="20"/>
                <w:lang w:val="en-US"/>
              </w:rPr>
              <w:t>Range</w:t>
            </w:r>
          </w:p>
        </w:tc>
        <w:tc>
          <w:tcPr>
            <w:tcW w:w="5344" w:type="dxa"/>
          </w:tcPr>
          <w:p w14:paraId="27B4FE88" w14:textId="42C6A5AE" w:rsidR="00B1341C" w:rsidRPr="00B1341C" w:rsidRDefault="00B1341C" w:rsidP="00B1341C">
            <w:pPr>
              <w:pStyle w:val="NoSpacing"/>
              <w:jc w:val="center"/>
              <w:cnfStyle w:val="100000000000" w:firstRow="1" w:lastRow="0" w:firstColumn="0" w:lastColumn="0" w:oddVBand="0" w:evenVBand="0" w:oddHBand="0" w:evenHBand="0" w:firstRowFirstColumn="0" w:firstRowLastColumn="0" w:lastRowFirstColumn="0" w:lastRowLastColumn="0"/>
              <w:rPr>
                <w:caps w:val="0"/>
                <w:sz w:val="20"/>
                <w:szCs w:val="20"/>
                <w:lang w:val="en-US"/>
              </w:rPr>
            </w:pPr>
            <w:r w:rsidRPr="00B1341C">
              <w:rPr>
                <w:caps w:val="0"/>
                <w:sz w:val="20"/>
                <w:szCs w:val="20"/>
                <w:lang w:val="en-US"/>
              </w:rPr>
              <w:t>Interpretation</w:t>
            </w:r>
          </w:p>
        </w:tc>
      </w:tr>
      <w:tr w:rsidR="00B1341C" w:rsidRPr="00B1341C" w14:paraId="6F1EE731" w14:textId="77777777" w:rsidTr="00B13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3" w:type="dxa"/>
          </w:tcPr>
          <w:p w14:paraId="3366C13E" w14:textId="6A0D282A" w:rsidR="00B1341C" w:rsidRPr="00B1341C" w:rsidRDefault="00B1341C" w:rsidP="00B1341C">
            <w:pPr>
              <w:pStyle w:val="NoSpacing"/>
              <w:jc w:val="center"/>
              <w:rPr>
                <w:b w:val="0"/>
                <w:sz w:val="20"/>
                <w:szCs w:val="20"/>
                <w:lang w:val="en-US"/>
              </w:rPr>
            </w:pPr>
            <w:r w:rsidRPr="00B1341C">
              <w:rPr>
                <w:b w:val="0"/>
                <w:sz w:val="20"/>
                <w:szCs w:val="20"/>
                <w:lang w:val="en-US"/>
              </w:rPr>
              <w:t>3.25</w:t>
            </w:r>
            <w:r>
              <w:rPr>
                <w:b w:val="0"/>
                <w:sz w:val="20"/>
                <w:szCs w:val="20"/>
                <w:lang w:val="en-US"/>
              </w:rPr>
              <w:t xml:space="preserve"> – 4.00</w:t>
            </w:r>
            <w:r w:rsidRPr="00B1341C">
              <w:rPr>
                <w:b w:val="0"/>
                <w:sz w:val="20"/>
                <w:szCs w:val="20"/>
                <w:lang w:val="en-US"/>
              </w:rPr>
              <w:t xml:space="preserve"> </w:t>
            </w:r>
          </w:p>
        </w:tc>
        <w:tc>
          <w:tcPr>
            <w:tcW w:w="5344" w:type="dxa"/>
          </w:tcPr>
          <w:p w14:paraId="081029C4" w14:textId="741391A3" w:rsidR="00B1341C" w:rsidRPr="00B1341C" w:rsidRDefault="00B1341C" w:rsidP="00B1341C">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Very High </w:t>
            </w:r>
          </w:p>
        </w:tc>
      </w:tr>
      <w:tr w:rsidR="00B1341C" w:rsidRPr="00B1341C" w14:paraId="2A22D522" w14:textId="77777777" w:rsidTr="00B1341C">
        <w:tc>
          <w:tcPr>
            <w:cnfStyle w:val="001000000000" w:firstRow="0" w:lastRow="0" w:firstColumn="1" w:lastColumn="0" w:oddVBand="0" w:evenVBand="0" w:oddHBand="0" w:evenHBand="0" w:firstRowFirstColumn="0" w:firstRowLastColumn="0" w:lastRowFirstColumn="0" w:lastRowLastColumn="0"/>
            <w:tcW w:w="5343" w:type="dxa"/>
          </w:tcPr>
          <w:p w14:paraId="0F983C56" w14:textId="23AE3B1D" w:rsidR="00B1341C" w:rsidRPr="00B1341C" w:rsidRDefault="00B1341C" w:rsidP="00B1341C">
            <w:pPr>
              <w:pStyle w:val="NoSpacing"/>
              <w:jc w:val="center"/>
              <w:rPr>
                <w:b w:val="0"/>
                <w:sz w:val="20"/>
                <w:szCs w:val="20"/>
                <w:lang w:val="en-US"/>
              </w:rPr>
            </w:pPr>
            <w:r>
              <w:rPr>
                <w:b w:val="0"/>
                <w:sz w:val="20"/>
                <w:szCs w:val="20"/>
                <w:lang w:val="en-US"/>
              </w:rPr>
              <w:t>2.50 – 3.24</w:t>
            </w:r>
          </w:p>
        </w:tc>
        <w:tc>
          <w:tcPr>
            <w:tcW w:w="5344" w:type="dxa"/>
          </w:tcPr>
          <w:p w14:paraId="5E4F7AB2" w14:textId="2C7486A4" w:rsidR="00B1341C" w:rsidRPr="00B1341C" w:rsidRDefault="00B1341C" w:rsidP="00B1341C">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High</w:t>
            </w:r>
          </w:p>
        </w:tc>
      </w:tr>
      <w:tr w:rsidR="00B1341C" w:rsidRPr="00B1341C" w14:paraId="4BE924FF" w14:textId="77777777" w:rsidTr="00B13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3" w:type="dxa"/>
          </w:tcPr>
          <w:p w14:paraId="1557445C" w14:textId="4E890C49" w:rsidR="00B1341C" w:rsidRPr="00B1341C" w:rsidRDefault="00B1341C" w:rsidP="00B1341C">
            <w:pPr>
              <w:pStyle w:val="NoSpacing"/>
              <w:jc w:val="center"/>
              <w:rPr>
                <w:b w:val="0"/>
                <w:sz w:val="20"/>
                <w:szCs w:val="20"/>
                <w:lang w:val="en-US"/>
              </w:rPr>
            </w:pPr>
            <w:r>
              <w:rPr>
                <w:b w:val="0"/>
                <w:sz w:val="20"/>
                <w:szCs w:val="20"/>
                <w:lang w:val="en-US"/>
              </w:rPr>
              <w:t>1.75 – 2.49</w:t>
            </w:r>
          </w:p>
        </w:tc>
        <w:tc>
          <w:tcPr>
            <w:tcW w:w="5344" w:type="dxa"/>
          </w:tcPr>
          <w:p w14:paraId="4FE62A14" w14:textId="3A1151B4" w:rsidR="00B1341C" w:rsidRPr="00B1341C" w:rsidRDefault="00B1341C" w:rsidP="00B1341C">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Low </w:t>
            </w:r>
          </w:p>
        </w:tc>
      </w:tr>
      <w:tr w:rsidR="00B1341C" w:rsidRPr="00B1341C" w14:paraId="3D8235E5" w14:textId="77777777" w:rsidTr="00B1341C">
        <w:tc>
          <w:tcPr>
            <w:cnfStyle w:val="001000000000" w:firstRow="0" w:lastRow="0" w:firstColumn="1" w:lastColumn="0" w:oddVBand="0" w:evenVBand="0" w:oddHBand="0" w:evenHBand="0" w:firstRowFirstColumn="0" w:firstRowLastColumn="0" w:lastRowFirstColumn="0" w:lastRowLastColumn="0"/>
            <w:tcW w:w="5343" w:type="dxa"/>
          </w:tcPr>
          <w:p w14:paraId="4A3D1B69" w14:textId="3E2B50A2" w:rsidR="00B1341C" w:rsidRPr="00B1341C" w:rsidRDefault="00B1341C" w:rsidP="00B1341C">
            <w:pPr>
              <w:pStyle w:val="NoSpacing"/>
              <w:jc w:val="center"/>
              <w:rPr>
                <w:b w:val="0"/>
                <w:sz w:val="20"/>
                <w:szCs w:val="20"/>
                <w:lang w:val="en-US"/>
              </w:rPr>
            </w:pPr>
            <w:r>
              <w:rPr>
                <w:b w:val="0"/>
                <w:sz w:val="20"/>
                <w:szCs w:val="20"/>
                <w:lang w:val="en-US"/>
              </w:rPr>
              <w:t>1.00 – 1.74</w:t>
            </w:r>
          </w:p>
        </w:tc>
        <w:tc>
          <w:tcPr>
            <w:tcW w:w="5344" w:type="dxa"/>
          </w:tcPr>
          <w:p w14:paraId="25515DA4" w14:textId="76D8F49E" w:rsidR="00B1341C" w:rsidRPr="00B1341C" w:rsidRDefault="00B1341C" w:rsidP="00B1341C">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Very Low</w:t>
            </w:r>
          </w:p>
        </w:tc>
      </w:tr>
    </w:tbl>
    <w:p w14:paraId="501DE846" w14:textId="244F0798" w:rsidR="00B1341C" w:rsidRDefault="00B1341C" w:rsidP="00B1341C">
      <w:pPr>
        <w:pStyle w:val="NoSpacing"/>
        <w:jc w:val="center"/>
        <w:rPr>
          <w:sz w:val="20"/>
          <w:szCs w:val="20"/>
          <w:lang w:val="en-US"/>
        </w:rPr>
      </w:pPr>
    </w:p>
    <w:p w14:paraId="06E30D6A" w14:textId="77777777" w:rsidR="0098165A" w:rsidRPr="00B1341C" w:rsidRDefault="0098165A" w:rsidP="00B1341C">
      <w:pPr>
        <w:pStyle w:val="NoSpacing"/>
        <w:jc w:val="center"/>
        <w:rPr>
          <w:sz w:val="20"/>
          <w:szCs w:val="20"/>
          <w:lang w:val="en-US"/>
        </w:rPr>
      </w:pPr>
    </w:p>
    <w:p w14:paraId="372C9608" w14:textId="520F6D52" w:rsidR="00B1341C" w:rsidRDefault="00B1341C" w:rsidP="00B1341C">
      <w:pPr>
        <w:pStyle w:val="NoSpacing"/>
        <w:jc w:val="center"/>
        <w:rPr>
          <w:sz w:val="20"/>
          <w:szCs w:val="20"/>
          <w:lang w:val="en-US"/>
        </w:rPr>
      </w:pPr>
      <w:r>
        <w:rPr>
          <w:sz w:val="20"/>
          <w:szCs w:val="20"/>
          <w:lang w:val="en-US"/>
        </w:rPr>
        <w:t xml:space="preserve">Table </w:t>
      </w:r>
      <w:r>
        <w:rPr>
          <w:sz w:val="20"/>
          <w:szCs w:val="20"/>
          <w:lang w:val="en-US"/>
        </w:rPr>
        <w:t>2</w:t>
      </w:r>
    </w:p>
    <w:p w14:paraId="44848A85" w14:textId="03E6CFBB" w:rsidR="00B1341C" w:rsidRDefault="00B1341C" w:rsidP="00B1341C">
      <w:pPr>
        <w:pStyle w:val="NoSpacing"/>
        <w:jc w:val="center"/>
        <w:rPr>
          <w:sz w:val="20"/>
          <w:szCs w:val="20"/>
          <w:lang w:val="en-US"/>
        </w:rPr>
      </w:pPr>
      <w:r>
        <w:rPr>
          <w:sz w:val="20"/>
          <w:szCs w:val="20"/>
          <w:lang w:val="en-US"/>
        </w:rPr>
        <w:t xml:space="preserve">Interpretation of </w:t>
      </w:r>
      <w:r>
        <w:rPr>
          <w:sz w:val="20"/>
          <w:szCs w:val="20"/>
          <w:lang w:val="en-US"/>
        </w:rPr>
        <w:t>Pearson r Correlation</w:t>
      </w:r>
    </w:p>
    <w:tbl>
      <w:tblPr>
        <w:tblStyle w:val="PlainTable3"/>
        <w:tblW w:w="0" w:type="auto"/>
        <w:tblLook w:val="04A0" w:firstRow="1" w:lastRow="0" w:firstColumn="1" w:lastColumn="0" w:noHBand="0" w:noVBand="1"/>
      </w:tblPr>
      <w:tblGrid>
        <w:gridCol w:w="5343"/>
        <w:gridCol w:w="5344"/>
      </w:tblGrid>
      <w:tr w:rsidR="00B1341C" w14:paraId="7EB138B8" w14:textId="77777777" w:rsidTr="00A878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43" w:type="dxa"/>
          </w:tcPr>
          <w:p w14:paraId="2BC2F373" w14:textId="7FC2A5D6" w:rsidR="00B1341C" w:rsidRPr="00B1341C" w:rsidRDefault="00B1341C" w:rsidP="00A8783A">
            <w:pPr>
              <w:pStyle w:val="NoSpacing"/>
              <w:jc w:val="center"/>
              <w:rPr>
                <w:rFonts w:ascii="SimSun" w:hAnsi="SimSun"/>
                <w:caps w:val="0"/>
                <w:sz w:val="20"/>
                <w:szCs w:val="20"/>
                <w:lang w:val="en-US"/>
              </w:rPr>
            </w:pPr>
            <w:proofErr w:type="spellStart"/>
            <w:r>
              <w:rPr>
                <w:caps w:val="0"/>
                <w:sz w:val="20"/>
                <w:szCs w:val="20"/>
                <w:lang w:val="en-US"/>
              </w:rPr>
              <w:t>r-value</w:t>
            </w:r>
            <w:proofErr w:type="spellEnd"/>
            <w:r>
              <w:rPr>
                <w:caps w:val="0"/>
                <w:sz w:val="20"/>
                <w:szCs w:val="20"/>
                <w:lang w:val="en-US"/>
              </w:rPr>
              <w:t xml:space="preserve"> Range </w:t>
            </w:r>
          </w:p>
        </w:tc>
        <w:tc>
          <w:tcPr>
            <w:tcW w:w="5344" w:type="dxa"/>
          </w:tcPr>
          <w:p w14:paraId="7102422A" w14:textId="77777777" w:rsidR="00B1341C" w:rsidRPr="00B1341C" w:rsidRDefault="00B1341C" w:rsidP="00B1341C">
            <w:pPr>
              <w:pStyle w:val="NoSpacing"/>
              <w:ind w:left="720" w:hanging="720"/>
              <w:jc w:val="center"/>
              <w:cnfStyle w:val="100000000000" w:firstRow="1" w:lastRow="0" w:firstColumn="0" w:lastColumn="0" w:oddVBand="0" w:evenVBand="0" w:oddHBand="0" w:evenHBand="0" w:firstRowFirstColumn="0" w:firstRowLastColumn="0" w:lastRowFirstColumn="0" w:lastRowLastColumn="0"/>
              <w:rPr>
                <w:caps w:val="0"/>
                <w:sz w:val="20"/>
                <w:szCs w:val="20"/>
                <w:lang w:val="en-US"/>
              </w:rPr>
            </w:pPr>
            <w:r w:rsidRPr="00B1341C">
              <w:rPr>
                <w:caps w:val="0"/>
                <w:sz w:val="20"/>
                <w:szCs w:val="20"/>
                <w:lang w:val="en-US"/>
              </w:rPr>
              <w:t>Interpretation</w:t>
            </w:r>
          </w:p>
        </w:tc>
      </w:tr>
      <w:tr w:rsidR="00B1341C" w:rsidRPr="00B1341C" w14:paraId="53C5CE45" w14:textId="77777777" w:rsidTr="00A87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3" w:type="dxa"/>
          </w:tcPr>
          <w:p w14:paraId="6FD9E799" w14:textId="49BC5EFE" w:rsidR="00B1341C" w:rsidRPr="00B1341C" w:rsidRDefault="00B1341C" w:rsidP="00B1341C">
            <w:pPr>
              <w:pStyle w:val="NoSpacing"/>
              <w:jc w:val="center"/>
              <w:rPr>
                <w:b w:val="0"/>
                <w:sz w:val="20"/>
                <w:szCs w:val="20"/>
                <w:lang w:val="en-US"/>
              </w:rPr>
            </w:pPr>
            <w:r w:rsidRPr="00B1341C">
              <w:rPr>
                <w:b w:val="0"/>
                <w:sz w:val="20"/>
                <w:szCs w:val="20"/>
              </w:rPr>
              <w:t>±0.81 – ±1.00</w:t>
            </w:r>
          </w:p>
        </w:tc>
        <w:tc>
          <w:tcPr>
            <w:tcW w:w="5344" w:type="dxa"/>
          </w:tcPr>
          <w:p w14:paraId="1596C30F" w14:textId="23363E9B" w:rsidR="00B1341C" w:rsidRPr="00B1341C" w:rsidRDefault="00B1341C" w:rsidP="00B1341C">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B1341C">
              <w:rPr>
                <w:sz w:val="20"/>
                <w:szCs w:val="20"/>
              </w:rPr>
              <w:t>Very Strong Relationship</w:t>
            </w:r>
          </w:p>
        </w:tc>
      </w:tr>
      <w:tr w:rsidR="00B1341C" w:rsidRPr="00B1341C" w14:paraId="486C80FD" w14:textId="77777777" w:rsidTr="00A8783A">
        <w:tc>
          <w:tcPr>
            <w:cnfStyle w:val="001000000000" w:firstRow="0" w:lastRow="0" w:firstColumn="1" w:lastColumn="0" w:oddVBand="0" w:evenVBand="0" w:oddHBand="0" w:evenHBand="0" w:firstRowFirstColumn="0" w:firstRowLastColumn="0" w:lastRowFirstColumn="0" w:lastRowLastColumn="0"/>
            <w:tcW w:w="5343" w:type="dxa"/>
          </w:tcPr>
          <w:p w14:paraId="66871344" w14:textId="43718D46" w:rsidR="00B1341C" w:rsidRPr="00B1341C" w:rsidRDefault="00B1341C" w:rsidP="00B1341C">
            <w:pPr>
              <w:pStyle w:val="NoSpacing"/>
              <w:jc w:val="center"/>
              <w:rPr>
                <w:b w:val="0"/>
                <w:sz w:val="20"/>
                <w:szCs w:val="20"/>
                <w:lang w:val="en-US"/>
              </w:rPr>
            </w:pPr>
            <w:r w:rsidRPr="00B1341C">
              <w:rPr>
                <w:b w:val="0"/>
                <w:sz w:val="20"/>
                <w:szCs w:val="20"/>
              </w:rPr>
              <w:t>±0.61 – ±0.80</w:t>
            </w:r>
          </w:p>
        </w:tc>
        <w:tc>
          <w:tcPr>
            <w:tcW w:w="5344" w:type="dxa"/>
          </w:tcPr>
          <w:p w14:paraId="66FB0E9D" w14:textId="645808C6" w:rsidR="00B1341C" w:rsidRPr="00B1341C" w:rsidRDefault="00B1341C" w:rsidP="00B1341C">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B1341C">
              <w:rPr>
                <w:sz w:val="20"/>
                <w:szCs w:val="20"/>
              </w:rPr>
              <w:t>Strong Relationship</w:t>
            </w:r>
          </w:p>
        </w:tc>
      </w:tr>
      <w:tr w:rsidR="00B1341C" w:rsidRPr="00B1341C" w14:paraId="3508D959" w14:textId="77777777" w:rsidTr="00A87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3" w:type="dxa"/>
          </w:tcPr>
          <w:p w14:paraId="059D4F97" w14:textId="0A2CDB8D" w:rsidR="00B1341C" w:rsidRPr="00B1341C" w:rsidRDefault="00B1341C" w:rsidP="00B1341C">
            <w:pPr>
              <w:pStyle w:val="NoSpacing"/>
              <w:jc w:val="center"/>
              <w:rPr>
                <w:b w:val="0"/>
                <w:sz w:val="20"/>
                <w:szCs w:val="20"/>
                <w:lang w:val="en-US"/>
              </w:rPr>
            </w:pPr>
            <w:r w:rsidRPr="00B1341C">
              <w:rPr>
                <w:b w:val="0"/>
                <w:sz w:val="20"/>
                <w:szCs w:val="20"/>
              </w:rPr>
              <w:t>±0.41 – ±0.60</w:t>
            </w:r>
          </w:p>
        </w:tc>
        <w:tc>
          <w:tcPr>
            <w:tcW w:w="5344" w:type="dxa"/>
          </w:tcPr>
          <w:p w14:paraId="7F0319FC" w14:textId="7AAB68E3" w:rsidR="00B1341C" w:rsidRPr="00B1341C" w:rsidRDefault="00B1341C" w:rsidP="00B1341C">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B1341C">
              <w:rPr>
                <w:sz w:val="20"/>
                <w:szCs w:val="20"/>
              </w:rPr>
              <w:t>Moderate Relationship</w:t>
            </w:r>
          </w:p>
        </w:tc>
      </w:tr>
      <w:tr w:rsidR="00B1341C" w:rsidRPr="00B1341C" w14:paraId="779862DC" w14:textId="77777777" w:rsidTr="00A8783A">
        <w:tc>
          <w:tcPr>
            <w:cnfStyle w:val="001000000000" w:firstRow="0" w:lastRow="0" w:firstColumn="1" w:lastColumn="0" w:oddVBand="0" w:evenVBand="0" w:oddHBand="0" w:evenHBand="0" w:firstRowFirstColumn="0" w:firstRowLastColumn="0" w:lastRowFirstColumn="0" w:lastRowLastColumn="0"/>
            <w:tcW w:w="5343" w:type="dxa"/>
          </w:tcPr>
          <w:p w14:paraId="2F870E77" w14:textId="69DF117D" w:rsidR="00B1341C" w:rsidRPr="00B1341C" w:rsidRDefault="00B1341C" w:rsidP="00B1341C">
            <w:pPr>
              <w:pStyle w:val="NoSpacing"/>
              <w:jc w:val="center"/>
              <w:rPr>
                <w:b w:val="0"/>
                <w:sz w:val="20"/>
                <w:szCs w:val="20"/>
                <w:lang w:val="en-US"/>
              </w:rPr>
            </w:pPr>
            <w:r w:rsidRPr="00B1341C">
              <w:rPr>
                <w:b w:val="0"/>
                <w:sz w:val="20"/>
                <w:szCs w:val="20"/>
              </w:rPr>
              <w:t>±0.21 – ±0.40</w:t>
            </w:r>
          </w:p>
        </w:tc>
        <w:tc>
          <w:tcPr>
            <w:tcW w:w="5344" w:type="dxa"/>
          </w:tcPr>
          <w:p w14:paraId="6B42AA9E" w14:textId="25647728" w:rsidR="00B1341C" w:rsidRPr="00B1341C" w:rsidRDefault="00B1341C" w:rsidP="00B1341C">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B1341C">
              <w:rPr>
                <w:sz w:val="20"/>
                <w:szCs w:val="20"/>
              </w:rPr>
              <w:t>Weak Relationship</w:t>
            </w:r>
          </w:p>
        </w:tc>
      </w:tr>
      <w:tr w:rsidR="00B1341C" w:rsidRPr="00B1341C" w14:paraId="327C731F" w14:textId="77777777" w:rsidTr="00A87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3" w:type="dxa"/>
          </w:tcPr>
          <w:p w14:paraId="1B119B9B" w14:textId="1A3BF52D" w:rsidR="00B1341C" w:rsidRPr="00B1341C" w:rsidRDefault="00B1341C" w:rsidP="00B1341C">
            <w:pPr>
              <w:pStyle w:val="NoSpacing"/>
              <w:jc w:val="center"/>
              <w:rPr>
                <w:b w:val="0"/>
                <w:sz w:val="20"/>
                <w:szCs w:val="20"/>
                <w:lang w:val="en-US"/>
              </w:rPr>
            </w:pPr>
            <w:r w:rsidRPr="00B1341C">
              <w:rPr>
                <w:b w:val="0"/>
                <w:sz w:val="20"/>
                <w:szCs w:val="20"/>
              </w:rPr>
              <w:t>±0.00 – ±0.20</w:t>
            </w:r>
          </w:p>
        </w:tc>
        <w:tc>
          <w:tcPr>
            <w:tcW w:w="5344" w:type="dxa"/>
          </w:tcPr>
          <w:p w14:paraId="0D8B4255" w14:textId="0939894E" w:rsidR="00B1341C" w:rsidRPr="00B1341C" w:rsidRDefault="00B1341C" w:rsidP="00B1341C">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B1341C">
              <w:rPr>
                <w:sz w:val="20"/>
                <w:szCs w:val="20"/>
              </w:rPr>
              <w:t>Negligible Relationship</w:t>
            </w:r>
          </w:p>
        </w:tc>
      </w:tr>
    </w:tbl>
    <w:p w14:paraId="1F92C92B" w14:textId="77777777" w:rsidR="00BF1ABD" w:rsidRPr="00B1341C" w:rsidRDefault="00BF1ABD" w:rsidP="00BF1ABD">
      <w:pPr>
        <w:pStyle w:val="NoSpacing"/>
        <w:rPr>
          <w:sz w:val="20"/>
          <w:szCs w:val="20"/>
          <w:lang w:val="en-US"/>
        </w:rPr>
      </w:pPr>
    </w:p>
    <w:p w14:paraId="0B884BFE" w14:textId="77777777" w:rsidR="00BF1ABD" w:rsidRDefault="00BF1ABD" w:rsidP="00B1341C">
      <w:pPr>
        <w:pStyle w:val="IEEEHeading1"/>
        <w:numPr>
          <w:ilvl w:val="0"/>
          <w:numId w:val="0"/>
        </w:numPr>
        <w:spacing w:before="0" w:after="240"/>
        <w:rPr>
          <w:b/>
          <w:szCs w:val="20"/>
        </w:rPr>
      </w:pPr>
    </w:p>
    <w:p w14:paraId="13E2FBF2" w14:textId="551F7874" w:rsidR="005C6A31" w:rsidRPr="007475F4" w:rsidRDefault="00856D4D" w:rsidP="00856D4D">
      <w:pPr>
        <w:pStyle w:val="IEEEHeading1"/>
        <w:numPr>
          <w:ilvl w:val="0"/>
          <w:numId w:val="0"/>
        </w:numPr>
        <w:spacing w:before="0" w:after="240"/>
        <w:jc w:val="both"/>
        <w:rPr>
          <w:b/>
          <w:szCs w:val="20"/>
        </w:rPr>
      </w:pPr>
      <w:r w:rsidRPr="007475F4">
        <w:rPr>
          <w:b/>
          <w:szCs w:val="20"/>
        </w:rPr>
        <w:t>RESULT AND DISCUSSION</w:t>
      </w:r>
    </w:p>
    <w:p w14:paraId="34C69D87" w14:textId="1C68F5A5" w:rsidR="7166C7CB" w:rsidRDefault="6048A6E4" w:rsidP="0098165A">
      <w:pPr>
        <w:pStyle w:val="IEEEParagraph"/>
        <w:ind w:firstLine="0"/>
        <w:rPr>
          <w:b/>
          <w:i/>
          <w:sz w:val="20"/>
          <w:szCs w:val="20"/>
        </w:rPr>
      </w:pPr>
      <w:r w:rsidRPr="0098165A">
        <w:rPr>
          <w:b/>
          <w:i/>
          <w:sz w:val="20"/>
          <w:szCs w:val="20"/>
        </w:rPr>
        <w:t>A. Level of Digital Financial Literacy among Quezon City University Students</w:t>
      </w:r>
    </w:p>
    <w:p w14:paraId="70DEB563" w14:textId="36BB6550" w:rsidR="7AD1F61A" w:rsidRDefault="7AD1F61A" w:rsidP="0098165A">
      <w:pPr>
        <w:pStyle w:val="IEEEParagraph"/>
        <w:ind w:firstLine="0"/>
        <w:rPr>
          <w:sz w:val="20"/>
          <w:szCs w:val="20"/>
        </w:rPr>
      </w:pPr>
    </w:p>
    <w:p w14:paraId="4E2A6EF3" w14:textId="77777777" w:rsidR="0098165A" w:rsidRPr="007475F4" w:rsidRDefault="0098165A" w:rsidP="0098165A">
      <w:pPr>
        <w:pStyle w:val="IEEEParagraph"/>
        <w:ind w:firstLine="0"/>
        <w:rPr>
          <w:sz w:val="20"/>
          <w:szCs w:val="20"/>
        </w:rPr>
      </w:pPr>
    </w:p>
    <w:p w14:paraId="0BA475E8" w14:textId="77777777" w:rsidR="0098165A" w:rsidRDefault="1613A278" w:rsidP="37E40287">
      <w:pPr>
        <w:pStyle w:val="IEEEParagraph"/>
        <w:jc w:val="center"/>
        <w:rPr>
          <w:sz w:val="20"/>
          <w:szCs w:val="20"/>
        </w:rPr>
      </w:pPr>
      <w:r w:rsidRPr="007475F4">
        <w:rPr>
          <w:sz w:val="20"/>
          <w:szCs w:val="20"/>
        </w:rPr>
        <w:t xml:space="preserve">Table </w:t>
      </w:r>
      <w:r w:rsidR="0098165A">
        <w:rPr>
          <w:sz w:val="20"/>
          <w:szCs w:val="20"/>
        </w:rPr>
        <w:t>3</w:t>
      </w:r>
    </w:p>
    <w:p w14:paraId="09BFD9E0" w14:textId="3F4BF157" w:rsidR="1613A278" w:rsidRDefault="1613A278" w:rsidP="37E40287">
      <w:pPr>
        <w:pStyle w:val="IEEEParagraph"/>
        <w:jc w:val="center"/>
        <w:rPr>
          <w:sz w:val="20"/>
          <w:szCs w:val="20"/>
        </w:rPr>
      </w:pPr>
      <w:r w:rsidRPr="007475F4">
        <w:rPr>
          <w:sz w:val="20"/>
          <w:szCs w:val="20"/>
        </w:rPr>
        <w:t>Level of Digital Financial Literacy in terms of Navigating Financial Technology (FinTech) Platforms</w:t>
      </w:r>
    </w:p>
    <w:p w14:paraId="5F7668F3" w14:textId="77777777" w:rsidR="0098165A" w:rsidRDefault="0098165A" w:rsidP="37E40287">
      <w:pPr>
        <w:pStyle w:val="IEEEParagraph"/>
        <w:jc w:val="center"/>
        <w:rPr>
          <w:sz w:val="20"/>
          <w:szCs w:val="20"/>
        </w:rPr>
      </w:pPr>
    </w:p>
    <w:tbl>
      <w:tblPr>
        <w:tblStyle w:val="PlainTable3"/>
        <w:tblW w:w="10681" w:type="dxa"/>
        <w:tblLook w:val="04A0" w:firstRow="1" w:lastRow="0" w:firstColumn="1" w:lastColumn="0" w:noHBand="0" w:noVBand="1"/>
      </w:tblPr>
      <w:tblGrid>
        <w:gridCol w:w="3780"/>
        <w:gridCol w:w="1559"/>
        <w:gridCol w:w="2671"/>
        <w:gridCol w:w="2671"/>
      </w:tblGrid>
      <w:tr w:rsidR="0098165A" w14:paraId="287D3F7B" w14:textId="77777777" w:rsidTr="009816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80" w:type="dxa"/>
          </w:tcPr>
          <w:p w14:paraId="37FA8A5E" w14:textId="3D0E910C" w:rsidR="0098165A" w:rsidRPr="0098165A" w:rsidRDefault="0098165A" w:rsidP="0098165A">
            <w:pPr>
              <w:pStyle w:val="IEEEParagraph"/>
              <w:ind w:firstLine="0"/>
              <w:jc w:val="center"/>
              <w:rPr>
                <w:caps w:val="0"/>
                <w:sz w:val="20"/>
                <w:szCs w:val="20"/>
              </w:rPr>
            </w:pPr>
            <w:r w:rsidRPr="0098165A">
              <w:rPr>
                <w:caps w:val="0"/>
                <w:sz w:val="20"/>
                <w:szCs w:val="20"/>
                <w:lang w:val="en-US"/>
              </w:rPr>
              <w:t>Variable</w:t>
            </w:r>
          </w:p>
        </w:tc>
        <w:tc>
          <w:tcPr>
            <w:tcW w:w="1559" w:type="dxa"/>
          </w:tcPr>
          <w:p w14:paraId="219B0986" w14:textId="3FAF21FB" w:rsidR="0098165A" w:rsidRPr="0098165A" w:rsidRDefault="0098165A" w:rsidP="0098165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Overall Mean</w:t>
            </w:r>
          </w:p>
        </w:tc>
        <w:tc>
          <w:tcPr>
            <w:tcW w:w="2671" w:type="dxa"/>
          </w:tcPr>
          <w:p w14:paraId="53C91732" w14:textId="3CB76E41" w:rsidR="0098165A" w:rsidRPr="0098165A" w:rsidRDefault="0098165A" w:rsidP="0098165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Standard Deviation</w:t>
            </w:r>
          </w:p>
        </w:tc>
        <w:tc>
          <w:tcPr>
            <w:tcW w:w="2671" w:type="dxa"/>
          </w:tcPr>
          <w:p w14:paraId="648BB7DF" w14:textId="640D85CF" w:rsidR="0098165A" w:rsidRPr="0098165A" w:rsidRDefault="0098165A" w:rsidP="0098165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Interpretation</w:t>
            </w:r>
          </w:p>
        </w:tc>
      </w:tr>
      <w:tr w:rsidR="0098165A" w14:paraId="3708DD44" w14:textId="77777777" w:rsidTr="00981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75D33A00" w14:textId="77777777" w:rsidR="0098165A" w:rsidRPr="0098165A" w:rsidRDefault="0098165A" w:rsidP="0098165A">
            <w:pPr>
              <w:pStyle w:val="thesis"/>
              <w:spacing w:line="240" w:lineRule="auto"/>
              <w:jc w:val="center"/>
              <w:rPr>
                <w:rFonts w:ascii="Times New Roman" w:hAnsi="Times New Roman"/>
                <w:b w:val="0"/>
                <w:caps w:val="0"/>
                <w:sz w:val="20"/>
                <w:szCs w:val="20"/>
                <w:lang w:val="en-US"/>
              </w:rPr>
            </w:pPr>
            <w:r w:rsidRPr="0098165A">
              <w:rPr>
                <w:rFonts w:ascii="Times New Roman" w:hAnsi="Times New Roman"/>
                <w:b w:val="0"/>
                <w:caps w:val="0"/>
                <w:sz w:val="20"/>
                <w:szCs w:val="20"/>
                <w:lang w:val="en-US"/>
              </w:rPr>
              <w:t xml:space="preserve">Navigating Financial </w:t>
            </w:r>
          </w:p>
          <w:p w14:paraId="7D4BB88C" w14:textId="4365101B" w:rsidR="0098165A" w:rsidRDefault="0098165A" w:rsidP="0098165A">
            <w:pPr>
              <w:pStyle w:val="IEEEParagraph"/>
              <w:ind w:firstLine="0"/>
              <w:jc w:val="center"/>
              <w:rPr>
                <w:sz w:val="20"/>
                <w:szCs w:val="20"/>
              </w:rPr>
            </w:pPr>
            <w:r w:rsidRPr="0098165A">
              <w:rPr>
                <w:b w:val="0"/>
                <w:caps w:val="0"/>
                <w:sz w:val="20"/>
                <w:szCs w:val="20"/>
                <w:lang w:val="en-US"/>
              </w:rPr>
              <w:t>Technology (FinTech) Platforms</w:t>
            </w:r>
          </w:p>
        </w:tc>
        <w:tc>
          <w:tcPr>
            <w:tcW w:w="1559" w:type="dxa"/>
          </w:tcPr>
          <w:p w14:paraId="5CF3DFCC" w14:textId="1727AA43" w:rsidR="0098165A" w:rsidRDefault="0098165A" w:rsidP="0098165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7475F4">
              <w:rPr>
                <w:sz w:val="20"/>
                <w:szCs w:val="20"/>
                <w:lang w:val="en-US"/>
              </w:rPr>
              <w:t>3.06</w:t>
            </w:r>
          </w:p>
        </w:tc>
        <w:tc>
          <w:tcPr>
            <w:tcW w:w="2671" w:type="dxa"/>
          </w:tcPr>
          <w:p w14:paraId="12DD8894" w14:textId="67BB86A2" w:rsidR="0098165A" w:rsidRDefault="0098165A" w:rsidP="0098165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7475F4">
              <w:rPr>
                <w:sz w:val="20"/>
                <w:szCs w:val="20"/>
                <w:lang w:val="en-US"/>
              </w:rPr>
              <w:t>0.67</w:t>
            </w:r>
          </w:p>
        </w:tc>
        <w:tc>
          <w:tcPr>
            <w:tcW w:w="2671" w:type="dxa"/>
          </w:tcPr>
          <w:p w14:paraId="57CD45B8" w14:textId="2028DAD5" w:rsidR="0098165A" w:rsidRDefault="0098165A" w:rsidP="0098165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7475F4">
              <w:rPr>
                <w:sz w:val="20"/>
                <w:szCs w:val="20"/>
                <w:lang w:val="en-US"/>
              </w:rPr>
              <w:t>High</w:t>
            </w:r>
          </w:p>
        </w:tc>
      </w:tr>
    </w:tbl>
    <w:p w14:paraId="44F9700C" w14:textId="4FEA1F17" w:rsidR="1B8F2712" w:rsidRPr="007475F4" w:rsidRDefault="1B8F2712" w:rsidP="1B8F2712">
      <w:pPr>
        <w:pStyle w:val="IEEEParagraph"/>
        <w:ind w:firstLine="0"/>
        <w:rPr>
          <w:sz w:val="20"/>
          <w:szCs w:val="20"/>
        </w:rPr>
      </w:pPr>
    </w:p>
    <w:p w14:paraId="4527DDC8" w14:textId="22DEE346" w:rsidR="0098165A" w:rsidRPr="0098165A" w:rsidRDefault="0098165A" w:rsidP="0098165A">
      <w:pPr>
        <w:pStyle w:val="IEEEParagraph"/>
        <w:rPr>
          <w:sz w:val="20"/>
          <w:szCs w:val="20"/>
        </w:rPr>
      </w:pPr>
      <w:r w:rsidRPr="0098165A">
        <w:rPr>
          <w:sz w:val="20"/>
          <w:szCs w:val="20"/>
        </w:rPr>
        <w:t xml:space="preserve">The findings presented in Table </w:t>
      </w:r>
      <w:r>
        <w:rPr>
          <w:sz w:val="20"/>
          <w:szCs w:val="20"/>
        </w:rPr>
        <w:t>3</w:t>
      </w:r>
      <w:r w:rsidRPr="0098165A">
        <w:rPr>
          <w:sz w:val="20"/>
          <w:szCs w:val="20"/>
        </w:rPr>
        <w:t xml:space="preserve"> reveal that the respondents obtained an overall mean of 3.06 with a standard deviation of 0.67, interpreted as High. This indicates that most students possess adequate knowledge and skills in navigating financial technology (FinTech) platforms and digital financial services. The results suggest that students are generally familiar with online financial applications and digital payment systems commonly used in everyday transactions.</w:t>
      </w:r>
    </w:p>
    <w:p w14:paraId="257416DA" w14:textId="77777777" w:rsidR="0098165A" w:rsidRPr="0098165A" w:rsidRDefault="0098165A" w:rsidP="0098165A">
      <w:pPr>
        <w:pStyle w:val="IEEEParagraph"/>
        <w:rPr>
          <w:sz w:val="20"/>
          <w:szCs w:val="20"/>
        </w:rPr>
      </w:pPr>
    </w:p>
    <w:p w14:paraId="719D70D3" w14:textId="77777777" w:rsidR="0098165A" w:rsidRPr="0098165A" w:rsidRDefault="0098165A" w:rsidP="0098165A">
      <w:pPr>
        <w:pStyle w:val="IEEEParagraph"/>
        <w:rPr>
          <w:sz w:val="20"/>
          <w:szCs w:val="20"/>
        </w:rPr>
      </w:pPr>
      <w:r w:rsidRPr="0098165A">
        <w:rPr>
          <w:sz w:val="20"/>
          <w:szCs w:val="20"/>
        </w:rPr>
        <w:t>Moreover, the standard deviation indicates moderate variability in the responses, implying that although many students are confident in using financial technology platforms, some respondents still experience difficulties in utilizing digital financial tools effectively. This suggests that differences in technological exposure, digital experience, and financial knowledge continue to exist among students.</w:t>
      </w:r>
    </w:p>
    <w:p w14:paraId="3FFE415E" w14:textId="77777777" w:rsidR="0098165A" w:rsidRPr="0098165A" w:rsidRDefault="0098165A" w:rsidP="0098165A">
      <w:pPr>
        <w:pStyle w:val="IEEEParagraph"/>
        <w:rPr>
          <w:sz w:val="20"/>
          <w:szCs w:val="20"/>
        </w:rPr>
      </w:pPr>
    </w:p>
    <w:p w14:paraId="6FC2F259" w14:textId="4271E83D" w:rsidR="6C28203E" w:rsidRDefault="0098165A" w:rsidP="0098165A">
      <w:pPr>
        <w:pStyle w:val="IEEEParagraph"/>
        <w:ind w:firstLine="0"/>
        <w:rPr>
          <w:sz w:val="20"/>
          <w:szCs w:val="20"/>
        </w:rPr>
      </w:pPr>
      <w:r w:rsidRPr="0098165A">
        <w:rPr>
          <w:sz w:val="20"/>
          <w:szCs w:val="20"/>
        </w:rPr>
        <w:t>The findings support the study of (</w:t>
      </w:r>
      <w:proofErr w:type="spellStart"/>
      <w:r w:rsidRPr="0098165A">
        <w:rPr>
          <w:sz w:val="20"/>
          <w:szCs w:val="20"/>
        </w:rPr>
        <w:t>Apreal</w:t>
      </w:r>
      <w:proofErr w:type="spellEnd"/>
      <w:r w:rsidRPr="0098165A">
        <w:rPr>
          <w:sz w:val="20"/>
          <w:szCs w:val="20"/>
        </w:rPr>
        <w:t xml:space="preserve"> Marjorie </w:t>
      </w:r>
      <w:proofErr w:type="spellStart"/>
      <w:r w:rsidRPr="0098165A">
        <w:rPr>
          <w:sz w:val="20"/>
          <w:szCs w:val="20"/>
        </w:rPr>
        <w:t>Bisquera</w:t>
      </w:r>
      <w:proofErr w:type="spellEnd"/>
      <w:r w:rsidRPr="0098165A">
        <w:rPr>
          <w:sz w:val="20"/>
          <w:szCs w:val="20"/>
        </w:rPr>
        <w:t xml:space="preserve"> Silva et al., 2024a), which revealed that students who are knowledgeable in using digital financial platforms demonstrate more responsible financial </w:t>
      </w:r>
      <w:proofErr w:type="spellStart"/>
      <w:r w:rsidRPr="0098165A">
        <w:rPr>
          <w:sz w:val="20"/>
          <w:szCs w:val="20"/>
        </w:rPr>
        <w:t>behaviors</w:t>
      </w:r>
      <w:proofErr w:type="spellEnd"/>
      <w:r w:rsidRPr="0098165A">
        <w:rPr>
          <w:sz w:val="20"/>
          <w:szCs w:val="20"/>
        </w:rPr>
        <w:t xml:space="preserve"> and greater confidence in handling digital transactions.</w:t>
      </w:r>
    </w:p>
    <w:p w14:paraId="26E741A8" w14:textId="4CEF45A8" w:rsidR="0098165A" w:rsidRDefault="0098165A" w:rsidP="0098165A">
      <w:pPr>
        <w:pStyle w:val="IEEEParagraph"/>
        <w:ind w:firstLine="0"/>
        <w:rPr>
          <w:sz w:val="20"/>
          <w:szCs w:val="20"/>
        </w:rPr>
      </w:pPr>
    </w:p>
    <w:p w14:paraId="12500EA8" w14:textId="77777777" w:rsidR="0098165A" w:rsidRDefault="0098165A" w:rsidP="0098165A">
      <w:pPr>
        <w:pStyle w:val="IEEEParagraph"/>
        <w:ind w:firstLine="0"/>
        <w:rPr>
          <w:sz w:val="20"/>
          <w:szCs w:val="20"/>
        </w:rPr>
      </w:pPr>
    </w:p>
    <w:p w14:paraId="3A176DD7" w14:textId="6082D519" w:rsidR="0098165A" w:rsidRDefault="0098165A" w:rsidP="0098165A">
      <w:pPr>
        <w:pStyle w:val="IEEEParagraph"/>
        <w:jc w:val="center"/>
        <w:rPr>
          <w:sz w:val="20"/>
          <w:szCs w:val="20"/>
        </w:rPr>
      </w:pPr>
      <w:r w:rsidRPr="007475F4">
        <w:rPr>
          <w:sz w:val="20"/>
          <w:szCs w:val="20"/>
        </w:rPr>
        <w:t xml:space="preserve">Table </w:t>
      </w:r>
      <w:r>
        <w:rPr>
          <w:sz w:val="20"/>
          <w:szCs w:val="20"/>
        </w:rPr>
        <w:t>4</w:t>
      </w:r>
    </w:p>
    <w:p w14:paraId="65B49A6E" w14:textId="7D86C12A" w:rsidR="0098165A" w:rsidRDefault="0098165A" w:rsidP="0098165A">
      <w:pPr>
        <w:pStyle w:val="IEEEParagraph"/>
        <w:jc w:val="center"/>
        <w:rPr>
          <w:sz w:val="20"/>
          <w:szCs w:val="20"/>
        </w:rPr>
      </w:pPr>
      <w:r w:rsidRPr="0098165A">
        <w:rPr>
          <w:sz w:val="20"/>
          <w:szCs w:val="20"/>
        </w:rPr>
        <w:t>Level of Digital Financial Literacy in terms of Identification of Digital Barriers</w:t>
      </w:r>
    </w:p>
    <w:p w14:paraId="35AD53EE" w14:textId="77777777" w:rsidR="0040531B" w:rsidRDefault="0040531B" w:rsidP="0098165A">
      <w:pPr>
        <w:pStyle w:val="IEEEParagraph"/>
        <w:jc w:val="center"/>
        <w:rPr>
          <w:sz w:val="20"/>
          <w:szCs w:val="20"/>
        </w:rPr>
      </w:pPr>
    </w:p>
    <w:tbl>
      <w:tblPr>
        <w:tblStyle w:val="PlainTable3"/>
        <w:tblW w:w="10681" w:type="dxa"/>
        <w:tblLook w:val="04A0" w:firstRow="1" w:lastRow="0" w:firstColumn="1" w:lastColumn="0" w:noHBand="0" w:noVBand="1"/>
      </w:tblPr>
      <w:tblGrid>
        <w:gridCol w:w="3780"/>
        <w:gridCol w:w="1559"/>
        <w:gridCol w:w="2671"/>
        <w:gridCol w:w="2671"/>
      </w:tblGrid>
      <w:tr w:rsidR="0098165A" w14:paraId="074ED67C" w14:textId="77777777" w:rsidTr="00A878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80" w:type="dxa"/>
          </w:tcPr>
          <w:p w14:paraId="5C955549" w14:textId="18E3F3D0" w:rsidR="0098165A" w:rsidRPr="0098165A" w:rsidRDefault="0098165A" w:rsidP="00A8783A">
            <w:pPr>
              <w:pStyle w:val="IEEEParagraph"/>
              <w:ind w:firstLine="0"/>
              <w:jc w:val="center"/>
              <w:rPr>
                <w:caps w:val="0"/>
                <w:sz w:val="20"/>
                <w:szCs w:val="20"/>
              </w:rPr>
            </w:pPr>
            <w:r w:rsidRPr="0098165A">
              <w:rPr>
                <w:caps w:val="0"/>
                <w:sz w:val="20"/>
                <w:szCs w:val="20"/>
                <w:lang w:val="en-US"/>
              </w:rPr>
              <w:t>Variable</w:t>
            </w:r>
          </w:p>
        </w:tc>
        <w:tc>
          <w:tcPr>
            <w:tcW w:w="1559" w:type="dxa"/>
          </w:tcPr>
          <w:p w14:paraId="67F5BDDD" w14:textId="77777777" w:rsidR="0098165A" w:rsidRPr="0098165A" w:rsidRDefault="0098165A" w:rsidP="00A8783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Overall Mean</w:t>
            </w:r>
          </w:p>
        </w:tc>
        <w:tc>
          <w:tcPr>
            <w:tcW w:w="2671" w:type="dxa"/>
          </w:tcPr>
          <w:p w14:paraId="5981BA26" w14:textId="77777777" w:rsidR="0098165A" w:rsidRPr="0098165A" w:rsidRDefault="0098165A" w:rsidP="00A8783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Standard Deviation</w:t>
            </w:r>
          </w:p>
        </w:tc>
        <w:tc>
          <w:tcPr>
            <w:tcW w:w="2671" w:type="dxa"/>
          </w:tcPr>
          <w:p w14:paraId="60CF2F1A" w14:textId="77777777" w:rsidR="0098165A" w:rsidRPr="0098165A" w:rsidRDefault="0098165A" w:rsidP="00A8783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Interpretation</w:t>
            </w:r>
          </w:p>
        </w:tc>
      </w:tr>
      <w:tr w:rsidR="0098165A" w14:paraId="49243A3A" w14:textId="77777777" w:rsidTr="00A87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34D5B712" w14:textId="7776002B" w:rsidR="0098165A" w:rsidRDefault="0098165A" w:rsidP="0098165A">
            <w:pPr>
              <w:pStyle w:val="thesis"/>
              <w:spacing w:line="240" w:lineRule="auto"/>
              <w:jc w:val="center"/>
              <w:rPr>
                <w:sz w:val="20"/>
                <w:szCs w:val="20"/>
              </w:rPr>
            </w:pPr>
            <w:r>
              <w:rPr>
                <w:rFonts w:ascii="Times New Roman" w:hAnsi="Times New Roman"/>
                <w:b w:val="0"/>
                <w:caps w:val="0"/>
                <w:sz w:val="20"/>
                <w:szCs w:val="20"/>
                <w:lang w:val="en-US"/>
              </w:rPr>
              <w:t>Identification of Digital Barriers</w:t>
            </w:r>
          </w:p>
        </w:tc>
        <w:tc>
          <w:tcPr>
            <w:tcW w:w="1559" w:type="dxa"/>
          </w:tcPr>
          <w:p w14:paraId="05DCEA76" w14:textId="11149192" w:rsidR="0098165A" w:rsidRDefault="0098165A" w:rsidP="00A8783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n-US"/>
              </w:rPr>
              <w:t>2.87</w:t>
            </w:r>
          </w:p>
        </w:tc>
        <w:tc>
          <w:tcPr>
            <w:tcW w:w="2671" w:type="dxa"/>
          </w:tcPr>
          <w:p w14:paraId="071B57D5" w14:textId="24F35224" w:rsidR="0098165A" w:rsidRDefault="0098165A" w:rsidP="00A8783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n-US"/>
              </w:rPr>
              <w:t>0.65</w:t>
            </w:r>
          </w:p>
        </w:tc>
        <w:tc>
          <w:tcPr>
            <w:tcW w:w="2671" w:type="dxa"/>
          </w:tcPr>
          <w:p w14:paraId="3F054B3D" w14:textId="77777777" w:rsidR="0098165A" w:rsidRDefault="0098165A" w:rsidP="00A8783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7475F4">
              <w:rPr>
                <w:sz w:val="20"/>
                <w:szCs w:val="20"/>
                <w:lang w:val="en-US"/>
              </w:rPr>
              <w:t>High</w:t>
            </w:r>
          </w:p>
        </w:tc>
      </w:tr>
    </w:tbl>
    <w:p w14:paraId="0DDA9F76" w14:textId="77777777" w:rsidR="0098165A" w:rsidRPr="007475F4" w:rsidRDefault="0098165A" w:rsidP="0098165A">
      <w:pPr>
        <w:pStyle w:val="IEEEParagraph"/>
        <w:ind w:firstLine="0"/>
        <w:rPr>
          <w:sz w:val="20"/>
          <w:szCs w:val="20"/>
        </w:rPr>
      </w:pPr>
    </w:p>
    <w:p w14:paraId="1CB9E990" w14:textId="55C5033C" w:rsidR="0098165A" w:rsidRPr="0098165A" w:rsidRDefault="0098165A" w:rsidP="0098165A">
      <w:pPr>
        <w:pStyle w:val="IEEEParagraph"/>
        <w:rPr>
          <w:sz w:val="20"/>
          <w:szCs w:val="20"/>
        </w:rPr>
      </w:pPr>
      <w:r w:rsidRPr="0098165A">
        <w:rPr>
          <w:sz w:val="20"/>
          <w:szCs w:val="20"/>
        </w:rPr>
        <w:t xml:space="preserve">The findings presented in Table </w:t>
      </w:r>
      <w:r w:rsidR="0040531B">
        <w:rPr>
          <w:sz w:val="20"/>
          <w:szCs w:val="20"/>
        </w:rPr>
        <w:t>4</w:t>
      </w:r>
      <w:r w:rsidRPr="0098165A">
        <w:rPr>
          <w:sz w:val="20"/>
          <w:szCs w:val="20"/>
        </w:rPr>
        <w:t xml:space="preserve"> show that the respondents obtained an overall mean of 2.87 with a standard deviation of 0.65, interpreted as High. This indicates that students are generally aware of the digital barriers that may affect their use of financial technology and online financial services.</w:t>
      </w:r>
    </w:p>
    <w:p w14:paraId="23420C30" w14:textId="77777777" w:rsidR="0098165A" w:rsidRPr="0098165A" w:rsidRDefault="0098165A" w:rsidP="0098165A">
      <w:pPr>
        <w:pStyle w:val="IEEEParagraph"/>
        <w:rPr>
          <w:sz w:val="20"/>
          <w:szCs w:val="20"/>
        </w:rPr>
      </w:pPr>
    </w:p>
    <w:p w14:paraId="37DA485F" w14:textId="77777777" w:rsidR="0098165A" w:rsidRPr="0098165A" w:rsidRDefault="0098165A" w:rsidP="0098165A">
      <w:pPr>
        <w:pStyle w:val="IEEEParagraph"/>
        <w:rPr>
          <w:sz w:val="20"/>
          <w:szCs w:val="20"/>
        </w:rPr>
      </w:pPr>
      <w:r w:rsidRPr="0098165A">
        <w:rPr>
          <w:sz w:val="20"/>
          <w:szCs w:val="20"/>
        </w:rPr>
        <w:t>The results suggest that respondents recognize challenges such as unstable internet connectivity, technical issues, limited accessibility, cybersecurity concerns, and insufficient understanding of certain digital financial platforms. The standard deviation further indicates moderate variation in responses, implying that some students encounter more digital barriers than others depending on their technological resources and digital experiences.</w:t>
      </w:r>
    </w:p>
    <w:p w14:paraId="4C1725D0" w14:textId="77777777" w:rsidR="0098165A" w:rsidRPr="0098165A" w:rsidRDefault="0098165A" w:rsidP="0098165A">
      <w:pPr>
        <w:pStyle w:val="IEEEParagraph"/>
        <w:rPr>
          <w:sz w:val="20"/>
          <w:szCs w:val="20"/>
        </w:rPr>
      </w:pPr>
    </w:p>
    <w:p w14:paraId="5E248537" w14:textId="712D0C68" w:rsidR="0098165A" w:rsidRDefault="0098165A" w:rsidP="0098165A">
      <w:pPr>
        <w:pStyle w:val="IEEEParagraph"/>
        <w:ind w:firstLine="0"/>
        <w:rPr>
          <w:sz w:val="20"/>
          <w:szCs w:val="20"/>
        </w:rPr>
      </w:pPr>
      <w:r w:rsidRPr="0098165A">
        <w:rPr>
          <w:sz w:val="20"/>
          <w:szCs w:val="20"/>
        </w:rPr>
        <w:t>These findings are consistent with the observations of (</w:t>
      </w:r>
      <w:proofErr w:type="spellStart"/>
      <w:r w:rsidRPr="0098165A">
        <w:rPr>
          <w:sz w:val="20"/>
          <w:szCs w:val="20"/>
        </w:rPr>
        <w:t>Respati</w:t>
      </w:r>
      <w:proofErr w:type="spellEnd"/>
      <w:r w:rsidRPr="0098165A">
        <w:rPr>
          <w:sz w:val="20"/>
          <w:szCs w:val="20"/>
        </w:rPr>
        <w:t xml:space="preserve"> et al., 2023), which emphasized that digital barriers and technological limitations can affect users’ ability to maximize the benefits of financial technologies.</w:t>
      </w:r>
    </w:p>
    <w:p w14:paraId="79B98285" w14:textId="4F866204" w:rsidR="0098165A" w:rsidRDefault="0098165A" w:rsidP="0098165A">
      <w:pPr>
        <w:pStyle w:val="NoSpacing"/>
        <w:rPr>
          <w:sz w:val="21"/>
        </w:rPr>
      </w:pPr>
    </w:p>
    <w:p w14:paraId="716B0A5E" w14:textId="3279ACF6" w:rsidR="0098165A" w:rsidRDefault="0098165A" w:rsidP="0098165A">
      <w:pPr>
        <w:pStyle w:val="NoSpacing"/>
        <w:rPr>
          <w:sz w:val="21"/>
        </w:rPr>
      </w:pPr>
    </w:p>
    <w:p w14:paraId="00ED3A1B" w14:textId="77777777" w:rsidR="0098165A" w:rsidRDefault="0098165A" w:rsidP="0098165A">
      <w:pPr>
        <w:pStyle w:val="NoSpacing"/>
        <w:rPr>
          <w:sz w:val="21"/>
        </w:rPr>
      </w:pPr>
    </w:p>
    <w:p w14:paraId="54B15419" w14:textId="453ABEE0" w:rsidR="604B7A91" w:rsidRPr="0098165A" w:rsidRDefault="3B58D740" w:rsidP="0098165A">
      <w:pPr>
        <w:pStyle w:val="NoSpacing"/>
        <w:rPr>
          <w:b/>
          <w:i/>
          <w:sz w:val="21"/>
        </w:rPr>
      </w:pPr>
      <w:r w:rsidRPr="0098165A">
        <w:rPr>
          <w:b/>
          <w:i/>
          <w:sz w:val="21"/>
        </w:rPr>
        <w:t>B. Status of the Students’ Financial Management Practices</w:t>
      </w:r>
    </w:p>
    <w:p w14:paraId="121EED1D" w14:textId="77777777" w:rsidR="0098165A" w:rsidRDefault="271C0D71" w:rsidP="0098165A">
      <w:pPr>
        <w:pStyle w:val="NoSpacing"/>
        <w:rPr>
          <w:i/>
          <w:iCs/>
          <w:sz w:val="21"/>
        </w:rPr>
      </w:pPr>
      <w:r w:rsidRPr="0098165A">
        <w:rPr>
          <w:i/>
          <w:iCs/>
          <w:sz w:val="21"/>
        </w:rPr>
        <w:t xml:space="preserve"> </w:t>
      </w:r>
    </w:p>
    <w:p w14:paraId="0780B6F6" w14:textId="77777777" w:rsidR="0040531B" w:rsidRDefault="0040531B" w:rsidP="0098165A">
      <w:pPr>
        <w:pStyle w:val="IEEEParagraph"/>
        <w:jc w:val="center"/>
        <w:rPr>
          <w:sz w:val="20"/>
          <w:szCs w:val="20"/>
        </w:rPr>
      </w:pPr>
    </w:p>
    <w:p w14:paraId="477B29A8" w14:textId="0EFAE39D" w:rsidR="0098165A" w:rsidRDefault="0098165A" w:rsidP="0098165A">
      <w:pPr>
        <w:pStyle w:val="IEEEParagraph"/>
        <w:jc w:val="center"/>
        <w:rPr>
          <w:sz w:val="20"/>
          <w:szCs w:val="20"/>
        </w:rPr>
      </w:pPr>
      <w:r w:rsidRPr="007475F4">
        <w:rPr>
          <w:sz w:val="20"/>
          <w:szCs w:val="20"/>
        </w:rPr>
        <w:t xml:space="preserve">Table </w:t>
      </w:r>
      <w:r w:rsidR="0040531B">
        <w:rPr>
          <w:sz w:val="20"/>
          <w:szCs w:val="20"/>
        </w:rPr>
        <w:t>5</w:t>
      </w:r>
    </w:p>
    <w:p w14:paraId="5AF9EDBE" w14:textId="6F8D5FA7" w:rsidR="0098165A" w:rsidRDefault="0040531B" w:rsidP="0098165A">
      <w:pPr>
        <w:pStyle w:val="IEEEParagraph"/>
        <w:jc w:val="center"/>
        <w:rPr>
          <w:sz w:val="20"/>
          <w:szCs w:val="20"/>
        </w:rPr>
      </w:pPr>
      <w:r w:rsidRPr="0040531B">
        <w:rPr>
          <w:sz w:val="20"/>
          <w:szCs w:val="20"/>
        </w:rPr>
        <w:t>Status of Financial Management in terms of Budgeting and Spending</w:t>
      </w:r>
    </w:p>
    <w:p w14:paraId="1D9B6ED3" w14:textId="77777777" w:rsidR="0040531B" w:rsidRDefault="0040531B" w:rsidP="0098165A">
      <w:pPr>
        <w:pStyle w:val="IEEEParagraph"/>
        <w:jc w:val="center"/>
        <w:rPr>
          <w:sz w:val="20"/>
          <w:szCs w:val="20"/>
        </w:rPr>
      </w:pPr>
    </w:p>
    <w:tbl>
      <w:tblPr>
        <w:tblStyle w:val="PlainTable3"/>
        <w:tblW w:w="10681" w:type="dxa"/>
        <w:tblLook w:val="04A0" w:firstRow="1" w:lastRow="0" w:firstColumn="1" w:lastColumn="0" w:noHBand="0" w:noVBand="1"/>
      </w:tblPr>
      <w:tblGrid>
        <w:gridCol w:w="3780"/>
        <w:gridCol w:w="1559"/>
        <w:gridCol w:w="2671"/>
        <w:gridCol w:w="2671"/>
      </w:tblGrid>
      <w:tr w:rsidR="0098165A" w14:paraId="22819F1E" w14:textId="77777777" w:rsidTr="00A878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80" w:type="dxa"/>
          </w:tcPr>
          <w:p w14:paraId="41227873" w14:textId="77777777" w:rsidR="0098165A" w:rsidRPr="0098165A" w:rsidRDefault="0098165A" w:rsidP="00A8783A">
            <w:pPr>
              <w:pStyle w:val="IEEEParagraph"/>
              <w:ind w:firstLine="0"/>
              <w:jc w:val="center"/>
              <w:rPr>
                <w:caps w:val="0"/>
                <w:sz w:val="20"/>
                <w:szCs w:val="20"/>
              </w:rPr>
            </w:pPr>
            <w:r w:rsidRPr="0098165A">
              <w:rPr>
                <w:caps w:val="0"/>
                <w:sz w:val="20"/>
                <w:szCs w:val="20"/>
                <w:lang w:val="en-US"/>
              </w:rPr>
              <w:t>Variable</w:t>
            </w:r>
          </w:p>
        </w:tc>
        <w:tc>
          <w:tcPr>
            <w:tcW w:w="1559" w:type="dxa"/>
          </w:tcPr>
          <w:p w14:paraId="6273B93A" w14:textId="77777777" w:rsidR="0098165A" w:rsidRPr="0098165A" w:rsidRDefault="0098165A" w:rsidP="00A8783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Overall Mean</w:t>
            </w:r>
          </w:p>
        </w:tc>
        <w:tc>
          <w:tcPr>
            <w:tcW w:w="2671" w:type="dxa"/>
          </w:tcPr>
          <w:p w14:paraId="0C95E407" w14:textId="77777777" w:rsidR="0098165A" w:rsidRPr="0098165A" w:rsidRDefault="0098165A" w:rsidP="00A8783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Standard Deviation</w:t>
            </w:r>
          </w:p>
        </w:tc>
        <w:tc>
          <w:tcPr>
            <w:tcW w:w="2671" w:type="dxa"/>
          </w:tcPr>
          <w:p w14:paraId="6D59A0FB" w14:textId="77777777" w:rsidR="0098165A" w:rsidRPr="0098165A" w:rsidRDefault="0098165A" w:rsidP="00A8783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Interpretation</w:t>
            </w:r>
          </w:p>
        </w:tc>
      </w:tr>
      <w:tr w:rsidR="0098165A" w14:paraId="38191EB2" w14:textId="77777777" w:rsidTr="00A87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61C204F5" w14:textId="155F6CB8" w:rsidR="0098165A" w:rsidRDefault="0040531B" w:rsidP="00A8783A">
            <w:pPr>
              <w:pStyle w:val="thesis"/>
              <w:spacing w:line="240" w:lineRule="auto"/>
              <w:jc w:val="center"/>
              <w:rPr>
                <w:sz w:val="20"/>
                <w:szCs w:val="20"/>
              </w:rPr>
            </w:pPr>
            <w:r>
              <w:rPr>
                <w:rFonts w:ascii="Times New Roman" w:hAnsi="Times New Roman"/>
                <w:b w:val="0"/>
                <w:caps w:val="0"/>
                <w:sz w:val="20"/>
                <w:szCs w:val="20"/>
                <w:lang w:val="en-US"/>
              </w:rPr>
              <w:t>Budgeting and Spending</w:t>
            </w:r>
          </w:p>
        </w:tc>
        <w:tc>
          <w:tcPr>
            <w:tcW w:w="1559" w:type="dxa"/>
          </w:tcPr>
          <w:p w14:paraId="6B451AA5" w14:textId="5A68611F" w:rsidR="0098165A" w:rsidRDefault="0040531B" w:rsidP="00A8783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n-US"/>
              </w:rPr>
              <w:t>3.07</w:t>
            </w:r>
          </w:p>
        </w:tc>
        <w:tc>
          <w:tcPr>
            <w:tcW w:w="2671" w:type="dxa"/>
          </w:tcPr>
          <w:p w14:paraId="551C1E81" w14:textId="020597EA" w:rsidR="0098165A" w:rsidRDefault="0040531B" w:rsidP="00A8783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n-US"/>
              </w:rPr>
              <w:t>0.53</w:t>
            </w:r>
          </w:p>
        </w:tc>
        <w:tc>
          <w:tcPr>
            <w:tcW w:w="2671" w:type="dxa"/>
          </w:tcPr>
          <w:p w14:paraId="32CB30BA" w14:textId="77777777" w:rsidR="0098165A" w:rsidRDefault="0098165A" w:rsidP="00A8783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7475F4">
              <w:rPr>
                <w:sz w:val="20"/>
                <w:szCs w:val="20"/>
                <w:lang w:val="en-US"/>
              </w:rPr>
              <w:t>High</w:t>
            </w:r>
          </w:p>
        </w:tc>
      </w:tr>
    </w:tbl>
    <w:p w14:paraId="6FA18A0D" w14:textId="5579AC0C" w:rsidR="0040531B" w:rsidRDefault="0040531B" w:rsidP="0098165A">
      <w:pPr>
        <w:pStyle w:val="NoSpacing"/>
        <w:rPr>
          <w:sz w:val="21"/>
        </w:rPr>
      </w:pPr>
    </w:p>
    <w:p w14:paraId="1BEF4711" w14:textId="060DEE3F" w:rsidR="0040531B" w:rsidRPr="0040531B" w:rsidRDefault="0040531B" w:rsidP="0040531B">
      <w:pPr>
        <w:pStyle w:val="NoSpacing"/>
        <w:ind w:firstLine="360"/>
        <w:jc w:val="both"/>
        <w:rPr>
          <w:sz w:val="21"/>
        </w:rPr>
      </w:pPr>
      <w:r w:rsidRPr="0040531B">
        <w:rPr>
          <w:sz w:val="21"/>
        </w:rPr>
        <w:t xml:space="preserve">The results presented in Table </w:t>
      </w:r>
      <w:r>
        <w:rPr>
          <w:sz w:val="21"/>
        </w:rPr>
        <w:t>5</w:t>
      </w:r>
      <w:r w:rsidRPr="0040531B">
        <w:rPr>
          <w:sz w:val="21"/>
        </w:rPr>
        <w:t xml:space="preserve"> reveal that the respondents obtained an overall mean of 3.07 with a standard deviation of 0.53, interpreted as High. This indicates that students frequently practice budgeting and manage their spending responsibly.</w:t>
      </w:r>
    </w:p>
    <w:p w14:paraId="458617EA" w14:textId="77777777" w:rsidR="0040531B" w:rsidRPr="0040531B" w:rsidRDefault="0040531B" w:rsidP="0040531B">
      <w:pPr>
        <w:pStyle w:val="NoSpacing"/>
        <w:ind w:firstLine="360"/>
        <w:jc w:val="both"/>
        <w:rPr>
          <w:sz w:val="21"/>
        </w:rPr>
      </w:pPr>
    </w:p>
    <w:p w14:paraId="44504373" w14:textId="77777777" w:rsidR="0040531B" w:rsidRPr="0040531B" w:rsidRDefault="0040531B" w:rsidP="0040531B">
      <w:pPr>
        <w:pStyle w:val="NoSpacing"/>
        <w:ind w:firstLine="360"/>
        <w:jc w:val="both"/>
        <w:rPr>
          <w:sz w:val="21"/>
        </w:rPr>
      </w:pPr>
      <w:r w:rsidRPr="0040531B">
        <w:rPr>
          <w:sz w:val="21"/>
        </w:rPr>
        <w:t xml:space="preserve">The findings imply that students are generally mindful in allocating their finances and monitoring their daily expenses. The relatively low standard deviation further suggests that many respondents consistently practice budgeting </w:t>
      </w:r>
      <w:proofErr w:type="spellStart"/>
      <w:r w:rsidRPr="0040531B">
        <w:rPr>
          <w:sz w:val="21"/>
        </w:rPr>
        <w:t>behaviors</w:t>
      </w:r>
      <w:proofErr w:type="spellEnd"/>
      <w:r w:rsidRPr="0040531B">
        <w:rPr>
          <w:sz w:val="21"/>
        </w:rPr>
        <w:t>, although some students may still experience challenges in effectively controlling their spending habits.</w:t>
      </w:r>
    </w:p>
    <w:p w14:paraId="56386BA4" w14:textId="77777777" w:rsidR="0040531B" w:rsidRPr="0040531B" w:rsidRDefault="0040531B" w:rsidP="0040531B">
      <w:pPr>
        <w:pStyle w:val="NoSpacing"/>
        <w:ind w:firstLine="360"/>
        <w:jc w:val="both"/>
        <w:rPr>
          <w:sz w:val="21"/>
        </w:rPr>
      </w:pPr>
    </w:p>
    <w:p w14:paraId="37CA395A" w14:textId="4D865CC0" w:rsidR="0040531B" w:rsidRDefault="0040531B" w:rsidP="0040531B">
      <w:pPr>
        <w:pStyle w:val="NoSpacing"/>
        <w:ind w:firstLine="360"/>
        <w:jc w:val="both"/>
        <w:rPr>
          <w:sz w:val="21"/>
        </w:rPr>
      </w:pPr>
      <w:r w:rsidRPr="0040531B">
        <w:rPr>
          <w:sz w:val="21"/>
        </w:rPr>
        <w:t>The results align with the study of (</w:t>
      </w:r>
      <w:proofErr w:type="spellStart"/>
      <w:r w:rsidRPr="0040531B">
        <w:rPr>
          <w:sz w:val="21"/>
        </w:rPr>
        <w:t>Abiera</w:t>
      </w:r>
      <w:proofErr w:type="spellEnd"/>
      <w:r w:rsidRPr="0040531B">
        <w:rPr>
          <w:sz w:val="21"/>
        </w:rPr>
        <w:t xml:space="preserve"> et al., n.d.), which found that students with higher financial literacy levels are more likely to practice disciplined budgeting and responsible financial decision-making.</w:t>
      </w:r>
    </w:p>
    <w:p w14:paraId="030E5EC8" w14:textId="77777777" w:rsidR="0040531B" w:rsidRDefault="0040531B" w:rsidP="0098165A">
      <w:pPr>
        <w:pStyle w:val="NoSpacing"/>
        <w:rPr>
          <w:sz w:val="21"/>
        </w:rPr>
      </w:pPr>
    </w:p>
    <w:p w14:paraId="72975639" w14:textId="77777777" w:rsidR="0040531B" w:rsidRDefault="0040531B" w:rsidP="0098165A">
      <w:pPr>
        <w:pStyle w:val="NoSpacing"/>
        <w:rPr>
          <w:sz w:val="21"/>
        </w:rPr>
      </w:pPr>
    </w:p>
    <w:p w14:paraId="0988F0FC" w14:textId="43535EEC" w:rsidR="0040531B" w:rsidRDefault="0040531B" w:rsidP="0040531B">
      <w:pPr>
        <w:pStyle w:val="IEEEParagraph"/>
        <w:jc w:val="center"/>
        <w:rPr>
          <w:sz w:val="20"/>
          <w:szCs w:val="20"/>
        </w:rPr>
      </w:pPr>
      <w:r w:rsidRPr="007475F4">
        <w:rPr>
          <w:sz w:val="20"/>
          <w:szCs w:val="20"/>
        </w:rPr>
        <w:t xml:space="preserve">Table </w:t>
      </w:r>
      <w:r>
        <w:rPr>
          <w:sz w:val="20"/>
          <w:szCs w:val="20"/>
        </w:rPr>
        <w:t>6</w:t>
      </w:r>
    </w:p>
    <w:p w14:paraId="220048FD" w14:textId="261D0827" w:rsidR="0040531B" w:rsidRDefault="0040531B" w:rsidP="0040531B">
      <w:pPr>
        <w:pStyle w:val="IEEEParagraph"/>
        <w:jc w:val="center"/>
        <w:rPr>
          <w:sz w:val="20"/>
          <w:szCs w:val="20"/>
        </w:rPr>
      </w:pPr>
      <w:r w:rsidRPr="0040531B">
        <w:rPr>
          <w:sz w:val="20"/>
          <w:szCs w:val="20"/>
        </w:rPr>
        <w:t xml:space="preserve">Status of Financial Management in </w:t>
      </w:r>
      <w:r>
        <w:rPr>
          <w:sz w:val="20"/>
          <w:szCs w:val="20"/>
        </w:rPr>
        <w:t>T</w:t>
      </w:r>
      <w:r w:rsidRPr="0040531B">
        <w:rPr>
          <w:sz w:val="20"/>
          <w:szCs w:val="20"/>
        </w:rPr>
        <w:t>erms of Saving Habits</w:t>
      </w:r>
    </w:p>
    <w:p w14:paraId="58B198FF" w14:textId="77777777" w:rsidR="0040531B" w:rsidRDefault="0040531B" w:rsidP="0040531B">
      <w:pPr>
        <w:pStyle w:val="IEEEParagraph"/>
        <w:jc w:val="center"/>
        <w:rPr>
          <w:sz w:val="20"/>
          <w:szCs w:val="20"/>
        </w:rPr>
      </w:pPr>
    </w:p>
    <w:tbl>
      <w:tblPr>
        <w:tblStyle w:val="PlainTable3"/>
        <w:tblW w:w="10681" w:type="dxa"/>
        <w:tblLook w:val="04A0" w:firstRow="1" w:lastRow="0" w:firstColumn="1" w:lastColumn="0" w:noHBand="0" w:noVBand="1"/>
      </w:tblPr>
      <w:tblGrid>
        <w:gridCol w:w="3780"/>
        <w:gridCol w:w="1559"/>
        <w:gridCol w:w="2671"/>
        <w:gridCol w:w="2671"/>
      </w:tblGrid>
      <w:tr w:rsidR="0040531B" w14:paraId="251556BA" w14:textId="77777777" w:rsidTr="00A878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80" w:type="dxa"/>
          </w:tcPr>
          <w:p w14:paraId="7FFCD8B7" w14:textId="77777777" w:rsidR="0040531B" w:rsidRPr="0098165A" w:rsidRDefault="0040531B" w:rsidP="00A8783A">
            <w:pPr>
              <w:pStyle w:val="IEEEParagraph"/>
              <w:ind w:firstLine="0"/>
              <w:jc w:val="center"/>
              <w:rPr>
                <w:caps w:val="0"/>
                <w:sz w:val="20"/>
                <w:szCs w:val="20"/>
              </w:rPr>
            </w:pPr>
            <w:r w:rsidRPr="0098165A">
              <w:rPr>
                <w:caps w:val="0"/>
                <w:sz w:val="20"/>
                <w:szCs w:val="20"/>
                <w:lang w:val="en-US"/>
              </w:rPr>
              <w:t>Variable</w:t>
            </w:r>
          </w:p>
        </w:tc>
        <w:tc>
          <w:tcPr>
            <w:tcW w:w="1559" w:type="dxa"/>
          </w:tcPr>
          <w:p w14:paraId="2212D746" w14:textId="77777777" w:rsidR="0040531B" w:rsidRPr="0098165A" w:rsidRDefault="0040531B" w:rsidP="00A8783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Overall Mean</w:t>
            </w:r>
          </w:p>
        </w:tc>
        <w:tc>
          <w:tcPr>
            <w:tcW w:w="2671" w:type="dxa"/>
          </w:tcPr>
          <w:p w14:paraId="47D95665" w14:textId="77777777" w:rsidR="0040531B" w:rsidRPr="0098165A" w:rsidRDefault="0040531B" w:rsidP="00A8783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Standard Deviation</w:t>
            </w:r>
          </w:p>
        </w:tc>
        <w:tc>
          <w:tcPr>
            <w:tcW w:w="2671" w:type="dxa"/>
          </w:tcPr>
          <w:p w14:paraId="77D442D8" w14:textId="77777777" w:rsidR="0040531B" w:rsidRPr="0098165A" w:rsidRDefault="0040531B" w:rsidP="00A8783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Interpretation</w:t>
            </w:r>
          </w:p>
        </w:tc>
      </w:tr>
      <w:tr w:rsidR="0040531B" w14:paraId="7C636830" w14:textId="77777777" w:rsidTr="00A87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3EACD398" w14:textId="75D909FE" w:rsidR="0040531B" w:rsidRDefault="0040531B" w:rsidP="00A8783A">
            <w:pPr>
              <w:pStyle w:val="thesis"/>
              <w:spacing w:line="240" w:lineRule="auto"/>
              <w:jc w:val="center"/>
              <w:rPr>
                <w:sz w:val="20"/>
                <w:szCs w:val="20"/>
              </w:rPr>
            </w:pPr>
            <w:r>
              <w:rPr>
                <w:rFonts w:ascii="Times New Roman" w:hAnsi="Times New Roman"/>
                <w:b w:val="0"/>
                <w:caps w:val="0"/>
                <w:sz w:val="20"/>
                <w:szCs w:val="20"/>
                <w:lang w:val="en-US"/>
              </w:rPr>
              <w:t>Saving Habits</w:t>
            </w:r>
          </w:p>
        </w:tc>
        <w:tc>
          <w:tcPr>
            <w:tcW w:w="1559" w:type="dxa"/>
          </w:tcPr>
          <w:p w14:paraId="073E46A3" w14:textId="26B50274" w:rsidR="0040531B" w:rsidRDefault="0040531B" w:rsidP="00A8783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n-US"/>
              </w:rPr>
              <w:t>2.85</w:t>
            </w:r>
          </w:p>
        </w:tc>
        <w:tc>
          <w:tcPr>
            <w:tcW w:w="2671" w:type="dxa"/>
          </w:tcPr>
          <w:p w14:paraId="7B289B93" w14:textId="4B42E9AB" w:rsidR="0040531B" w:rsidRDefault="0040531B" w:rsidP="00A8783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n-US"/>
              </w:rPr>
              <w:t>0.</w:t>
            </w:r>
            <w:r>
              <w:rPr>
                <w:sz w:val="20"/>
                <w:szCs w:val="20"/>
                <w:lang w:val="en-US"/>
              </w:rPr>
              <w:t>48</w:t>
            </w:r>
          </w:p>
        </w:tc>
        <w:tc>
          <w:tcPr>
            <w:tcW w:w="2671" w:type="dxa"/>
          </w:tcPr>
          <w:p w14:paraId="5FE557BA" w14:textId="77777777" w:rsidR="0040531B" w:rsidRDefault="0040531B" w:rsidP="00A8783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7475F4">
              <w:rPr>
                <w:sz w:val="20"/>
                <w:szCs w:val="20"/>
                <w:lang w:val="en-US"/>
              </w:rPr>
              <w:t>High</w:t>
            </w:r>
          </w:p>
        </w:tc>
      </w:tr>
    </w:tbl>
    <w:p w14:paraId="0CA0EFAE" w14:textId="0219F23D" w:rsidR="0040531B" w:rsidRDefault="0040531B" w:rsidP="0040531B">
      <w:pPr>
        <w:pStyle w:val="NoSpacing"/>
        <w:rPr>
          <w:sz w:val="21"/>
        </w:rPr>
      </w:pPr>
    </w:p>
    <w:p w14:paraId="637FBEAC" w14:textId="7A996EE2" w:rsidR="0040531B" w:rsidRPr="0040531B" w:rsidRDefault="0040531B" w:rsidP="0040531B">
      <w:pPr>
        <w:pStyle w:val="NoSpacing"/>
        <w:ind w:firstLine="360"/>
        <w:jc w:val="both"/>
        <w:rPr>
          <w:sz w:val="21"/>
        </w:rPr>
      </w:pPr>
      <w:r w:rsidRPr="0040531B">
        <w:rPr>
          <w:sz w:val="21"/>
        </w:rPr>
        <w:t xml:space="preserve">The findings presented in Table </w:t>
      </w:r>
      <w:r>
        <w:rPr>
          <w:sz w:val="21"/>
        </w:rPr>
        <w:t>6</w:t>
      </w:r>
      <w:r w:rsidRPr="0040531B">
        <w:rPr>
          <w:sz w:val="21"/>
        </w:rPr>
        <w:t xml:space="preserve"> show that the respondents obtained an overall mean of 2.85 with a standard deviation of 0.48, interpreted as High. This indicates that students commonly practice saving habits and recognize the importance of financial preparedness.</w:t>
      </w:r>
    </w:p>
    <w:p w14:paraId="36C2B71C" w14:textId="77777777" w:rsidR="0040531B" w:rsidRPr="0040531B" w:rsidRDefault="0040531B" w:rsidP="0040531B">
      <w:pPr>
        <w:pStyle w:val="NoSpacing"/>
        <w:ind w:firstLine="360"/>
        <w:jc w:val="both"/>
        <w:rPr>
          <w:sz w:val="21"/>
        </w:rPr>
      </w:pPr>
    </w:p>
    <w:p w14:paraId="66F772DA" w14:textId="77777777" w:rsidR="0040531B" w:rsidRPr="0040531B" w:rsidRDefault="0040531B" w:rsidP="0040531B">
      <w:pPr>
        <w:pStyle w:val="NoSpacing"/>
        <w:ind w:firstLine="360"/>
        <w:jc w:val="both"/>
        <w:rPr>
          <w:sz w:val="21"/>
        </w:rPr>
      </w:pPr>
      <w:r w:rsidRPr="0040531B">
        <w:rPr>
          <w:sz w:val="21"/>
        </w:rPr>
        <w:t xml:space="preserve">The results suggest that many students allocate a portion of their allowance or income for future financial needs and emergencies. The low standard deviation indicates that respondents generally share similar saving </w:t>
      </w:r>
      <w:proofErr w:type="spellStart"/>
      <w:r w:rsidRPr="0040531B">
        <w:rPr>
          <w:sz w:val="21"/>
        </w:rPr>
        <w:t>behaviors</w:t>
      </w:r>
      <w:proofErr w:type="spellEnd"/>
      <w:r w:rsidRPr="0040531B">
        <w:rPr>
          <w:sz w:val="21"/>
        </w:rPr>
        <w:t>, although some students save more consistently than others.</w:t>
      </w:r>
    </w:p>
    <w:p w14:paraId="3DFE128D" w14:textId="77777777" w:rsidR="0040531B" w:rsidRPr="0040531B" w:rsidRDefault="0040531B" w:rsidP="0040531B">
      <w:pPr>
        <w:pStyle w:val="NoSpacing"/>
        <w:ind w:firstLine="360"/>
        <w:jc w:val="both"/>
        <w:rPr>
          <w:sz w:val="21"/>
        </w:rPr>
      </w:pPr>
    </w:p>
    <w:p w14:paraId="386EAEAE" w14:textId="571A80A4" w:rsidR="0040531B" w:rsidRDefault="0040531B" w:rsidP="0040531B">
      <w:pPr>
        <w:pStyle w:val="NoSpacing"/>
        <w:ind w:firstLine="360"/>
        <w:jc w:val="both"/>
        <w:rPr>
          <w:sz w:val="21"/>
        </w:rPr>
      </w:pPr>
      <w:r w:rsidRPr="0040531B">
        <w:rPr>
          <w:sz w:val="21"/>
        </w:rPr>
        <w:t>This supports the findings of (</w:t>
      </w:r>
      <w:proofErr w:type="spellStart"/>
      <w:r w:rsidRPr="0040531B">
        <w:rPr>
          <w:sz w:val="21"/>
        </w:rPr>
        <w:t>Apreal</w:t>
      </w:r>
      <w:proofErr w:type="spellEnd"/>
      <w:r w:rsidRPr="0040531B">
        <w:rPr>
          <w:sz w:val="21"/>
        </w:rPr>
        <w:t xml:space="preserve"> Marjorie </w:t>
      </w:r>
      <w:proofErr w:type="spellStart"/>
      <w:r w:rsidRPr="0040531B">
        <w:rPr>
          <w:sz w:val="21"/>
        </w:rPr>
        <w:t>Bisquera</w:t>
      </w:r>
      <w:proofErr w:type="spellEnd"/>
      <w:r w:rsidRPr="0040531B">
        <w:rPr>
          <w:sz w:val="21"/>
        </w:rPr>
        <w:t xml:space="preserve"> Silva et al., 2024a), which emphasized that students with stronger digital financial literacy demonstrate more responsible saving practices and better financial preparedness.</w:t>
      </w:r>
    </w:p>
    <w:p w14:paraId="7E710B30" w14:textId="77777777" w:rsidR="0040531B" w:rsidRDefault="0040531B" w:rsidP="0098165A">
      <w:pPr>
        <w:pStyle w:val="NoSpacing"/>
        <w:rPr>
          <w:sz w:val="21"/>
        </w:rPr>
      </w:pPr>
    </w:p>
    <w:p w14:paraId="029569F2" w14:textId="087A9B96" w:rsidR="0040531B" w:rsidRDefault="0040531B" w:rsidP="0040531B">
      <w:pPr>
        <w:pStyle w:val="IEEEParagraph"/>
        <w:jc w:val="center"/>
        <w:rPr>
          <w:sz w:val="20"/>
          <w:szCs w:val="20"/>
        </w:rPr>
      </w:pPr>
      <w:r w:rsidRPr="007475F4">
        <w:rPr>
          <w:sz w:val="20"/>
          <w:szCs w:val="20"/>
        </w:rPr>
        <w:t xml:space="preserve">Table </w:t>
      </w:r>
      <w:r>
        <w:rPr>
          <w:sz w:val="20"/>
          <w:szCs w:val="20"/>
        </w:rPr>
        <w:t>7</w:t>
      </w:r>
    </w:p>
    <w:p w14:paraId="390E18CB" w14:textId="7D6C2DE3" w:rsidR="0040531B" w:rsidRDefault="0040531B" w:rsidP="0040531B">
      <w:pPr>
        <w:pStyle w:val="IEEEParagraph"/>
        <w:jc w:val="center"/>
        <w:rPr>
          <w:sz w:val="20"/>
          <w:szCs w:val="20"/>
        </w:rPr>
      </w:pPr>
      <w:r w:rsidRPr="0040531B">
        <w:rPr>
          <w:sz w:val="20"/>
          <w:szCs w:val="20"/>
        </w:rPr>
        <w:t xml:space="preserve">Status of Financial Management in </w:t>
      </w:r>
      <w:r>
        <w:rPr>
          <w:sz w:val="20"/>
          <w:szCs w:val="20"/>
        </w:rPr>
        <w:t>T</w:t>
      </w:r>
      <w:r w:rsidRPr="0040531B">
        <w:rPr>
          <w:sz w:val="20"/>
          <w:szCs w:val="20"/>
        </w:rPr>
        <w:t xml:space="preserve">erms of </w:t>
      </w:r>
      <w:r>
        <w:rPr>
          <w:sz w:val="20"/>
          <w:szCs w:val="20"/>
        </w:rPr>
        <w:t>Spending</w:t>
      </w:r>
      <w:r w:rsidRPr="0040531B">
        <w:rPr>
          <w:sz w:val="20"/>
          <w:szCs w:val="20"/>
        </w:rPr>
        <w:t xml:space="preserve"> Habits</w:t>
      </w:r>
    </w:p>
    <w:p w14:paraId="6CDA0035" w14:textId="77777777" w:rsidR="0040531B" w:rsidRDefault="0040531B" w:rsidP="0040531B">
      <w:pPr>
        <w:pStyle w:val="IEEEParagraph"/>
        <w:jc w:val="center"/>
        <w:rPr>
          <w:sz w:val="20"/>
          <w:szCs w:val="20"/>
        </w:rPr>
      </w:pPr>
    </w:p>
    <w:tbl>
      <w:tblPr>
        <w:tblStyle w:val="PlainTable3"/>
        <w:tblW w:w="10681" w:type="dxa"/>
        <w:tblLook w:val="04A0" w:firstRow="1" w:lastRow="0" w:firstColumn="1" w:lastColumn="0" w:noHBand="0" w:noVBand="1"/>
      </w:tblPr>
      <w:tblGrid>
        <w:gridCol w:w="3780"/>
        <w:gridCol w:w="1559"/>
        <w:gridCol w:w="2671"/>
        <w:gridCol w:w="2671"/>
      </w:tblGrid>
      <w:tr w:rsidR="0040531B" w14:paraId="07ACA50D" w14:textId="77777777" w:rsidTr="00A878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80" w:type="dxa"/>
          </w:tcPr>
          <w:p w14:paraId="0246E7A5" w14:textId="77777777" w:rsidR="0040531B" w:rsidRPr="0098165A" w:rsidRDefault="0040531B" w:rsidP="00A8783A">
            <w:pPr>
              <w:pStyle w:val="IEEEParagraph"/>
              <w:ind w:firstLine="0"/>
              <w:jc w:val="center"/>
              <w:rPr>
                <w:caps w:val="0"/>
                <w:sz w:val="20"/>
                <w:szCs w:val="20"/>
              </w:rPr>
            </w:pPr>
            <w:r w:rsidRPr="0098165A">
              <w:rPr>
                <w:caps w:val="0"/>
                <w:sz w:val="20"/>
                <w:szCs w:val="20"/>
                <w:lang w:val="en-US"/>
              </w:rPr>
              <w:t>Variable</w:t>
            </w:r>
          </w:p>
        </w:tc>
        <w:tc>
          <w:tcPr>
            <w:tcW w:w="1559" w:type="dxa"/>
          </w:tcPr>
          <w:p w14:paraId="7531581D" w14:textId="77777777" w:rsidR="0040531B" w:rsidRPr="0098165A" w:rsidRDefault="0040531B" w:rsidP="00A8783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Overall Mean</w:t>
            </w:r>
          </w:p>
        </w:tc>
        <w:tc>
          <w:tcPr>
            <w:tcW w:w="2671" w:type="dxa"/>
          </w:tcPr>
          <w:p w14:paraId="010E5311" w14:textId="77777777" w:rsidR="0040531B" w:rsidRPr="0098165A" w:rsidRDefault="0040531B" w:rsidP="00A8783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Standard Deviation</w:t>
            </w:r>
          </w:p>
        </w:tc>
        <w:tc>
          <w:tcPr>
            <w:tcW w:w="2671" w:type="dxa"/>
          </w:tcPr>
          <w:p w14:paraId="1D956767" w14:textId="77777777" w:rsidR="0040531B" w:rsidRPr="0098165A" w:rsidRDefault="0040531B" w:rsidP="00A8783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Interpretation</w:t>
            </w:r>
          </w:p>
        </w:tc>
      </w:tr>
      <w:tr w:rsidR="0040531B" w14:paraId="23D5633E" w14:textId="77777777" w:rsidTr="00A87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05449F68" w14:textId="29A42EFB" w:rsidR="0040531B" w:rsidRDefault="0040531B" w:rsidP="00A8783A">
            <w:pPr>
              <w:pStyle w:val="thesis"/>
              <w:spacing w:line="240" w:lineRule="auto"/>
              <w:jc w:val="center"/>
              <w:rPr>
                <w:sz w:val="20"/>
                <w:szCs w:val="20"/>
              </w:rPr>
            </w:pPr>
            <w:r>
              <w:rPr>
                <w:rFonts w:ascii="Times New Roman" w:hAnsi="Times New Roman"/>
                <w:b w:val="0"/>
                <w:caps w:val="0"/>
                <w:sz w:val="20"/>
                <w:szCs w:val="20"/>
                <w:lang w:val="en-US"/>
              </w:rPr>
              <w:t>Spending</w:t>
            </w:r>
            <w:r>
              <w:rPr>
                <w:rFonts w:ascii="Times New Roman" w:hAnsi="Times New Roman"/>
                <w:b w:val="0"/>
                <w:caps w:val="0"/>
                <w:sz w:val="20"/>
                <w:szCs w:val="20"/>
                <w:lang w:val="en-US"/>
              </w:rPr>
              <w:t xml:space="preserve"> Habits</w:t>
            </w:r>
          </w:p>
        </w:tc>
        <w:tc>
          <w:tcPr>
            <w:tcW w:w="1559" w:type="dxa"/>
          </w:tcPr>
          <w:p w14:paraId="34A4130A" w14:textId="180E7A80" w:rsidR="0040531B" w:rsidRDefault="0040531B" w:rsidP="00A8783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n-US"/>
              </w:rPr>
              <w:t>3.41</w:t>
            </w:r>
          </w:p>
        </w:tc>
        <w:tc>
          <w:tcPr>
            <w:tcW w:w="2671" w:type="dxa"/>
          </w:tcPr>
          <w:p w14:paraId="157B35F3" w14:textId="777B0AF6" w:rsidR="0040531B" w:rsidRDefault="0040531B" w:rsidP="00A8783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n-US"/>
              </w:rPr>
              <w:t>0.62</w:t>
            </w:r>
          </w:p>
        </w:tc>
        <w:tc>
          <w:tcPr>
            <w:tcW w:w="2671" w:type="dxa"/>
          </w:tcPr>
          <w:p w14:paraId="32D155CD" w14:textId="6E862691" w:rsidR="0040531B" w:rsidRDefault="0040531B" w:rsidP="00A8783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n-US"/>
              </w:rPr>
              <w:t xml:space="preserve">Very </w:t>
            </w:r>
            <w:r w:rsidRPr="007475F4">
              <w:rPr>
                <w:sz w:val="20"/>
                <w:szCs w:val="20"/>
                <w:lang w:val="en-US"/>
              </w:rPr>
              <w:t>High</w:t>
            </w:r>
          </w:p>
        </w:tc>
      </w:tr>
    </w:tbl>
    <w:p w14:paraId="4C4D0179" w14:textId="1AAB150C" w:rsidR="0040531B" w:rsidRDefault="0040531B" w:rsidP="0040531B">
      <w:pPr>
        <w:pStyle w:val="NoSpacing"/>
        <w:rPr>
          <w:sz w:val="21"/>
        </w:rPr>
      </w:pPr>
    </w:p>
    <w:p w14:paraId="5D4F276E" w14:textId="4599C1CC" w:rsidR="0040531B" w:rsidRPr="0040531B" w:rsidRDefault="0040531B" w:rsidP="0040531B">
      <w:pPr>
        <w:pStyle w:val="NoSpacing"/>
        <w:ind w:firstLine="360"/>
        <w:jc w:val="both"/>
        <w:rPr>
          <w:sz w:val="21"/>
        </w:rPr>
      </w:pPr>
      <w:r w:rsidRPr="0040531B">
        <w:rPr>
          <w:sz w:val="21"/>
        </w:rPr>
        <w:t xml:space="preserve">The findings presented in Table </w:t>
      </w:r>
      <w:r>
        <w:rPr>
          <w:sz w:val="21"/>
        </w:rPr>
        <w:t>7</w:t>
      </w:r>
      <w:r w:rsidRPr="0040531B">
        <w:rPr>
          <w:sz w:val="21"/>
        </w:rPr>
        <w:t xml:space="preserve"> reveal that the respondents obtained an overall mean of 3.41 with a standard deviation of 0.62, interpreted as Very High. This indicates that students consistently demonstrate responsible spending habits and proper management of their financial obligations.</w:t>
      </w:r>
    </w:p>
    <w:p w14:paraId="40A89362" w14:textId="77777777" w:rsidR="0040531B" w:rsidRPr="0040531B" w:rsidRDefault="0040531B" w:rsidP="0040531B">
      <w:pPr>
        <w:pStyle w:val="NoSpacing"/>
        <w:ind w:firstLine="360"/>
        <w:jc w:val="both"/>
        <w:rPr>
          <w:sz w:val="21"/>
        </w:rPr>
      </w:pPr>
    </w:p>
    <w:p w14:paraId="1E2AEA13" w14:textId="77777777" w:rsidR="0040531B" w:rsidRPr="0040531B" w:rsidRDefault="0040531B" w:rsidP="0040531B">
      <w:pPr>
        <w:pStyle w:val="NoSpacing"/>
        <w:ind w:firstLine="360"/>
        <w:jc w:val="both"/>
        <w:rPr>
          <w:sz w:val="21"/>
        </w:rPr>
      </w:pPr>
      <w:r w:rsidRPr="0040531B">
        <w:rPr>
          <w:sz w:val="21"/>
        </w:rPr>
        <w:t xml:space="preserve">The results imply that students regularly monitor their expenses and practice careful financial decision-making before making purchases. The standard deviation further suggests that most respondents exhibit similar positive spending </w:t>
      </w:r>
      <w:proofErr w:type="spellStart"/>
      <w:r w:rsidRPr="0040531B">
        <w:rPr>
          <w:sz w:val="21"/>
        </w:rPr>
        <w:t>behaviors</w:t>
      </w:r>
      <w:proofErr w:type="spellEnd"/>
      <w:r w:rsidRPr="0040531B">
        <w:rPr>
          <w:sz w:val="21"/>
        </w:rPr>
        <w:t>, although slight variations in financial practices remain evident among some students.</w:t>
      </w:r>
    </w:p>
    <w:p w14:paraId="6F629BB6" w14:textId="77777777" w:rsidR="0040531B" w:rsidRPr="0040531B" w:rsidRDefault="0040531B" w:rsidP="0040531B">
      <w:pPr>
        <w:pStyle w:val="NoSpacing"/>
        <w:ind w:firstLine="360"/>
        <w:jc w:val="both"/>
        <w:rPr>
          <w:sz w:val="21"/>
        </w:rPr>
      </w:pPr>
    </w:p>
    <w:p w14:paraId="6C899927" w14:textId="0F4628BC" w:rsidR="19255D54" w:rsidRDefault="0040531B" w:rsidP="0040531B">
      <w:pPr>
        <w:pStyle w:val="NoSpacing"/>
        <w:ind w:firstLine="360"/>
        <w:jc w:val="both"/>
        <w:rPr>
          <w:sz w:val="21"/>
        </w:rPr>
      </w:pPr>
      <w:r w:rsidRPr="0040531B">
        <w:rPr>
          <w:sz w:val="21"/>
        </w:rPr>
        <w:t>The findings suggest that students are becoming more financially aware and cautious in handling their finances, particularly in a digital environment where online transactions and cashless payments are increasingly common.</w:t>
      </w:r>
    </w:p>
    <w:p w14:paraId="38D97E78" w14:textId="437D0905" w:rsidR="0E8C25E3" w:rsidRPr="0040531B" w:rsidRDefault="030E9EDF" w:rsidP="44ABC72F">
      <w:pPr>
        <w:pStyle w:val="Heading2"/>
        <w:spacing w:before="360" w:after="80"/>
        <w:rPr>
          <w:sz w:val="20"/>
          <w:szCs w:val="20"/>
        </w:rPr>
      </w:pPr>
      <w:r w:rsidRPr="0040531B">
        <w:rPr>
          <w:rFonts w:ascii="Times New Roman" w:eastAsia="Times New Roman" w:hAnsi="Times New Roman" w:cs="Times New Roman"/>
          <w:iCs w:val="0"/>
          <w:color w:val="000000" w:themeColor="text1"/>
          <w:sz w:val="20"/>
          <w:szCs w:val="20"/>
        </w:rPr>
        <w:t>C. Relationship between Information Accessibility and Information Comprehension</w:t>
      </w:r>
    </w:p>
    <w:p w14:paraId="07B84C5E" w14:textId="77777777" w:rsidR="00557E7A" w:rsidRDefault="00557E7A" w:rsidP="00557E7A">
      <w:pPr>
        <w:pStyle w:val="NoSpacing"/>
      </w:pPr>
    </w:p>
    <w:p w14:paraId="062E386D" w14:textId="3E72810D" w:rsidR="00557E7A" w:rsidRDefault="00557E7A" w:rsidP="00557E7A">
      <w:pPr>
        <w:pStyle w:val="IEEEParagraph"/>
        <w:jc w:val="center"/>
        <w:rPr>
          <w:sz w:val="20"/>
          <w:szCs w:val="20"/>
        </w:rPr>
      </w:pPr>
      <w:r w:rsidRPr="007475F4">
        <w:rPr>
          <w:sz w:val="20"/>
          <w:szCs w:val="20"/>
        </w:rPr>
        <w:t xml:space="preserve">Table </w:t>
      </w:r>
      <w:r>
        <w:rPr>
          <w:sz w:val="20"/>
          <w:szCs w:val="20"/>
        </w:rPr>
        <w:t>8</w:t>
      </w:r>
    </w:p>
    <w:p w14:paraId="36375443" w14:textId="2BDE8F46" w:rsidR="00557E7A" w:rsidRDefault="00557E7A" w:rsidP="00557E7A">
      <w:pPr>
        <w:pStyle w:val="IEEEParagraph"/>
        <w:jc w:val="center"/>
        <w:rPr>
          <w:sz w:val="20"/>
          <w:szCs w:val="20"/>
        </w:rPr>
      </w:pPr>
      <w:r w:rsidRPr="00557E7A">
        <w:rPr>
          <w:sz w:val="20"/>
          <w:szCs w:val="20"/>
        </w:rPr>
        <w:t>Information Accessibility and Information Comprehension</w:t>
      </w:r>
    </w:p>
    <w:p w14:paraId="03A85DB1" w14:textId="77777777" w:rsidR="00557E7A" w:rsidRDefault="00557E7A" w:rsidP="00557E7A">
      <w:pPr>
        <w:pStyle w:val="IEEEParagraph"/>
        <w:jc w:val="center"/>
        <w:rPr>
          <w:sz w:val="20"/>
          <w:szCs w:val="20"/>
        </w:rPr>
      </w:pPr>
    </w:p>
    <w:tbl>
      <w:tblPr>
        <w:tblStyle w:val="PlainTable3"/>
        <w:tblW w:w="10681" w:type="dxa"/>
        <w:tblLook w:val="04A0" w:firstRow="1" w:lastRow="0" w:firstColumn="1" w:lastColumn="0" w:noHBand="0" w:noVBand="1"/>
      </w:tblPr>
      <w:tblGrid>
        <w:gridCol w:w="3780"/>
        <w:gridCol w:w="1559"/>
        <w:gridCol w:w="2671"/>
        <w:gridCol w:w="2671"/>
      </w:tblGrid>
      <w:tr w:rsidR="00557E7A" w14:paraId="40640294" w14:textId="77777777" w:rsidTr="00A878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80" w:type="dxa"/>
          </w:tcPr>
          <w:p w14:paraId="6D1F107C" w14:textId="77777777" w:rsidR="00557E7A" w:rsidRPr="0098165A" w:rsidRDefault="00557E7A" w:rsidP="00A8783A">
            <w:pPr>
              <w:pStyle w:val="IEEEParagraph"/>
              <w:ind w:firstLine="0"/>
              <w:jc w:val="center"/>
              <w:rPr>
                <w:caps w:val="0"/>
                <w:sz w:val="20"/>
                <w:szCs w:val="20"/>
              </w:rPr>
            </w:pPr>
            <w:r w:rsidRPr="0098165A">
              <w:rPr>
                <w:caps w:val="0"/>
                <w:sz w:val="20"/>
                <w:szCs w:val="20"/>
                <w:lang w:val="en-US"/>
              </w:rPr>
              <w:t>Variable</w:t>
            </w:r>
          </w:p>
        </w:tc>
        <w:tc>
          <w:tcPr>
            <w:tcW w:w="1559" w:type="dxa"/>
          </w:tcPr>
          <w:p w14:paraId="5BC8664C" w14:textId="77777777" w:rsidR="00557E7A" w:rsidRPr="0098165A" w:rsidRDefault="00557E7A" w:rsidP="00A8783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Overall Mean</w:t>
            </w:r>
          </w:p>
        </w:tc>
        <w:tc>
          <w:tcPr>
            <w:tcW w:w="2671" w:type="dxa"/>
          </w:tcPr>
          <w:p w14:paraId="32095830" w14:textId="77777777" w:rsidR="00557E7A" w:rsidRPr="0098165A" w:rsidRDefault="00557E7A" w:rsidP="00A8783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Standard Deviation</w:t>
            </w:r>
          </w:p>
        </w:tc>
        <w:tc>
          <w:tcPr>
            <w:tcW w:w="2671" w:type="dxa"/>
          </w:tcPr>
          <w:p w14:paraId="2B88F677" w14:textId="77777777" w:rsidR="00557E7A" w:rsidRPr="0098165A" w:rsidRDefault="00557E7A" w:rsidP="00A8783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Interpretation</w:t>
            </w:r>
          </w:p>
        </w:tc>
      </w:tr>
      <w:tr w:rsidR="00557E7A" w14:paraId="4FE4AFC4" w14:textId="77777777" w:rsidTr="00A87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57C3CF51" w14:textId="3D825834" w:rsidR="00557E7A" w:rsidRDefault="00557E7A" w:rsidP="00A8783A">
            <w:pPr>
              <w:pStyle w:val="thesis"/>
              <w:spacing w:line="240" w:lineRule="auto"/>
              <w:jc w:val="center"/>
              <w:rPr>
                <w:sz w:val="20"/>
                <w:szCs w:val="20"/>
              </w:rPr>
            </w:pPr>
            <w:r>
              <w:rPr>
                <w:rFonts w:ascii="Times New Roman" w:hAnsi="Times New Roman"/>
                <w:b w:val="0"/>
                <w:caps w:val="0"/>
                <w:sz w:val="20"/>
                <w:szCs w:val="20"/>
                <w:lang w:val="en-US"/>
              </w:rPr>
              <w:t xml:space="preserve">Information Accessibility </w:t>
            </w:r>
          </w:p>
        </w:tc>
        <w:tc>
          <w:tcPr>
            <w:tcW w:w="1559" w:type="dxa"/>
          </w:tcPr>
          <w:p w14:paraId="0DF53151" w14:textId="6E2CAE91" w:rsidR="00557E7A" w:rsidRDefault="00557E7A" w:rsidP="00A8783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n-US"/>
              </w:rPr>
              <w:t>2.89</w:t>
            </w:r>
          </w:p>
        </w:tc>
        <w:tc>
          <w:tcPr>
            <w:tcW w:w="2671" w:type="dxa"/>
          </w:tcPr>
          <w:p w14:paraId="1271B091" w14:textId="19E2E2A9" w:rsidR="00557E7A" w:rsidRDefault="00557E7A" w:rsidP="00A8783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n-US"/>
              </w:rPr>
              <w:t>0.73</w:t>
            </w:r>
          </w:p>
        </w:tc>
        <w:tc>
          <w:tcPr>
            <w:tcW w:w="2671" w:type="dxa"/>
          </w:tcPr>
          <w:p w14:paraId="2E8F70BC" w14:textId="30FE641D" w:rsidR="00557E7A" w:rsidRDefault="00557E7A" w:rsidP="00A8783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n-US"/>
              </w:rPr>
              <w:t>High</w:t>
            </w:r>
          </w:p>
        </w:tc>
      </w:tr>
      <w:tr w:rsidR="00557E7A" w14:paraId="5EBAC0C6" w14:textId="77777777" w:rsidTr="00A8783A">
        <w:tc>
          <w:tcPr>
            <w:cnfStyle w:val="001000000000" w:firstRow="0" w:lastRow="0" w:firstColumn="1" w:lastColumn="0" w:oddVBand="0" w:evenVBand="0" w:oddHBand="0" w:evenHBand="0" w:firstRowFirstColumn="0" w:firstRowLastColumn="0" w:lastRowFirstColumn="0" w:lastRowLastColumn="0"/>
            <w:tcW w:w="3780" w:type="dxa"/>
          </w:tcPr>
          <w:p w14:paraId="06D880F2" w14:textId="2D712339" w:rsidR="00557E7A" w:rsidRDefault="00557E7A" w:rsidP="00A8783A">
            <w:pPr>
              <w:pStyle w:val="thesis"/>
              <w:spacing w:line="240" w:lineRule="auto"/>
              <w:jc w:val="center"/>
              <w:rPr>
                <w:rFonts w:ascii="Times New Roman" w:hAnsi="Times New Roman"/>
                <w:b w:val="0"/>
                <w:caps w:val="0"/>
                <w:sz w:val="20"/>
                <w:szCs w:val="20"/>
                <w:lang w:val="en-US"/>
              </w:rPr>
            </w:pPr>
            <w:r>
              <w:rPr>
                <w:rFonts w:ascii="Times New Roman" w:hAnsi="Times New Roman"/>
                <w:b w:val="0"/>
                <w:caps w:val="0"/>
                <w:sz w:val="20"/>
                <w:szCs w:val="20"/>
                <w:lang w:val="en-US"/>
              </w:rPr>
              <w:t>Information Competence</w:t>
            </w:r>
          </w:p>
        </w:tc>
        <w:tc>
          <w:tcPr>
            <w:tcW w:w="1559" w:type="dxa"/>
          </w:tcPr>
          <w:p w14:paraId="3AD765B5" w14:textId="2462EFEB" w:rsidR="00557E7A" w:rsidRDefault="00557E7A" w:rsidP="00A8783A">
            <w:pPr>
              <w:pStyle w:val="IEEEParagraph"/>
              <w:ind w:firstLine="0"/>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3.42</w:t>
            </w:r>
          </w:p>
        </w:tc>
        <w:tc>
          <w:tcPr>
            <w:tcW w:w="2671" w:type="dxa"/>
          </w:tcPr>
          <w:p w14:paraId="7465A785" w14:textId="058AF868" w:rsidR="00557E7A" w:rsidRDefault="00557E7A" w:rsidP="00A8783A">
            <w:pPr>
              <w:pStyle w:val="IEEEParagraph"/>
              <w:ind w:firstLine="0"/>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0.72</w:t>
            </w:r>
          </w:p>
        </w:tc>
        <w:tc>
          <w:tcPr>
            <w:tcW w:w="2671" w:type="dxa"/>
          </w:tcPr>
          <w:p w14:paraId="7AD88031" w14:textId="50442DE1" w:rsidR="00557E7A" w:rsidRDefault="00557E7A" w:rsidP="00A8783A">
            <w:pPr>
              <w:pStyle w:val="IEEEParagraph"/>
              <w:ind w:firstLine="0"/>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Very High</w:t>
            </w:r>
          </w:p>
        </w:tc>
      </w:tr>
    </w:tbl>
    <w:p w14:paraId="1337D962" w14:textId="77777777" w:rsidR="00557E7A" w:rsidRDefault="00557E7A" w:rsidP="00557E7A">
      <w:pPr>
        <w:pStyle w:val="NoSpacing"/>
        <w:rPr>
          <w:sz w:val="21"/>
        </w:rPr>
      </w:pPr>
    </w:p>
    <w:p w14:paraId="4104229E" w14:textId="24B52950" w:rsidR="00557E7A" w:rsidRDefault="00557E7A" w:rsidP="00557E7A">
      <w:pPr>
        <w:pStyle w:val="NoSpacing"/>
      </w:pPr>
    </w:p>
    <w:p w14:paraId="54FEAD70" w14:textId="77777777" w:rsidR="00557E7A" w:rsidRDefault="00557E7A" w:rsidP="00557E7A">
      <w:pPr>
        <w:pStyle w:val="NoSpacing"/>
      </w:pPr>
    </w:p>
    <w:p w14:paraId="59B81E99" w14:textId="38CFE7FB" w:rsidR="00557E7A" w:rsidRPr="00557E7A" w:rsidRDefault="00557E7A" w:rsidP="001E53EF">
      <w:pPr>
        <w:pStyle w:val="NoSpacing"/>
        <w:ind w:firstLine="360"/>
        <w:rPr>
          <w:b/>
          <w:i/>
          <w:sz w:val="20"/>
          <w:szCs w:val="20"/>
        </w:rPr>
      </w:pPr>
      <w:r w:rsidRPr="00557E7A">
        <w:rPr>
          <w:b/>
          <w:i/>
          <w:sz w:val="20"/>
          <w:szCs w:val="20"/>
        </w:rPr>
        <w:t>Gap Analysis between Information Accessibility and Information Comprehension</w:t>
      </w:r>
    </w:p>
    <w:p w14:paraId="5173CB86" w14:textId="1B034913" w:rsidR="00557E7A" w:rsidRDefault="00557E7A" w:rsidP="00557E7A">
      <w:pPr>
        <w:pStyle w:val="NoSpacing"/>
        <w:ind w:left="720"/>
        <w:rPr>
          <w:sz w:val="20"/>
          <w:szCs w:val="20"/>
        </w:rPr>
      </w:pPr>
    </w:p>
    <w:p w14:paraId="68171CEA" w14:textId="0D1D5D96" w:rsidR="00557E7A" w:rsidRDefault="00557E7A" w:rsidP="00557E7A">
      <w:pPr>
        <w:pStyle w:val="NoSpacing"/>
        <w:ind w:left="720"/>
        <w:rPr>
          <w:sz w:val="20"/>
          <w:szCs w:val="20"/>
        </w:rPr>
      </w:pPr>
      <w:r>
        <w:rPr>
          <w:sz w:val="20"/>
          <w:szCs w:val="20"/>
        </w:rPr>
        <w:t xml:space="preserve">The gap was computed using: </w:t>
      </w:r>
    </w:p>
    <w:p w14:paraId="3A9BF1CC" w14:textId="0B9802B1" w:rsidR="00557E7A" w:rsidRDefault="00557E7A" w:rsidP="00557E7A">
      <w:pPr>
        <w:pStyle w:val="NoSpacing"/>
        <w:ind w:left="720"/>
        <w:rPr>
          <w:sz w:val="20"/>
          <w:szCs w:val="20"/>
        </w:rPr>
      </w:pPr>
    </w:p>
    <w:p w14:paraId="4A522CEE" w14:textId="28D72A91" w:rsidR="00557E7A" w:rsidRDefault="00557E7A" w:rsidP="00557E7A">
      <w:pPr>
        <w:pStyle w:val="NoSpacing"/>
        <w:ind w:left="1440"/>
        <w:rPr>
          <w:sz w:val="20"/>
          <w:szCs w:val="20"/>
        </w:rPr>
      </w:pPr>
      <w:r>
        <w:rPr>
          <w:sz w:val="20"/>
          <w:szCs w:val="20"/>
        </w:rPr>
        <w:t xml:space="preserve">Gap = Accessibility Score – Comprehension Score </w:t>
      </w:r>
    </w:p>
    <w:p w14:paraId="5834130C" w14:textId="2F5B62F8" w:rsidR="00557E7A" w:rsidRDefault="00557E7A" w:rsidP="00557E7A">
      <w:pPr>
        <w:pStyle w:val="NoSpacing"/>
        <w:ind w:left="1440"/>
        <w:rPr>
          <w:sz w:val="20"/>
          <w:szCs w:val="20"/>
        </w:rPr>
      </w:pPr>
      <w:r>
        <w:rPr>
          <w:sz w:val="20"/>
          <w:szCs w:val="20"/>
        </w:rPr>
        <w:t>Gap = 2.89-4.42</w:t>
      </w:r>
    </w:p>
    <w:p w14:paraId="2BA93B48" w14:textId="547EC9D3" w:rsidR="00557E7A" w:rsidRDefault="00557E7A" w:rsidP="00557E7A">
      <w:pPr>
        <w:pStyle w:val="NoSpacing"/>
        <w:ind w:left="1440"/>
        <w:rPr>
          <w:sz w:val="20"/>
          <w:szCs w:val="20"/>
        </w:rPr>
      </w:pPr>
      <w:r>
        <w:rPr>
          <w:sz w:val="20"/>
          <w:szCs w:val="20"/>
        </w:rPr>
        <w:t>Gap = -0.53</w:t>
      </w:r>
    </w:p>
    <w:p w14:paraId="61AC0323" w14:textId="533ECF72" w:rsidR="00557E7A" w:rsidRPr="00557E7A" w:rsidRDefault="00557E7A" w:rsidP="00557E7A">
      <w:pPr>
        <w:pStyle w:val="NoSpacing"/>
        <w:ind w:left="720"/>
        <w:rPr>
          <w:sz w:val="20"/>
          <w:szCs w:val="20"/>
        </w:rPr>
      </w:pPr>
      <w:r>
        <w:rPr>
          <w:sz w:val="20"/>
          <w:szCs w:val="20"/>
        </w:rPr>
        <w:t xml:space="preserve"> </w:t>
      </w:r>
    </w:p>
    <w:p w14:paraId="350092C9" w14:textId="17BD9F3C" w:rsidR="00557E7A" w:rsidRPr="00557E7A" w:rsidRDefault="00557E7A" w:rsidP="00557E7A">
      <w:pPr>
        <w:pStyle w:val="NoSpacing"/>
        <w:ind w:left="360" w:firstLine="360"/>
        <w:jc w:val="both"/>
        <w:rPr>
          <w:sz w:val="20"/>
          <w:szCs w:val="20"/>
        </w:rPr>
      </w:pPr>
      <w:r w:rsidRPr="00557E7A">
        <w:rPr>
          <w:sz w:val="20"/>
          <w:szCs w:val="20"/>
        </w:rPr>
        <w:t>The computed gap value of -0.53 indicates a negative difference between information accessibility and information comprehension. This means that students demonstrate higher levels of financial information comprehension compared to their ability to access or retrieve such information through digital platforms.</w:t>
      </w:r>
    </w:p>
    <w:p w14:paraId="720C0747" w14:textId="77777777" w:rsidR="00557E7A" w:rsidRPr="00557E7A" w:rsidRDefault="00557E7A" w:rsidP="00557E7A">
      <w:pPr>
        <w:pStyle w:val="NoSpacing"/>
        <w:ind w:left="360" w:firstLine="360"/>
        <w:jc w:val="both"/>
        <w:rPr>
          <w:sz w:val="20"/>
          <w:szCs w:val="20"/>
        </w:rPr>
      </w:pPr>
    </w:p>
    <w:p w14:paraId="415100AD" w14:textId="1AE71F72" w:rsidR="00557E7A" w:rsidRDefault="00557E7A" w:rsidP="00557E7A">
      <w:pPr>
        <w:pStyle w:val="NoSpacing"/>
        <w:ind w:left="360" w:firstLine="360"/>
        <w:jc w:val="both"/>
        <w:rPr>
          <w:sz w:val="20"/>
          <w:szCs w:val="20"/>
        </w:rPr>
      </w:pPr>
      <w:r w:rsidRPr="00557E7A">
        <w:rPr>
          <w:sz w:val="20"/>
          <w:szCs w:val="20"/>
        </w:rPr>
        <w:t>A negative gap suggests that respondents are generally capable of understanding financial concepts once information is available to them; however, challenges may still exist in locating, accessing, or navigating financial information online. Factors such as platform usability, navigation complexity, internet connectivity, and accessibility limitations may contribute to this difference.</w:t>
      </w:r>
    </w:p>
    <w:p w14:paraId="2FAE17E1" w14:textId="77777777" w:rsidR="00557E7A" w:rsidRPr="00557E7A" w:rsidRDefault="00557E7A" w:rsidP="00557E7A">
      <w:pPr>
        <w:pStyle w:val="NoSpacing"/>
        <w:ind w:left="360" w:firstLine="360"/>
        <w:jc w:val="both"/>
        <w:rPr>
          <w:sz w:val="20"/>
          <w:szCs w:val="20"/>
        </w:rPr>
      </w:pPr>
    </w:p>
    <w:p w14:paraId="23AD2789" w14:textId="4057D63C" w:rsidR="00557E7A" w:rsidRDefault="00557E7A" w:rsidP="00557E7A">
      <w:pPr>
        <w:pStyle w:val="IEEEParagraph"/>
        <w:jc w:val="center"/>
        <w:rPr>
          <w:sz w:val="20"/>
          <w:szCs w:val="20"/>
        </w:rPr>
      </w:pPr>
      <w:r w:rsidRPr="007475F4">
        <w:rPr>
          <w:sz w:val="20"/>
          <w:szCs w:val="20"/>
        </w:rPr>
        <w:t xml:space="preserve">Table </w:t>
      </w:r>
      <w:r>
        <w:rPr>
          <w:sz w:val="20"/>
          <w:szCs w:val="20"/>
        </w:rPr>
        <w:t>9</w:t>
      </w:r>
    </w:p>
    <w:p w14:paraId="44D27156" w14:textId="3BFAC56E" w:rsidR="00557E7A" w:rsidRDefault="00557E7A" w:rsidP="00557E7A">
      <w:pPr>
        <w:pStyle w:val="IEEEParagraph"/>
        <w:jc w:val="center"/>
        <w:rPr>
          <w:sz w:val="20"/>
          <w:szCs w:val="20"/>
        </w:rPr>
      </w:pPr>
      <w:r>
        <w:rPr>
          <w:sz w:val="20"/>
          <w:szCs w:val="20"/>
        </w:rPr>
        <w:t>Interpretation Scale for Gap Value</w:t>
      </w:r>
    </w:p>
    <w:p w14:paraId="5852BD6B" w14:textId="77777777" w:rsidR="00557E7A" w:rsidRDefault="00557E7A" w:rsidP="00557E7A">
      <w:pPr>
        <w:pStyle w:val="IEEEParagraph"/>
        <w:jc w:val="center"/>
        <w:rPr>
          <w:sz w:val="20"/>
          <w:szCs w:val="20"/>
        </w:rPr>
      </w:pPr>
    </w:p>
    <w:tbl>
      <w:tblPr>
        <w:tblStyle w:val="PlainTable3"/>
        <w:tblW w:w="10350" w:type="dxa"/>
        <w:tblInd w:w="360" w:type="dxa"/>
        <w:tblLook w:val="04A0" w:firstRow="1" w:lastRow="0" w:firstColumn="1" w:lastColumn="0" w:noHBand="0" w:noVBand="1"/>
      </w:tblPr>
      <w:tblGrid>
        <w:gridCol w:w="3420"/>
        <w:gridCol w:w="1559"/>
        <w:gridCol w:w="5371"/>
      </w:tblGrid>
      <w:tr w:rsidR="00557E7A" w14:paraId="522C4B42" w14:textId="77777777" w:rsidTr="00557E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20" w:type="dxa"/>
          </w:tcPr>
          <w:p w14:paraId="79398F27" w14:textId="1ED752D6" w:rsidR="00557E7A" w:rsidRPr="00557E7A" w:rsidRDefault="00557E7A" w:rsidP="00557E7A">
            <w:pPr>
              <w:pStyle w:val="IEEEParagraph"/>
              <w:ind w:firstLine="0"/>
              <w:jc w:val="center"/>
              <w:rPr>
                <w:caps w:val="0"/>
                <w:sz w:val="20"/>
                <w:szCs w:val="20"/>
              </w:rPr>
            </w:pPr>
            <w:r w:rsidRPr="00557E7A">
              <w:rPr>
                <w:caps w:val="0"/>
                <w:sz w:val="20"/>
                <w:szCs w:val="20"/>
              </w:rPr>
              <w:t>Gap Range</w:t>
            </w:r>
          </w:p>
        </w:tc>
        <w:tc>
          <w:tcPr>
            <w:tcW w:w="1559" w:type="dxa"/>
          </w:tcPr>
          <w:p w14:paraId="3035D0D7" w14:textId="0085B71A" w:rsidR="00557E7A" w:rsidRPr="00557E7A" w:rsidRDefault="00557E7A" w:rsidP="00557E7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557E7A">
              <w:rPr>
                <w:caps w:val="0"/>
                <w:sz w:val="20"/>
                <w:szCs w:val="20"/>
              </w:rPr>
              <w:t>Strength</w:t>
            </w:r>
          </w:p>
        </w:tc>
        <w:tc>
          <w:tcPr>
            <w:tcW w:w="5371" w:type="dxa"/>
          </w:tcPr>
          <w:p w14:paraId="1B99A3BF" w14:textId="0E21B5F7" w:rsidR="00557E7A" w:rsidRPr="00557E7A" w:rsidRDefault="00557E7A" w:rsidP="00557E7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557E7A">
              <w:rPr>
                <w:caps w:val="0"/>
                <w:sz w:val="20"/>
                <w:szCs w:val="20"/>
              </w:rPr>
              <w:t>Meaning</w:t>
            </w:r>
          </w:p>
        </w:tc>
      </w:tr>
      <w:tr w:rsidR="00557E7A" w14:paraId="51A011BA" w14:textId="77777777" w:rsidTr="00557E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084FFA46" w14:textId="6644C9E2" w:rsidR="00557E7A" w:rsidRPr="00557E7A" w:rsidRDefault="00557E7A" w:rsidP="00557E7A">
            <w:pPr>
              <w:pStyle w:val="thesis"/>
              <w:spacing w:line="240" w:lineRule="auto"/>
              <w:jc w:val="center"/>
              <w:rPr>
                <w:rFonts w:ascii="Times New Roman" w:hAnsi="Times New Roman"/>
                <w:b w:val="0"/>
                <w:sz w:val="20"/>
                <w:szCs w:val="20"/>
              </w:rPr>
            </w:pPr>
            <w:r w:rsidRPr="00557E7A">
              <w:rPr>
                <w:rFonts w:ascii="Times New Roman" w:hAnsi="Times New Roman"/>
                <w:b w:val="0"/>
                <w:sz w:val="20"/>
                <w:szCs w:val="20"/>
              </w:rPr>
              <w:t>0.00 – 0.20</w:t>
            </w:r>
          </w:p>
        </w:tc>
        <w:tc>
          <w:tcPr>
            <w:tcW w:w="1559" w:type="dxa"/>
          </w:tcPr>
          <w:p w14:paraId="7F40F3FE" w14:textId="75F69881" w:rsidR="00557E7A" w:rsidRPr="00557E7A" w:rsidRDefault="00557E7A" w:rsidP="00557E7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557E7A">
              <w:rPr>
                <w:sz w:val="20"/>
                <w:szCs w:val="20"/>
              </w:rPr>
              <w:t>Weak / Small</w:t>
            </w:r>
          </w:p>
        </w:tc>
        <w:tc>
          <w:tcPr>
            <w:tcW w:w="5371" w:type="dxa"/>
          </w:tcPr>
          <w:p w14:paraId="79DD49B0" w14:textId="55BAA883" w:rsidR="00557E7A" w:rsidRPr="00557E7A" w:rsidRDefault="00557E7A" w:rsidP="00557E7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557E7A">
              <w:rPr>
                <w:sz w:val="20"/>
                <w:szCs w:val="20"/>
              </w:rPr>
              <w:t>Accessibility is slightly higher</w:t>
            </w:r>
          </w:p>
        </w:tc>
      </w:tr>
      <w:tr w:rsidR="00557E7A" w14:paraId="3E4DB9A0" w14:textId="77777777" w:rsidTr="00557E7A">
        <w:tc>
          <w:tcPr>
            <w:cnfStyle w:val="001000000000" w:firstRow="0" w:lastRow="0" w:firstColumn="1" w:lastColumn="0" w:oddVBand="0" w:evenVBand="0" w:oddHBand="0" w:evenHBand="0" w:firstRowFirstColumn="0" w:firstRowLastColumn="0" w:lastRowFirstColumn="0" w:lastRowLastColumn="0"/>
            <w:tcW w:w="3420" w:type="dxa"/>
          </w:tcPr>
          <w:p w14:paraId="04D4E570" w14:textId="3C7D133F" w:rsidR="00557E7A" w:rsidRPr="00557E7A" w:rsidRDefault="00557E7A" w:rsidP="00557E7A">
            <w:pPr>
              <w:pStyle w:val="thesis"/>
              <w:spacing w:line="240" w:lineRule="auto"/>
              <w:jc w:val="center"/>
              <w:rPr>
                <w:rFonts w:ascii="Times New Roman" w:hAnsi="Times New Roman"/>
                <w:b w:val="0"/>
                <w:caps w:val="0"/>
                <w:sz w:val="20"/>
                <w:szCs w:val="20"/>
                <w:lang w:val="en-US"/>
              </w:rPr>
            </w:pPr>
            <w:r w:rsidRPr="00557E7A">
              <w:rPr>
                <w:rFonts w:ascii="Times New Roman" w:hAnsi="Times New Roman"/>
                <w:b w:val="0"/>
                <w:sz w:val="20"/>
                <w:szCs w:val="20"/>
              </w:rPr>
              <w:t>0.21 – 0.50</w:t>
            </w:r>
          </w:p>
        </w:tc>
        <w:tc>
          <w:tcPr>
            <w:tcW w:w="1559" w:type="dxa"/>
          </w:tcPr>
          <w:p w14:paraId="7672BD7F" w14:textId="443635B5" w:rsidR="00557E7A" w:rsidRPr="00557E7A" w:rsidRDefault="00557E7A" w:rsidP="00557E7A">
            <w:pPr>
              <w:pStyle w:val="IEEEParagraph"/>
              <w:ind w:firstLine="0"/>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557E7A">
              <w:rPr>
                <w:sz w:val="20"/>
                <w:szCs w:val="20"/>
              </w:rPr>
              <w:t>Moderate</w:t>
            </w:r>
          </w:p>
        </w:tc>
        <w:tc>
          <w:tcPr>
            <w:tcW w:w="5371" w:type="dxa"/>
          </w:tcPr>
          <w:p w14:paraId="2ADC99BD" w14:textId="05BA319F" w:rsidR="00557E7A" w:rsidRPr="00557E7A" w:rsidRDefault="00557E7A" w:rsidP="00557E7A">
            <w:pPr>
              <w:pStyle w:val="IEEEParagraph"/>
              <w:ind w:firstLine="0"/>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557E7A">
              <w:rPr>
                <w:sz w:val="20"/>
                <w:szCs w:val="20"/>
              </w:rPr>
              <w:t>Accessibility is moderately higher</w:t>
            </w:r>
          </w:p>
        </w:tc>
      </w:tr>
      <w:tr w:rsidR="00557E7A" w14:paraId="54A0A7C6" w14:textId="77777777" w:rsidTr="00557E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3AA7C1A0" w14:textId="530E440D" w:rsidR="00557E7A" w:rsidRPr="00557E7A" w:rsidRDefault="00557E7A" w:rsidP="00557E7A">
            <w:pPr>
              <w:pStyle w:val="thesis"/>
              <w:spacing w:line="240" w:lineRule="auto"/>
              <w:jc w:val="center"/>
              <w:rPr>
                <w:rFonts w:ascii="Times New Roman" w:hAnsi="Times New Roman"/>
                <w:b w:val="0"/>
                <w:caps w:val="0"/>
                <w:sz w:val="20"/>
                <w:szCs w:val="20"/>
                <w:lang w:val="en-US"/>
              </w:rPr>
            </w:pPr>
            <w:r w:rsidRPr="00557E7A">
              <w:rPr>
                <w:rFonts w:ascii="Times New Roman" w:hAnsi="Times New Roman"/>
                <w:b w:val="0"/>
                <w:sz w:val="20"/>
                <w:szCs w:val="20"/>
              </w:rPr>
              <w:t>0.51 – 1.00</w:t>
            </w:r>
          </w:p>
        </w:tc>
        <w:tc>
          <w:tcPr>
            <w:tcW w:w="1559" w:type="dxa"/>
          </w:tcPr>
          <w:p w14:paraId="50BBEF9D" w14:textId="655595C4" w:rsidR="00557E7A" w:rsidRPr="00557E7A" w:rsidRDefault="00557E7A" w:rsidP="00557E7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557E7A">
              <w:rPr>
                <w:sz w:val="20"/>
                <w:szCs w:val="20"/>
              </w:rPr>
              <w:t>Strong</w:t>
            </w:r>
          </w:p>
        </w:tc>
        <w:tc>
          <w:tcPr>
            <w:tcW w:w="5371" w:type="dxa"/>
          </w:tcPr>
          <w:p w14:paraId="54E447BB" w14:textId="1F5F6163" w:rsidR="00557E7A" w:rsidRPr="00557E7A" w:rsidRDefault="00557E7A" w:rsidP="00557E7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557E7A">
              <w:rPr>
                <w:sz w:val="20"/>
                <w:szCs w:val="20"/>
              </w:rPr>
              <w:t>Accessibility is much higher</w:t>
            </w:r>
          </w:p>
        </w:tc>
      </w:tr>
      <w:tr w:rsidR="00557E7A" w14:paraId="3E5E44B9" w14:textId="77777777" w:rsidTr="00557E7A">
        <w:tc>
          <w:tcPr>
            <w:cnfStyle w:val="001000000000" w:firstRow="0" w:lastRow="0" w:firstColumn="1" w:lastColumn="0" w:oddVBand="0" w:evenVBand="0" w:oddHBand="0" w:evenHBand="0" w:firstRowFirstColumn="0" w:firstRowLastColumn="0" w:lastRowFirstColumn="0" w:lastRowLastColumn="0"/>
            <w:tcW w:w="3420" w:type="dxa"/>
          </w:tcPr>
          <w:p w14:paraId="1ED3BD97" w14:textId="1181E9DB" w:rsidR="00557E7A" w:rsidRPr="00557E7A" w:rsidRDefault="00557E7A" w:rsidP="00557E7A">
            <w:pPr>
              <w:pStyle w:val="thesis"/>
              <w:spacing w:line="240" w:lineRule="auto"/>
              <w:jc w:val="center"/>
              <w:rPr>
                <w:rFonts w:ascii="Times New Roman" w:hAnsi="Times New Roman"/>
                <w:b w:val="0"/>
                <w:caps w:val="0"/>
                <w:sz w:val="20"/>
                <w:szCs w:val="20"/>
                <w:lang w:val="en-US"/>
              </w:rPr>
            </w:pPr>
            <w:r w:rsidRPr="00557E7A">
              <w:rPr>
                <w:rFonts w:ascii="Times New Roman" w:hAnsi="Times New Roman"/>
                <w:b w:val="0"/>
                <w:caps w:val="0"/>
                <w:kern w:val="20"/>
                <w:sz w:val="20"/>
                <w:szCs w:val="20"/>
                <w:lang w:val="en-US"/>
              </w:rPr>
              <w:t>Above</w:t>
            </w:r>
            <w:r w:rsidRPr="00557E7A">
              <w:rPr>
                <w:rFonts w:ascii="Times New Roman" w:hAnsi="Times New Roman"/>
                <w:b w:val="0"/>
                <w:sz w:val="20"/>
                <w:szCs w:val="20"/>
              </w:rPr>
              <w:t xml:space="preserve"> 1.00</w:t>
            </w:r>
          </w:p>
        </w:tc>
        <w:tc>
          <w:tcPr>
            <w:tcW w:w="1559" w:type="dxa"/>
          </w:tcPr>
          <w:p w14:paraId="3C1D020D" w14:textId="7955E7CB" w:rsidR="00557E7A" w:rsidRPr="00557E7A" w:rsidRDefault="00557E7A" w:rsidP="00557E7A">
            <w:pPr>
              <w:pStyle w:val="IEEEParagraph"/>
              <w:ind w:firstLine="0"/>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557E7A">
              <w:rPr>
                <w:sz w:val="20"/>
                <w:szCs w:val="20"/>
              </w:rPr>
              <w:t>Very Large</w:t>
            </w:r>
          </w:p>
        </w:tc>
        <w:tc>
          <w:tcPr>
            <w:tcW w:w="5371" w:type="dxa"/>
          </w:tcPr>
          <w:p w14:paraId="3FE48F67" w14:textId="6FAA49AF" w:rsidR="00557E7A" w:rsidRPr="00557E7A" w:rsidRDefault="00557E7A" w:rsidP="00557E7A">
            <w:pPr>
              <w:pStyle w:val="IEEEParagraph"/>
              <w:ind w:firstLine="0"/>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557E7A">
              <w:rPr>
                <w:sz w:val="20"/>
                <w:szCs w:val="20"/>
              </w:rPr>
              <w:t>Accessibility is extremely higher</w:t>
            </w:r>
          </w:p>
        </w:tc>
      </w:tr>
    </w:tbl>
    <w:p w14:paraId="4ECBA045" w14:textId="77777777" w:rsidR="001E53EF" w:rsidRDefault="001E53EF" w:rsidP="001E53EF">
      <w:pPr>
        <w:pStyle w:val="NoSpacing"/>
        <w:rPr>
          <w:sz w:val="20"/>
          <w:szCs w:val="20"/>
        </w:rPr>
      </w:pPr>
    </w:p>
    <w:p w14:paraId="453AB06A" w14:textId="2464EC58" w:rsidR="001E53EF" w:rsidRPr="001E53EF" w:rsidRDefault="001E53EF" w:rsidP="001E53EF">
      <w:pPr>
        <w:pStyle w:val="NoSpacing"/>
        <w:ind w:left="360" w:firstLine="360"/>
        <w:jc w:val="both"/>
        <w:rPr>
          <w:sz w:val="20"/>
          <w:szCs w:val="20"/>
        </w:rPr>
      </w:pPr>
      <w:r w:rsidRPr="001E53EF">
        <w:rPr>
          <w:sz w:val="20"/>
          <w:szCs w:val="20"/>
        </w:rPr>
        <w:t>The findings show that information accessibility obtained a mean of 2.89 (SD = 0.73), interpreted as High, while information comprehension obtained a mean of 3.42 (SD = 0.72), interpreted as Very High. The negative gap of -0.53 indicates a meaningful difference between the two variables, wherein comprehension exceeds accessibility.</w:t>
      </w:r>
    </w:p>
    <w:p w14:paraId="778EAC0B" w14:textId="77777777" w:rsidR="001E53EF" w:rsidRPr="001E53EF" w:rsidRDefault="001E53EF" w:rsidP="001E53EF">
      <w:pPr>
        <w:pStyle w:val="NoSpacing"/>
        <w:ind w:left="360" w:firstLine="360"/>
        <w:jc w:val="both"/>
        <w:rPr>
          <w:sz w:val="20"/>
          <w:szCs w:val="20"/>
        </w:rPr>
      </w:pPr>
    </w:p>
    <w:p w14:paraId="51D209E4" w14:textId="376B2486" w:rsidR="0E8C25E3" w:rsidRDefault="001E53EF" w:rsidP="001E53EF">
      <w:pPr>
        <w:pStyle w:val="NoSpacing"/>
        <w:ind w:left="360" w:firstLine="360"/>
        <w:jc w:val="both"/>
        <w:rPr>
          <w:sz w:val="20"/>
          <w:szCs w:val="20"/>
        </w:rPr>
      </w:pPr>
      <w:r w:rsidRPr="001E53EF">
        <w:rPr>
          <w:sz w:val="20"/>
          <w:szCs w:val="20"/>
        </w:rPr>
        <w:t>These findings imply that students possess strong comprehension skills regarding financial information but may still encounter limitations in accessing reliable digital financial resources. This supports the idea that digital financial literacy involves not only understanding financial information but also effectively locating and utilizing digital financial resources.</w:t>
      </w:r>
    </w:p>
    <w:p w14:paraId="384BEB4E" w14:textId="538ECE93" w:rsidR="00557E7A" w:rsidRDefault="00557E7A" w:rsidP="00557E7A">
      <w:pPr>
        <w:pStyle w:val="NoSpacing"/>
        <w:rPr>
          <w:sz w:val="20"/>
          <w:szCs w:val="20"/>
        </w:rPr>
      </w:pPr>
      <w:r>
        <w:rPr>
          <w:sz w:val="20"/>
          <w:szCs w:val="20"/>
        </w:rPr>
        <w:tab/>
      </w:r>
    </w:p>
    <w:p w14:paraId="0AFBA7E3" w14:textId="3259070F" w:rsidR="6C28203E" w:rsidRPr="001E53EF" w:rsidRDefault="6C28203E" w:rsidP="00557E7A">
      <w:pPr>
        <w:pStyle w:val="NoSpacing"/>
        <w:rPr>
          <w:sz w:val="20"/>
          <w:szCs w:val="20"/>
        </w:rPr>
      </w:pPr>
    </w:p>
    <w:p w14:paraId="15B41363" w14:textId="74D048A9" w:rsidR="0E8C25E3" w:rsidRPr="001E53EF" w:rsidRDefault="030E9EDF" w:rsidP="00557E7A">
      <w:pPr>
        <w:pStyle w:val="NoSpacing"/>
        <w:rPr>
          <w:b/>
          <w:i/>
          <w:sz w:val="20"/>
          <w:szCs w:val="20"/>
        </w:rPr>
      </w:pPr>
      <w:r w:rsidRPr="001E53EF">
        <w:rPr>
          <w:b/>
          <w:i/>
          <w:sz w:val="20"/>
          <w:szCs w:val="20"/>
        </w:rPr>
        <w:t>D. Significant Relationship between Digital Financial Literacy and Financial Management Practices</w:t>
      </w:r>
    </w:p>
    <w:p w14:paraId="7580742D" w14:textId="77777777" w:rsidR="001E53EF" w:rsidRPr="001E53EF" w:rsidRDefault="001E53EF" w:rsidP="00557E7A">
      <w:pPr>
        <w:pStyle w:val="NoSpacing"/>
        <w:rPr>
          <w:sz w:val="20"/>
          <w:szCs w:val="20"/>
        </w:rPr>
      </w:pPr>
    </w:p>
    <w:p w14:paraId="2DFAAFC9" w14:textId="77777777" w:rsidR="00386A61" w:rsidRDefault="00386A61" w:rsidP="00557E7A">
      <w:pPr>
        <w:pStyle w:val="NoSpacing"/>
        <w:rPr>
          <w:sz w:val="20"/>
          <w:szCs w:val="20"/>
        </w:rPr>
      </w:pPr>
    </w:p>
    <w:p w14:paraId="02996461" w14:textId="77777777" w:rsidR="00386A61" w:rsidRDefault="030E9EDF" w:rsidP="00386A61">
      <w:pPr>
        <w:pStyle w:val="NoSpacing"/>
        <w:jc w:val="center"/>
        <w:rPr>
          <w:sz w:val="20"/>
          <w:szCs w:val="20"/>
        </w:rPr>
      </w:pPr>
      <w:r w:rsidRPr="001E53EF">
        <w:rPr>
          <w:sz w:val="20"/>
          <w:szCs w:val="20"/>
        </w:rPr>
        <w:t xml:space="preserve">Table </w:t>
      </w:r>
      <w:r w:rsidR="00386A61">
        <w:rPr>
          <w:sz w:val="20"/>
          <w:szCs w:val="20"/>
        </w:rPr>
        <w:t>10</w:t>
      </w:r>
    </w:p>
    <w:p w14:paraId="1701ACFB" w14:textId="664745E8" w:rsidR="0E8C25E3" w:rsidRDefault="030E9EDF" w:rsidP="00386A61">
      <w:pPr>
        <w:pStyle w:val="NoSpacing"/>
        <w:jc w:val="center"/>
        <w:rPr>
          <w:sz w:val="20"/>
          <w:szCs w:val="20"/>
        </w:rPr>
      </w:pPr>
      <w:r w:rsidRPr="001E53EF">
        <w:rPr>
          <w:sz w:val="20"/>
          <w:szCs w:val="20"/>
        </w:rPr>
        <w:t>Significant Relationship between Digital Financial Literacy and Financial Management Practices</w:t>
      </w:r>
    </w:p>
    <w:p w14:paraId="5751B5A3" w14:textId="77777777" w:rsidR="00B24E92" w:rsidRDefault="00B24E92" w:rsidP="00386A61">
      <w:pPr>
        <w:pStyle w:val="NoSpacing"/>
        <w:jc w:val="center"/>
        <w:rPr>
          <w:sz w:val="20"/>
          <w:szCs w:val="20"/>
        </w:rPr>
      </w:pPr>
    </w:p>
    <w:tbl>
      <w:tblPr>
        <w:tblStyle w:val="PlainTable3"/>
        <w:tblW w:w="0" w:type="auto"/>
        <w:tblLook w:val="04A0" w:firstRow="1" w:lastRow="0" w:firstColumn="1" w:lastColumn="0" w:noHBand="0" w:noVBand="1"/>
      </w:tblPr>
      <w:tblGrid>
        <w:gridCol w:w="3562"/>
        <w:gridCol w:w="3562"/>
        <w:gridCol w:w="3563"/>
      </w:tblGrid>
      <w:tr w:rsidR="00761E88" w14:paraId="22EA9BF9" w14:textId="77777777" w:rsidTr="00B24E9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62" w:type="dxa"/>
          </w:tcPr>
          <w:p w14:paraId="380919FF" w14:textId="2D6D77E3" w:rsidR="00761E88" w:rsidRPr="00B24E92" w:rsidRDefault="00761E88" w:rsidP="00386A61">
            <w:pPr>
              <w:pStyle w:val="NoSpacing"/>
              <w:jc w:val="center"/>
              <w:rPr>
                <w:bCs w:val="0"/>
                <w:caps w:val="0"/>
                <w:sz w:val="20"/>
                <w:szCs w:val="20"/>
              </w:rPr>
            </w:pPr>
            <w:r w:rsidRPr="00B24E92">
              <w:rPr>
                <w:bCs w:val="0"/>
                <w:caps w:val="0"/>
                <w:sz w:val="20"/>
                <w:szCs w:val="20"/>
              </w:rPr>
              <w:t>Variables</w:t>
            </w:r>
          </w:p>
        </w:tc>
        <w:tc>
          <w:tcPr>
            <w:tcW w:w="3562" w:type="dxa"/>
          </w:tcPr>
          <w:p w14:paraId="50371FC8" w14:textId="25ED9CDC" w:rsidR="00761E88" w:rsidRPr="00B24E92" w:rsidRDefault="00761E88" w:rsidP="00386A61">
            <w:pPr>
              <w:pStyle w:val="NoSpacing"/>
              <w:jc w:val="center"/>
              <w:cnfStyle w:val="100000000000" w:firstRow="1" w:lastRow="0" w:firstColumn="0" w:lastColumn="0" w:oddVBand="0" w:evenVBand="0" w:oddHBand="0" w:evenHBand="0" w:firstRowFirstColumn="0" w:firstRowLastColumn="0" w:lastRowFirstColumn="0" w:lastRowLastColumn="0"/>
              <w:rPr>
                <w:bCs w:val="0"/>
                <w:caps w:val="0"/>
                <w:sz w:val="20"/>
                <w:szCs w:val="20"/>
              </w:rPr>
            </w:pPr>
            <w:r w:rsidRPr="00B24E92">
              <w:rPr>
                <w:bCs w:val="0"/>
                <w:caps w:val="0"/>
                <w:sz w:val="20"/>
                <w:szCs w:val="20"/>
              </w:rPr>
              <w:t>Overall Mean</w:t>
            </w:r>
          </w:p>
        </w:tc>
        <w:tc>
          <w:tcPr>
            <w:tcW w:w="3563" w:type="dxa"/>
          </w:tcPr>
          <w:p w14:paraId="6DCB14D2" w14:textId="5CBE019C" w:rsidR="00761E88" w:rsidRPr="00B24E92" w:rsidRDefault="00761E88" w:rsidP="00386A61">
            <w:pPr>
              <w:pStyle w:val="NoSpacing"/>
              <w:jc w:val="center"/>
              <w:cnfStyle w:val="100000000000" w:firstRow="1" w:lastRow="0" w:firstColumn="0" w:lastColumn="0" w:oddVBand="0" w:evenVBand="0" w:oddHBand="0" w:evenHBand="0" w:firstRowFirstColumn="0" w:firstRowLastColumn="0" w:lastRowFirstColumn="0" w:lastRowLastColumn="0"/>
              <w:rPr>
                <w:bCs w:val="0"/>
                <w:caps w:val="0"/>
                <w:sz w:val="20"/>
                <w:szCs w:val="20"/>
              </w:rPr>
            </w:pPr>
            <w:r w:rsidRPr="00B24E92">
              <w:rPr>
                <w:bCs w:val="0"/>
                <w:caps w:val="0"/>
                <w:sz w:val="20"/>
                <w:szCs w:val="20"/>
              </w:rPr>
              <w:t>Interpretation</w:t>
            </w:r>
          </w:p>
        </w:tc>
      </w:tr>
      <w:tr w:rsidR="00761E88" w14:paraId="792E159F" w14:textId="77777777" w:rsidTr="00B24E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1D6E77A6" w14:textId="6D5F6C0B" w:rsidR="00761E88" w:rsidRPr="00B24E92" w:rsidRDefault="00761E88" w:rsidP="00B24E92">
            <w:pPr>
              <w:pStyle w:val="NoSpacing"/>
              <w:rPr>
                <w:b w:val="0"/>
                <w:bCs w:val="0"/>
                <w:caps w:val="0"/>
                <w:sz w:val="20"/>
                <w:szCs w:val="20"/>
              </w:rPr>
            </w:pPr>
            <w:r w:rsidRPr="00B24E92">
              <w:rPr>
                <w:b w:val="0"/>
                <w:bCs w:val="0"/>
                <w:caps w:val="0"/>
                <w:sz w:val="20"/>
                <w:szCs w:val="20"/>
              </w:rPr>
              <w:t>Digital Financial Literacy</w:t>
            </w:r>
          </w:p>
        </w:tc>
        <w:tc>
          <w:tcPr>
            <w:tcW w:w="3562" w:type="dxa"/>
          </w:tcPr>
          <w:p w14:paraId="31F0ED21" w14:textId="4910D698" w:rsidR="00761E88" w:rsidRPr="00761E88" w:rsidRDefault="00761E88" w:rsidP="00386A61">
            <w:pPr>
              <w:pStyle w:val="NoSpacing"/>
              <w:jc w:val="cente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3.03</w:t>
            </w:r>
          </w:p>
        </w:tc>
        <w:tc>
          <w:tcPr>
            <w:tcW w:w="3563" w:type="dxa"/>
          </w:tcPr>
          <w:p w14:paraId="02C5CBF5" w14:textId="01EC2E6F" w:rsidR="00761E88" w:rsidRPr="00761E88" w:rsidRDefault="00761E88" w:rsidP="00386A61">
            <w:pPr>
              <w:pStyle w:val="NoSpacing"/>
              <w:jc w:val="cente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High</w:t>
            </w:r>
          </w:p>
        </w:tc>
      </w:tr>
      <w:tr w:rsidR="00761E88" w14:paraId="788994A2" w14:textId="77777777" w:rsidTr="00B24E92">
        <w:tc>
          <w:tcPr>
            <w:cnfStyle w:val="001000000000" w:firstRow="0" w:lastRow="0" w:firstColumn="1" w:lastColumn="0" w:oddVBand="0" w:evenVBand="0" w:oddHBand="0" w:evenHBand="0" w:firstRowFirstColumn="0" w:firstRowLastColumn="0" w:lastRowFirstColumn="0" w:lastRowLastColumn="0"/>
            <w:tcW w:w="3562" w:type="dxa"/>
          </w:tcPr>
          <w:p w14:paraId="780067A0" w14:textId="7C880E22" w:rsidR="00761E88" w:rsidRPr="00B24E92" w:rsidRDefault="00761E88" w:rsidP="00B24E92">
            <w:pPr>
              <w:pStyle w:val="NoSpacing"/>
              <w:rPr>
                <w:b w:val="0"/>
                <w:bCs w:val="0"/>
                <w:caps w:val="0"/>
                <w:sz w:val="20"/>
                <w:szCs w:val="20"/>
              </w:rPr>
            </w:pPr>
            <w:r w:rsidRPr="00B24E92">
              <w:rPr>
                <w:b w:val="0"/>
                <w:bCs w:val="0"/>
                <w:caps w:val="0"/>
                <w:sz w:val="20"/>
                <w:szCs w:val="20"/>
              </w:rPr>
              <w:t>Financial Management Practices</w:t>
            </w:r>
          </w:p>
        </w:tc>
        <w:tc>
          <w:tcPr>
            <w:tcW w:w="3562" w:type="dxa"/>
          </w:tcPr>
          <w:p w14:paraId="4294676D" w14:textId="53BD135A" w:rsidR="00761E88" w:rsidRPr="00761E88" w:rsidRDefault="00761E88" w:rsidP="00386A61">
            <w:pPr>
              <w:pStyle w:val="NoSpacing"/>
              <w:jc w:val="cente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3.11</w:t>
            </w:r>
          </w:p>
        </w:tc>
        <w:tc>
          <w:tcPr>
            <w:tcW w:w="3563" w:type="dxa"/>
          </w:tcPr>
          <w:p w14:paraId="525095A4" w14:textId="21D3D137" w:rsidR="00761E88" w:rsidRPr="00761E88" w:rsidRDefault="00761E88" w:rsidP="00386A61">
            <w:pPr>
              <w:pStyle w:val="NoSpacing"/>
              <w:jc w:val="cente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High</w:t>
            </w:r>
          </w:p>
        </w:tc>
      </w:tr>
      <w:tr w:rsidR="00761E88" w14:paraId="003ADE93" w14:textId="77777777" w:rsidTr="00B24E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511805CF" w14:textId="77777777" w:rsidR="00761E88" w:rsidRPr="00B24E92" w:rsidRDefault="00761E88" w:rsidP="00B24E92">
            <w:pPr>
              <w:pStyle w:val="NoSpacing"/>
              <w:rPr>
                <w:b w:val="0"/>
                <w:bCs w:val="0"/>
                <w:caps w:val="0"/>
                <w:sz w:val="20"/>
                <w:szCs w:val="20"/>
              </w:rPr>
            </w:pPr>
          </w:p>
        </w:tc>
        <w:tc>
          <w:tcPr>
            <w:tcW w:w="3562" w:type="dxa"/>
          </w:tcPr>
          <w:p w14:paraId="21A3B2E3" w14:textId="77777777" w:rsidR="00761E88" w:rsidRPr="00761E88" w:rsidRDefault="00761E88" w:rsidP="00386A61">
            <w:pPr>
              <w:pStyle w:val="NoSpacing"/>
              <w:jc w:val="center"/>
              <w:cnfStyle w:val="000000100000" w:firstRow="0" w:lastRow="0" w:firstColumn="0" w:lastColumn="0" w:oddVBand="0" w:evenVBand="0" w:oddHBand="1" w:evenHBand="0" w:firstRowFirstColumn="0" w:firstRowLastColumn="0" w:lastRowFirstColumn="0" w:lastRowLastColumn="0"/>
              <w:rPr>
                <w:bCs/>
                <w:sz w:val="20"/>
                <w:szCs w:val="20"/>
              </w:rPr>
            </w:pPr>
          </w:p>
        </w:tc>
        <w:tc>
          <w:tcPr>
            <w:tcW w:w="3563" w:type="dxa"/>
          </w:tcPr>
          <w:p w14:paraId="20127C64" w14:textId="77777777" w:rsidR="00761E88" w:rsidRPr="00761E88" w:rsidRDefault="00761E88" w:rsidP="00386A61">
            <w:pPr>
              <w:pStyle w:val="NoSpacing"/>
              <w:jc w:val="center"/>
              <w:cnfStyle w:val="000000100000" w:firstRow="0" w:lastRow="0" w:firstColumn="0" w:lastColumn="0" w:oddVBand="0" w:evenVBand="0" w:oddHBand="1" w:evenHBand="0" w:firstRowFirstColumn="0" w:firstRowLastColumn="0" w:lastRowFirstColumn="0" w:lastRowLastColumn="0"/>
              <w:rPr>
                <w:bCs/>
                <w:sz w:val="20"/>
                <w:szCs w:val="20"/>
              </w:rPr>
            </w:pPr>
          </w:p>
        </w:tc>
      </w:tr>
      <w:tr w:rsidR="00761E88" w14:paraId="2848A622" w14:textId="77777777" w:rsidTr="00B24E92">
        <w:tc>
          <w:tcPr>
            <w:cnfStyle w:val="001000000000" w:firstRow="0" w:lastRow="0" w:firstColumn="1" w:lastColumn="0" w:oddVBand="0" w:evenVBand="0" w:oddHBand="0" w:evenHBand="0" w:firstRowFirstColumn="0" w:firstRowLastColumn="0" w:lastRowFirstColumn="0" w:lastRowLastColumn="0"/>
            <w:tcW w:w="3562" w:type="dxa"/>
          </w:tcPr>
          <w:p w14:paraId="6D796380" w14:textId="4B0703C6" w:rsidR="00761E88" w:rsidRPr="00B24E92" w:rsidRDefault="00B24E92" w:rsidP="00B24E92">
            <w:pPr>
              <w:pStyle w:val="NoSpacing"/>
              <w:rPr>
                <w:bCs w:val="0"/>
                <w:caps w:val="0"/>
                <w:sz w:val="20"/>
                <w:szCs w:val="20"/>
              </w:rPr>
            </w:pPr>
            <w:r w:rsidRPr="00B24E92">
              <w:rPr>
                <w:bCs w:val="0"/>
                <w:caps w:val="0"/>
                <w:sz w:val="20"/>
                <w:szCs w:val="20"/>
              </w:rPr>
              <w:t>Relationship</w:t>
            </w:r>
          </w:p>
        </w:tc>
        <w:tc>
          <w:tcPr>
            <w:tcW w:w="3562" w:type="dxa"/>
          </w:tcPr>
          <w:p w14:paraId="64EB04E2" w14:textId="3CDC7C3C" w:rsidR="00761E88" w:rsidRPr="00B24E92" w:rsidRDefault="00B24E92" w:rsidP="00386A61">
            <w:pPr>
              <w:pStyle w:val="NoSpacing"/>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B24E92">
              <w:rPr>
                <w:b/>
                <w:bCs/>
                <w:sz w:val="20"/>
                <w:szCs w:val="20"/>
              </w:rPr>
              <w:t>Pearson r</w:t>
            </w:r>
          </w:p>
        </w:tc>
        <w:tc>
          <w:tcPr>
            <w:tcW w:w="3563" w:type="dxa"/>
          </w:tcPr>
          <w:p w14:paraId="2727432C" w14:textId="7E7B65C8" w:rsidR="00761E88" w:rsidRPr="00B24E92" w:rsidRDefault="00B24E92" w:rsidP="00386A61">
            <w:pPr>
              <w:pStyle w:val="NoSpacing"/>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B24E92">
              <w:rPr>
                <w:b/>
                <w:bCs/>
                <w:sz w:val="20"/>
                <w:szCs w:val="20"/>
              </w:rPr>
              <w:t>Interpretation</w:t>
            </w:r>
          </w:p>
        </w:tc>
      </w:tr>
      <w:tr w:rsidR="00761E88" w14:paraId="1B87A41E" w14:textId="77777777" w:rsidTr="00B24E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061A3435" w14:textId="6F47DCB2" w:rsidR="00761E88" w:rsidRPr="00B24E92" w:rsidRDefault="00B24E92" w:rsidP="00B24E92">
            <w:pPr>
              <w:pStyle w:val="NoSpacing"/>
              <w:rPr>
                <w:b w:val="0"/>
                <w:bCs w:val="0"/>
                <w:caps w:val="0"/>
                <w:sz w:val="20"/>
                <w:szCs w:val="20"/>
              </w:rPr>
            </w:pPr>
            <w:r w:rsidRPr="00B24E92">
              <w:rPr>
                <w:b w:val="0"/>
                <w:bCs w:val="0"/>
                <w:caps w:val="0"/>
                <w:sz w:val="20"/>
                <w:szCs w:val="20"/>
              </w:rPr>
              <w:t>Digital Financial Literacy and Financial Management Practices</w:t>
            </w:r>
          </w:p>
        </w:tc>
        <w:tc>
          <w:tcPr>
            <w:tcW w:w="3562" w:type="dxa"/>
          </w:tcPr>
          <w:p w14:paraId="36517E2A" w14:textId="12966CAC" w:rsidR="00761E88" w:rsidRPr="00761E88" w:rsidRDefault="00B24E92" w:rsidP="00386A61">
            <w:pPr>
              <w:pStyle w:val="NoSpacing"/>
              <w:jc w:val="cente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0.51</w:t>
            </w:r>
          </w:p>
        </w:tc>
        <w:tc>
          <w:tcPr>
            <w:tcW w:w="3563" w:type="dxa"/>
          </w:tcPr>
          <w:p w14:paraId="6F61F1D6" w14:textId="467F2A46" w:rsidR="00761E88" w:rsidRPr="00761E88" w:rsidRDefault="00B24E92" w:rsidP="00386A61">
            <w:pPr>
              <w:pStyle w:val="NoSpacing"/>
              <w:jc w:val="cente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Moderate Positive Relationship</w:t>
            </w:r>
          </w:p>
        </w:tc>
      </w:tr>
    </w:tbl>
    <w:p w14:paraId="61CE89F5" w14:textId="77777777" w:rsidR="00386A61" w:rsidRPr="001E53EF" w:rsidRDefault="00386A61" w:rsidP="00386A61">
      <w:pPr>
        <w:pStyle w:val="NoSpacing"/>
        <w:jc w:val="center"/>
        <w:rPr>
          <w:b/>
          <w:bCs/>
          <w:sz w:val="20"/>
          <w:szCs w:val="20"/>
        </w:rPr>
      </w:pPr>
    </w:p>
    <w:p w14:paraId="621B62E5" w14:textId="225069C6" w:rsidR="00B24E92" w:rsidRPr="00B24E92" w:rsidRDefault="00B24E92" w:rsidP="00B24E92">
      <w:pPr>
        <w:pStyle w:val="NoSpacing"/>
        <w:ind w:firstLine="360"/>
        <w:jc w:val="both"/>
        <w:rPr>
          <w:sz w:val="20"/>
          <w:szCs w:val="20"/>
        </w:rPr>
      </w:pPr>
      <w:r w:rsidRPr="00B24E92">
        <w:rPr>
          <w:sz w:val="20"/>
          <w:szCs w:val="20"/>
        </w:rPr>
        <w:t xml:space="preserve">The findings presented in Table </w:t>
      </w:r>
      <w:r>
        <w:rPr>
          <w:sz w:val="20"/>
          <w:szCs w:val="20"/>
        </w:rPr>
        <w:t>10</w:t>
      </w:r>
      <w:r w:rsidRPr="00B24E92">
        <w:rPr>
          <w:sz w:val="20"/>
          <w:szCs w:val="20"/>
        </w:rPr>
        <w:t xml:space="preserve"> reveal that Quezon City University students demonstrated a High level of digital financial literacy with an overall mean of 3.03 and a High level of financial management practices with an overall mean of 3.11. The closeness of the mean scores suggests that digital financial literacy and financial management practices are associated with one another among the respondents.</w:t>
      </w:r>
    </w:p>
    <w:p w14:paraId="4FADE600" w14:textId="77777777" w:rsidR="00B24E92" w:rsidRPr="00B24E92" w:rsidRDefault="00B24E92" w:rsidP="00B24E92">
      <w:pPr>
        <w:pStyle w:val="NoSpacing"/>
        <w:ind w:firstLine="360"/>
        <w:jc w:val="both"/>
        <w:rPr>
          <w:sz w:val="20"/>
          <w:szCs w:val="20"/>
        </w:rPr>
      </w:pPr>
    </w:p>
    <w:p w14:paraId="5D5D5CAC" w14:textId="77777777" w:rsidR="00B24E92" w:rsidRPr="00B24E92" w:rsidRDefault="00B24E92" w:rsidP="00B24E92">
      <w:pPr>
        <w:pStyle w:val="NoSpacing"/>
        <w:ind w:firstLine="360"/>
        <w:jc w:val="both"/>
        <w:rPr>
          <w:sz w:val="20"/>
          <w:szCs w:val="20"/>
        </w:rPr>
      </w:pPr>
      <w:r w:rsidRPr="00B24E92">
        <w:rPr>
          <w:sz w:val="20"/>
          <w:szCs w:val="20"/>
        </w:rPr>
        <w:t xml:space="preserve">Furthermore, the Pearson correlation coefficient result of r = 0.51 indicates a moderate positive relationship between digital financial literacy and financial management practices. This means that students with higher levels of digital financial literacy also tend to demonstrate better financial management </w:t>
      </w:r>
      <w:proofErr w:type="spellStart"/>
      <w:r w:rsidRPr="00B24E92">
        <w:rPr>
          <w:sz w:val="20"/>
          <w:szCs w:val="20"/>
        </w:rPr>
        <w:t>behaviors</w:t>
      </w:r>
      <w:proofErr w:type="spellEnd"/>
      <w:r w:rsidRPr="00B24E92">
        <w:rPr>
          <w:sz w:val="20"/>
          <w:szCs w:val="20"/>
        </w:rPr>
        <w:t xml:space="preserve"> such as budgeting, saving, and responsible spending.</w:t>
      </w:r>
    </w:p>
    <w:p w14:paraId="61B9280C" w14:textId="77777777" w:rsidR="00B24E92" w:rsidRPr="00B24E92" w:rsidRDefault="00B24E92" w:rsidP="00B24E92">
      <w:pPr>
        <w:pStyle w:val="NoSpacing"/>
        <w:ind w:firstLine="360"/>
        <w:jc w:val="both"/>
        <w:rPr>
          <w:sz w:val="20"/>
          <w:szCs w:val="20"/>
        </w:rPr>
      </w:pPr>
    </w:p>
    <w:p w14:paraId="17422DFA" w14:textId="77777777" w:rsidR="00B24E92" w:rsidRPr="00B24E92" w:rsidRDefault="00B24E92" w:rsidP="00B24E92">
      <w:pPr>
        <w:pStyle w:val="NoSpacing"/>
        <w:ind w:firstLine="360"/>
        <w:jc w:val="both"/>
        <w:rPr>
          <w:sz w:val="20"/>
          <w:szCs w:val="20"/>
        </w:rPr>
      </w:pPr>
      <w:r w:rsidRPr="00B24E92">
        <w:rPr>
          <w:sz w:val="20"/>
          <w:szCs w:val="20"/>
        </w:rPr>
        <w:t>The findings imply that students’ knowledge and understanding of digital financial platforms and technologies may significantly influence how they manage their finances. Therefore, improving digital financial literacy may contribute to more effective financial management practices among university students.</w:t>
      </w:r>
    </w:p>
    <w:p w14:paraId="60EA8C96" w14:textId="77777777" w:rsidR="00B24E92" w:rsidRPr="00B24E92" w:rsidRDefault="00B24E92" w:rsidP="00B24E92">
      <w:pPr>
        <w:pStyle w:val="NoSpacing"/>
        <w:ind w:firstLine="360"/>
        <w:jc w:val="both"/>
        <w:rPr>
          <w:sz w:val="20"/>
          <w:szCs w:val="20"/>
        </w:rPr>
      </w:pPr>
    </w:p>
    <w:p w14:paraId="6646AA1D" w14:textId="6CB409FC" w:rsidR="6C28203E" w:rsidRDefault="00B24E92" w:rsidP="00B24E92">
      <w:pPr>
        <w:pStyle w:val="NoSpacing"/>
        <w:ind w:firstLine="360"/>
        <w:jc w:val="both"/>
        <w:rPr>
          <w:sz w:val="20"/>
          <w:szCs w:val="20"/>
        </w:rPr>
      </w:pPr>
      <w:r w:rsidRPr="00B24E92">
        <w:rPr>
          <w:sz w:val="20"/>
          <w:szCs w:val="20"/>
        </w:rPr>
        <w:t>These findings are supported by (</w:t>
      </w:r>
      <w:proofErr w:type="spellStart"/>
      <w:r w:rsidRPr="00B24E92">
        <w:rPr>
          <w:sz w:val="20"/>
          <w:szCs w:val="20"/>
        </w:rPr>
        <w:t>Abiera</w:t>
      </w:r>
      <w:proofErr w:type="spellEnd"/>
      <w:r w:rsidRPr="00B24E92">
        <w:rPr>
          <w:sz w:val="20"/>
          <w:szCs w:val="20"/>
        </w:rPr>
        <w:t xml:space="preserve"> et al., n.d.) and (</w:t>
      </w:r>
      <w:proofErr w:type="spellStart"/>
      <w:r w:rsidRPr="00B24E92">
        <w:rPr>
          <w:sz w:val="20"/>
          <w:szCs w:val="20"/>
        </w:rPr>
        <w:t>Apreal</w:t>
      </w:r>
      <w:proofErr w:type="spellEnd"/>
      <w:r w:rsidRPr="00B24E92">
        <w:rPr>
          <w:sz w:val="20"/>
          <w:szCs w:val="20"/>
        </w:rPr>
        <w:t xml:space="preserve"> Marjorie </w:t>
      </w:r>
      <w:proofErr w:type="spellStart"/>
      <w:r w:rsidRPr="00B24E92">
        <w:rPr>
          <w:sz w:val="20"/>
          <w:szCs w:val="20"/>
        </w:rPr>
        <w:t>Bisquera</w:t>
      </w:r>
      <w:proofErr w:type="spellEnd"/>
      <w:r w:rsidRPr="00B24E92">
        <w:rPr>
          <w:sz w:val="20"/>
          <w:szCs w:val="20"/>
        </w:rPr>
        <w:t xml:space="preserve"> Silva et al., 2024a), which both reported that higher financial literacy levels are associated with more responsible financial behavior and improved financial decision-making among students.</w:t>
      </w:r>
    </w:p>
    <w:p w14:paraId="51F0053A" w14:textId="00056581" w:rsidR="00B24E92" w:rsidRDefault="00B24E92" w:rsidP="00B24E92">
      <w:pPr>
        <w:pStyle w:val="NoSpacing"/>
        <w:rPr>
          <w:sz w:val="20"/>
          <w:szCs w:val="20"/>
        </w:rPr>
      </w:pPr>
    </w:p>
    <w:p w14:paraId="6A13BAC3" w14:textId="11F0ADD3" w:rsidR="00B24E92" w:rsidRDefault="00B24E92" w:rsidP="00B24E92">
      <w:pPr>
        <w:pStyle w:val="NoSpacing"/>
        <w:rPr>
          <w:sz w:val="20"/>
          <w:szCs w:val="20"/>
        </w:rPr>
      </w:pPr>
    </w:p>
    <w:p w14:paraId="57332182" w14:textId="77777777" w:rsidR="00B24E92" w:rsidRPr="001E53EF" w:rsidRDefault="00B24E92" w:rsidP="00B24E92">
      <w:pPr>
        <w:pStyle w:val="NoSpacing"/>
        <w:rPr>
          <w:sz w:val="20"/>
          <w:szCs w:val="20"/>
        </w:rPr>
      </w:pPr>
    </w:p>
    <w:p w14:paraId="69209EC7" w14:textId="6E2B258E" w:rsidR="6C28203E" w:rsidRPr="001E53EF" w:rsidRDefault="6C28203E" w:rsidP="00557E7A">
      <w:pPr>
        <w:pStyle w:val="NoSpacing"/>
        <w:rPr>
          <w:sz w:val="20"/>
          <w:szCs w:val="20"/>
        </w:rPr>
      </w:pPr>
    </w:p>
    <w:p w14:paraId="5FCFFD8B" w14:textId="705F0A7A" w:rsidR="0E8C25E3" w:rsidRPr="001E53EF" w:rsidRDefault="0E8C25E3" w:rsidP="00B24E92">
      <w:pPr>
        <w:pStyle w:val="NoSpacing"/>
        <w:jc w:val="center"/>
        <w:rPr>
          <w:sz w:val="20"/>
          <w:szCs w:val="20"/>
        </w:rPr>
      </w:pPr>
      <w:r w:rsidRPr="001E53EF">
        <w:rPr>
          <w:noProof/>
          <w:sz w:val="20"/>
          <w:szCs w:val="20"/>
        </w:rPr>
        <w:drawing>
          <wp:inline distT="0" distB="0" distL="0" distR="0" wp14:anchorId="024E280B" wp14:editId="0A6EE178">
            <wp:extent cx="5943600" cy="2524125"/>
            <wp:effectExtent l="0" t="0" r="0" b="0"/>
            <wp:docPr id="7456764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676499" name="Picture 745676499"/>
                    <pic:cNvPicPr/>
                  </pic:nvPicPr>
                  <pic:blipFill>
                    <a:blip r:embed="rId12">
                      <a:extLst>
                        <a:ext uri="{28A0092B-C50C-407E-A947-70E740481C1C}">
                          <a14:useLocalDpi xmlns:a14="http://schemas.microsoft.com/office/drawing/2010/main"/>
                        </a:ext>
                      </a:extLst>
                    </a:blip>
                    <a:stretch>
                      <a:fillRect/>
                    </a:stretch>
                  </pic:blipFill>
                  <pic:spPr>
                    <a:xfrm>
                      <a:off x="0" y="0"/>
                      <a:ext cx="5943600" cy="2524125"/>
                    </a:xfrm>
                    <a:prstGeom prst="rect">
                      <a:avLst/>
                    </a:prstGeom>
                  </pic:spPr>
                </pic:pic>
              </a:graphicData>
            </a:graphic>
          </wp:inline>
        </w:drawing>
      </w:r>
    </w:p>
    <w:p w14:paraId="5841903C" w14:textId="77777777" w:rsidR="00B24E92" w:rsidRDefault="00B24E92" w:rsidP="00B24E92">
      <w:pPr>
        <w:pStyle w:val="NoSpacing"/>
        <w:jc w:val="center"/>
        <w:rPr>
          <w:sz w:val="20"/>
          <w:szCs w:val="20"/>
        </w:rPr>
      </w:pPr>
    </w:p>
    <w:p w14:paraId="4071F572" w14:textId="6E6C9FF6" w:rsidR="0E8C25E3" w:rsidRPr="001E53EF" w:rsidRDefault="030E9EDF" w:rsidP="00B24E92">
      <w:pPr>
        <w:pStyle w:val="NoSpacing"/>
        <w:jc w:val="center"/>
        <w:rPr>
          <w:sz w:val="20"/>
          <w:szCs w:val="20"/>
        </w:rPr>
      </w:pPr>
      <w:r w:rsidRPr="001E53EF">
        <w:rPr>
          <w:sz w:val="20"/>
          <w:szCs w:val="20"/>
        </w:rPr>
        <w:t>Figure 1. Relationship of Digital financial literacy and financial management practices</w:t>
      </w:r>
    </w:p>
    <w:p w14:paraId="34E86509" w14:textId="46B63F60" w:rsidR="0E8C25E3" w:rsidRPr="001E53EF" w:rsidRDefault="0E8C25E3" w:rsidP="00557E7A">
      <w:pPr>
        <w:pStyle w:val="NoSpacing"/>
        <w:rPr>
          <w:sz w:val="20"/>
          <w:szCs w:val="20"/>
        </w:rPr>
      </w:pPr>
    </w:p>
    <w:p w14:paraId="28491B4D" w14:textId="77777777" w:rsidR="00B24E92" w:rsidRPr="00B24E92" w:rsidRDefault="00B24E92" w:rsidP="00B24E92">
      <w:pPr>
        <w:pStyle w:val="NoSpacing"/>
        <w:ind w:firstLine="360"/>
        <w:jc w:val="both"/>
        <w:rPr>
          <w:sz w:val="20"/>
          <w:szCs w:val="20"/>
        </w:rPr>
      </w:pPr>
      <w:r w:rsidRPr="00B24E92">
        <w:rPr>
          <w:sz w:val="20"/>
          <w:szCs w:val="20"/>
        </w:rPr>
        <w:t xml:space="preserve">Overall, the findings indicate that Quezon City University students demonstrate high levels of digital financial literacy and financial management practices, particularly in navigating FinTech platforms, identifying digital barriers, and practicing budgeting, saving, and responsible spending </w:t>
      </w:r>
      <w:proofErr w:type="spellStart"/>
      <w:r w:rsidRPr="00B24E92">
        <w:rPr>
          <w:sz w:val="20"/>
          <w:szCs w:val="20"/>
        </w:rPr>
        <w:t>behaviors</w:t>
      </w:r>
      <w:proofErr w:type="spellEnd"/>
      <w:r w:rsidRPr="00B24E92">
        <w:rPr>
          <w:sz w:val="20"/>
          <w:szCs w:val="20"/>
        </w:rPr>
        <w:t>. Among the financial management indicators, spending habits obtained the highest rating.</w:t>
      </w:r>
    </w:p>
    <w:p w14:paraId="17A92747" w14:textId="77777777" w:rsidR="00B24E92" w:rsidRPr="00B24E92" w:rsidRDefault="00B24E92" w:rsidP="00B24E92">
      <w:pPr>
        <w:pStyle w:val="NoSpacing"/>
        <w:ind w:firstLine="360"/>
        <w:jc w:val="both"/>
        <w:rPr>
          <w:sz w:val="20"/>
          <w:szCs w:val="20"/>
        </w:rPr>
      </w:pPr>
    </w:p>
    <w:p w14:paraId="4F547B26" w14:textId="77777777" w:rsidR="00B24E92" w:rsidRPr="00B24E92" w:rsidRDefault="00B24E92" w:rsidP="00B24E92">
      <w:pPr>
        <w:pStyle w:val="NoSpacing"/>
        <w:ind w:firstLine="360"/>
        <w:jc w:val="both"/>
        <w:rPr>
          <w:sz w:val="20"/>
          <w:szCs w:val="20"/>
        </w:rPr>
      </w:pPr>
      <w:r w:rsidRPr="00B24E92">
        <w:rPr>
          <w:sz w:val="20"/>
          <w:szCs w:val="20"/>
        </w:rPr>
        <w:t>Additionally, students showed stronger financial information comprehension than information accessibility, as reflected by the negative gap value of -0.53, indicating that respondents understand financial information better than they can access it through digital platforms.</w:t>
      </w:r>
    </w:p>
    <w:p w14:paraId="77054F05" w14:textId="77777777" w:rsidR="00B24E92" w:rsidRPr="00B24E92" w:rsidRDefault="00B24E92" w:rsidP="00B24E92">
      <w:pPr>
        <w:pStyle w:val="NoSpacing"/>
        <w:ind w:firstLine="360"/>
        <w:jc w:val="both"/>
        <w:rPr>
          <w:sz w:val="20"/>
          <w:szCs w:val="20"/>
        </w:rPr>
      </w:pPr>
    </w:p>
    <w:p w14:paraId="5A78A311" w14:textId="21B57A70" w:rsidR="3286976B" w:rsidRPr="001E53EF" w:rsidRDefault="00B24E92" w:rsidP="00B24E92">
      <w:pPr>
        <w:pStyle w:val="NoSpacing"/>
        <w:ind w:firstLine="360"/>
        <w:jc w:val="both"/>
        <w:rPr>
          <w:sz w:val="20"/>
          <w:szCs w:val="20"/>
        </w:rPr>
      </w:pPr>
      <w:r w:rsidRPr="00B24E92">
        <w:rPr>
          <w:sz w:val="20"/>
          <w:szCs w:val="20"/>
        </w:rPr>
        <w:t>Finally, the moderate positive relationship (r = 0.51) between digital financial literacy and financial management practices suggests that students with higher digital financial literacy are more likely to manage their finances effectively. These findings highlight the importance of strengthening digital financial literacy programs to further improve students’ financial decision-making and overall financial well-being.</w:t>
      </w:r>
      <w:r w:rsidR="6C28203E" w:rsidRPr="001E53EF">
        <w:rPr>
          <w:sz w:val="20"/>
          <w:szCs w:val="20"/>
        </w:rPr>
        <w:t xml:space="preserve">  </w:t>
      </w:r>
    </w:p>
    <w:p w14:paraId="0FC8C447" w14:textId="7B621EBC" w:rsidR="3286976B" w:rsidRPr="007475F4" w:rsidRDefault="3286976B" w:rsidP="3286976B">
      <w:pPr>
        <w:pStyle w:val="IEEEParagraph"/>
        <w:ind w:firstLine="0"/>
        <w:rPr>
          <w:sz w:val="20"/>
          <w:szCs w:val="20"/>
        </w:rPr>
      </w:pPr>
    </w:p>
    <w:p w14:paraId="0847CD35" w14:textId="188BA98F" w:rsidR="04CA51E5" w:rsidRPr="007475F4" w:rsidRDefault="6C28203E" w:rsidP="6C28203E">
      <w:pPr>
        <w:pStyle w:val="IEEEHeading1"/>
        <w:numPr>
          <w:ilvl w:val="0"/>
          <w:numId w:val="0"/>
        </w:numPr>
        <w:spacing w:before="0" w:after="240"/>
        <w:jc w:val="both"/>
        <w:rPr>
          <w:b/>
          <w:bCs/>
          <w:szCs w:val="20"/>
        </w:rPr>
      </w:pPr>
      <w:r w:rsidRPr="007475F4">
        <w:rPr>
          <w:b/>
          <w:bCs/>
          <w:szCs w:val="20"/>
        </w:rPr>
        <w:t>CONCLUSION</w:t>
      </w:r>
    </w:p>
    <w:p w14:paraId="12733DF1" w14:textId="6771E70F" w:rsidR="000E1817" w:rsidRDefault="1380DBB6" w:rsidP="00B24E92">
      <w:pPr>
        <w:pStyle w:val="NoSpacing"/>
        <w:ind w:firstLine="360"/>
        <w:jc w:val="both"/>
        <w:rPr>
          <w:sz w:val="20"/>
          <w:szCs w:val="20"/>
        </w:rPr>
      </w:pPr>
      <w:r w:rsidRPr="00B24E92">
        <w:rPr>
          <w:sz w:val="20"/>
          <w:szCs w:val="20"/>
        </w:rPr>
        <w:t>Based on the study's findings, it is clear that Quezon City University third-year students have high levels of money management and digital financial literacy. The respondents comprehend the digital obstacles to obtaining online financial services and are informed on how to use financial technology platforms. Students are sufficiently informed about how to manage their finances using digital financial tools and applications.</w:t>
      </w:r>
    </w:p>
    <w:p w14:paraId="17BA0AE2" w14:textId="77777777" w:rsidR="00B24E92" w:rsidRPr="00B24E92" w:rsidRDefault="00B24E92" w:rsidP="00B24E92">
      <w:pPr>
        <w:pStyle w:val="NoSpacing"/>
        <w:ind w:firstLine="360"/>
        <w:jc w:val="both"/>
        <w:rPr>
          <w:sz w:val="20"/>
          <w:szCs w:val="20"/>
        </w:rPr>
      </w:pPr>
    </w:p>
    <w:p w14:paraId="2EE73D8E" w14:textId="77777777" w:rsidR="00B24E92" w:rsidRDefault="1380DBB6" w:rsidP="00B24E92">
      <w:pPr>
        <w:pStyle w:val="NoSpacing"/>
        <w:ind w:firstLine="360"/>
        <w:jc w:val="both"/>
        <w:rPr>
          <w:sz w:val="20"/>
          <w:szCs w:val="20"/>
        </w:rPr>
      </w:pPr>
      <w:r w:rsidRPr="00B24E92">
        <w:rPr>
          <w:sz w:val="20"/>
          <w:szCs w:val="20"/>
        </w:rPr>
        <w:t>The study also found that the respondents demonstrate responsible financial management practices in terms of budgeting, saving, and spending. Students regularly monitor their expenses, allocate their finances properly, and understand the importance of saving for future financial needs. Among the several financial management strategies, spending habits received the best score, indicating that students are responsible and cautious when making financial decisions.</w:t>
      </w:r>
    </w:p>
    <w:p w14:paraId="15742F9C" w14:textId="77777777" w:rsidR="00B24E92" w:rsidRDefault="00B24E92" w:rsidP="00B24E92">
      <w:pPr>
        <w:pStyle w:val="NoSpacing"/>
        <w:ind w:firstLine="360"/>
        <w:jc w:val="both"/>
        <w:rPr>
          <w:sz w:val="20"/>
          <w:szCs w:val="20"/>
        </w:rPr>
      </w:pPr>
    </w:p>
    <w:p w14:paraId="7B211D7E" w14:textId="77777777" w:rsidR="00B24E92" w:rsidRDefault="1380DBB6" w:rsidP="00B24E92">
      <w:pPr>
        <w:pStyle w:val="NoSpacing"/>
        <w:ind w:firstLine="360"/>
        <w:jc w:val="both"/>
        <w:rPr>
          <w:sz w:val="20"/>
          <w:szCs w:val="20"/>
        </w:rPr>
      </w:pPr>
      <w:r w:rsidRPr="00B24E92">
        <w:rPr>
          <w:sz w:val="20"/>
          <w:szCs w:val="20"/>
        </w:rPr>
        <w:t>In addition, the findings revealed that students understand financial information better than they can access it through digital platforms. This implies that even while students have excellent understanding abilities, there are still certain issues with accessibility, internet connectivity, and platform usability.</w:t>
      </w:r>
    </w:p>
    <w:p w14:paraId="7364ECD6" w14:textId="77777777" w:rsidR="00B24E92" w:rsidRDefault="00B24E92" w:rsidP="00B24E92">
      <w:pPr>
        <w:pStyle w:val="NoSpacing"/>
        <w:ind w:firstLine="360"/>
        <w:jc w:val="both"/>
        <w:rPr>
          <w:sz w:val="20"/>
          <w:szCs w:val="20"/>
        </w:rPr>
      </w:pPr>
    </w:p>
    <w:p w14:paraId="188E768D" w14:textId="77777777" w:rsidR="00B24E92" w:rsidRDefault="1380DBB6" w:rsidP="00B24E92">
      <w:pPr>
        <w:pStyle w:val="NoSpacing"/>
        <w:ind w:firstLine="360"/>
        <w:jc w:val="both"/>
        <w:rPr>
          <w:sz w:val="20"/>
          <w:szCs w:val="20"/>
        </w:rPr>
      </w:pPr>
      <w:r w:rsidRPr="00B24E92">
        <w:rPr>
          <w:sz w:val="20"/>
          <w:szCs w:val="20"/>
        </w:rPr>
        <w:t>The study also demonstrated the relationship between financial management techniques and digital financial literacy. Better financial management practices are more likely to be displayed by students with greater levels of digital financial literacy. This implies that improving students’ knowledge and understanding of digital financial platforms may help them become more financially responsible and effective in managing their finances.</w:t>
      </w:r>
    </w:p>
    <w:p w14:paraId="7E54C6FE" w14:textId="77777777" w:rsidR="00B24E92" w:rsidRDefault="00B24E92" w:rsidP="00B24E92">
      <w:pPr>
        <w:pStyle w:val="NoSpacing"/>
        <w:ind w:firstLine="360"/>
        <w:jc w:val="both"/>
        <w:rPr>
          <w:sz w:val="20"/>
          <w:szCs w:val="20"/>
        </w:rPr>
      </w:pPr>
    </w:p>
    <w:p w14:paraId="01F105A0" w14:textId="2C66C9B4" w:rsidR="000E1817" w:rsidRPr="00B24E92" w:rsidRDefault="53A4BAAC" w:rsidP="00B24E92">
      <w:pPr>
        <w:pStyle w:val="NoSpacing"/>
        <w:ind w:firstLine="360"/>
        <w:jc w:val="both"/>
        <w:rPr>
          <w:sz w:val="20"/>
          <w:szCs w:val="20"/>
        </w:rPr>
      </w:pPr>
      <w:r w:rsidRPr="00B24E92">
        <w:rPr>
          <w:sz w:val="20"/>
          <w:szCs w:val="20"/>
        </w:rPr>
        <w:t>Overall, the study provided a better understanding of the digital financial literacy and financial management practices of 3rd year students in Quezon City University. The findings may serve as a basis for developing programs and strategies that can strengthen students’ digital financial knowledge and promote responsible financial management among university students.</w:t>
      </w:r>
    </w:p>
    <w:p w14:paraId="0BAB6571" w14:textId="6CCE1677" w:rsidR="61F339F2" w:rsidRPr="007475F4" w:rsidRDefault="61F339F2" w:rsidP="61F339F2">
      <w:pPr>
        <w:jc w:val="both"/>
        <w:rPr>
          <w:sz w:val="20"/>
          <w:szCs w:val="20"/>
        </w:rPr>
      </w:pPr>
    </w:p>
    <w:p w14:paraId="11D7BF59" w14:textId="77777777" w:rsidR="00B24E92" w:rsidRDefault="00B24E92" w:rsidP="00856D4D">
      <w:pPr>
        <w:pStyle w:val="Heading1"/>
        <w:spacing w:before="0" w:after="240"/>
        <w:jc w:val="both"/>
        <w:rPr>
          <w:rFonts w:ascii="Times New Roman" w:hAnsi="Times New Roman" w:cs="Times New Roman"/>
          <w:sz w:val="20"/>
          <w:szCs w:val="20"/>
        </w:rPr>
      </w:pPr>
    </w:p>
    <w:p w14:paraId="4807D950" w14:textId="1562FEDA" w:rsidR="00856D4D" w:rsidRPr="007475F4" w:rsidRDefault="6A26EA1D" w:rsidP="00856D4D">
      <w:pPr>
        <w:pStyle w:val="Heading1"/>
        <w:spacing w:before="0" w:after="240"/>
        <w:jc w:val="both"/>
        <w:rPr>
          <w:rFonts w:ascii="Times New Roman" w:hAnsi="Times New Roman" w:cs="Times New Roman"/>
          <w:sz w:val="20"/>
          <w:szCs w:val="20"/>
        </w:rPr>
      </w:pPr>
      <w:r w:rsidRPr="007475F4">
        <w:rPr>
          <w:rFonts w:ascii="Times New Roman" w:hAnsi="Times New Roman" w:cs="Times New Roman"/>
          <w:sz w:val="20"/>
          <w:szCs w:val="20"/>
        </w:rPr>
        <w:t>REFERENCES</w:t>
      </w:r>
    </w:p>
    <w:p w14:paraId="6F2806E2" w14:textId="0D048AC8" w:rsidR="6A26EA1D" w:rsidRPr="00B24E92" w:rsidRDefault="6A26EA1D" w:rsidP="00B24E92">
      <w:pPr>
        <w:pStyle w:val="ListParagraph"/>
        <w:numPr>
          <w:ilvl w:val="0"/>
          <w:numId w:val="1"/>
        </w:numPr>
        <w:rPr>
          <w:rFonts w:eastAsia="Times New Roman"/>
          <w:color w:val="000000" w:themeColor="text1"/>
          <w:sz w:val="20"/>
          <w:szCs w:val="20"/>
          <w:u w:val="single"/>
        </w:rPr>
      </w:pPr>
      <w:proofErr w:type="spellStart"/>
      <w:r w:rsidRPr="007475F4">
        <w:rPr>
          <w:rFonts w:eastAsia="Times New Roman"/>
          <w:color w:val="000000" w:themeColor="text1"/>
          <w:sz w:val="20"/>
          <w:szCs w:val="20"/>
        </w:rPr>
        <w:t>Bangko</w:t>
      </w:r>
      <w:proofErr w:type="spellEnd"/>
      <w:r w:rsidRPr="007475F4">
        <w:rPr>
          <w:rFonts w:eastAsia="Times New Roman"/>
          <w:color w:val="000000" w:themeColor="text1"/>
          <w:sz w:val="20"/>
          <w:szCs w:val="20"/>
        </w:rPr>
        <w:t xml:space="preserve"> </w:t>
      </w:r>
      <w:proofErr w:type="spellStart"/>
      <w:r w:rsidRPr="007475F4">
        <w:rPr>
          <w:rFonts w:eastAsia="Times New Roman"/>
          <w:color w:val="000000" w:themeColor="text1"/>
          <w:sz w:val="20"/>
          <w:szCs w:val="20"/>
        </w:rPr>
        <w:t>Sentral</w:t>
      </w:r>
      <w:proofErr w:type="spellEnd"/>
      <w:r w:rsidRPr="007475F4">
        <w:rPr>
          <w:rFonts w:eastAsia="Times New Roman"/>
          <w:color w:val="000000" w:themeColor="text1"/>
          <w:sz w:val="20"/>
          <w:szCs w:val="20"/>
        </w:rPr>
        <w:t xml:space="preserve"> ng </w:t>
      </w:r>
      <w:proofErr w:type="spellStart"/>
      <w:r w:rsidRPr="007475F4">
        <w:rPr>
          <w:rFonts w:eastAsia="Times New Roman"/>
          <w:color w:val="000000" w:themeColor="text1"/>
          <w:sz w:val="20"/>
          <w:szCs w:val="20"/>
        </w:rPr>
        <w:t>Pilipinas</w:t>
      </w:r>
      <w:proofErr w:type="spellEnd"/>
      <w:r w:rsidRPr="007475F4">
        <w:rPr>
          <w:rFonts w:eastAsia="Times New Roman"/>
          <w:color w:val="000000" w:themeColor="text1"/>
          <w:sz w:val="20"/>
          <w:szCs w:val="20"/>
        </w:rPr>
        <w:t xml:space="preserve">. (2024). BSP bridges financial literacy gap among Filipinos. </w:t>
      </w:r>
      <w:r w:rsidRPr="007475F4">
        <w:rPr>
          <w:rFonts w:eastAsia="Times New Roman"/>
          <w:i/>
          <w:iCs/>
          <w:color w:val="000000" w:themeColor="text1"/>
          <w:sz w:val="20"/>
          <w:szCs w:val="20"/>
        </w:rPr>
        <w:t>Philippine News Agency</w:t>
      </w:r>
      <w:r w:rsidRPr="007475F4">
        <w:rPr>
          <w:rFonts w:eastAsia="Times New Roman"/>
          <w:color w:val="000000" w:themeColor="text1"/>
          <w:sz w:val="20"/>
          <w:szCs w:val="20"/>
        </w:rPr>
        <w:t>.</w:t>
      </w:r>
      <w:hyperlink r:id="rId13">
        <w:r w:rsidRPr="007475F4">
          <w:rPr>
            <w:rStyle w:val="Hyperlink"/>
            <w:rFonts w:eastAsia="Times New Roman"/>
            <w:color w:val="000000" w:themeColor="text1"/>
            <w:sz w:val="20"/>
            <w:szCs w:val="20"/>
          </w:rPr>
          <w:t xml:space="preserve"> </w:t>
        </w:r>
        <w:r w:rsidRPr="007475F4">
          <w:rPr>
            <w:rStyle w:val="Hyperlink"/>
            <w:rFonts w:eastAsia="Times New Roman"/>
            <w:color w:val="1155CC"/>
            <w:sz w:val="20"/>
            <w:szCs w:val="20"/>
          </w:rPr>
          <w:t>https://www.pna.gov.ph/articles/1206091</w:t>
        </w:r>
      </w:hyperlink>
    </w:p>
    <w:p w14:paraId="170DCD6F" w14:textId="47859CA4" w:rsidR="6A26EA1D" w:rsidRPr="00B24E92" w:rsidRDefault="6A26EA1D" w:rsidP="00B24E92">
      <w:pPr>
        <w:pStyle w:val="ListParagraph"/>
        <w:numPr>
          <w:ilvl w:val="0"/>
          <w:numId w:val="1"/>
        </w:numPr>
        <w:jc w:val="both"/>
        <w:rPr>
          <w:rFonts w:eastAsia="Times New Roman"/>
          <w:color w:val="000000" w:themeColor="text1"/>
          <w:sz w:val="20"/>
          <w:szCs w:val="20"/>
        </w:rPr>
      </w:pPr>
      <w:proofErr w:type="spellStart"/>
      <w:r w:rsidRPr="007475F4">
        <w:rPr>
          <w:rFonts w:eastAsia="Times New Roman"/>
          <w:color w:val="000000" w:themeColor="text1"/>
          <w:sz w:val="20"/>
          <w:szCs w:val="20"/>
        </w:rPr>
        <w:t>Koskelainen</w:t>
      </w:r>
      <w:proofErr w:type="spellEnd"/>
      <w:r w:rsidRPr="007475F4">
        <w:rPr>
          <w:rFonts w:eastAsia="Times New Roman"/>
          <w:color w:val="000000" w:themeColor="text1"/>
          <w:sz w:val="20"/>
          <w:szCs w:val="20"/>
        </w:rPr>
        <w:t xml:space="preserve">, T., </w:t>
      </w:r>
      <w:proofErr w:type="spellStart"/>
      <w:r w:rsidRPr="007475F4">
        <w:rPr>
          <w:rFonts w:eastAsia="Times New Roman"/>
          <w:color w:val="000000" w:themeColor="text1"/>
          <w:sz w:val="20"/>
          <w:szCs w:val="20"/>
        </w:rPr>
        <w:t>Kalmi</w:t>
      </w:r>
      <w:proofErr w:type="spellEnd"/>
      <w:r w:rsidRPr="007475F4">
        <w:rPr>
          <w:rFonts w:eastAsia="Times New Roman"/>
          <w:color w:val="000000" w:themeColor="text1"/>
          <w:sz w:val="20"/>
          <w:szCs w:val="20"/>
        </w:rPr>
        <w:t xml:space="preserve">, P., </w:t>
      </w:r>
      <w:proofErr w:type="spellStart"/>
      <w:r w:rsidRPr="007475F4">
        <w:rPr>
          <w:rFonts w:eastAsia="Times New Roman"/>
          <w:color w:val="000000" w:themeColor="text1"/>
          <w:sz w:val="20"/>
          <w:szCs w:val="20"/>
        </w:rPr>
        <w:t>Scornavacca</w:t>
      </w:r>
      <w:proofErr w:type="spellEnd"/>
      <w:r w:rsidRPr="007475F4">
        <w:rPr>
          <w:rFonts w:eastAsia="Times New Roman"/>
          <w:color w:val="000000" w:themeColor="text1"/>
          <w:sz w:val="20"/>
          <w:szCs w:val="20"/>
        </w:rPr>
        <w:t xml:space="preserve">, E., &amp; </w:t>
      </w:r>
      <w:proofErr w:type="spellStart"/>
      <w:r w:rsidRPr="007475F4">
        <w:rPr>
          <w:rFonts w:eastAsia="Times New Roman"/>
          <w:color w:val="000000" w:themeColor="text1"/>
          <w:sz w:val="20"/>
          <w:szCs w:val="20"/>
        </w:rPr>
        <w:t>Vartiainen</w:t>
      </w:r>
      <w:proofErr w:type="spellEnd"/>
      <w:r w:rsidRPr="007475F4">
        <w:rPr>
          <w:rFonts w:eastAsia="Times New Roman"/>
          <w:color w:val="000000" w:themeColor="text1"/>
          <w:sz w:val="20"/>
          <w:szCs w:val="20"/>
        </w:rPr>
        <w:t xml:space="preserve">, T. (2023). Financial literacy in the digital age: A research agenda. </w:t>
      </w:r>
      <w:r w:rsidRPr="007475F4">
        <w:rPr>
          <w:rFonts w:eastAsia="Times New Roman"/>
          <w:i/>
          <w:iCs/>
          <w:color w:val="000000" w:themeColor="text1"/>
          <w:sz w:val="20"/>
          <w:szCs w:val="20"/>
        </w:rPr>
        <w:t>Journal of Consumer Affairs, 57</w:t>
      </w:r>
      <w:r w:rsidRPr="007475F4">
        <w:rPr>
          <w:rFonts w:eastAsia="Times New Roman"/>
          <w:color w:val="000000" w:themeColor="text1"/>
          <w:sz w:val="20"/>
          <w:szCs w:val="20"/>
        </w:rPr>
        <w:t>, Advance online publication.</w:t>
      </w:r>
      <w:hyperlink r:id="rId14">
        <w:r w:rsidRPr="007475F4">
          <w:rPr>
            <w:rStyle w:val="Hyperlink"/>
            <w:rFonts w:eastAsia="Times New Roman"/>
            <w:color w:val="000000" w:themeColor="text1"/>
            <w:sz w:val="20"/>
            <w:szCs w:val="20"/>
            <w:u w:val="none"/>
          </w:rPr>
          <w:t xml:space="preserve"> </w:t>
        </w:r>
        <w:r w:rsidRPr="007475F4">
          <w:rPr>
            <w:rStyle w:val="Hyperlink"/>
            <w:rFonts w:eastAsia="Times New Roman"/>
            <w:color w:val="1155CC"/>
            <w:sz w:val="20"/>
            <w:szCs w:val="20"/>
          </w:rPr>
          <w:t>https://doi.org/10.1111/joca.12510</w:t>
        </w:r>
      </w:hyperlink>
    </w:p>
    <w:p w14:paraId="70C352DF" w14:textId="16884CBC" w:rsidR="00AA56C6" w:rsidRPr="00B24E92" w:rsidRDefault="6A26EA1D" w:rsidP="00B24E92">
      <w:pPr>
        <w:pStyle w:val="ListParagraph"/>
        <w:numPr>
          <w:ilvl w:val="0"/>
          <w:numId w:val="1"/>
        </w:numPr>
        <w:jc w:val="both"/>
        <w:rPr>
          <w:rFonts w:eastAsia="Times New Roman"/>
          <w:color w:val="000000" w:themeColor="text1"/>
          <w:sz w:val="20"/>
          <w:szCs w:val="20"/>
        </w:rPr>
      </w:pPr>
      <w:proofErr w:type="spellStart"/>
      <w:r w:rsidRPr="007475F4">
        <w:rPr>
          <w:rFonts w:eastAsia="Times New Roman"/>
          <w:color w:val="000000" w:themeColor="text1"/>
          <w:sz w:val="20"/>
          <w:szCs w:val="20"/>
        </w:rPr>
        <w:lastRenderedPageBreak/>
        <w:t>Respati</w:t>
      </w:r>
      <w:proofErr w:type="spellEnd"/>
      <w:r w:rsidRPr="007475F4">
        <w:rPr>
          <w:rFonts w:eastAsia="Times New Roman"/>
          <w:color w:val="000000" w:themeColor="text1"/>
          <w:sz w:val="20"/>
          <w:szCs w:val="20"/>
        </w:rPr>
        <w:t xml:space="preserve">, K., </w:t>
      </w:r>
      <w:proofErr w:type="spellStart"/>
      <w:r w:rsidRPr="007475F4">
        <w:rPr>
          <w:rFonts w:eastAsia="Times New Roman"/>
          <w:color w:val="000000" w:themeColor="text1"/>
          <w:sz w:val="20"/>
          <w:szCs w:val="20"/>
        </w:rPr>
        <w:t>Widyastuti</w:t>
      </w:r>
      <w:proofErr w:type="spellEnd"/>
      <w:r w:rsidRPr="007475F4">
        <w:rPr>
          <w:rFonts w:eastAsia="Times New Roman"/>
          <w:color w:val="000000" w:themeColor="text1"/>
          <w:sz w:val="20"/>
          <w:szCs w:val="20"/>
        </w:rPr>
        <w:t xml:space="preserve">, U., </w:t>
      </w:r>
      <w:proofErr w:type="spellStart"/>
      <w:r w:rsidRPr="007475F4">
        <w:rPr>
          <w:rFonts w:eastAsia="Times New Roman"/>
          <w:color w:val="000000" w:themeColor="text1"/>
          <w:sz w:val="20"/>
          <w:szCs w:val="20"/>
        </w:rPr>
        <w:t>Nuryati</w:t>
      </w:r>
      <w:proofErr w:type="spellEnd"/>
      <w:r w:rsidRPr="007475F4">
        <w:rPr>
          <w:rFonts w:eastAsia="Times New Roman"/>
          <w:color w:val="000000" w:themeColor="text1"/>
          <w:sz w:val="20"/>
          <w:szCs w:val="20"/>
        </w:rPr>
        <w:t xml:space="preserve">, T., </w:t>
      </w:r>
      <w:proofErr w:type="spellStart"/>
      <w:r w:rsidRPr="007475F4">
        <w:rPr>
          <w:rFonts w:eastAsia="Times New Roman"/>
          <w:color w:val="000000" w:themeColor="text1"/>
          <w:sz w:val="20"/>
          <w:szCs w:val="20"/>
        </w:rPr>
        <w:t>Musyaffi</w:t>
      </w:r>
      <w:proofErr w:type="spellEnd"/>
      <w:r w:rsidRPr="007475F4">
        <w:rPr>
          <w:rFonts w:eastAsia="Times New Roman"/>
          <w:color w:val="000000" w:themeColor="text1"/>
          <w:sz w:val="20"/>
          <w:szCs w:val="20"/>
        </w:rPr>
        <w:t xml:space="preserve">, A., </w:t>
      </w:r>
      <w:proofErr w:type="spellStart"/>
      <w:r w:rsidRPr="007475F4">
        <w:rPr>
          <w:rFonts w:eastAsia="Times New Roman"/>
          <w:color w:val="000000" w:themeColor="text1"/>
          <w:sz w:val="20"/>
          <w:szCs w:val="20"/>
        </w:rPr>
        <w:t>Handayani</w:t>
      </w:r>
      <w:proofErr w:type="spellEnd"/>
      <w:r w:rsidRPr="007475F4">
        <w:rPr>
          <w:rFonts w:eastAsia="Times New Roman"/>
          <w:color w:val="000000" w:themeColor="text1"/>
          <w:sz w:val="20"/>
          <w:szCs w:val="20"/>
        </w:rPr>
        <w:t xml:space="preserve">, B., &amp; Ali, R. (2023). How do students’ digital financial literacy and financial confidence influence their financial behavior and financial well-being? </w:t>
      </w:r>
      <w:r w:rsidRPr="007475F4">
        <w:rPr>
          <w:rFonts w:eastAsia="Times New Roman"/>
          <w:i/>
          <w:iCs/>
          <w:color w:val="000000" w:themeColor="text1"/>
          <w:sz w:val="20"/>
          <w:szCs w:val="20"/>
        </w:rPr>
        <w:t>Nurture, 17</w:t>
      </w:r>
      <w:r w:rsidRPr="007475F4">
        <w:rPr>
          <w:rFonts w:eastAsia="Times New Roman"/>
          <w:color w:val="000000" w:themeColor="text1"/>
          <w:sz w:val="20"/>
          <w:szCs w:val="20"/>
        </w:rPr>
        <w:t>(2), 40–50.</w:t>
      </w:r>
      <w:hyperlink r:id="rId15">
        <w:r w:rsidRPr="007475F4">
          <w:rPr>
            <w:rStyle w:val="Hyperlink"/>
            <w:rFonts w:eastAsia="Times New Roman"/>
            <w:color w:val="000000" w:themeColor="text1"/>
            <w:sz w:val="20"/>
            <w:szCs w:val="20"/>
            <w:u w:val="none"/>
          </w:rPr>
          <w:t xml:space="preserve"> </w:t>
        </w:r>
      </w:hyperlink>
      <w:hyperlink r:id="rId16">
        <w:r w:rsidRPr="007475F4">
          <w:rPr>
            <w:rStyle w:val="Hyperlink"/>
            <w:rFonts w:eastAsia="Times New Roman"/>
            <w:color w:val="1155CC"/>
            <w:sz w:val="20"/>
            <w:szCs w:val="20"/>
          </w:rPr>
          <w:t>https://doi.org/10.55951/nurture.v17i2.154</w:t>
        </w:r>
      </w:hyperlink>
    </w:p>
    <w:p w14:paraId="7A88271A" w14:textId="50F8DA24" w:rsidR="00250460" w:rsidRPr="00B24E92" w:rsidRDefault="00250460" w:rsidP="00B24E92">
      <w:pPr>
        <w:pStyle w:val="ListParagraph"/>
        <w:numPr>
          <w:ilvl w:val="0"/>
          <w:numId w:val="1"/>
        </w:numPr>
        <w:rPr>
          <w:sz w:val="20"/>
          <w:szCs w:val="20"/>
        </w:rPr>
      </w:pPr>
      <w:r w:rsidRPr="007475F4">
        <w:rPr>
          <w:sz w:val="20"/>
          <w:szCs w:val="20"/>
        </w:rPr>
        <w:t xml:space="preserve">Choung, Y., Chatterjee, S., &amp; Pak, T.-Y. (2023). Digital financial literacy and financial well-being. Finance Research Letters. </w:t>
      </w:r>
      <w:hyperlink r:id="rId17" w:history="1">
        <w:r w:rsidRPr="007475F4">
          <w:rPr>
            <w:rStyle w:val="Hyperlink"/>
            <w:sz w:val="20"/>
            <w:szCs w:val="20"/>
          </w:rPr>
          <w:t>https://doi.org/10.1016/j.frl.2023.104438</w:t>
        </w:r>
      </w:hyperlink>
    </w:p>
    <w:p w14:paraId="54CF1469" w14:textId="01F549E1" w:rsidR="00250460" w:rsidRPr="00B24E92" w:rsidRDefault="00250460" w:rsidP="00B24E92">
      <w:pPr>
        <w:pStyle w:val="ListParagraph"/>
        <w:numPr>
          <w:ilvl w:val="0"/>
          <w:numId w:val="1"/>
        </w:numPr>
        <w:rPr>
          <w:sz w:val="20"/>
          <w:szCs w:val="20"/>
        </w:rPr>
      </w:pPr>
      <w:r w:rsidRPr="007475F4">
        <w:rPr>
          <w:sz w:val="20"/>
          <w:szCs w:val="20"/>
        </w:rPr>
        <w:t xml:space="preserve">Hu, S., &amp; Liu, D. (2025). Digital economy, financial literacy, and financial risk-taking in rural households. International Review of Economics and Finance, 98, 103922. </w:t>
      </w:r>
      <w:hyperlink r:id="rId18" w:history="1">
        <w:r w:rsidRPr="007475F4">
          <w:rPr>
            <w:rStyle w:val="Hyperlink"/>
            <w:sz w:val="20"/>
            <w:szCs w:val="20"/>
          </w:rPr>
          <w:t>https://doi.org/10.1016/j.iref.2024.103922</w:t>
        </w:r>
      </w:hyperlink>
    </w:p>
    <w:p w14:paraId="0D3ACA07" w14:textId="2D00200A" w:rsidR="00250460" w:rsidRPr="00B24E92" w:rsidRDefault="00250460" w:rsidP="00B24E92">
      <w:pPr>
        <w:pStyle w:val="ListParagraph"/>
        <w:numPr>
          <w:ilvl w:val="0"/>
          <w:numId w:val="1"/>
        </w:numPr>
        <w:rPr>
          <w:sz w:val="20"/>
          <w:szCs w:val="20"/>
        </w:rPr>
      </w:pPr>
      <w:proofErr w:type="spellStart"/>
      <w:r w:rsidRPr="007475F4">
        <w:rPr>
          <w:sz w:val="20"/>
          <w:szCs w:val="20"/>
        </w:rPr>
        <w:t>Koskelainen</w:t>
      </w:r>
      <w:proofErr w:type="spellEnd"/>
      <w:r w:rsidRPr="007475F4">
        <w:rPr>
          <w:sz w:val="20"/>
          <w:szCs w:val="20"/>
        </w:rPr>
        <w:t xml:space="preserve">, T., </w:t>
      </w:r>
      <w:proofErr w:type="spellStart"/>
      <w:r w:rsidRPr="007475F4">
        <w:rPr>
          <w:sz w:val="20"/>
          <w:szCs w:val="20"/>
        </w:rPr>
        <w:t>Kalmi</w:t>
      </w:r>
      <w:proofErr w:type="spellEnd"/>
      <w:r w:rsidRPr="007475F4">
        <w:rPr>
          <w:sz w:val="20"/>
          <w:szCs w:val="20"/>
        </w:rPr>
        <w:t xml:space="preserve">, P., </w:t>
      </w:r>
      <w:proofErr w:type="spellStart"/>
      <w:r w:rsidRPr="007475F4">
        <w:rPr>
          <w:sz w:val="20"/>
          <w:szCs w:val="20"/>
        </w:rPr>
        <w:t>Scornavacca</w:t>
      </w:r>
      <w:proofErr w:type="spellEnd"/>
      <w:r w:rsidRPr="007475F4">
        <w:rPr>
          <w:sz w:val="20"/>
          <w:szCs w:val="20"/>
        </w:rPr>
        <w:t xml:space="preserve">, E., &amp; </w:t>
      </w:r>
      <w:proofErr w:type="spellStart"/>
      <w:r w:rsidRPr="007475F4">
        <w:rPr>
          <w:sz w:val="20"/>
          <w:szCs w:val="20"/>
        </w:rPr>
        <w:t>Vartiainen</w:t>
      </w:r>
      <w:proofErr w:type="spellEnd"/>
      <w:r w:rsidRPr="007475F4">
        <w:rPr>
          <w:sz w:val="20"/>
          <w:szCs w:val="20"/>
        </w:rPr>
        <w:t xml:space="preserve">, T. (2023). Financial literacy in the digital age—A research agenda. Journal of Consumer Affairs, 57(1), 507–528. </w:t>
      </w:r>
      <w:hyperlink r:id="rId19" w:history="1">
        <w:r w:rsidRPr="007475F4">
          <w:rPr>
            <w:rStyle w:val="Hyperlink"/>
            <w:sz w:val="20"/>
            <w:szCs w:val="20"/>
          </w:rPr>
          <w:t>https://doi.org/10.1111/joca.12510</w:t>
        </w:r>
      </w:hyperlink>
    </w:p>
    <w:p w14:paraId="1A424715" w14:textId="612DAE1F" w:rsidR="00250460" w:rsidRPr="00B24E92" w:rsidRDefault="00250460" w:rsidP="00B24E92">
      <w:pPr>
        <w:pStyle w:val="ListParagraph"/>
        <w:numPr>
          <w:ilvl w:val="0"/>
          <w:numId w:val="1"/>
        </w:numPr>
        <w:rPr>
          <w:sz w:val="20"/>
          <w:szCs w:val="20"/>
        </w:rPr>
      </w:pPr>
      <w:proofErr w:type="spellStart"/>
      <w:r w:rsidRPr="007475F4">
        <w:rPr>
          <w:sz w:val="20"/>
          <w:szCs w:val="20"/>
        </w:rPr>
        <w:t>Sarsale</w:t>
      </w:r>
      <w:proofErr w:type="spellEnd"/>
      <w:r w:rsidRPr="007475F4">
        <w:rPr>
          <w:sz w:val="20"/>
          <w:szCs w:val="20"/>
        </w:rPr>
        <w:t xml:space="preserve">, M. (2025). The Philippines in ASEAN financial literacy research: Insights from a bibliometric review. Future Business Journal, 11, 131. </w:t>
      </w:r>
      <w:hyperlink r:id="rId20" w:history="1">
        <w:r w:rsidRPr="007475F4">
          <w:rPr>
            <w:rStyle w:val="Hyperlink"/>
            <w:sz w:val="20"/>
            <w:szCs w:val="20"/>
          </w:rPr>
          <w:t>https://doi.org/10.1186/s43093-025-00549-z</w:t>
        </w:r>
      </w:hyperlink>
    </w:p>
    <w:p w14:paraId="2E020182" w14:textId="63B32CC5" w:rsidR="00250460" w:rsidRPr="00B24E92" w:rsidRDefault="00250460" w:rsidP="00B24E92">
      <w:pPr>
        <w:pStyle w:val="ListParagraph"/>
        <w:numPr>
          <w:ilvl w:val="0"/>
          <w:numId w:val="1"/>
        </w:numPr>
        <w:rPr>
          <w:sz w:val="20"/>
          <w:szCs w:val="20"/>
        </w:rPr>
      </w:pPr>
      <w:r w:rsidRPr="007475F4">
        <w:rPr>
          <w:sz w:val="20"/>
          <w:szCs w:val="20"/>
        </w:rPr>
        <w:t xml:space="preserve">Silva, A. M. B., </w:t>
      </w:r>
      <w:proofErr w:type="spellStart"/>
      <w:r w:rsidRPr="007475F4">
        <w:rPr>
          <w:sz w:val="20"/>
          <w:szCs w:val="20"/>
        </w:rPr>
        <w:t>Villena</w:t>
      </w:r>
      <w:proofErr w:type="spellEnd"/>
      <w:r w:rsidRPr="007475F4">
        <w:rPr>
          <w:sz w:val="20"/>
          <w:szCs w:val="20"/>
        </w:rPr>
        <w:t xml:space="preserve">, G. M., </w:t>
      </w:r>
      <w:proofErr w:type="spellStart"/>
      <w:r w:rsidRPr="007475F4">
        <w:rPr>
          <w:sz w:val="20"/>
          <w:szCs w:val="20"/>
        </w:rPr>
        <w:t>Rabino</w:t>
      </w:r>
      <w:proofErr w:type="spellEnd"/>
      <w:r w:rsidRPr="007475F4">
        <w:rPr>
          <w:sz w:val="20"/>
          <w:szCs w:val="20"/>
        </w:rPr>
        <w:t xml:space="preserve">, A. R., &amp; Melo, M. C. F. (2024). Digital financial literacy and the utilization of digital financial tools of college students in </w:t>
      </w:r>
      <w:proofErr w:type="spellStart"/>
      <w:r w:rsidRPr="007475F4">
        <w:rPr>
          <w:sz w:val="20"/>
          <w:szCs w:val="20"/>
        </w:rPr>
        <w:t>Calapan</w:t>
      </w:r>
      <w:proofErr w:type="spellEnd"/>
      <w:r w:rsidRPr="007475F4">
        <w:rPr>
          <w:sz w:val="20"/>
          <w:szCs w:val="20"/>
        </w:rPr>
        <w:t xml:space="preserve"> City. World Journal of Advanced Research and Reviews, 24(03), 2431–2446. </w:t>
      </w:r>
      <w:hyperlink r:id="rId21" w:history="1">
        <w:r w:rsidRPr="007475F4">
          <w:rPr>
            <w:rStyle w:val="Hyperlink"/>
            <w:sz w:val="20"/>
            <w:szCs w:val="20"/>
          </w:rPr>
          <w:t>https://doi.org/10.30574/wjarr.2024.24.3.3965</w:t>
        </w:r>
      </w:hyperlink>
    </w:p>
    <w:p w14:paraId="357E4EED" w14:textId="77777777" w:rsidR="00B24E92" w:rsidRPr="00B24E92" w:rsidRDefault="00250460" w:rsidP="00B24E92">
      <w:pPr>
        <w:pStyle w:val="ListParagraph"/>
        <w:numPr>
          <w:ilvl w:val="0"/>
          <w:numId w:val="1"/>
        </w:numPr>
        <w:rPr>
          <w:rStyle w:val="Hyperlink"/>
          <w:color w:val="auto"/>
          <w:sz w:val="20"/>
          <w:szCs w:val="20"/>
          <w:u w:val="none"/>
        </w:rPr>
      </w:pPr>
      <w:proofErr w:type="spellStart"/>
      <w:r w:rsidRPr="007475F4">
        <w:rPr>
          <w:sz w:val="20"/>
          <w:szCs w:val="20"/>
        </w:rPr>
        <w:t>Zaimovic</w:t>
      </w:r>
      <w:proofErr w:type="spellEnd"/>
      <w:r w:rsidRPr="007475F4">
        <w:rPr>
          <w:sz w:val="20"/>
          <w:szCs w:val="20"/>
        </w:rPr>
        <w:t xml:space="preserve">, A., </w:t>
      </w:r>
      <w:proofErr w:type="spellStart"/>
      <w:r w:rsidRPr="007475F4">
        <w:rPr>
          <w:sz w:val="20"/>
          <w:szCs w:val="20"/>
        </w:rPr>
        <w:t>Torlakovic</w:t>
      </w:r>
      <w:proofErr w:type="spellEnd"/>
      <w:r w:rsidRPr="007475F4">
        <w:rPr>
          <w:sz w:val="20"/>
          <w:szCs w:val="20"/>
        </w:rPr>
        <w:t>, A., Arnaut-</w:t>
      </w:r>
      <w:proofErr w:type="spellStart"/>
      <w:r w:rsidRPr="007475F4">
        <w:rPr>
          <w:sz w:val="20"/>
          <w:szCs w:val="20"/>
        </w:rPr>
        <w:t>Berilo</w:t>
      </w:r>
      <w:proofErr w:type="spellEnd"/>
      <w:r w:rsidRPr="007475F4">
        <w:rPr>
          <w:sz w:val="20"/>
          <w:szCs w:val="20"/>
        </w:rPr>
        <w:t xml:space="preserve">, A., </w:t>
      </w:r>
      <w:proofErr w:type="spellStart"/>
      <w:r w:rsidRPr="007475F4">
        <w:rPr>
          <w:sz w:val="20"/>
          <w:szCs w:val="20"/>
        </w:rPr>
        <w:t>Zaimovic</w:t>
      </w:r>
      <w:proofErr w:type="spellEnd"/>
      <w:r w:rsidRPr="007475F4">
        <w:rPr>
          <w:sz w:val="20"/>
          <w:szCs w:val="20"/>
        </w:rPr>
        <w:t xml:space="preserve">, T., </w:t>
      </w:r>
      <w:proofErr w:type="spellStart"/>
      <w:r w:rsidRPr="007475F4">
        <w:rPr>
          <w:sz w:val="20"/>
          <w:szCs w:val="20"/>
        </w:rPr>
        <w:t>Dedovic</w:t>
      </w:r>
      <w:proofErr w:type="spellEnd"/>
      <w:r w:rsidRPr="007475F4">
        <w:rPr>
          <w:sz w:val="20"/>
          <w:szCs w:val="20"/>
        </w:rPr>
        <w:t xml:space="preserve">, L., &amp; </w:t>
      </w:r>
      <w:proofErr w:type="spellStart"/>
      <w:r w:rsidRPr="007475F4">
        <w:rPr>
          <w:sz w:val="20"/>
          <w:szCs w:val="20"/>
        </w:rPr>
        <w:t>Meskovic</w:t>
      </w:r>
      <w:proofErr w:type="spellEnd"/>
      <w:r w:rsidRPr="007475F4">
        <w:rPr>
          <w:sz w:val="20"/>
          <w:szCs w:val="20"/>
        </w:rPr>
        <w:t xml:space="preserve">, M. N. (2023). Mapping financial literacy: A systematic literature review of determinants and recent trends. Sustainability, 15(12), 9358. </w:t>
      </w:r>
      <w:hyperlink r:id="rId22" w:history="1">
        <w:r w:rsidRPr="007475F4">
          <w:rPr>
            <w:rStyle w:val="Hyperlink"/>
            <w:sz w:val="20"/>
            <w:szCs w:val="20"/>
          </w:rPr>
          <w:t>https://doi.org/10.3390/su15129358</w:t>
        </w:r>
      </w:hyperlink>
    </w:p>
    <w:p w14:paraId="207046DB" w14:textId="77777777" w:rsidR="00B24E92" w:rsidRPr="00B24E92" w:rsidRDefault="00061176" w:rsidP="00B24E92">
      <w:pPr>
        <w:pStyle w:val="ListParagraph"/>
        <w:numPr>
          <w:ilvl w:val="0"/>
          <w:numId w:val="1"/>
        </w:numPr>
        <w:rPr>
          <w:rStyle w:val="Hyperlink"/>
          <w:color w:val="auto"/>
          <w:sz w:val="20"/>
          <w:szCs w:val="20"/>
          <w:u w:val="none"/>
        </w:rPr>
      </w:pPr>
      <w:r w:rsidRPr="00B24E92">
        <w:rPr>
          <w:color w:val="000000"/>
          <w:sz w:val="20"/>
          <w:szCs w:val="20"/>
        </w:rPr>
        <w:t xml:space="preserve">Silva, A. M. B., </w:t>
      </w:r>
      <w:proofErr w:type="spellStart"/>
      <w:r w:rsidRPr="00B24E92">
        <w:rPr>
          <w:color w:val="000000"/>
          <w:sz w:val="20"/>
          <w:szCs w:val="20"/>
        </w:rPr>
        <w:t>Villena</w:t>
      </w:r>
      <w:proofErr w:type="spellEnd"/>
      <w:r w:rsidRPr="00B24E92">
        <w:rPr>
          <w:color w:val="000000"/>
          <w:sz w:val="20"/>
          <w:szCs w:val="20"/>
        </w:rPr>
        <w:t xml:space="preserve">, G. M., </w:t>
      </w:r>
      <w:proofErr w:type="spellStart"/>
      <w:r w:rsidRPr="00B24E92">
        <w:rPr>
          <w:color w:val="000000"/>
          <w:sz w:val="20"/>
          <w:szCs w:val="20"/>
        </w:rPr>
        <w:t>Rabino</w:t>
      </w:r>
      <w:proofErr w:type="spellEnd"/>
      <w:r w:rsidRPr="00B24E92">
        <w:rPr>
          <w:color w:val="000000"/>
          <w:sz w:val="20"/>
          <w:szCs w:val="20"/>
        </w:rPr>
        <w:t xml:space="preserve">, A. R., &amp; Melo, M. C. F. (2024). </w:t>
      </w:r>
      <w:r w:rsidRPr="00B24E92">
        <w:rPr>
          <w:i/>
          <w:iCs/>
          <w:color w:val="000000"/>
          <w:sz w:val="20"/>
          <w:szCs w:val="20"/>
        </w:rPr>
        <w:t xml:space="preserve">Digital financial literacy and the utilization of digital financial tools of college students in </w:t>
      </w:r>
      <w:proofErr w:type="spellStart"/>
      <w:r w:rsidRPr="00B24E92">
        <w:rPr>
          <w:i/>
          <w:iCs/>
          <w:color w:val="000000"/>
          <w:sz w:val="20"/>
          <w:szCs w:val="20"/>
        </w:rPr>
        <w:t>Calapan</w:t>
      </w:r>
      <w:proofErr w:type="spellEnd"/>
      <w:r w:rsidRPr="00B24E92">
        <w:rPr>
          <w:i/>
          <w:iCs/>
          <w:color w:val="000000"/>
          <w:sz w:val="20"/>
          <w:szCs w:val="20"/>
        </w:rPr>
        <w:t xml:space="preserve"> City</w:t>
      </w:r>
      <w:r w:rsidRPr="00B24E92">
        <w:rPr>
          <w:color w:val="000000"/>
          <w:sz w:val="20"/>
          <w:szCs w:val="20"/>
        </w:rPr>
        <w:t xml:space="preserve">. World Journal of Advanced Research and Reviews, 24(3), 2431–2446. </w:t>
      </w:r>
      <w:hyperlink r:id="rId23" w:history="1">
        <w:r w:rsidRPr="00B24E92">
          <w:rPr>
            <w:rStyle w:val="Hyperlink"/>
            <w:color w:val="1155CC"/>
            <w:sz w:val="20"/>
            <w:szCs w:val="20"/>
          </w:rPr>
          <w:t xml:space="preserve">Digital financial literacy and utilization of digital financial tools of college students in </w:t>
        </w:r>
        <w:proofErr w:type="spellStart"/>
        <w:r w:rsidRPr="00B24E92">
          <w:rPr>
            <w:rStyle w:val="Hyperlink"/>
            <w:color w:val="1155CC"/>
            <w:sz w:val="20"/>
            <w:szCs w:val="20"/>
          </w:rPr>
          <w:t>Calapan</w:t>
        </w:r>
        <w:proofErr w:type="spellEnd"/>
        <w:r w:rsidRPr="00B24E92">
          <w:rPr>
            <w:rStyle w:val="Hyperlink"/>
            <w:color w:val="1155CC"/>
            <w:sz w:val="20"/>
            <w:szCs w:val="20"/>
          </w:rPr>
          <w:t xml:space="preserve"> </w:t>
        </w:r>
        <w:proofErr w:type="spellStart"/>
        <w:r w:rsidRPr="00B24E92">
          <w:rPr>
            <w:rStyle w:val="Hyperlink"/>
            <w:color w:val="1155CC"/>
            <w:sz w:val="20"/>
            <w:szCs w:val="20"/>
          </w:rPr>
          <w:t>City</w:t>
        </w:r>
      </w:hyperlink>
      <w:proofErr w:type="spellEnd"/>
    </w:p>
    <w:p w14:paraId="200F05A2" w14:textId="77777777" w:rsidR="00B24E92" w:rsidRPr="00B24E92" w:rsidRDefault="00061176" w:rsidP="00B24E92">
      <w:pPr>
        <w:pStyle w:val="ListParagraph"/>
        <w:numPr>
          <w:ilvl w:val="0"/>
          <w:numId w:val="1"/>
        </w:numPr>
        <w:rPr>
          <w:rStyle w:val="Hyperlink"/>
          <w:color w:val="auto"/>
          <w:sz w:val="20"/>
          <w:szCs w:val="20"/>
          <w:u w:val="none"/>
        </w:rPr>
      </w:pPr>
      <w:proofErr w:type="spellStart"/>
      <w:r w:rsidRPr="00B24E92">
        <w:rPr>
          <w:color w:val="000000"/>
          <w:sz w:val="20"/>
          <w:szCs w:val="20"/>
        </w:rPr>
        <w:t>Dimaunahan</w:t>
      </w:r>
      <w:proofErr w:type="spellEnd"/>
      <w:r w:rsidRPr="00B24E92">
        <w:rPr>
          <w:color w:val="000000"/>
          <w:sz w:val="20"/>
          <w:szCs w:val="20"/>
        </w:rPr>
        <w:t xml:space="preserve">, J., et al. (2025). </w:t>
      </w:r>
      <w:r w:rsidRPr="00B24E92">
        <w:rPr>
          <w:i/>
          <w:iCs/>
          <w:color w:val="000000"/>
          <w:sz w:val="20"/>
          <w:szCs w:val="20"/>
        </w:rPr>
        <w:t>Financial literacy and sustainable planning assessment among Filipino millennials</w:t>
      </w:r>
      <w:r w:rsidRPr="00B24E92">
        <w:rPr>
          <w:color w:val="000000"/>
          <w:sz w:val="20"/>
          <w:szCs w:val="20"/>
        </w:rPr>
        <w:t xml:space="preserve">. </w:t>
      </w:r>
      <w:hyperlink r:id="rId24" w:history="1">
        <w:r w:rsidRPr="00B24E92">
          <w:rPr>
            <w:rStyle w:val="Hyperlink"/>
            <w:color w:val="1155CC"/>
            <w:sz w:val="20"/>
            <w:szCs w:val="20"/>
          </w:rPr>
          <w:t>Financial literacy and sustainable planning assessment among Filipino millennials (ScienceDirect)</w:t>
        </w:r>
        <w:proofErr w:type="spellStart"/>
      </w:hyperlink>
      <w:proofErr w:type="spellEnd"/>
    </w:p>
    <w:p w14:paraId="2A839645" w14:textId="77777777" w:rsidR="00B24E92" w:rsidRPr="00B24E92" w:rsidRDefault="00061176" w:rsidP="00B24E92">
      <w:pPr>
        <w:pStyle w:val="ListParagraph"/>
        <w:numPr>
          <w:ilvl w:val="0"/>
          <w:numId w:val="1"/>
        </w:numPr>
        <w:rPr>
          <w:rStyle w:val="Hyperlink"/>
          <w:color w:val="auto"/>
          <w:sz w:val="20"/>
          <w:szCs w:val="20"/>
          <w:u w:val="none"/>
        </w:rPr>
      </w:pPr>
      <w:proofErr w:type="spellStart"/>
      <w:r w:rsidRPr="00B24E92">
        <w:rPr>
          <w:color w:val="000000"/>
          <w:sz w:val="20"/>
          <w:szCs w:val="20"/>
        </w:rPr>
        <w:t>Abiera</w:t>
      </w:r>
      <w:proofErr w:type="spellEnd"/>
      <w:r w:rsidRPr="00B24E92">
        <w:rPr>
          <w:color w:val="000000"/>
          <w:sz w:val="20"/>
          <w:szCs w:val="20"/>
        </w:rPr>
        <w:t xml:space="preserve">, R., et al. (2026). </w:t>
      </w:r>
      <w:r w:rsidRPr="00B24E92">
        <w:rPr>
          <w:i/>
          <w:iCs/>
          <w:color w:val="000000"/>
          <w:sz w:val="20"/>
          <w:szCs w:val="20"/>
        </w:rPr>
        <w:t>Empowering Gen Z: The influence of financial literacy on financial behavior of college students</w:t>
      </w:r>
      <w:r w:rsidRPr="00B24E92">
        <w:rPr>
          <w:color w:val="000000"/>
          <w:sz w:val="20"/>
          <w:szCs w:val="20"/>
        </w:rPr>
        <w:t xml:space="preserve">. </w:t>
      </w:r>
      <w:hyperlink r:id="rId25" w:history="1">
        <w:r w:rsidRPr="00B24E92">
          <w:rPr>
            <w:rStyle w:val="Hyperlink"/>
            <w:color w:val="1155CC"/>
            <w:sz w:val="20"/>
            <w:szCs w:val="20"/>
          </w:rPr>
          <w:t xml:space="preserve">Empowering Gen Z: The influence of financial literacy on financial behavior of college students (UM </w:t>
        </w:r>
        <w:proofErr w:type="spellStart"/>
        <w:r w:rsidRPr="00B24E92">
          <w:rPr>
            <w:rStyle w:val="Hyperlink"/>
            <w:color w:val="1155CC"/>
            <w:sz w:val="20"/>
            <w:szCs w:val="20"/>
          </w:rPr>
          <w:t>Panabo</w:t>
        </w:r>
        <w:proofErr w:type="spellEnd"/>
        <w:r w:rsidRPr="00B24E92">
          <w:rPr>
            <w:rStyle w:val="Hyperlink"/>
            <w:color w:val="1155CC"/>
            <w:sz w:val="20"/>
            <w:szCs w:val="20"/>
          </w:rPr>
          <w:t xml:space="preserve"> College)</w:t>
        </w:r>
      </w:hyperlink>
    </w:p>
    <w:p w14:paraId="0A41DC85" w14:textId="77777777" w:rsidR="00B24E92" w:rsidRPr="00B24E92" w:rsidRDefault="00061176" w:rsidP="00B24E92">
      <w:pPr>
        <w:pStyle w:val="ListParagraph"/>
        <w:numPr>
          <w:ilvl w:val="0"/>
          <w:numId w:val="1"/>
        </w:numPr>
        <w:rPr>
          <w:rStyle w:val="Hyperlink"/>
          <w:color w:val="auto"/>
          <w:sz w:val="20"/>
          <w:szCs w:val="20"/>
          <w:u w:val="none"/>
        </w:rPr>
      </w:pPr>
      <w:r w:rsidRPr="00B24E92">
        <w:rPr>
          <w:color w:val="000000"/>
          <w:sz w:val="20"/>
          <w:szCs w:val="20"/>
        </w:rPr>
        <w:t xml:space="preserve">Espiritu, M. (2025). </w:t>
      </w:r>
      <w:r w:rsidRPr="00B24E92">
        <w:rPr>
          <w:i/>
          <w:iCs/>
          <w:color w:val="000000"/>
          <w:sz w:val="20"/>
          <w:szCs w:val="20"/>
        </w:rPr>
        <w:t>Knowledge, attitudes, and practices in financial literacy among business administration students in urban colleges in the Philippines</w:t>
      </w:r>
      <w:r w:rsidRPr="00B24E92">
        <w:rPr>
          <w:color w:val="000000"/>
          <w:sz w:val="20"/>
          <w:szCs w:val="20"/>
        </w:rPr>
        <w:t xml:space="preserve">. </w:t>
      </w:r>
      <w:hyperlink r:id="rId26" w:history="1">
        <w:r w:rsidRPr="00B24E92">
          <w:rPr>
            <w:rStyle w:val="Hyperlink"/>
            <w:color w:val="1155CC"/>
            <w:sz w:val="20"/>
            <w:szCs w:val="20"/>
          </w:rPr>
          <w:t xml:space="preserve">Knowledge, Attitudes, and Practices in Financial Literacy among Business Administration Students </w:t>
        </w:r>
        <w:proofErr w:type="spellStart"/>
        <w:r w:rsidRPr="00B24E92">
          <w:rPr>
            <w:rStyle w:val="Hyperlink"/>
            <w:color w:val="1155CC"/>
            <w:sz w:val="20"/>
            <w:szCs w:val="20"/>
          </w:rPr>
          <w:t>inUrban</w:t>
        </w:r>
        <w:proofErr w:type="spellEnd"/>
        <w:r w:rsidRPr="00B24E92">
          <w:rPr>
            <w:rStyle w:val="Hyperlink"/>
            <w:color w:val="1155CC"/>
            <w:sz w:val="20"/>
            <w:szCs w:val="20"/>
          </w:rPr>
          <w:t xml:space="preserve"> College in the </w:t>
        </w:r>
        <w:proofErr w:type="spellStart"/>
        <w:r w:rsidRPr="00B24E92">
          <w:rPr>
            <w:rStyle w:val="Hyperlink"/>
            <w:color w:val="1155CC"/>
            <w:sz w:val="20"/>
            <w:szCs w:val="20"/>
          </w:rPr>
          <w:t>Philippines</w:t>
        </w:r>
      </w:hyperlink>
      <w:proofErr w:type="spellEnd"/>
    </w:p>
    <w:p w14:paraId="4AFD7EA2" w14:textId="77777777" w:rsidR="00B24E92" w:rsidRPr="00B24E92" w:rsidRDefault="00061176" w:rsidP="00B24E92">
      <w:pPr>
        <w:pStyle w:val="ListParagraph"/>
        <w:numPr>
          <w:ilvl w:val="0"/>
          <w:numId w:val="1"/>
        </w:numPr>
        <w:rPr>
          <w:rStyle w:val="Hyperlink"/>
          <w:color w:val="auto"/>
          <w:sz w:val="20"/>
          <w:szCs w:val="20"/>
          <w:u w:val="none"/>
        </w:rPr>
      </w:pPr>
      <w:proofErr w:type="spellStart"/>
      <w:r w:rsidRPr="00B24E92">
        <w:rPr>
          <w:color w:val="000000"/>
          <w:sz w:val="20"/>
          <w:szCs w:val="20"/>
        </w:rPr>
        <w:t>Barrot</w:t>
      </w:r>
      <w:proofErr w:type="spellEnd"/>
      <w:r w:rsidRPr="00B24E92">
        <w:rPr>
          <w:color w:val="000000"/>
          <w:sz w:val="20"/>
          <w:szCs w:val="20"/>
        </w:rPr>
        <w:t xml:space="preserve">, J., Gonzales, R., </w:t>
      </w:r>
      <w:proofErr w:type="spellStart"/>
      <w:r w:rsidRPr="00B24E92">
        <w:rPr>
          <w:color w:val="000000"/>
          <w:sz w:val="20"/>
          <w:szCs w:val="20"/>
        </w:rPr>
        <w:t>Eniego</w:t>
      </w:r>
      <w:proofErr w:type="spellEnd"/>
      <w:r w:rsidRPr="00B24E92">
        <w:rPr>
          <w:color w:val="000000"/>
          <w:sz w:val="20"/>
          <w:szCs w:val="20"/>
        </w:rPr>
        <w:t xml:space="preserve">, M., &amp; </w:t>
      </w:r>
      <w:proofErr w:type="spellStart"/>
      <w:r w:rsidRPr="00B24E92">
        <w:rPr>
          <w:color w:val="000000"/>
          <w:sz w:val="20"/>
          <w:szCs w:val="20"/>
        </w:rPr>
        <w:t>Salipande</w:t>
      </w:r>
      <w:proofErr w:type="spellEnd"/>
      <w:r w:rsidRPr="00B24E92">
        <w:rPr>
          <w:color w:val="000000"/>
          <w:sz w:val="20"/>
          <w:szCs w:val="20"/>
        </w:rPr>
        <w:t xml:space="preserve">, A. (2024). </w:t>
      </w:r>
      <w:r w:rsidRPr="00B24E92">
        <w:rPr>
          <w:i/>
          <w:iCs/>
          <w:color w:val="000000"/>
          <w:sz w:val="20"/>
          <w:szCs w:val="20"/>
        </w:rPr>
        <w:t>Integrating financial literacy into the K–12 curriculum: Teachers’ and school leaders’ experience</w:t>
      </w:r>
      <w:r w:rsidRPr="00B24E92">
        <w:rPr>
          <w:color w:val="000000"/>
          <w:sz w:val="20"/>
          <w:szCs w:val="20"/>
        </w:rPr>
        <w:t xml:space="preserve">. </w:t>
      </w:r>
      <w:hyperlink r:id="rId27" w:history="1">
        <w:r w:rsidRPr="00B24E92">
          <w:rPr>
            <w:rStyle w:val="Hyperlink"/>
            <w:color w:val="1155CC"/>
            <w:sz w:val="20"/>
            <w:szCs w:val="20"/>
          </w:rPr>
          <w:t xml:space="preserve">Integrating Financial Literacy into the K-12 Curriculum: Teachers' and School Leaders' </w:t>
        </w:r>
        <w:proofErr w:type="spellStart"/>
        <w:r w:rsidRPr="00B24E92">
          <w:rPr>
            <w:rStyle w:val="Hyperlink"/>
            <w:color w:val="1155CC"/>
            <w:sz w:val="20"/>
            <w:szCs w:val="20"/>
          </w:rPr>
          <w:t>Experience</w:t>
        </w:r>
      </w:hyperlink>
      <w:proofErr w:type="spellEnd"/>
    </w:p>
    <w:p w14:paraId="57BCDBF4" w14:textId="77777777" w:rsidR="00B24E92" w:rsidRPr="00B24E92" w:rsidRDefault="00061176" w:rsidP="00B24E92">
      <w:pPr>
        <w:pStyle w:val="ListParagraph"/>
        <w:numPr>
          <w:ilvl w:val="0"/>
          <w:numId w:val="1"/>
        </w:numPr>
        <w:rPr>
          <w:rStyle w:val="Hyperlink"/>
          <w:color w:val="auto"/>
          <w:sz w:val="20"/>
          <w:szCs w:val="20"/>
          <w:u w:val="none"/>
        </w:rPr>
      </w:pPr>
      <w:proofErr w:type="spellStart"/>
      <w:r w:rsidRPr="00B24E92">
        <w:rPr>
          <w:color w:val="000000"/>
          <w:sz w:val="20"/>
          <w:szCs w:val="20"/>
        </w:rPr>
        <w:t>Naingue</w:t>
      </w:r>
      <w:proofErr w:type="spellEnd"/>
      <w:r w:rsidRPr="00B24E92">
        <w:rPr>
          <w:color w:val="000000"/>
          <w:sz w:val="20"/>
          <w:szCs w:val="20"/>
        </w:rPr>
        <w:t xml:space="preserve">, J., Benitez, L., Gonzales, R., &amp; </w:t>
      </w:r>
      <w:proofErr w:type="spellStart"/>
      <w:r w:rsidRPr="00B24E92">
        <w:rPr>
          <w:color w:val="000000"/>
          <w:sz w:val="20"/>
          <w:szCs w:val="20"/>
        </w:rPr>
        <w:t>Ponsaran</w:t>
      </w:r>
      <w:proofErr w:type="spellEnd"/>
      <w:r w:rsidRPr="00B24E92">
        <w:rPr>
          <w:color w:val="000000"/>
          <w:sz w:val="20"/>
          <w:szCs w:val="20"/>
        </w:rPr>
        <w:t xml:space="preserve">, M. (2026). </w:t>
      </w:r>
      <w:r w:rsidRPr="00B24E92">
        <w:rPr>
          <w:i/>
          <w:iCs/>
          <w:color w:val="000000"/>
          <w:sz w:val="20"/>
          <w:szCs w:val="20"/>
        </w:rPr>
        <w:t>Bridging the financial gap: A stakeholder analysis of the JAMA financial literacy program</w:t>
      </w:r>
      <w:r w:rsidRPr="00B24E92">
        <w:rPr>
          <w:color w:val="000000"/>
          <w:sz w:val="20"/>
          <w:szCs w:val="20"/>
        </w:rPr>
        <w:t xml:space="preserve">. </w:t>
      </w:r>
      <w:hyperlink r:id="rId28" w:history="1">
        <w:r w:rsidRPr="00B24E92">
          <w:rPr>
            <w:rStyle w:val="Hyperlink"/>
            <w:color w:val="1155CC"/>
            <w:sz w:val="20"/>
            <w:szCs w:val="20"/>
          </w:rPr>
          <w:t>Bridging the Financial Gap: A Stakeholder Analysis of the JAMA Financial Literacy Program</w:t>
        </w:r>
      </w:hyperlink>
    </w:p>
    <w:p w14:paraId="4E1FC800" w14:textId="77777777" w:rsidR="00B24E92" w:rsidRPr="00B24E92" w:rsidRDefault="00FF2BD6" w:rsidP="00B24E92">
      <w:pPr>
        <w:pStyle w:val="ListParagraph"/>
        <w:numPr>
          <w:ilvl w:val="0"/>
          <w:numId w:val="1"/>
        </w:numPr>
        <w:rPr>
          <w:rStyle w:val="Hyperlink"/>
          <w:color w:val="auto"/>
          <w:sz w:val="20"/>
          <w:szCs w:val="20"/>
          <w:u w:val="none"/>
        </w:rPr>
      </w:pPr>
      <w:r w:rsidRPr="00B24E92">
        <w:rPr>
          <w:color w:val="000000"/>
          <w:sz w:val="20"/>
          <w:szCs w:val="20"/>
        </w:rPr>
        <w:t xml:space="preserve">Zhang, Y., &amp; Li, X. (2025). </w:t>
      </w:r>
      <w:r w:rsidRPr="00B24E92">
        <w:rPr>
          <w:i/>
          <w:iCs/>
          <w:color w:val="000000"/>
          <w:sz w:val="20"/>
          <w:szCs w:val="20"/>
        </w:rPr>
        <w:t>Clustering analysis of financial literacy among students</w:t>
      </w:r>
      <w:r w:rsidRPr="00B24E92">
        <w:rPr>
          <w:color w:val="000000"/>
          <w:sz w:val="20"/>
          <w:szCs w:val="20"/>
        </w:rPr>
        <w:t xml:space="preserve">. IEEE. </w:t>
      </w:r>
      <w:hyperlink r:id="rId29" w:history="1">
        <w:r w:rsidRPr="00B24E92">
          <w:rPr>
            <w:rStyle w:val="Hyperlink"/>
            <w:color w:val="1155CC"/>
            <w:sz w:val="20"/>
            <w:szCs w:val="20"/>
          </w:rPr>
          <w:t>Clustering Analysis of Financial Literacy Among Students</w:t>
        </w:r>
      </w:hyperlink>
    </w:p>
    <w:p w14:paraId="3E17CF44" w14:textId="77777777" w:rsidR="00B24E92" w:rsidRPr="00B24E92" w:rsidRDefault="00FF2BD6" w:rsidP="00B24E92">
      <w:pPr>
        <w:pStyle w:val="ListParagraph"/>
        <w:numPr>
          <w:ilvl w:val="0"/>
          <w:numId w:val="1"/>
        </w:numPr>
        <w:rPr>
          <w:rStyle w:val="Hyperlink"/>
          <w:color w:val="auto"/>
          <w:sz w:val="20"/>
          <w:szCs w:val="20"/>
          <w:u w:val="none"/>
        </w:rPr>
      </w:pPr>
      <w:r w:rsidRPr="00B24E92">
        <w:rPr>
          <w:color w:val="000000"/>
          <w:sz w:val="20"/>
          <w:szCs w:val="20"/>
        </w:rPr>
        <w:t xml:space="preserve">Chen, H., &amp; Volpe, R. P. (1998). </w:t>
      </w:r>
      <w:r w:rsidRPr="00B24E92">
        <w:rPr>
          <w:i/>
          <w:iCs/>
          <w:color w:val="000000"/>
          <w:sz w:val="20"/>
          <w:szCs w:val="20"/>
        </w:rPr>
        <w:t>An analysis of personal financial literacy among college students</w:t>
      </w:r>
      <w:r w:rsidRPr="00B24E92">
        <w:rPr>
          <w:color w:val="000000"/>
          <w:sz w:val="20"/>
          <w:szCs w:val="20"/>
        </w:rPr>
        <w:t>. Financial Services Review, 7(2), 107–128.</w:t>
      </w:r>
      <w:hyperlink r:id="rId30" w:history="1">
        <w:r w:rsidRPr="00B24E92">
          <w:rPr>
            <w:rStyle w:val="Hyperlink"/>
            <w:color w:val="1155CC"/>
            <w:sz w:val="20"/>
            <w:szCs w:val="20"/>
          </w:rPr>
          <w:t xml:space="preserve">An Analysis of Personal Financial Literacy Among College </w:t>
        </w:r>
        <w:proofErr w:type="spellStart"/>
        <w:r w:rsidRPr="00B24E92">
          <w:rPr>
            <w:rStyle w:val="Hyperlink"/>
            <w:color w:val="1155CC"/>
            <w:sz w:val="20"/>
            <w:szCs w:val="20"/>
          </w:rPr>
          <w:t>Students</w:t>
        </w:r>
      </w:hyperlink>
      <w:proofErr w:type="spellEnd"/>
    </w:p>
    <w:p w14:paraId="78FEC48C" w14:textId="77777777" w:rsidR="00B24E92" w:rsidRPr="00B24E92" w:rsidRDefault="00FF2BD6" w:rsidP="00B24E92">
      <w:pPr>
        <w:pStyle w:val="ListParagraph"/>
        <w:numPr>
          <w:ilvl w:val="0"/>
          <w:numId w:val="1"/>
        </w:numPr>
        <w:rPr>
          <w:rStyle w:val="Hyperlink"/>
          <w:color w:val="auto"/>
          <w:sz w:val="20"/>
          <w:szCs w:val="20"/>
          <w:u w:val="none"/>
        </w:rPr>
      </w:pPr>
      <w:proofErr w:type="spellStart"/>
      <w:r w:rsidRPr="00B24E92">
        <w:rPr>
          <w:color w:val="000000"/>
          <w:sz w:val="20"/>
          <w:szCs w:val="20"/>
        </w:rPr>
        <w:t>Hoseiny</w:t>
      </w:r>
      <w:proofErr w:type="spellEnd"/>
      <w:r w:rsidRPr="00B24E92">
        <w:rPr>
          <w:color w:val="000000"/>
          <w:sz w:val="20"/>
          <w:szCs w:val="20"/>
        </w:rPr>
        <w:t xml:space="preserve">, S., &amp; </w:t>
      </w:r>
      <w:proofErr w:type="spellStart"/>
      <w:r w:rsidRPr="00B24E92">
        <w:rPr>
          <w:color w:val="000000"/>
          <w:sz w:val="20"/>
          <w:szCs w:val="20"/>
        </w:rPr>
        <w:t>Niknafas</w:t>
      </w:r>
      <w:proofErr w:type="spellEnd"/>
      <w:r w:rsidRPr="00B24E92">
        <w:rPr>
          <w:color w:val="000000"/>
          <w:sz w:val="20"/>
          <w:szCs w:val="20"/>
        </w:rPr>
        <w:t xml:space="preserve">, S. (2020). </w:t>
      </w:r>
      <w:r w:rsidRPr="00B24E92">
        <w:rPr>
          <w:i/>
          <w:iCs/>
          <w:color w:val="000000"/>
          <w:sz w:val="20"/>
          <w:szCs w:val="20"/>
        </w:rPr>
        <w:t>Study of the serious games capacity in promoting financial literacy</w:t>
      </w:r>
      <w:r w:rsidRPr="00B24E92">
        <w:rPr>
          <w:color w:val="000000"/>
          <w:sz w:val="20"/>
          <w:szCs w:val="20"/>
        </w:rPr>
        <w:t xml:space="preserve">. IEEE ISGS Symposium. </w:t>
      </w:r>
      <w:hyperlink r:id="rId31" w:history="1">
        <w:r w:rsidRPr="00B24E92">
          <w:rPr>
            <w:rStyle w:val="Hyperlink"/>
            <w:color w:val="1155CC"/>
            <w:sz w:val="20"/>
            <w:szCs w:val="20"/>
          </w:rPr>
          <w:t xml:space="preserve">Study of the Serious Games Capacity in Promoting Financial </w:t>
        </w:r>
        <w:proofErr w:type="spellStart"/>
        <w:r w:rsidRPr="00B24E92">
          <w:rPr>
            <w:rStyle w:val="Hyperlink"/>
            <w:color w:val="1155CC"/>
            <w:sz w:val="20"/>
            <w:szCs w:val="20"/>
          </w:rPr>
          <w:t>Literacy</w:t>
        </w:r>
      </w:hyperlink>
      <w:proofErr w:type="spellEnd"/>
    </w:p>
    <w:p w14:paraId="2344A5E1" w14:textId="77777777" w:rsidR="00B24E92" w:rsidRPr="00B24E92" w:rsidRDefault="00FF2BD6" w:rsidP="00B24E92">
      <w:pPr>
        <w:pStyle w:val="ListParagraph"/>
        <w:numPr>
          <w:ilvl w:val="0"/>
          <w:numId w:val="1"/>
        </w:numPr>
        <w:rPr>
          <w:rStyle w:val="Hyperlink"/>
          <w:color w:val="auto"/>
          <w:sz w:val="20"/>
          <w:szCs w:val="20"/>
          <w:u w:val="none"/>
        </w:rPr>
      </w:pPr>
      <w:proofErr w:type="spellStart"/>
      <w:r w:rsidRPr="00B24E92">
        <w:rPr>
          <w:color w:val="000000"/>
          <w:sz w:val="20"/>
          <w:szCs w:val="20"/>
        </w:rPr>
        <w:t>Miu</w:t>
      </w:r>
      <w:proofErr w:type="spellEnd"/>
      <w:r w:rsidRPr="00B24E92">
        <w:rPr>
          <w:color w:val="000000"/>
          <w:sz w:val="20"/>
          <w:szCs w:val="20"/>
        </w:rPr>
        <w:t xml:space="preserve">, P., </w:t>
      </w:r>
      <w:proofErr w:type="spellStart"/>
      <w:r w:rsidRPr="00B24E92">
        <w:rPr>
          <w:color w:val="000000"/>
          <w:sz w:val="20"/>
          <w:szCs w:val="20"/>
        </w:rPr>
        <w:t>Gopurathingal</w:t>
      </w:r>
      <w:proofErr w:type="spellEnd"/>
      <w:r w:rsidRPr="00B24E92">
        <w:rPr>
          <w:color w:val="000000"/>
          <w:sz w:val="20"/>
          <w:szCs w:val="20"/>
        </w:rPr>
        <w:t xml:space="preserve">, S., Thota, S., Thompson, J., van </w:t>
      </w:r>
      <w:proofErr w:type="spellStart"/>
      <w:r w:rsidRPr="00B24E92">
        <w:rPr>
          <w:color w:val="000000"/>
          <w:sz w:val="20"/>
          <w:szCs w:val="20"/>
        </w:rPr>
        <w:t>Beek</w:t>
      </w:r>
      <w:proofErr w:type="spellEnd"/>
      <w:r w:rsidRPr="00B24E92">
        <w:rPr>
          <w:color w:val="000000"/>
          <w:sz w:val="20"/>
          <w:szCs w:val="20"/>
        </w:rPr>
        <w:t xml:space="preserve">, J., Kuczynski, J., </w:t>
      </w:r>
      <w:proofErr w:type="spellStart"/>
      <w:r w:rsidRPr="00B24E92">
        <w:rPr>
          <w:color w:val="000000"/>
          <w:sz w:val="20"/>
          <w:szCs w:val="20"/>
        </w:rPr>
        <w:t>Gadewadikar</w:t>
      </w:r>
      <w:proofErr w:type="spellEnd"/>
      <w:r w:rsidRPr="00B24E92">
        <w:rPr>
          <w:color w:val="000000"/>
          <w:sz w:val="20"/>
          <w:szCs w:val="20"/>
        </w:rPr>
        <w:t xml:space="preserve">, J., &amp; Iqbal, A. (2022). </w:t>
      </w:r>
      <w:r w:rsidRPr="00B24E92">
        <w:rPr>
          <w:i/>
          <w:iCs/>
          <w:color w:val="000000"/>
          <w:sz w:val="20"/>
          <w:szCs w:val="20"/>
        </w:rPr>
        <w:t>A financial literacy AI</w:t>
      </w:r>
      <w:r w:rsidRPr="00B24E92">
        <w:rPr>
          <w:i/>
          <w:iCs/>
          <w:color w:val="000000"/>
          <w:sz w:val="20"/>
          <w:szCs w:val="20"/>
        </w:rPr>
        <w:noBreakHyphen/>
        <w:t>enabled voice assistant system for educational use</w:t>
      </w:r>
      <w:r w:rsidRPr="00B24E92">
        <w:rPr>
          <w:color w:val="000000"/>
          <w:sz w:val="20"/>
          <w:szCs w:val="20"/>
        </w:rPr>
        <w:t xml:space="preserve">. IEEE SIEDS Symposium. </w:t>
      </w:r>
      <w:hyperlink r:id="rId32" w:history="1">
        <w:r w:rsidRPr="00B24E92">
          <w:rPr>
            <w:rStyle w:val="Hyperlink"/>
            <w:color w:val="1155CC"/>
            <w:sz w:val="20"/>
            <w:szCs w:val="20"/>
          </w:rPr>
          <w:t>A Financial Literacy AI-Enabled Voice Assistant System for Educational Use</w:t>
        </w:r>
      </w:hyperlink>
    </w:p>
    <w:p w14:paraId="19E739E5" w14:textId="77777777" w:rsidR="00B24E92" w:rsidRPr="00B24E92" w:rsidRDefault="00FF2BD6" w:rsidP="00B24E92">
      <w:pPr>
        <w:pStyle w:val="ListParagraph"/>
        <w:numPr>
          <w:ilvl w:val="0"/>
          <w:numId w:val="1"/>
        </w:numPr>
        <w:rPr>
          <w:rStyle w:val="Hyperlink"/>
          <w:color w:val="auto"/>
          <w:sz w:val="20"/>
          <w:szCs w:val="20"/>
          <w:u w:val="none"/>
        </w:rPr>
      </w:pPr>
      <w:r w:rsidRPr="00B24E92">
        <w:rPr>
          <w:color w:val="000000"/>
          <w:sz w:val="20"/>
          <w:szCs w:val="20"/>
        </w:rPr>
        <w:t xml:space="preserve">Zhang, Y., et al. (2025). </w:t>
      </w:r>
      <w:r w:rsidRPr="00B24E92">
        <w:rPr>
          <w:i/>
          <w:iCs/>
          <w:color w:val="000000"/>
          <w:sz w:val="20"/>
          <w:szCs w:val="20"/>
        </w:rPr>
        <w:t>Digital financial literacy and its impact on financial inclusion and financial well</w:t>
      </w:r>
      <w:r w:rsidRPr="00B24E92">
        <w:rPr>
          <w:i/>
          <w:iCs/>
          <w:color w:val="000000"/>
          <w:sz w:val="20"/>
          <w:szCs w:val="20"/>
        </w:rPr>
        <w:noBreakHyphen/>
        <w:t>being</w:t>
      </w:r>
      <w:r w:rsidRPr="00B24E92">
        <w:rPr>
          <w:color w:val="000000"/>
          <w:sz w:val="20"/>
          <w:szCs w:val="20"/>
        </w:rPr>
        <w:t>. IEEE.</w:t>
      </w:r>
      <w:hyperlink r:id="rId33" w:history="1">
        <w:r w:rsidRPr="00B24E92">
          <w:rPr>
            <w:rStyle w:val="Hyperlink"/>
            <w:color w:val="000000"/>
            <w:sz w:val="20"/>
            <w:szCs w:val="20"/>
          </w:rPr>
          <w:t xml:space="preserve"> </w:t>
        </w:r>
        <w:r w:rsidRPr="00B24E92">
          <w:rPr>
            <w:rStyle w:val="Hyperlink"/>
            <w:color w:val="1155CC"/>
            <w:sz w:val="20"/>
            <w:szCs w:val="20"/>
          </w:rPr>
          <w:t>https://ieeexplore.ieee.org/document/11211919</w:t>
        </w:r>
      </w:hyperlink>
    </w:p>
    <w:p w14:paraId="16A6E3B3" w14:textId="77777777" w:rsidR="00B24E92" w:rsidRPr="00B24E92" w:rsidRDefault="00FF2BD6" w:rsidP="00B24E92">
      <w:pPr>
        <w:pStyle w:val="ListParagraph"/>
        <w:numPr>
          <w:ilvl w:val="0"/>
          <w:numId w:val="1"/>
        </w:numPr>
        <w:rPr>
          <w:rStyle w:val="Hyperlink"/>
          <w:color w:val="auto"/>
          <w:sz w:val="20"/>
          <w:szCs w:val="20"/>
          <w:u w:val="none"/>
        </w:rPr>
      </w:pPr>
      <w:r w:rsidRPr="00B24E92">
        <w:rPr>
          <w:color w:val="000000"/>
          <w:sz w:val="20"/>
          <w:szCs w:val="20"/>
        </w:rPr>
        <w:t xml:space="preserve">Li, W., &amp; Wang, H. (2025). </w:t>
      </w:r>
      <w:r w:rsidRPr="00B24E92">
        <w:rPr>
          <w:i/>
          <w:iCs/>
          <w:color w:val="000000"/>
          <w:sz w:val="20"/>
          <w:szCs w:val="20"/>
        </w:rPr>
        <w:t>Digital financial literacy, risk aversion, and college students’ online security behavior</w:t>
      </w:r>
      <w:r w:rsidRPr="00B24E92">
        <w:rPr>
          <w:color w:val="000000"/>
          <w:sz w:val="20"/>
          <w:szCs w:val="20"/>
        </w:rPr>
        <w:t>. IEEE.</w:t>
      </w:r>
      <w:hyperlink r:id="rId34" w:history="1">
        <w:r w:rsidRPr="00B24E92">
          <w:rPr>
            <w:rStyle w:val="Hyperlink"/>
            <w:color w:val="000000"/>
            <w:sz w:val="20"/>
            <w:szCs w:val="20"/>
          </w:rPr>
          <w:t xml:space="preserve"> </w:t>
        </w:r>
        <w:r w:rsidRPr="00B24E92">
          <w:rPr>
            <w:rStyle w:val="Hyperlink"/>
            <w:color w:val="1155CC"/>
            <w:sz w:val="20"/>
            <w:szCs w:val="20"/>
          </w:rPr>
          <w:t>https://ieeexplore.ieee.org/document/10020556</w:t>
        </w:r>
      </w:hyperlink>
    </w:p>
    <w:p w14:paraId="3C034E6D" w14:textId="77777777" w:rsidR="00B24E92" w:rsidRPr="00B24E92" w:rsidRDefault="00FF2BD6" w:rsidP="00B24E92">
      <w:pPr>
        <w:pStyle w:val="ListParagraph"/>
        <w:numPr>
          <w:ilvl w:val="0"/>
          <w:numId w:val="1"/>
        </w:numPr>
        <w:rPr>
          <w:rStyle w:val="Hyperlink"/>
          <w:color w:val="auto"/>
          <w:sz w:val="20"/>
          <w:szCs w:val="20"/>
          <w:u w:val="none"/>
        </w:rPr>
      </w:pPr>
      <w:r w:rsidRPr="00B24E92">
        <w:rPr>
          <w:color w:val="000000"/>
          <w:sz w:val="20"/>
          <w:szCs w:val="20"/>
        </w:rPr>
        <w:t xml:space="preserve">Patel, R., et al. (2025). </w:t>
      </w:r>
      <w:r w:rsidRPr="00B24E92">
        <w:rPr>
          <w:i/>
          <w:iCs/>
          <w:color w:val="000000"/>
          <w:sz w:val="20"/>
          <w:szCs w:val="20"/>
        </w:rPr>
        <w:t>Financial literacy, fintech &amp; risky financial investments: A study of Indian households</w:t>
      </w:r>
      <w:r w:rsidRPr="00B24E92">
        <w:rPr>
          <w:color w:val="000000"/>
          <w:sz w:val="20"/>
          <w:szCs w:val="20"/>
        </w:rPr>
        <w:t>. IEEE.</w:t>
      </w:r>
      <w:hyperlink r:id="rId35" w:history="1">
        <w:r w:rsidRPr="00B24E92">
          <w:rPr>
            <w:rStyle w:val="Hyperlink"/>
            <w:color w:val="000000"/>
            <w:sz w:val="20"/>
            <w:szCs w:val="20"/>
          </w:rPr>
          <w:t xml:space="preserve"> </w:t>
        </w:r>
        <w:r w:rsidRPr="00B24E92">
          <w:rPr>
            <w:rStyle w:val="Hyperlink"/>
            <w:color w:val="1155CC"/>
            <w:sz w:val="20"/>
            <w:szCs w:val="20"/>
          </w:rPr>
          <w:t>https://ieeexplore.ieee.org/document/11465498</w:t>
        </w:r>
      </w:hyperlink>
    </w:p>
    <w:p w14:paraId="2058EE94" w14:textId="77777777" w:rsidR="00B24E92" w:rsidRPr="00B24E92" w:rsidRDefault="00FF2BD6" w:rsidP="00B24E92">
      <w:pPr>
        <w:pStyle w:val="ListParagraph"/>
        <w:numPr>
          <w:ilvl w:val="0"/>
          <w:numId w:val="1"/>
        </w:numPr>
        <w:rPr>
          <w:rStyle w:val="Hyperlink"/>
          <w:color w:val="auto"/>
          <w:sz w:val="20"/>
          <w:szCs w:val="20"/>
          <w:u w:val="none"/>
        </w:rPr>
      </w:pPr>
      <w:r w:rsidRPr="00B24E92">
        <w:rPr>
          <w:color w:val="000000"/>
          <w:sz w:val="20"/>
          <w:szCs w:val="20"/>
        </w:rPr>
        <w:t xml:space="preserve">Kumar, S., &amp; Singh, A. (2025). </w:t>
      </w:r>
      <w:r w:rsidRPr="00B24E92">
        <w:rPr>
          <w:i/>
          <w:iCs/>
          <w:color w:val="000000"/>
          <w:sz w:val="20"/>
          <w:szCs w:val="20"/>
        </w:rPr>
        <w:t>Generation</w:t>
      </w:r>
      <w:r w:rsidRPr="00B24E92">
        <w:rPr>
          <w:i/>
          <w:iCs/>
          <w:color w:val="000000"/>
          <w:sz w:val="20"/>
          <w:szCs w:val="20"/>
        </w:rPr>
        <w:noBreakHyphen/>
        <w:t>specific perceptions of financial literacy and digital solutions</w:t>
      </w:r>
      <w:r w:rsidRPr="00B24E92">
        <w:rPr>
          <w:color w:val="000000"/>
          <w:sz w:val="20"/>
          <w:szCs w:val="20"/>
        </w:rPr>
        <w:t>. IEEE.</w:t>
      </w:r>
      <w:hyperlink r:id="rId36" w:history="1">
        <w:r w:rsidRPr="00B24E92">
          <w:rPr>
            <w:rStyle w:val="Hyperlink"/>
            <w:color w:val="000000"/>
            <w:sz w:val="20"/>
            <w:szCs w:val="20"/>
          </w:rPr>
          <w:t xml:space="preserve"> </w:t>
        </w:r>
        <w:r w:rsidRPr="00B24E92">
          <w:rPr>
            <w:rStyle w:val="Hyperlink"/>
            <w:color w:val="1155CC"/>
            <w:sz w:val="20"/>
            <w:szCs w:val="20"/>
          </w:rPr>
          <w:t>https://ieeexplore.ieee.org/document/9780717</w:t>
        </w:r>
      </w:hyperlink>
    </w:p>
    <w:p w14:paraId="07843BB8" w14:textId="77777777" w:rsidR="00B24E92" w:rsidRPr="00B24E92" w:rsidRDefault="00FF2BD6" w:rsidP="00B24E92">
      <w:pPr>
        <w:pStyle w:val="ListParagraph"/>
        <w:numPr>
          <w:ilvl w:val="0"/>
          <w:numId w:val="1"/>
        </w:numPr>
        <w:rPr>
          <w:rStyle w:val="Hyperlink"/>
          <w:color w:val="auto"/>
          <w:sz w:val="20"/>
          <w:szCs w:val="20"/>
          <w:u w:val="none"/>
        </w:rPr>
      </w:pPr>
      <w:r w:rsidRPr="00B24E92">
        <w:rPr>
          <w:color w:val="000000"/>
          <w:sz w:val="20"/>
          <w:szCs w:val="20"/>
        </w:rPr>
        <w:t xml:space="preserve">Rahman, M., et al. (2025). </w:t>
      </w:r>
      <w:r w:rsidRPr="00B24E92">
        <w:rPr>
          <w:i/>
          <w:iCs/>
          <w:color w:val="000000"/>
          <w:sz w:val="20"/>
          <w:szCs w:val="20"/>
        </w:rPr>
        <w:t>Empowering Generation Z digitally: The role of financial literacy, social media, and trust in embracing mobile payment</w:t>
      </w:r>
      <w:r w:rsidRPr="00B24E92">
        <w:rPr>
          <w:color w:val="000000"/>
          <w:sz w:val="20"/>
          <w:szCs w:val="20"/>
        </w:rPr>
        <w:t>. IEEE.</w:t>
      </w:r>
      <w:hyperlink r:id="rId37" w:history="1">
        <w:r w:rsidRPr="00B24E92">
          <w:rPr>
            <w:rStyle w:val="Hyperlink"/>
            <w:color w:val="000000"/>
            <w:sz w:val="20"/>
            <w:szCs w:val="20"/>
          </w:rPr>
          <w:t xml:space="preserve"> </w:t>
        </w:r>
        <w:r w:rsidRPr="00B24E92">
          <w:rPr>
            <w:rStyle w:val="Hyperlink"/>
            <w:color w:val="1155CC"/>
            <w:sz w:val="20"/>
            <w:szCs w:val="20"/>
          </w:rPr>
          <w:t>https://ieeexplore.ieee.org/document/10701135</w:t>
        </w:r>
      </w:hyperlink>
    </w:p>
    <w:p w14:paraId="1CA80C1C" w14:textId="48809295" w:rsidR="00FF2BD6" w:rsidRPr="00B24E92" w:rsidRDefault="00FF2BD6" w:rsidP="00B24E92">
      <w:pPr>
        <w:pStyle w:val="ListParagraph"/>
        <w:numPr>
          <w:ilvl w:val="0"/>
          <w:numId w:val="1"/>
        </w:numPr>
        <w:rPr>
          <w:sz w:val="20"/>
          <w:szCs w:val="20"/>
        </w:rPr>
      </w:pPr>
      <w:proofErr w:type="spellStart"/>
      <w:r w:rsidRPr="00B24E92">
        <w:rPr>
          <w:color w:val="000000"/>
          <w:sz w:val="20"/>
          <w:szCs w:val="20"/>
        </w:rPr>
        <w:t>Miu</w:t>
      </w:r>
      <w:proofErr w:type="spellEnd"/>
      <w:r w:rsidRPr="00B24E92">
        <w:rPr>
          <w:color w:val="000000"/>
          <w:sz w:val="20"/>
          <w:szCs w:val="20"/>
        </w:rPr>
        <w:t xml:space="preserve">, P., et al. (2022). </w:t>
      </w:r>
      <w:r w:rsidRPr="00B24E92">
        <w:rPr>
          <w:i/>
          <w:iCs/>
          <w:color w:val="000000"/>
          <w:sz w:val="20"/>
          <w:szCs w:val="20"/>
        </w:rPr>
        <w:t>Enhancing financial education with AI</w:t>
      </w:r>
      <w:r w:rsidRPr="00B24E92">
        <w:rPr>
          <w:i/>
          <w:iCs/>
          <w:color w:val="000000"/>
          <w:sz w:val="20"/>
          <w:szCs w:val="20"/>
        </w:rPr>
        <w:noBreakHyphen/>
        <w:t>driven learning and simulations</w:t>
      </w:r>
      <w:r w:rsidRPr="00B24E92">
        <w:rPr>
          <w:color w:val="000000"/>
          <w:sz w:val="20"/>
          <w:szCs w:val="20"/>
        </w:rPr>
        <w:t>. IEEE.</w:t>
      </w:r>
      <w:hyperlink r:id="rId38" w:history="1">
        <w:r w:rsidRPr="00B24E92">
          <w:rPr>
            <w:rStyle w:val="Hyperlink"/>
            <w:color w:val="000000"/>
            <w:sz w:val="20"/>
            <w:szCs w:val="20"/>
          </w:rPr>
          <w:t xml:space="preserve"> </w:t>
        </w:r>
        <w:r w:rsidRPr="00B24E92">
          <w:rPr>
            <w:rStyle w:val="Hyperlink"/>
            <w:color w:val="1155CC"/>
            <w:sz w:val="20"/>
            <w:szCs w:val="20"/>
          </w:rPr>
          <w:t>https://ieeexplore.ieee.org/document/11158620</w:t>
        </w:r>
      </w:hyperlink>
    </w:p>
    <w:p w14:paraId="73A752D0" w14:textId="77777777" w:rsidR="00250460" w:rsidRPr="00B24E92" w:rsidRDefault="00250460" w:rsidP="0A456141">
      <w:pPr>
        <w:rPr>
          <w:sz w:val="20"/>
          <w:szCs w:val="20"/>
        </w:rPr>
      </w:pPr>
    </w:p>
    <w:p w14:paraId="3AF2110B" w14:textId="03C17CCC" w:rsidR="6A26EA1D" w:rsidRPr="00B24E92" w:rsidRDefault="6A26EA1D" w:rsidP="6A26EA1D">
      <w:pPr>
        <w:rPr>
          <w:sz w:val="20"/>
          <w:szCs w:val="20"/>
        </w:rPr>
      </w:pPr>
    </w:p>
    <w:p w14:paraId="2616E8ED" w14:textId="5ED98141" w:rsidR="6A26EA1D" w:rsidRPr="00B24E92" w:rsidRDefault="6A26EA1D" w:rsidP="0A7712C2">
      <w:pPr>
        <w:jc w:val="both"/>
        <w:rPr>
          <w:sz w:val="20"/>
          <w:szCs w:val="20"/>
        </w:rPr>
      </w:pPr>
    </w:p>
    <w:sectPr w:rsidR="6A26EA1D" w:rsidRPr="00B24E92" w:rsidSect="00856D4D">
      <w:type w:val="continuous"/>
      <w:pgSz w:w="11907" w:h="16839" w:code="9"/>
      <w:pgMar w:top="720" w:right="605" w:bottom="605" w:left="605" w:header="288" w:footer="144"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86414" w14:textId="77777777" w:rsidR="0010225B" w:rsidRDefault="0010225B" w:rsidP="00193588">
      <w:r>
        <w:separator/>
      </w:r>
    </w:p>
  </w:endnote>
  <w:endnote w:type="continuationSeparator" w:id="0">
    <w:p w14:paraId="2B3409E2" w14:textId="77777777" w:rsidR="0010225B" w:rsidRDefault="0010225B" w:rsidP="0019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CDDED" w14:textId="0F2B9742" w:rsidR="00856D4D" w:rsidRDefault="00856D4D" w:rsidP="00856D4D">
    <w:pPr>
      <w:pStyle w:val="BodyText"/>
      <w:spacing w:line="14" w:lineRule="auto"/>
    </w:pPr>
    <w:r>
      <w:rPr>
        <w:noProof/>
      </w:rPr>
      <mc:AlternateContent>
        <mc:Choice Requires="wps">
          <w:drawing>
            <wp:anchor distT="0" distB="0" distL="0" distR="0" simplePos="0" relativeHeight="251658243" behindDoc="1" locked="0" layoutInCell="1" allowOverlap="1" wp14:anchorId="655367BA" wp14:editId="4BBF3485">
              <wp:simplePos x="0" y="0"/>
              <wp:positionH relativeFrom="page">
                <wp:posOffset>381000</wp:posOffset>
              </wp:positionH>
              <wp:positionV relativeFrom="page">
                <wp:posOffset>10240010</wp:posOffset>
              </wp:positionV>
              <wp:extent cx="6839585" cy="17780"/>
              <wp:effectExtent l="0" t="0" r="0" b="0"/>
              <wp:wrapNone/>
              <wp:docPr id="103009146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500F6F00">
            <v:shape id="Graphic 3" style="position:absolute;margin-left:30pt;margin-top:806.3pt;width:538.55pt;height:1.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spid="_x0000_s1026" fillcolor="gray" stroked="f" path="m6671309,l,,,45084r6671309,l667130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" w14:anchorId="052F1C4D">
              <v:path arrowok="t"/>
              <w10:wrap anchorx="page" anchory="page"/>
            </v:shape>
          </w:pict>
        </mc:Fallback>
      </mc:AlternateContent>
    </w:r>
    <w:r>
      <w:t xml:space="preserve"> </w:t>
    </w:r>
    <w:r w:rsidRPr="006B6E48">
      <w:t xml:space="preserve"> </w:t>
    </w:r>
    <w:r>
      <w:rPr>
        <w:rFonts w:eastAsia="Calibri"/>
      </w:rPr>
      <w:t xml:space="preserve"> </w:t>
    </w:r>
    <w:r>
      <w:t xml:space="preserve"> </w:t>
    </w:r>
    <w:r w:rsidRPr="00705C97">
      <w:t xml:space="preserve"> </w:t>
    </w:r>
    <w:r w:rsidRPr="00A345B0">
      <w:t xml:space="preserve"> </w:t>
    </w:r>
    <w:r>
      <w:rPr>
        <w:noProof/>
      </w:rPr>
      <mc:AlternateContent>
        <mc:Choice Requires="wps">
          <w:drawing>
            <wp:anchor distT="0" distB="0" distL="0" distR="0" simplePos="0" relativeHeight="251658244" behindDoc="1" locked="0" layoutInCell="1" allowOverlap="1" wp14:anchorId="58FD553F" wp14:editId="16567EAB">
              <wp:simplePos x="0" y="0"/>
              <wp:positionH relativeFrom="page">
                <wp:posOffset>411480</wp:posOffset>
              </wp:positionH>
              <wp:positionV relativeFrom="page">
                <wp:posOffset>10340340</wp:posOffset>
              </wp:positionV>
              <wp:extent cx="1005840" cy="251460"/>
              <wp:effectExtent l="0" t="0" r="0" b="0"/>
              <wp:wrapNone/>
              <wp:docPr id="55192412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51460"/>
                      </a:xfrm>
                      <a:prstGeom prst="rect">
                        <a:avLst/>
                      </a:prstGeom>
                    </wps:spPr>
                    <wps:txbx>
                      <w:txbxContent>
                        <w:p w14:paraId="469E98C5" w14:textId="77777777" w:rsidR="00856D4D" w:rsidRDefault="00856D4D" w:rsidP="00856D4D">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Pr>
                              <w:noProof/>
                              <w:spacing w:val="-5"/>
                              <w:sz w:val="20"/>
                            </w:rPr>
                            <w:t>9</w:t>
                          </w:r>
                          <w:r>
                            <w:rPr>
                              <w:spacing w:val="-5"/>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8FD553F" id="_x0000_t202" coordsize="21600,21600" o:spt="202" path="m,l,21600r21600,l21600,xe">
              <v:stroke joinstyle="miter"/>
              <v:path gradientshapeok="t" o:connecttype="rect"/>
            </v:shapetype>
            <v:shape id="Textbox 4" o:spid="_x0000_s1026" type="#_x0000_t202" style="position:absolute;margin-left:32.4pt;margin-top:814.2pt;width:79.2pt;height:19.8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" filled="f" stroked="f">
              <v:textbox inset="0,0,0,0">
                <w:txbxContent>
                  <w:p w14:paraId="469E98C5" w14:textId="77777777" w:rsidR="00856D4D" w:rsidRDefault="00856D4D" w:rsidP="00856D4D">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Pr>
                        <w:noProof/>
                        <w:spacing w:val="-5"/>
                        <w:sz w:val="20"/>
                      </w:rPr>
                      <w:t>9</w:t>
                    </w:r>
                    <w:r>
                      <w:rPr>
                        <w:spacing w:val="-5"/>
                        <w:sz w:val="20"/>
                      </w:rPr>
                      <w:fldChar w:fldCharType="end"/>
                    </w:r>
                  </w:p>
                </w:txbxContent>
              </v:textbox>
              <w10:wrap anchorx="page" anchory="page"/>
            </v:shape>
          </w:pict>
        </mc:Fallback>
      </mc:AlternateContent>
    </w:r>
    <w:r>
      <w:rPr>
        <w:rFonts w:ascii="Arial" w:eastAsia="Arial" w:hAnsi="Arial" w:cs="Arial"/>
        <w:sz w:val="20"/>
      </w:rPr>
      <w:tab/>
      <w:t xml:space="preserve"> </w:t>
    </w:r>
    <w:r>
      <w:rPr>
        <w:rFonts w:ascii="Arial" w:eastAsia="Arial" w:hAnsi="Arial" w:cs="Arial"/>
        <w:sz w:val="20"/>
      </w:rPr>
      <w:tab/>
    </w:r>
  </w:p>
  <w:p w14:paraId="4C9AAFB4" w14:textId="77777777" w:rsidR="00856D4D" w:rsidRPr="00A878E5" w:rsidRDefault="00856D4D" w:rsidP="00856D4D">
    <w:pPr>
      <w:pStyle w:val="Footer"/>
    </w:pPr>
  </w:p>
  <w:p w14:paraId="36CFA83A" w14:textId="77777777" w:rsidR="00856D4D" w:rsidRDefault="00856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B8A26" w14:textId="77777777" w:rsidR="0010225B" w:rsidRDefault="0010225B" w:rsidP="00193588">
      <w:r>
        <w:separator/>
      </w:r>
    </w:p>
  </w:footnote>
  <w:footnote w:type="continuationSeparator" w:id="0">
    <w:p w14:paraId="318E6AE3" w14:textId="77777777" w:rsidR="0010225B" w:rsidRDefault="0010225B" w:rsidP="00193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8A446" w14:textId="7C3E5F8B" w:rsidR="00856D4D" w:rsidRDefault="00856D4D" w:rsidP="00856D4D">
    <w:pPr>
      <w:pStyle w:val="BodyText"/>
      <w:tabs>
        <w:tab w:val="center" w:pos="5350"/>
      </w:tabs>
      <w:spacing w:line="14" w:lineRule="auto"/>
    </w:pPr>
    <w:r>
      <w:rPr>
        <w:rFonts w:eastAsia="Calibri"/>
      </w:rPr>
      <w:t xml:space="preserve"> </w:t>
    </w:r>
    <w:r>
      <w:rPr>
        <w:sz w:val="36"/>
      </w:rPr>
      <w:t xml:space="preserve">  </w:t>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4DE42FA"/>
    <w:lvl w:ilvl="0" w:tplc="E7288908">
      <w:start w:val="1"/>
      <w:numFmt w:val="decimal"/>
      <w:lvlText w:val="%1."/>
      <w:lvlJc w:val="left"/>
      <w:pPr>
        <w:ind w:left="720" w:hanging="360"/>
      </w:pPr>
      <w:rPr>
        <w:rFonts w:ascii="Times New Roman" w:eastAsia="SimSu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432FD"/>
    <w:multiLevelType w:val="hybridMultilevel"/>
    <w:tmpl w:val="5F5EFD96"/>
    <w:lvl w:ilvl="0" w:tplc="63B46790">
      <w:start w:val="1"/>
      <w:numFmt w:val="decimal"/>
      <w:lvlText w:val="%1 )"/>
      <w:lvlJc w:val="left"/>
      <w:pPr>
        <w:ind w:left="936" w:hanging="360"/>
      </w:pPr>
      <w:rPr>
        <w:rFonts w:ascii="Times New Roman" w:hAnsi="Times New Roman" w:hint="default"/>
        <w:b w:val="0"/>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E2E4D"/>
    <w:multiLevelType w:val="multilevel"/>
    <w:tmpl w:val="11265CCA"/>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3623D5"/>
    <w:multiLevelType w:val="multilevel"/>
    <w:tmpl w:val="D9FC4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DB31A1"/>
    <w:multiLevelType w:val="hybridMultilevel"/>
    <w:tmpl w:val="3EDCD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7C1148"/>
    <w:multiLevelType w:val="hybridMultilevel"/>
    <w:tmpl w:val="B82043F8"/>
    <w:lvl w:ilvl="0" w:tplc="E93AD32C">
      <w:start w:val="1"/>
      <w:numFmt w:val="decimal"/>
      <w:lvlText w:val="%1."/>
      <w:lvlJc w:val="left"/>
      <w:pPr>
        <w:ind w:left="720" w:hanging="360"/>
      </w:pPr>
      <w:rPr>
        <w:rFonts w:hint="default"/>
        <w:b w:val="0"/>
        <w:sz w:val="16"/>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0E8F29B0"/>
    <w:multiLevelType w:val="hybridMultilevel"/>
    <w:tmpl w:val="267812E6"/>
    <w:lvl w:ilvl="0" w:tplc="44608F1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80E018C"/>
    <w:multiLevelType w:val="multilevel"/>
    <w:tmpl w:val="EDDA6D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E7000B"/>
    <w:multiLevelType w:val="hybridMultilevel"/>
    <w:tmpl w:val="FFFFFFFF"/>
    <w:lvl w:ilvl="0" w:tplc="DE785542">
      <w:start w:val="1"/>
      <w:numFmt w:val="decimal"/>
      <w:lvlText w:val="8"/>
      <w:lvlJc w:val="left"/>
      <w:pPr>
        <w:ind w:left="720" w:hanging="360"/>
      </w:pPr>
    </w:lvl>
    <w:lvl w:ilvl="1" w:tplc="598CB90C">
      <w:start w:val="1"/>
      <w:numFmt w:val="lowerLetter"/>
      <w:lvlText w:val="%2."/>
      <w:lvlJc w:val="left"/>
      <w:pPr>
        <w:ind w:left="1440" w:hanging="360"/>
      </w:pPr>
    </w:lvl>
    <w:lvl w:ilvl="2" w:tplc="95AED0B8">
      <w:start w:val="1"/>
      <w:numFmt w:val="lowerRoman"/>
      <w:lvlText w:val="%3."/>
      <w:lvlJc w:val="right"/>
      <w:pPr>
        <w:ind w:left="2160" w:hanging="180"/>
      </w:pPr>
    </w:lvl>
    <w:lvl w:ilvl="3" w:tplc="A9EC5E12">
      <w:start w:val="1"/>
      <w:numFmt w:val="decimal"/>
      <w:lvlText w:val="%4."/>
      <w:lvlJc w:val="left"/>
      <w:pPr>
        <w:ind w:left="2880" w:hanging="360"/>
      </w:pPr>
    </w:lvl>
    <w:lvl w:ilvl="4" w:tplc="2CDECBF0">
      <w:start w:val="1"/>
      <w:numFmt w:val="lowerLetter"/>
      <w:lvlText w:val="%5."/>
      <w:lvlJc w:val="left"/>
      <w:pPr>
        <w:ind w:left="3600" w:hanging="360"/>
      </w:pPr>
    </w:lvl>
    <w:lvl w:ilvl="5" w:tplc="64C684A0">
      <w:start w:val="1"/>
      <w:numFmt w:val="lowerRoman"/>
      <w:lvlText w:val="%6."/>
      <w:lvlJc w:val="right"/>
      <w:pPr>
        <w:ind w:left="4320" w:hanging="180"/>
      </w:pPr>
    </w:lvl>
    <w:lvl w:ilvl="6" w:tplc="7464C37C">
      <w:start w:val="1"/>
      <w:numFmt w:val="decimal"/>
      <w:lvlText w:val="%7."/>
      <w:lvlJc w:val="left"/>
      <w:pPr>
        <w:ind w:left="5040" w:hanging="360"/>
      </w:pPr>
    </w:lvl>
    <w:lvl w:ilvl="7" w:tplc="ECAE8352">
      <w:start w:val="1"/>
      <w:numFmt w:val="lowerLetter"/>
      <w:lvlText w:val="%8."/>
      <w:lvlJc w:val="left"/>
      <w:pPr>
        <w:ind w:left="5760" w:hanging="360"/>
      </w:pPr>
    </w:lvl>
    <w:lvl w:ilvl="8" w:tplc="52F2A862">
      <w:start w:val="1"/>
      <w:numFmt w:val="lowerRoman"/>
      <w:lvlText w:val="%9."/>
      <w:lvlJc w:val="right"/>
      <w:pPr>
        <w:ind w:left="6480" w:hanging="180"/>
      </w:pPr>
    </w:lvl>
  </w:abstractNum>
  <w:abstractNum w:abstractNumId="10" w15:restartNumberingAfterBreak="0">
    <w:nsid w:val="214217EC"/>
    <w:multiLevelType w:val="hybridMultilevel"/>
    <w:tmpl w:val="E46242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5E4A05"/>
    <w:multiLevelType w:val="hybridMultilevel"/>
    <w:tmpl w:val="E3E6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70B1E"/>
    <w:multiLevelType w:val="multilevel"/>
    <w:tmpl w:val="5B346D2C"/>
    <w:lvl w:ilvl="0">
      <w:start w:val="1"/>
      <w:numFmt w:val="lowerLetter"/>
      <w:lvlText w:val="%1."/>
      <w:lvlJc w:val="left"/>
      <w:pPr>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9945A06"/>
    <w:multiLevelType w:val="multilevel"/>
    <w:tmpl w:val="DF82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5" w15:restartNumberingAfterBreak="0">
    <w:nsid w:val="2BE93739"/>
    <w:multiLevelType w:val="hybridMultilevel"/>
    <w:tmpl w:val="85A0C8F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2F296319"/>
    <w:multiLevelType w:val="hybridMultilevel"/>
    <w:tmpl w:val="F7925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A2926"/>
    <w:multiLevelType w:val="multilevel"/>
    <w:tmpl w:val="8D6AAB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F22B5B"/>
    <w:multiLevelType w:val="hybridMultilevel"/>
    <w:tmpl w:val="5F5EFD96"/>
    <w:lvl w:ilvl="0" w:tplc="63B46790">
      <w:start w:val="1"/>
      <w:numFmt w:val="decimal"/>
      <w:lvlText w:val="%1 )"/>
      <w:lvlJc w:val="left"/>
      <w:pPr>
        <w:ind w:left="936" w:hanging="360"/>
      </w:pPr>
      <w:rPr>
        <w:rFonts w:ascii="Times New Roman" w:hAnsi="Times New Roman" w:hint="default"/>
        <w:b w:val="0"/>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E7357B"/>
    <w:multiLevelType w:val="hybridMultilevel"/>
    <w:tmpl w:val="F784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37F1A"/>
    <w:multiLevelType w:val="multilevel"/>
    <w:tmpl w:val="D8B66310"/>
    <w:lvl w:ilvl="0">
      <w:start w:val="1"/>
      <w:numFmt w:val="lowerLetter"/>
      <w:lvlText w:val="%1."/>
      <w:lvlJc w:val="left"/>
      <w:pPr>
        <w:ind w:left="1080" w:hanging="360"/>
      </w:pPr>
      <w:rPr>
        <w:rFonts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3F8C30F5"/>
    <w:multiLevelType w:val="hybridMultilevel"/>
    <w:tmpl w:val="CF323184"/>
    <w:lvl w:ilvl="0" w:tplc="236640F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0ABB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F011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46AE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6CE6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7A91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98B8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F032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A2F9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DC53F4"/>
    <w:multiLevelType w:val="hybridMultilevel"/>
    <w:tmpl w:val="23BE8314"/>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4C2025F1"/>
    <w:multiLevelType w:val="multilevel"/>
    <w:tmpl w:val="E2A6A02A"/>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0246E"/>
    <w:multiLevelType w:val="hybridMultilevel"/>
    <w:tmpl w:val="4A7CD042"/>
    <w:lvl w:ilvl="0" w:tplc="EAFC5DD2">
      <w:start w:val="1"/>
      <w:numFmt w:val="decimal"/>
      <w:lvlText w:val="%1."/>
      <w:lvlJc w:val="left"/>
      <w:pPr>
        <w:ind w:left="720" w:hanging="360"/>
      </w:pPr>
      <w:rPr>
        <w:rFonts w:ascii="Times New Roman" w:eastAsia="Times New Roman" w:hAnsi="Times New Roman" w:cs="Times New Roman"/>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26" w15:restartNumberingAfterBreak="0">
    <w:nsid w:val="4E08E88C"/>
    <w:multiLevelType w:val="hybridMultilevel"/>
    <w:tmpl w:val="FFFFFFFF"/>
    <w:lvl w:ilvl="0" w:tplc="7420946E">
      <w:start w:val="1"/>
      <w:numFmt w:val="decimal"/>
      <w:lvlText w:val="%1."/>
      <w:lvlJc w:val="left"/>
      <w:pPr>
        <w:ind w:left="720" w:hanging="360"/>
      </w:pPr>
    </w:lvl>
    <w:lvl w:ilvl="1" w:tplc="C40A539A">
      <w:start w:val="1"/>
      <w:numFmt w:val="lowerLetter"/>
      <w:lvlText w:val="%2."/>
      <w:lvlJc w:val="left"/>
      <w:pPr>
        <w:ind w:left="1440" w:hanging="360"/>
      </w:pPr>
    </w:lvl>
    <w:lvl w:ilvl="2" w:tplc="C348449A">
      <w:start w:val="1"/>
      <w:numFmt w:val="lowerRoman"/>
      <w:lvlText w:val="%3."/>
      <w:lvlJc w:val="right"/>
      <w:pPr>
        <w:ind w:left="2160" w:hanging="180"/>
      </w:pPr>
    </w:lvl>
    <w:lvl w:ilvl="3" w:tplc="509E47E0">
      <w:start w:val="1"/>
      <w:numFmt w:val="decimal"/>
      <w:lvlText w:val="%4."/>
      <w:lvlJc w:val="left"/>
      <w:pPr>
        <w:ind w:left="2880" w:hanging="360"/>
      </w:pPr>
    </w:lvl>
    <w:lvl w:ilvl="4" w:tplc="EC40D3AC">
      <w:start w:val="1"/>
      <w:numFmt w:val="lowerLetter"/>
      <w:lvlText w:val="%5."/>
      <w:lvlJc w:val="left"/>
      <w:pPr>
        <w:ind w:left="3600" w:hanging="360"/>
      </w:pPr>
    </w:lvl>
    <w:lvl w:ilvl="5" w:tplc="2C0A005A">
      <w:start w:val="1"/>
      <w:numFmt w:val="lowerRoman"/>
      <w:lvlText w:val="%6."/>
      <w:lvlJc w:val="right"/>
      <w:pPr>
        <w:ind w:left="4320" w:hanging="180"/>
      </w:pPr>
    </w:lvl>
    <w:lvl w:ilvl="6" w:tplc="E1982CF2">
      <w:start w:val="1"/>
      <w:numFmt w:val="decimal"/>
      <w:lvlText w:val="%7."/>
      <w:lvlJc w:val="left"/>
      <w:pPr>
        <w:ind w:left="5040" w:hanging="360"/>
      </w:pPr>
    </w:lvl>
    <w:lvl w:ilvl="7" w:tplc="C846C62E">
      <w:start w:val="1"/>
      <w:numFmt w:val="lowerLetter"/>
      <w:lvlText w:val="%8."/>
      <w:lvlJc w:val="left"/>
      <w:pPr>
        <w:ind w:left="5760" w:hanging="360"/>
      </w:pPr>
    </w:lvl>
    <w:lvl w:ilvl="8" w:tplc="8BEA2434">
      <w:start w:val="1"/>
      <w:numFmt w:val="lowerRoman"/>
      <w:lvlText w:val="%9."/>
      <w:lvlJc w:val="right"/>
      <w:pPr>
        <w:ind w:left="6480" w:hanging="180"/>
      </w:pPr>
    </w:lvl>
  </w:abstractNum>
  <w:abstractNum w:abstractNumId="27"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7982BBB"/>
    <w:multiLevelType w:val="hybridMultilevel"/>
    <w:tmpl w:val="C7D4A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B20AD6"/>
    <w:multiLevelType w:val="hybridMultilevel"/>
    <w:tmpl w:val="E84A12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F4243DA"/>
    <w:multiLevelType w:val="multilevel"/>
    <w:tmpl w:val="F2E28A3E"/>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8C5537"/>
    <w:multiLevelType w:val="multilevel"/>
    <w:tmpl w:val="242C3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2CF7815"/>
    <w:multiLevelType w:val="hybridMultilevel"/>
    <w:tmpl w:val="1F1E3A46"/>
    <w:lvl w:ilvl="0" w:tplc="FE3E4A7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FA407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F631A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0AF91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D2194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6CE64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680F8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589E6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7C730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3516CA1"/>
    <w:multiLevelType w:val="hybridMultilevel"/>
    <w:tmpl w:val="5C6C1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3A16D88"/>
    <w:multiLevelType w:val="multilevel"/>
    <w:tmpl w:val="6CAA44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C158F7"/>
    <w:multiLevelType w:val="hybridMultilevel"/>
    <w:tmpl w:val="A514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7" w15:restartNumberingAfterBreak="0">
    <w:nsid w:val="6EC548D8"/>
    <w:multiLevelType w:val="hybridMultilevel"/>
    <w:tmpl w:val="A3625426"/>
    <w:lvl w:ilvl="0" w:tplc="9D1A70AC">
      <w:start w:val="1"/>
      <w:numFmt w:val="decimal"/>
      <w:lvlText w:val="%1."/>
      <w:lvlJc w:val="left"/>
      <w:pPr>
        <w:ind w:left="108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0EA5AD0">
      <w:numFmt w:val="bullet"/>
      <w:lvlText w:val=""/>
      <w:lvlJc w:val="left"/>
      <w:pPr>
        <w:ind w:left="1081" w:hanging="360"/>
      </w:pPr>
      <w:rPr>
        <w:rFonts w:ascii="Symbol" w:eastAsia="Symbol" w:hAnsi="Symbol" w:cs="Symbol" w:hint="default"/>
        <w:b w:val="0"/>
        <w:bCs w:val="0"/>
        <w:i w:val="0"/>
        <w:iCs w:val="0"/>
        <w:color w:val="0D0F1A"/>
        <w:spacing w:val="0"/>
        <w:w w:val="100"/>
        <w:sz w:val="20"/>
        <w:szCs w:val="20"/>
        <w:lang w:val="en-US" w:eastAsia="en-US" w:bidi="ar-SA"/>
      </w:rPr>
    </w:lvl>
    <w:lvl w:ilvl="2" w:tplc="424E03FA">
      <w:numFmt w:val="bullet"/>
      <w:lvlText w:val="•"/>
      <w:lvlJc w:val="left"/>
      <w:pPr>
        <w:ind w:left="2592" w:hanging="360"/>
      </w:pPr>
      <w:rPr>
        <w:rFonts w:hint="default"/>
        <w:lang w:val="en-US" w:eastAsia="en-US" w:bidi="ar-SA"/>
      </w:rPr>
    </w:lvl>
    <w:lvl w:ilvl="3" w:tplc="CD3AAB06">
      <w:numFmt w:val="bullet"/>
      <w:lvlText w:val="•"/>
      <w:lvlJc w:val="left"/>
      <w:pPr>
        <w:ind w:left="3348" w:hanging="360"/>
      </w:pPr>
      <w:rPr>
        <w:rFonts w:hint="default"/>
        <w:lang w:val="en-US" w:eastAsia="en-US" w:bidi="ar-SA"/>
      </w:rPr>
    </w:lvl>
    <w:lvl w:ilvl="4" w:tplc="AFC6D0C8">
      <w:numFmt w:val="bullet"/>
      <w:lvlText w:val="•"/>
      <w:lvlJc w:val="left"/>
      <w:pPr>
        <w:ind w:left="4104" w:hanging="360"/>
      </w:pPr>
      <w:rPr>
        <w:rFonts w:hint="default"/>
        <w:lang w:val="en-US" w:eastAsia="en-US" w:bidi="ar-SA"/>
      </w:rPr>
    </w:lvl>
    <w:lvl w:ilvl="5" w:tplc="008EBA92">
      <w:numFmt w:val="bullet"/>
      <w:lvlText w:val="•"/>
      <w:lvlJc w:val="left"/>
      <w:pPr>
        <w:ind w:left="4860" w:hanging="360"/>
      </w:pPr>
      <w:rPr>
        <w:rFonts w:hint="default"/>
        <w:lang w:val="en-US" w:eastAsia="en-US" w:bidi="ar-SA"/>
      </w:rPr>
    </w:lvl>
    <w:lvl w:ilvl="6" w:tplc="0BC6F154">
      <w:numFmt w:val="bullet"/>
      <w:lvlText w:val="•"/>
      <w:lvlJc w:val="left"/>
      <w:pPr>
        <w:ind w:left="5616" w:hanging="360"/>
      </w:pPr>
      <w:rPr>
        <w:rFonts w:hint="default"/>
        <w:lang w:val="en-US" w:eastAsia="en-US" w:bidi="ar-SA"/>
      </w:rPr>
    </w:lvl>
    <w:lvl w:ilvl="7" w:tplc="DED40F94">
      <w:numFmt w:val="bullet"/>
      <w:lvlText w:val="•"/>
      <w:lvlJc w:val="left"/>
      <w:pPr>
        <w:ind w:left="6372" w:hanging="360"/>
      </w:pPr>
      <w:rPr>
        <w:rFonts w:hint="default"/>
        <w:lang w:val="en-US" w:eastAsia="en-US" w:bidi="ar-SA"/>
      </w:rPr>
    </w:lvl>
    <w:lvl w:ilvl="8" w:tplc="27F0A086">
      <w:numFmt w:val="bullet"/>
      <w:lvlText w:val="•"/>
      <w:lvlJc w:val="left"/>
      <w:pPr>
        <w:ind w:left="7128" w:hanging="360"/>
      </w:pPr>
      <w:rPr>
        <w:rFonts w:hint="default"/>
        <w:lang w:val="en-US" w:eastAsia="en-US" w:bidi="ar-SA"/>
      </w:rPr>
    </w:lvl>
  </w:abstractNum>
  <w:abstractNum w:abstractNumId="38" w15:restartNumberingAfterBreak="0">
    <w:nsid w:val="77041DD2"/>
    <w:multiLevelType w:val="multilevel"/>
    <w:tmpl w:val="5E86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C86F93"/>
    <w:multiLevelType w:val="hybridMultilevel"/>
    <w:tmpl w:val="EA6E0B88"/>
    <w:lvl w:ilvl="0" w:tplc="34090001">
      <w:start w:val="1"/>
      <w:numFmt w:val="bullet"/>
      <w:lvlText w:val=""/>
      <w:lvlJc w:val="left"/>
      <w:pPr>
        <w:ind w:left="936" w:hanging="360"/>
      </w:pPr>
      <w:rPr>
        <w:rFonts w:ascii="Symbol" w:hAnsi="Symbol" w:hint="default"/>
      </w:rPr>
    </w:lvl>
    <w:lvl w:ilvl="1" w:tplc="34090003" w:tentative="1">
      <w:start w:val="1"/>
      <w:numFmt w:val="bullet"/>
      <w:lvlText w:val="o"/>
      <w:lvlJc w:val="left"/>
      <w:pPr>
        <w:ind w:left="1656" w:hanging="360"/>
      </w:pPr>
      <w:rPr>
        <w:rFonts w:ascii="Courier New" w:hAnsi="Courier New" w:cs="Courier New" w:hint="default"/>
      </w:rPr>
    </w:lvl>
    <w:lvl w:ilvl="2" w:tplc="34090005" w:tentative="1">
      <w:start w:val="1"/>
      <w:numFmt w:val="bullet"/>
      <w:lvlText w:val=""/>
      <w:lvlJc w:val="left"/>
      <w:pPr>
        <w:ind w:left="2376" w:hanging="360"/>
      </w:pPr>
      <w:rPr>
        <w:rFonts w:ascii="Wingdings" w:hAnsi="Wingdings" w:hint="default"/>
      </w:rPr>
    </w:lvl>
    <w:lvl w:ilvl="3" w:tplc="34090001" w:tentative="1">
      <w:start w:val="1"/>
      <w:numFmt w:val="bullet"/>
      <w:lvlText w:val=""/>
      <w:lvlJc w:val="left"/>
      <w:pPr>
        <w:ind w:left="3096" w:hanging="360"/>
      </w:pPr>
      <w:rPr>
        <w:rFonts w:ascii="Symbol" w:hAnsi="Symbol" w:hint="default"/>
      </w:rPr>
    </w:lvl>
    <w:lvl w:ilvl="4" w:tplc="34090003" w:tentative="1">
      <w:start w:val="1"/>
      <w:numFmt w:val="bullet"/>
      <w:lvlText w:val="o"/>
      <w:lvlJc w:val="left"/>
      <w:pPr>
        <w:ind w:left="3816" w:hanging="360"/>
      </w:pPr>
      <w:rPr>
        <w:rFonts w:ascii="Courier New" w:hAnsi="Courier New" w:cs="Courier New" w:hint="default"/>
      </w:rPr>
    </w:lvl>
    <w:lvl w:ilvl="5" w:tplc="34090005" w:tentative="1">
      <w:start w:val="1"/>
      <w:numFmt w:val="bullet"/>
      <w:lvlText w:val=""/>
      <w:lvlJc w:val="left"/>
      <w:pPr>
        <w:ind w:left="4536" w:hanging="360"/>
      </w:pPr>
      <w:rPr>
        <w:rFonts w:ascii="Wingdings" w:hAnsi="Wingdings" w:hint="default"/>
      </w:rPr>
    </w:lvl>
    <w:lvl w:ilvl="6" w:tplc="34090001" w:tentative="1">
      <w:start w:val="1"/>
      <w:numFmt w:val="bullet"/>
      <w:lvlText w:val=""/>
      <w:lvlJc w:val="left"/>
      <w:pPr>
        <w:ind w:left="5256" w:hanging="360"/>
      </w:pPr>
      <w:rPr>
        <w:rFonts w:ascii="Symbol" w:hAnsi="Symbol" w:hint="default"/>
      </w:rPr>
    </w:lvl>
    <w:lvl w:ilvl="7" w:tplc="34090003" w:tentative="1">
      <w:start w:val="1"/>
      <w:numFmt w:val="bullet"/>
      <w:lvlText w:val="o"/>
      <w:lvlJc w:val="left"/>
      <w:pPr>
        <w:ind w:left="5976" w:hanging="360"/>
      </w:pPr>
      <w:rPr>
        <w:rFonts w:ascii="Courier New" w:hAnsi="Courier New" w:cs="Courier New" w:hint="default"/>
      </w:rPr>
    </w:lvl>
    <w:lvl w:ilvl="8" w:tplc="34090005" w:tentative="1">
      <w:start w:val="1"/>
      <w:numFmt w:val="bullet"/>
      <w:lvlText w:val=""/>
      <w:lvlJc w:val="left"/>
      <w:pPr>
        <w:ind w:left="6696" w:hanging="360"/>
      </w:pPr>
      <w:rPr>
        <w:rFonts w:ascii="Wingdings" w:hAnsi="Wingdings" w:hint="default"/>
      </w:rPr>
    </w:lvl>
  </w:abstractNum>
  <w:abstractNum w:abstractNumId="40" w15:restartNumberingAfterBreak="0">
    <w:nsid w:val="7A415CB0"/>
    <w:multiLevelType w:val="hybridMultilevel"/>
    <w:tmpl w:val="CAD61C8A"/>
    <w:lvl w:ilvl="0" w:tplc="4B08D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3C7DEB"/>
    <w:multiLevelType w:val="hybridMultilevel"/>
    <w:tmpl w:val="2206CB4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7D98005F"/>
    <w:multiLevelType w:val="multilevel"/>
    <w:tmpl w:val="1C22CB5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9"/>
  </w:num>
  <w:num w:numId="3">
    <w:abstractNumId w:val="36"/>
  </w:num>
  <w:num w:numId="4">
    <w:abstractNumId w:val="27"/>
  </w:num>
  <w:num w:numId="5">
    <w:abstractNumId w:val="23"/>
  </w:num>
  <w:num w:numId="6">
    <w:abstractNumId w:val="3"/>
  </w:num>
  <w:num w:numId="7">
    <w:abstractNumId w:val="14"/>
  </w:num>
  <w:num w:numId="8">
    <w:abstractNumId w:val="18"/>
  </w:num>
  <w:num w:numId="9">
    <w:abstractNumId w:val="2"/>
  </w:num>
  <w:num w:numId="10">
    <w:abstractNumId w:val="37"/>
  </w:num>
  <w:num w:numId="11">
    <w:abstractNumId w:val="28"/>
  </w:num>
  <w:num w:numId="12">
    <w:abstractNumId w:val="0"/>
  </w:num>
  <w:num w:numId="13">
    <w:abstractNumId w:val="1"/>
  </w:num>
  <w:num w:numId="14">
    <w:abstractNumId w:val="41"/>
  </w:num>
  <w:num w:numId="15">
    <w:abstractNumId w:val="35"/>
  </w:num>
  <w:num w:numId="16">
    <w:abstractNumId w:val="10"/>
  </w:num>
  <w:num w:numId="17">
    <w:abstractNumId w:val="22"/>
  </w:num>
  <w:num w:numId="18">
    <w:abstractNumId w:val="5"/>
  </w:num>
  <w:num w:numId="19">
    <w:abstractNumId w:val="15"/>
  </w:num>
  <w:num w:numId="20">
    <w:abstractNumId w:val="16"/>
  </w:num>
  <w:num w:numId="21">
    <w:abstractNumId w:val="39"/>
  </w:num>
  <w:num w:numId="22">
    <w:abstractNumId w:val="30"/>
  </w:num>
  <w:num w:numId="23">
    <w:abstractNumId w:val="24"/>
  </w:num>
  <w:num w:numId="24">
    <w:abstractNumId w:val="19"/>
  </w:num>
  <w:num w:numId="25">
    <w:abstractNumId w:val="6"/>
  </w:num>
  <w:num w:numId="26">
    <w:abstractNumId w:val="25"/>
    <w:lvlOverride w:ilvl="0">
      <w:startOverride w:val="1"/>
    </w:lvlOverride>
    <w:lvlOverride w:ilvl="1"/>
    <w:lvlOverride w:ilvl="2"/>
    <w:lvlOverride w:ilvl="3"/>
    <w:lvlOverride w:ilvl="4"/>
    <w:lvlOverride w:ilvl="5"/>
    <w:lvlOverride w:ilvl="6"/>
    <w:lvlOverride w:ilvl="7"/>
    <w:lvlOverride w:ilvl="8"/>
  </w:num>
  <w:num w:numId="27">
    <w:abstractNumId w:val="21"/>
  </w:num>
  <w:num w:numId="28">
    <w:abstractNumId w:val="33"/>
  </w:num>
  <w:num w:numId="29">
    <w:abstractNumId w:val="32"/>
  </w:num>
  <w:num w:numId="30">
    <w:abstractNumId w:val="40"/>
  </w:num>
  <w:num w:numId="31">
    <w:abstractNumId w:val="31"/>
  </w:num>
  <w:num w:numId="32">
    <w:abstractNumId w:val="11"/>
  </w:num>
  <w:num w:numId="33">
    <w:abstractNumId w:val="38"/>
  </w:num>
  <w:num w:numId="34">
    <w:abstractNumId w:val="7"/>
  </w:num>
  <w:num w:numId="35">
    <w:abstractNumId w:val="13"/>
  </w:num>
  <w:num w:numId="36">
    <w:abstractNumId w:val="17"/>
  </w:num>
  <w:num w:numId="37">
    <w:abstractNumId w:val="29"/>
  </w:num>
  <w:num w:numId="38">
    <w:abstractNumId w:val="4"/>
  </w:num>
  <w:num w:numId="39">
    <w:abstractNumId w:val="42"/>
  </w:num>
  <w:num w:numId="40">
    <w:abstractNumId w:val="8"/>
    <w:lvlOverride w:ilvl="0">
      <w:lvl w:ilvl="0">
        <w:numFmt w:val="decimal"/>
        <w:lvlText w:val="%1."/>
        <w:lvlJc w:val="left"/>
      </w:lvl>
    </w:lvlOverride>
  </w:num>
  <w:num w:numId="41">
    <w:abstractNumId w:val="20"/>
  </w:num>
  <w:num w:numId="42">
    <w:abstractNumId w:val="34"/>
    <w:lvlOverride w:ilvl="0">
      <w:lvl w:ilvl="0">
        <w:numFmt w:val="decimal"/>
        <w:lvlText w:val="%1."/>
        <w:lvlJc w:val="left"/>
      </w:lvl>
    </w:lvlOverride>
  </w:num>
  <w:num w:numId="4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activeWritingStyle w:appName="MSWord" w:lang="en-PH"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BB"/>
    <w:rsid w:val="000002E1"/>
    <w:rsid w:val="00001732"/>
    <w:rsid w:val="000017DF"/>
    <w:rsid w:val="00001BC4"/>
    <w:rsid w:val="000034F1"/>
    <w:rsid w:val="000051A2"/>
    <w:rsid w:val="0001043D"/>
    <w:rsid w:val="00011AD4"/>
    <w:rsid w:val="00015E65"/>
    <w:rsid w:val="000165EF"/>
    <w:rsid w:val="00017719"/>
    <w:rsid w:val="000177AA"/>
    <w:rsid w:val="000230E7"/>
    <w:rsid w:val="00023365"/>
    <w:rsid w:val="00027C63"/>
    <w:rsid w:val="00027F1D"/>
    <w:rsid w:val="00030500"/>
    <w:rsid w:val="00031010"/>
    <w:rsid w:val="000320DE"/>
    <w:rsid w:val="000324F0"/>
    <w:rsid w:val="0003296C"/>
    <w:rsid w:val="00035779"/>
    <w:rsid w:val="000360A8"/>
    <w:rsid w:val="0003784B"/>
    <w:rsid w:val="00042966"/>
    <w:rsid w:val="0004360B"/>
    <w:rsid w:val="00043BAE"/>
    <w:rsid w:val="00043D7B"/>
    <w:rsid w:val="00045137"/>
    <w:rsid w:val="000454ED"/>
    <w:rsid w:val="0004595A"/>
    <w:rsid w:val="00046041"/>
    <w:rsid w:val="00047904"/>
    <w:rsid w:val="00047FC2"/>
    <w:rsid w:val="000503DC"/>
    <w:rsid w:val="00051E04"/>
    <w:rsid w:val="00052F55"/>
    <w:rsid w:val="000536A2"/>
    <w:rsid w:val="00053810"/>
    <w:rsid w:val="00054001"/>
    <w:rsid w:val="00054421"/>
    <w:rsid w:val="000556ED"/>
    <w:rsid w:val="000563FB"/>
    <w:rsid w:val="00056BEA"/>
    <w:rsid w:val="00061176"/>
    <w:rsid w:val="00061E28"/>
    <w:rsid w:val="00062E46"/>
    <w:rsid w:val="000630FD"/>
    <w:rsid w:val="00066589"/>
    <w:rsid w:val="000674B6"/>
    <w:rsid w:val="00067746"/>
    <w:rsid w:val="00070767"/>
    <w:rsid w:val="00071A92"/>
    <w:rsid w:val="00074AC8"/>
    <w:rsid w:val="00074D39"/>
    <w:rsid w:val="00080659"/>
    <w:rsid w:val="00081408"/>
    <w:rsid w:val="00081EBE"/>
    <w:rsid w:val="00081F28"/>
    <w:rsid w:val="0008249F"/>
    <w:rsid w:val="00083343"/>
    <w:rsid w:val="00083F39"/>
    <w:rsid w:val="00085654"/>
    <w:rsid w:val="00086EDC"/>
    <w:rsid w:val="000873F6"/>
    <w:rsid w:val="0008789C"/>
    <w:rsid w:val="00091405"/>
    <w:rsid w:val="0009312F"/>
    <w:rsid w:val="00093B77"/>
    <w:rsid w:val="000951D4"/>
    <w:rsid w:val="000962A3"/>
    <w:rsid w:val="00097D54"/>
    <w:rsid w:val="000A0422"/>
    <w:rsid w:val="000A09A7"/>
    <w:rsid w:val="000A0A62"/>
    <w:rsid w:val="000A1944"/>
    <w:rsid w:val="000A4193"/>
    <w:rsid w:val="000A5F88"/>
    <w:rsid w:val="000A6E0D"/>
    <w:rsid w:val="000A7474"/>
    <w:rsid w:val="000A75B8"/>
    <w:rsid w:val="000A75BD"/>
    <w:rsid w:val="000A7998"/>
    <w:rsid w:val="000AFF5A"/>
    <w:rsid w:val="000B114B"/>
    <w:rsid w:val="000B13FC"/>
    <w:rsid w:val="000B1584"/>
    <w:rsid w:val="000B1B41"/>
    <w:rsid w:val="000B271B"/>
    <w:rsid w:val="000B36A3"/>
    <w:rsid w:val="000B4E12"/>
    <w:rsid w:val="000C013C"/>
    <w:rsid w:val="000C03D8"/>
    <w:rsid w:val="000C0713"/>
    <w:rsid w:val="000C0891"/>
    <w:rsid w:val="000C0E16"/>
    <w:rsid w:val="000C3885"/>
    <w:rsid w:val="000C3B34"/>
    <w:rsid w:val="000C4E25"/>
    <w:rsid w:val="000C726A"/>
    <w:rsid w:val="000D006C"/>
    <w:rsid w:val="000D11CB"/>
    <w:rsid w:val="000D2998"/>
    <w:rsid w:val="000D2D01"/>
    <w:rsid w:val="000D3022"/>
    <w:rsid w:val="000D32A7"/>
    <w:rsid w:val="000D44DD"/>
    <w:rsid w:val="000D5316"/>
    <w:rsid w:val="000D5347"/>
    <w:rsid w:val="000D5A4E"/>
    <w:rsid w:val="000D7378"/>
    <w:rsid w:val="000E0323"/>
    <w:rsid w:val="000E0A60"/>
    <w:rsid w:val="000E1817"/>
    <w:rsid w:val="000E2ACE"/>
    <w:rsid w:val="000E3A1A"/>
    <w:rsid w:val="000E3F84"/>
    <w:rsid w:val="000E4ABA"/>
    <w:rsid w:val="000E5042"/>
    <w:rsid w:val="000E5A9E"/>
    <w:rsid w:val="000E5E3F"/>
    <w:rsid w:val="000E5FA5"/>
    <w:rsid w:val="000E7685"/>
    <w:rsid w:val="000E7C5A"/>
    <w:rsid w:val="000F16BF"/>
    <w:rsid w:val="000F18C4"/>
    <w:rsid w:val="000F285B"/>
    <w:rsid w:val="000F2B6A"/>
    <w:rsid w:val="000F507E"/>
    <w:rsid w:val="000F58D4"/>
    <w:rsid w:val="000F5D5C"/>
    <w:rsid w:val="000F65BC"/>
    <w:rsid w:val="000F6774"/>
    <w:rsid w:val="000F7F4A"/>
    <w:rsid w:val="001002FA"/>
    <w:rsid w:val="00100678"/>
    <w:rsid w:val="00101F5D"/>
    <w:rsid w:val="0010225B"/>
    <w:rsid w:val="001029AE"/>
    <w:rsid w:val="001040B7"/>
    <w:rsid w:val="00104589"/>
    <w:rsid w:val="001056DF"/>
    <w:rsid w:val="001108EC"/>
    <w:rsid w:val="00111DB1"/>
    <w:rsid w:val="00112750"/>
    <w:rsid w:val="001129D2"/>
    <w:rsid w:val="00112E7C"/>
    <w:rsid w:val="001131D0"/>
    <w:rsid w:val="00114025"/>
    <w:rsid w:val="0011422B"/>
    <w:rsid w:val="001160D2"/>
    <w:rsid w:val="00117E49"/>
    <w:rsid w:val="001218B6"/>
    <w:rsid w:val="00122151"/>
    <w:rsid w:val="00122FE6"/>
    <w:rsid w:val="00123CC3"/>
    <w:rsid w:val="0012535C"/>
    <w:rsid w:val="00125A0B"/>
    <w:rsid w:val="00126677"/>
    <w:rsid w:val="0012716E"/>
    <w:rsid w:val="0013099A"/>
    <w:rsid w:val="00131EB1"/>
    <w:rsid w:val="001329A5"/>
    <w:rsid w:val="00133152"/>
    <w:rsid w:val="001348A5"/>
    <w:rsid w:val="00134F3F"/>
    <w:rsid w:val="0014123B"/>
    <w:rsid w:val="00143CA5"/>
    <w:rsid w:val="00144C2E"/>
    <w:rsid w:val="001470BE"/>
    <w:rsid w:val="00151B8E"/>
    <w:rsid w:val="00151EA0"/>
    <w:rsid w:val="001522CB"/>
    <w:rsid w:val="001531DF"/>
    <w:rsid w:val="00154303"/>
    <w:rsid w:val="00154626"/>
    <w:rsid w:val="00154E27"/>
    <w:rsid w:val="00156690"/>
    <w:rsid w:val="00156870"/>
    <w:rsid w:val="00161FA1"/>
    <w:rsid w:val="00162038"/>
    <w:rsid w:val="00163CB4"/>
    <w:rsid w:val="00167151"/>
    <w:rsid w:val="00167F7E"/>
    <w:rsid w:val="001720F9"/>
    <w:rsid w:val="00173790"/>
    <w:rsid w:val="00173B69"/>
    <w:rsid w:val="00175F1F"/>
    <w:rsid w:val="001802D0"/>
    <w:rsid w:val="00182170"/>
    <w:rsid w:val="00182A25"/>
    <w:rsid w:val="00182A32"/>
    <w:rsid w:val="0018362B"/>
    <w:rsid w:val="00185CE0"/>
    <w:rsid w:val="00186A90"/>
    <w:rsid w:val="00190785"/>
    <w:rsid w:val="001916A4"/>
    <w:rsid w:val="00192315"/>
    <w:rsid w:val="001928FB"/>
    <w:rsid w:val="00192BC7"/>
    <w:rsid w:val="0019314A"/>
    <w:rsid w:val="00193588"/>
    <w:rsid w:val="00194348"/>
    <w:rsid w:val="001955F8"/>
    <w:rsid w:val="00197476"/>
    <w:rsid w:val="001A0951"/>
    <w:rsid w:val="001A1537"/>
    <w:rsid w:val="001A18FF"/>
    <w:rsid w:val="001A1B4F"/>
    <w:rsid w:val="001A2C60"/>
    <w:rsid w:val="001A4818"/>
    <w:rsid w:val="001A50EA"/>
    <w:rsid w:val="001A5536"/>
    <w:rsid w:val="001A570A"/>
    <w:rsid w:val="001A64A8"/>
    <w:rsid w:val="001A6558"/>
    <w:rsid w:val="001A7621"/>
    <w:rsid w:val="001B01C9"/>
    <w:rsid w:val="001B1322"/>
    <w:rsid w:val="001B18BF"/>
    <w:rsid w:val="001B18F9"/>
    <w:rsid w:val="001B351F"/>
    <w:rsid w:val="001B3523"/>
    <w:rsid w:val="001B3670"/>
    <w:rsid w:val="001B4413"/>
    <w:rsid w:val="001B4D33"/>
    <w:rsid w:val="001B5E75"/>
    <w:rsid w:val="001B5F9E"/>
    <w:rsid w:val="001B6C99"/>
    <w:rsid w:val="001C01B5"/>
    <w:rsid w:val="001C0BB6"/>
    <w:rsid w:val="001C1ED1"/>
    <w:rsid w:val="001C220A"/>
    <w:rsid w:val="001C287D"/>
    <w:rsid w:val="001C2A24"/>
    <w:rsid w:val="001C3D63"/>
    <w:rsid w:val="001C4CA3"/>
    <w:rsid w:val="001C521A"/>
    <w:rsid w:val="001C5406"/>
    <w:rsid w:val="001C6C3A"/>
    <w:rsid w:val="001D05F4"/>
    <w:rsid w:val="001D1233"/>
    <w:rsid w:val="001D412A"/>
    <w:rsid w:val="001D65F0"/>
    <w:rsid w:val="001D6C9F"/>
    <w:rsid w:val="001E0EBE"/>
    <w:rsid w:val="001E143B"/>
    <w:rsid w:val="001E1B8C"/>
    <w:rsid w:val="001E1DEC"/>
    <w:rsid w:val="001E2111"/>
    <w:rsid w:val="001E410E"/>
    <w:rsid w:val="001E53EF"/>
    <w:rsid w:val="001E6A00"/>
    <w:rsid w:val="001E6F8A"/>
    <w:rsid w:val="001E72F7"/>
    <w:rsid w:val="001F107E"/>
    <w:rsid w:val="001F16CD"/>
    <w:rsid w:val="001F1F20"/>
    <w:rsid w:val="001F47D2"/>
    <w:rsid w:val="001F4D33"/>
    <w:rsid w:val="001F579C"/>
    <w:rsid w:val="00201D2F"/>
    <w:rsid w:val="002036D0"/>
    <w:rsid w:val="002036F2"/>
    <w:rsid w:val="0020499E"/>
    <w:rsid w:val="00204B00"/>
    <w:rsid w:val="002053BD"/>
    <w:rsid w:val="00205668"/>
    <w:rsid w:val="00206025"/>
    <w:rsid w:val="002065AD"/>
    <w:rsid w:val="00213AA2"/>
    <w:rsid w:val="00214908"/>
    <w:rsid w:val="00215671"/>
    <w:rsid w:val="00216C4B"/>
    <w:rsid w:val="00216DCC"/>
    <w:rsid w:val="00217488"/>
    <w:rsid w:val="0022030C"/>
    <w:rsid w:val="00221CB1"/>
    <w:rsid w:val="0022285A"/>
    <w:rsid w:val="0022396B"/>
    <w:rsid w:val="002246D9"/>
    <w:rsid w:val="002248F5"/>
    <w:rsid w:val="00224C61"/>
    <w:rsid w:val="00224EC6"/>
    <w:rsid w:val="00226B89"/>
    <w:rsid w:val="00227FEE"/>
    <w:rsid w:val="00231160"/>
    <w:rsid w:val="00231757"/>
    <w:rsid w:val="00231D56"/>
    <w:rsid w:val="00231E27"/>
    <w:rsid w:val="00231F03"/>
    <w:rsid w:val="002324C6"/>
    <w:rsid w:val="00232D7D"/>
    <w:rsid w:val="00233F25"/>
    <w:rsid w:val="002376B0"/>
    <w:rsid w:val="00237916"/>
    <w:rsid w:val="00241465"/>
    <w:rsid w:val="0024203C"/>
    <w:rsid w:val="00242CAB"/>
    <w:rsid w:val="00243B18"/>
    <w:rsid w:val="00244A8A"/>
    <w:rsid w:val="002454CC"/>
    <w:rsid w:val="00247176"/>
    <w:rsid w:val="00250460"/>
    <w:rsid w:val="0025315A"/>
    <w:rsid w:val="0025355B"/>
    <w:rsid w:val="00256458"/>
    <w:rsid w:val="00257125"/>
    <w:rsid w:val="00260A95"/>
    <w:rsid w:val="00262D11"/>
    <w:rsid w:val="002652F4"/>
    <w:rsid w:val="00265972"/>
    <w:rsid w:val="00270DB5"/>
    <w:rsid w:val="00270F9C"/>
    <w:rsid w:val="00271B37"/>
    <w:rsid w:val="0027227B"/>
    <w:rsid w:val="00272437"/>
    <w:rsid w:val="00273075"/>
    <w:rsid w:val="0027361A"/>
    <w:rsid w:val="00273AC7"/>
    <w:rsid w:val="00273D2C"/>
    <w:rsid w:val="00274389"/>
    <w:rsid w:val="00274F21"/>
    <w:rsid w:val="00275642"/>
    <w:rsid w:val="00276ECA"/>
    <w:rsid w:val="002802E5"/>
    <w:rsid w:val="00281A18"/>
    <w:rsid w:val="002827B1"/>
    <w:rsid w:val="00282A7B"/>
    <w:rsid w:val="00285ECD"/>
    <w:rsid w:val="00286660"/>
    <w:rsid w:val="002868B5"/>
    <w:rsid w:val="00286D93"/>
    <w:rsid w:val="0029031D"/>
    <w:rsid w:val="00290429"/>
    <w:rsid w:val="00290E1B"/>
    <w:rsid w:val="00291A85"/>
    <w:rsid w:val="00291B17"/>
    <w:rsid w:val="00291C20"/>
    <w:rsid w:val="002947EF"/>
    <w:rsid w:val="00294BC5"/>
    <w:rsid w:val="00296630"/>
    <w:rsid w:val="002976F8"/>
    <w:rsid w:val="0029795D"/>
    <w:rsid w:val="002A103C"/>
    <w:rsid w:val="002A323C"/>
    <w:rsid w:val="002A36C1"/>
    <w:rsid w:val="002A6742"/>
    <w:rsid w:val="002A6B1D"/>
    <w:rsid w:val="002A6F59"/>
    <w:rsid w:val="002B01EE"/>
    <w:rsid w:val="002B1404"/>
    <w:rsid w:val="002B14E9"/>
    <w:rsid w:val="002B2A3B"/>
    <w:rsid w:val="002B3C3E"/>
    <w:rsid w:val="002B3CCC"/>
    <w:rsid w:val="002B41C1"/>
    <w:rsid w:val="002B5164"/>
    <w:rsid w:val="002B5455"/>
    <w:rsid w:val="002B66FB"/>
    <w:rsid w:val="002B6776"/>
    <w:rsid w:val="002B7606"/>
    <w:rsid w:val="002C1129"/>
    <w:rsid w:val="002C160B"/>
    <w:rsid w:val="002C1A7F"/>
    <w:rsid w:val="002C1B26"/>
    <w:rsid w:val="002C2FF6"/>
    <w:rsid w:val="002C4239"/>
    <w:rsid w:val="002C433B"/>
    <w:rsid w:val="002C4E34"/>
    <w:rsid w:val="002C4F4B"/>
    <w:rsid w:val="002C559D"/>
    <w:rsid w:val="002C5AC7"/>
    <w:rsid w:val="002C7807"/>
    <w:rsid w:val="002D0A9F"/>
    <w:rsid w:val="002D2D42"/>
    <w:rsid w:val="002D3DC1"/>
    <w:rsid w:val="002D7E8C"/>
    <w:rsid w:val="002E02AD"/>
    <w:rsid w:val="002E5014"/>
    <w:rsid w:val="002E70A2"/>
    <w:rsid w:val="002F1E40"/>
    <w:rsid w:val="002F1E41"/>
    <w:rsid w:val="002F3271"/>
    <w:rsid w:val="002F72D0"/>
    <w:rsid w:val="003003AB"/>
    <w:rsid w:val="00300509"/>
    <w:rsid w:val="0030088F"/>
    <w:rsid w:val="003027D4"/>
    <w:rsid w:val="00304099"/>
    <w:rsid w:val="00305D48"/>
    <w:rsid w:val="00305F8E"/>
    <w:rsid w:val="00307CD2"/>
    <w:rsid w:val="00311C49"/>
    <w:rsid w:val="00311C7B"/>
    <w:rsid w:val="0031443F"/>
    <w:rsid w:val="00314728"/>
    <w:rsid w:val="0031532E"/>
    <w:rsid w:val="003159C0"/>
    <w:rsid w:val="00315D47"/>
    <w:rsid w:val="00316136"/>
    <w:rsid w:val="0031641A"/>
    <w:rsid w:val="00316946"/>
    <w:rsid w:val="00317297"/>
    <w:rsid w:val="00320239"/>
    <w:rsid w:val="003210A8"/>
    <w:rsid w:val="0032119E"/>
    <w:rsid w:val="00321304"/>
    <w:rsid w:val="00321E63"/>
    <w:rsid w:val="00322543"/>
    <w:rsid w:val="00322B0E"/>
    <w:rsid w:val="00323D85"/>
    <w:rsid w:val="00324281"/>
    <w:rsid w:val="003264F4"/>
    <w:rsid w:val="00326AC0"/>
    <w:rsid w:val="00330B9A"/>
    <w:rsid w:val="00330C73"/>
    <w:rsid w:val="0033156D"/>
    <w:rsid w:val="00331F84"/>
    <w:rsid w:val="00332AE0"/>
    <w:rsid w:val="00333DA3"/>
    <w:rsid w:val="0033600E"/>
    <w:rsid w:val="003360C1"/>
    <w:rsid w:val="00340395"/>
    <w:rsid w:val="00340602"/>
    <w:rsid w:val="00341B63"/>
    <w:rsid w:val="00342349"/>
    <w:rsid w:val="00342AFE"/>
    <w:rsid w:val="00344DC8"/>
    <w:rsid w:val="00345F83"/>
    <w:rsid w:val="00346822"/>
    <w:rsid w:val="00350692"/>
    <w:rsid w:val="00351457"/>
    <w:rsid w:val="00352CED"/>
    <w:rsid w:val="00354A0E"/>
    <w:rsid w:val="003556F1"/>
    <w:rsid w:val="00355FC8"/>
    <w:rsid w:val="00356346"/>
    <w:rsid w:val="00357540"/>
    <w:rsid w:val="00357EB0"/>
    <w:rsid w:val="003623A9"/>
    <w:rsid w:val="00362DB0"/>
    <w:rsid w:val="00363AD6"/>
    <w:rsid w:val="00363E43"/>
    <w:rsid w:val="00365A69"/>
    <w:rsid w:val="0037054F"/>
    <w:rsid w:val="003708B3"/>
    <w:rsid w:val="00370DB1"/>
    <w:rsid w:val="0037140C"/>
    <w:rsid w:val="00372298"/>
    <w:rsid w:val="003731B4"/>
    <w:rsid w:val="00373E9E"/>
    <w:rsid w:val="0037472F"/>
    <w:rsid w:val="00375B72"/>
    <w:rsid w:val="003768B5"/>
    <w:rsid w:val="00376AF2"/>
    <w:rsid w:val="0037731C"/>
    <w:rsid w:val="003773BF"/>
    <w:rsid w:val="00377876"/>
    <w:rsid w:val="00380D25"/>
    <w:rsid w:val="00382B9A"/>
    <w:rsid w:val="003841C6"/>
    <w:rsid w:val="00385E16"/>
    <w:rsid w:val="00386A61"/>
    <w:rsid w:val="00387B0F"/>
    <w:rsid w:val="0039037E"/>
    <w:rsid w:val="00390D09"/>
    <w:rsid w:val="0039206A"/>
    <w:rsid w:val="00392613"/>
    <w:rsid w:val="00394BC9"/>
    <w:rsid w:val="003950A4"/>
    <w:rsid w:val="003A0D8F"/>
    <w:rsid w:val="003A0DB9"/>
    <w:rsid w:val="003A23EE"/>
    <w:rsid w:val="003A4DDA"/>
    <w:rsid w:val="003A750E"/>
    <w:rsid w:val="003A7EB2"/>
    <w:rsid w:val="003B1B9B"/>
    <w:rsid w:val="003B28AB"/>
    <w:rsid w:val="003B3056"/>
    <w:rsid w:val="003B3A3C"/>
    <w:rsid w:val="003B5405"/>
    <w:rsid w:val="003B5543"/>
    <w:rsid w:val="003B6A9F"/>
    <w:rsid w:val="003B7D7C"/>
    <w:rsid w:val="003C1FC7"/>
    <w:rsid w:val="003C22CD"/>
    <w:rsid w:val="003C39F5"/>
    <w:rsid w:val="003C4A7B"/>
    <w:rsid w:val="003C60C4"/>
    <w:rsid w:val="003C6FE6"/>
    <w:rsid w:val="003C7603"/>
    <w:rsid w:val="003C76F7"/>
    <w:rsid w:val="003C7770"/>
    <w:rsid w:val="003D1D4E"/>
    <w:rsid w:val="003D2055"/>
    <w:rsid w:val="003D2E24"/>
    <w:rsid w:val="003D3776"/>
    <w:rsid w:val="003D5969"/>
    <w:rsid w:val="003D622A"/>
    <w:rsid w:val="003D7244"/>
    <w:rsid w:val="003D7A8B"/>
    <w:rsid w:val="003D7E0C"/>
    <w:rsid w:val="003E0D66"/>
    <w:rsid w:val="003E10AF"/>
    <w:rsid w:val="003E1E35"/>
    <w:rsid w:val="003E3497"/>
    <w:rsid w:val="003E3577"/>
    <w:rsid w:val="003E5853"/>
    <w:rsid w:val="003E633C"/>
    <w:rsid w:val="003E78E6"/>
    <w:rsid w:val="003F11FB"/>
    <w:rsid w:val="003F1F30"/>
    <w:rsid w:val="003F2619"/>
    <w:rsid w:val="003F2BC4"/>
    <w:rsid w:val="003F3765"/>
    <w:rsid w:val="003F3A61"/>
    <w:rsid w:val="003F3D69"/>
    <w:rsid w:val="003F4898"/>
    <w:rsid w:val="003F4BF1"/>
    <w:rsid w:val="003F5081"/>
    <w:rsid w:val="003F5104"/>
    <w:rsid w:val="003F5E54"/>
    <w:rsid w:val="003F67FE"/>
    <w:rsid w:val="003F6B96"/>
    <w:rsid w:val="004048AA"/>
    <w:rsid w:val="0040531B"/>
    <w:rsid w:val="0040636B"/>
    <w:rsid w:val="00407E4F"/>
    <w:rsid w:val="00407FFA"/>
    <w:rsid w:val="00410739"/>
    <w:rsid w:val="00410A5D"/>
    <w:rsid w:val="00410AA0"/>
    <w:rsid w:val="00410B1E"/>
    <w:rsid w:val="00410C3B"/>
    <w:rsid w:val="00411316"/>
    <w:rsid w:val="00412DAA"/>
    <w:rsid w:val="00413C66"/>
    <w:rsid w:val="00414909"/>
    <w:rsid w:val="004174D7"/>
    <w:rsid w:val="004177AA"/>
    <w:rsid w:val="00417B7D"/>
    <w:rsid w:val="00422584"/>
    <w:rsid w:val="00424326"/>
    <w:rsid w:val="004243E9"/>
    <w:rsid w:val="0042553D"/>
    <w:rsid w:val="00425A6A"/>
    <w:rsid w:val="004264FF"/>
    <w:rsid w:val="0042675A"/>
    <w:rsid w:val="00426F06"/>
    <w:rsid w:val="00426FBB"/>
    <w:rsid w:val="00430C27"/>
    <w:rsid w:val="00433420"/>
    <w:rsid w:val="00434E8F"/>
    <w:rsid w:val="004355B1"/>
    <w:rsid w:val="00435CC2"/>
    <w:rsid w:val="004414A8"/>
    <w:rsid w:val="00441972"/>
    <w:rsid w:val="00443289"/>
    <w:rsid w:val="00444FC2"/>
    <w:rsid w:val="004452A3"/>
    <w:rsid w:val="00445DF2"/>
    <w:rsid w:val="00445FFA"/>
    <w:rsid w:val="00446DBC"/>
    <w:rsid w:val="00446DE8"/>
    <w:rsid w:val="00447116"/>
    <w:rsid w:val="00452843"/>
    <w:rsid w:val="0045430E"/>
    <w:rsid w:val="00456739"/>
    <w:rsid w:val="004573CC"/>
    <w:rsid w:val="00457953"/>
    <w:rsid w:val="004579E5"/>
    <w:rsid w:val="00462045"/>
    <w:rsid w:val="004621A4"/>
    <w:rsid w:val="004646AD"/>
    <w:rsid w:val="00465AB4"/>
    <w:rsid w:val="00465AFC"/>
    <w:rsid w:val="00466CAD"/>
    <w:rsid w:val="0046731B"/>
    <w:rsid w:val="00470620"/>
    <w:rsid w:val="00470DC3"/>
    <w:rsid w:val="00471193"/>
    <w:rsid w:val="004712CB"/>
    <w:rsid w:val="0047176F"/>
    <w:rsid w:val="00471F6D"/>
    <w:rsid w:val="004738FD"/>
    <w:rsid w:val="0047392A"/>
    <w:rsid w:val="00473BA0"/>
    <w:rsid w:val="00473EE7"/>
    <w:rsid w:val="0047429A"/>
    <w:rsid w:val="00476715"/>
    <w:rsid w:val="00480401"/>
    <w:rsid w:val="00482CA9"/>
    <w:rsid w:val="00482CC5"/>
    <w:rsid w:val="00483447"/>
    <w:rsid w:val="0048348F"/>
    <w:rsid w:val="0048374C"/>
    <w:rsid w:val="00486072"/>
    <w:rsid w:val="0048666A"/>
    <w:rsid w:val="00487498"/>
    <w:rsid w:val="0048771D"/>
    <w:rsid w:val="0049012F"/>
    <w:rsid w:val="004907B6"/>
    <w:rsid w:val="00494018"/>
    <w:rsid w:val="004A275C"/>
    <w:rsid w:val="004A2E43"/>
    <w:rsid w:val="004A45F6"/>
    <w:rsid w:val="004A51C5"/>
    <w:rsid w:val="004A6605"/>
    <w:rsid w:val="004A72F7"/>
    <w:rsid w:val="004A731C"/>
    <w:rsid w:val="004A7558"/>
    <w:rsid w:val="004B00A8"/>
    <w:rsid w:val="004B0D3B"/>
    <w:rsid w:val="004B1780"/>
    <w:rsid w:val="004B2316"/>
    <w:rsid w:val="004B2E6C"/>
    <w:rsid w:val="004B373B"/>
    <w:rsid w:val="004B3E94"/>
    <w:rsid w:val="004B5232"/>
    <w:rsid w:val="004B6BC4"/>
    <w:rsid w:val="004C02AB"/>
    <w:rsid w:val="004C0D19"/>
    <w:rsid w:val="004C3CA7"/>
    <w:rsid w:val="004C3D21"/>
    <w:rsid w:val="004C41AF"/>
    <w:rsid w:val="004C45FA"/>
    <w:rsid w:val="004C6498"/>
    <w:rsid w:val="004C74AB"/>
    <w:rsid w:val="004D029B"/>
    <w:rsid w:val="004D0CC5"/>
    <w:rsid w:val="004D0F3F"/>
    <w:rsid w:val="004D1519"/>
    <w:rsid w:val="004D1CA4"/>
    <w:rsid w:val="004D2556"/>
    <w:rsid w:val="004D28B0"/>
    <w:rsid w:val="004D2DA0"/>
    <w:rsid w:val="004D3E3B"/>
    <w:rsid w:val="004D4070"/>
    <w:rsid w:val="004D4711"/>
    <w:rsid w:val="004D4BE0"/>
    <w:rsid w:val="004D4EF7"/>
    <w:rsid w:val="004D5968"/>
    <w:rsid w:val="004D7973"/>
    <w:rsid w:val="004E07A0"/>
    <w:rsid w:val="004E104F"/>
    <w:rsid w:val="004E181F"/>
    <w:rsid w:val="004E1BD8"/>
    <w:rsid w:val="004E1C06"/>
    <w:rsid w:val="004E2069"/>
    <w:rsid w:val="004E24B4"/>
    <w:rsid w:val="004E2512"/>
    <w:rsid w:val="004E2B1F"/>
    <w:rsid w:val="004E452A"/>
    <w:rsid w:val="004E4941"/>
    <w:rsid w:val="004E56F1"/>
    <w:rsid w:val="004E62D7"/>
    <w:rsid w:val="004E66C9"/>
    <w:rsid w:val="004E78E3"/>
    <w:rsid w:val="004F06CB"/>
    <w:rsid w:val="004F0DE4"/>
    <w:rsid w:val="004F3476"/>
    <w:rsid w:val="004F605B"/>
    <w:rsid w:val="004F63D3"/>
    <w:rsid w:val="004F663A"/>
    <w:rsid w:val="004F77EE"/>
    <w:rsid w:val="005004BF"/>
    <w:rsid w:val="00500AA5"/>
    <w:rsid w:val="0050276A"/>
    <w:rsid w:val="00502E89"/>
    <w:rsid w:val="00503184"/>
    <w:rsid w:val="00504AC1"/>
    <w:rsid w:val="00505D13"/>
    <w:rsid w:val="00507574"/>
    <w:rsid w:val="00510CE0"/>
    <w:rsid w:val="00510E95"/>
    <w:rsid w:val="0051222C"/>
    <w:rsid w:val="005122D4"/>
    <w:rsid w:val="005127C3"/>
    <w:rsid w:val="00512801"/>
    <w:rsid w:val="00513008"/>
    <w:rsid w:val="005165F8"/>
    <w:rsid w:val="00522434"/>
    <w:rsid w:val="00526923"/>
    <w:rsid w:val="00527655"/>
    <w:rsid w:val="00527D56"/>
    <w:rsid w:val="005301EC"/>
    <w:rsid w:val="00531A27"/>
    <w:rsid w:val="00531A83"/>
    <w:rsid w:val="00531DA1"/>
    <w:rsid w:val="0053221F"/>
    <w:rsid w:val="00532ABC"/>
    <w:rsid w:val="00533478"/>
    <w:rsid w:val="0053426F"/>
    <w:rsid w:val="00534435"/>
    <w:rsid w:val="00534DD4"/>
    <w:rsid w:val="00536FAE"/>
    <w:rsid w:val="0054023F"/>
    <w:rsid w:val="00542C85"/>
    <w:rsid w:val="005434E0"/>
    <w:rsid w:val="005439E0"/>
    <w:rsid w:val="00544A3D"/>
    <w:rsid w:val="00545DCC"/>
    <w:rsid w:val="00547052"/>
    <w:rsid w:val="0055005E"/>
    <w:rsid w:val="00550EBA"/>
    <w:rsid w:val="00552586"/>
    <w:rsid w:val="00552EF6"/>
    <w:rsid w:val="00553510"/>
    <w:rsid w:val="00554140"/>
    <w:rsid w:val="00554186"/>
    <w:rsid w:val="00554DD0"/>
    <w:rsid w:val="0055533C"/>
    <w:rsid w:val="00557E7A"/>
    <w:rsid w:val="00563032"/>
    <w:rsid w:val="005636E0"/>
    <w:rsid w:val="005641A8"/>
    <w:rsid w:val="00566799"/>
    <w:rsid w:val="0057001C"/>
    <w:rsid w:val="005704F0"/>
    <w:rsid w:val="00570927"/>
    <w:rsid w:val="00571690"/>
    <w:rsid w:val="00572775"/>
    <w:rsid w:val="005737E1"/>
    <w:rsid w:val="00574F23"/>
    <w:rsid w:val="00580D95"/>
    <w:rsid w:val="005823D7"/>
    <w:rsid w:val="00584634"/>
    <w:rsid w:val="00584FD1"/>
    <w:rsid w:val="00585769"/>
    <w:rsid w:val="00591130"/>
    <w:rsid w:val="0059224C"/>
    <w:rsid w:val="00592D6D"/>
    <w:rsid w:val="005936B5"/>
    <w:rsid w:val="005945E9"/>
    <w:rsid w:val="005A008A"/>
    <w:rsid w:val="005A02A5"/>
    <w:rsid w:val="005A0C60"/>
    <w:rsid w:val="005A2457"/>
    <w:rsid w:val="005A38A8"/>
    <w:rsid w:val="005A3F28"/>
    <w:rsid w:val="005A4028"/>
    <w:rsid w:val="005A40BE"/>
    <w:rsid w:val="005A5E85"/>
    <w:rsid w:val="005A630F"/>
    <w:rsid w:val="005A7FC5"/>
    <w:rsid w:val="005B06A8"/>
    <w:rsid w:val="005B1002"/>
    <w:rsid w:val="005B13E2"/>
    <w:rsid w:val="005B1914"/>
    <w:rsid w:val="005B2245"/>
    <w:rsid w:val="005B3183"/>
    <w:rsid w:val="005B3E79"/>
    <w:rsid w:val="005B4389"/>
    <w:rsid w:val="005B472C"/>
    <w:rsid w:val="005B47D7"/>
    <w:rsid w:val="005B489A"/>
    <w:rsid w:val="005B5654"/>
    <w:rsid w:val="005B5DE9"/>
    <w:rsid w:val="005B7BB6"/>
    <w:rsid w:val="005C08B2"/>
    <w:rsid w:val="005C1771"/>
    <w:rsid w:val="005C1CDB"/>
    <w:rsid w:val="005C476B"/>
    <w:rsid w:val="005C5526"/>
    <w:rsid w:val="005C62C6"/>
    <w:rsid w:val="005C6A31"/>
    <w:rsid w:val="005C6B12"/>
    <w:rsid w:val="005C6F99"/>
    <w:rsid w:val="005C7567"/>
    <w:rsid w:val="005C7AA0"/>
    <w:rsid w:val="005C7D8D"/>
    <w:rsid w:val="005D2325"/>
    <w:rsid w:val="005D2552"/>
    <w:rsid w:val="005D2B0A"/>
    <w:rsid w:val="005D2E69"/>
    <w:rsid w:val="005D3874"/>
    <w:rsid w:val="005D46DE"/>
    <w:rsid w:val="005D6DCB"/>
    <w:rsid w:val="005D7B9E"/>
    <w:rsid w:val="005D7BE2"/>
    <w:rsid w:val="005E0068"/>
    <w:rsid w:val="005E3F79"/>
    <w:rsid w:val="005E4178"/>
    <w:rsid w:val="005E4369"/>
    <w:rsid w:val="005E4DEC"/>
    <w:rsid w:val="005E6BED"/>
    <w:rsid w:val="005F0834"/>
    <w:rsid w:val="005F2F34"/>
    <w:rsid w:val="005F4B82"/>
    <w:rsid w:val="005F5859"/>
    <w:rsid w:val="005F6893"/>
    <w:rsid w:val="005F6B9C"/>
    <w:rsid w:val="005F6DC3"/>
    <w:rsid w:val="005F7E01"/>
    <w:rsid w:val="00600287"/>
    <w:rsid w:val="00600B45"/>
    <w:rsid w:val="00601455"/>
    <w:rsid w:val="00601A8E"/>
    <w:rsid w:val="00603067"/>
    <w:rsid w:val="00603401"/>
    <w:rsid w:val="00606243"/>
    <w:rsid w:val="00606E3F"/>
    <w:rsid w:val="0060702F"/>
    <w:rsid w:val="00610401"/>
    <w:rsid w:val="00610DE3"/>
    <w:rsid w:val="00610F44"/>
    <w:rsid w:val="006116F7"/>
    <w:rsid w:val="0061279F"/>
    <w:rsid w:val="0061387C"/>
    <w:rsid w:val="00614796"/>
    <w:rsid w:val="00615185"/>
    <w:rsid w:val="00615206"/>
    <w:rsid w:val="006155B4"/>
    <w:rsid w:val="006155C0"/>
    <w:rsid w:val="00615D05"/>
    <w:rsid w:val="006169C0"/>
    <w:rsid w:val="0061725C"/>
    <w:rsid w:val="006173EA"/>
    <w:rsid w:val="0062033E"/>
    <w:rsid w:val="00620D09"/>
    <w:rsid w:val="006213AA"/>
    <w:rsid w:val="00621637"/>
    <w:rsid w:val="00622A2C"/>
    <w:rsid w:val="00622EAD"/>
    <w:rsid w:val="00624482"/>
    <w:rsid w:val="006273A8"/>
    <w:rsid w:val="0062770A"/>
    <w:rsid w:val="00631B9D"/>
    <w:rsid w:val="006344C0"/>
    <w:rsid w:val="0063551A"/>
    <w:rsid w:val="00637097"/>
    <w:rsid w:val="00640207"/>
    <w:rsid w:val="00640499"/>
    <w:rsid w:val="00641ACD"/>
    <w:rsid w:val="00641EC5"/>
    <w:rsid w:val="00645468"/>
    <w:rsid w:val="00645D72"/>
    <w:rsid w:val="006468ED"/>
    <w:rsid w:val="00646944"/>
    <w:rsid w:val="00646F18"/>
    <w:rsid w:val="0064799C"/>
    <w:rsid w:val="00651547"/>
    <w:rsid w:val="00652028"/>
    <w:rsid w:val="0065242D"/>
    <w:rsid w:val="00653EDF"/>
    <w:rsid w:val="00654156"/>
    <w:rsid w:val="006542EE"/>
    <w:rsid w:val="00654389"/>
    <w:rsid w:val="00656137"/>
    <w:rsid w:val="006564B2"/>
    <w:rsid w:val="0065771F"/>
    <w:rsid w:val="00660837"/>
    <w:rsid w:val="00660BD8"/>
    <w:rsid w:val="00660DBF"/>
    <w:rsid w:val="006611F1"/>
    <w:rsid w:val="006615EF"/>
    <w:rsid w:val="00662604"/>
    <w:rsid w:val="00663662"/>
    <w:rsid w:val="006636A9"/>
    <w:rsid w:val="00664397"/>
    <w:rsid w:val="006663B4"/>
    <w:rsid w:val="00666FA2"/>
    <w:rsid w:val="0066783A"/>
    <w:rsid w:val="00670CDB"/>
    <w:rsid w:val="00672EE3"/>
    <w:rsid w:val="006747B8"/>
    <w:rsid w:val="00677649"/>
    <w:rsid w:val="006805FE"/>
    <w:rsid w:val="00683013"/>
    <w:rsid w:val="006831BF"/>
    <w:rsid w:val="006841FA"/>
    <w:rsid w:val="0068441C"/>
    <w:rsid w:val="00686D33"/>
    <w:rsid w:val="006905FD"/>
    <w:rsid w:val="006907F5"/>
    <w:rsid w:val="0069113F"/>
    <w:rsid w:val="00692D27"/>
    <w:rsid w:val="00695276"/>
    <w:rsid w:val="006961B9"/>
    <w:rsid w:val="006962D1"/>
    <w:rsid w:val="00696E54"/>
    <w:rsid w:val="00697D7A"/>
    <w:rsid w:val="006A0710"/>
    <w:rsid w:val="006A5C7A"/>
    <w:rsid w:val="006A67B7"/>
    <w:rsid w:val="006B24E4"/>
    <w:rsid w:val="006B2A1D"/>
    <w:rsid w:val="006B3013"/>
    <w:rsid w:val="006B3DE3"/>
    <w:rsid w:val="006B46F4"/>
    <w:rsid w:val="006B47CA"/>
    <w:rsid w:val="006B56E4"/>
    <w:rsid w:val="006C0C6B"/>
    <w:rsid w:val="006C114B"/>
    <w:rsid w:val="006C1B81"/>
    <w:rsid w:val="006C1B97"/>
    <w:rsid w:val="006C44BF"/>
    <w:rsid w:val="006C470C"/>
    <w:rsid w:val="006C4F95"/>
    <w:rsid w:val="006C7570"/>
    <w:rsid w:val="006C7AAA"/>
    <w:rsid w:val="006D1C2A"/>
    <w:rsid w:val="006D2537"/>
    <w:rsid w:val="006D264F"/>
    <w:rsid w:val="006D2EF4"/>
    <w:rsid w:val="006D4BA8"/>
    <w:rsid w:val="006D54B0"/>
    <w:rsid w:val="006D61CF"/>
    <w:rsid w:val="006D6A56"/>
    <w:rsid w:val="006D7C83"/>
    <w:rsid w:val="006D7F69"/>
    <w:rsid w:val="006E0671"/>
    <w:rsid w:val="006E0C6D"/>
    <w:rsid w:val="006E2A8D"/>
    <w:rsid w:val="006E3ACC"/>
    <w:rsid w:val="006E4335"/>
    <w:rsid w:val="006E5212"/>
    <w:rsid w:val="006E5893"/>
    <w:rsid w:val="006E7407"/>
    <w:rsid w:val="006E7574"/>
    <w:rsid w:val="006E77C5"/>
    <w:rsid w:val="006E7967"/>
    <w:rsid w:val="006E7A0B"/>
    <w:rsid w:val="006E7CA9"/>
    <w:rsid w:val="006F26B0"/>
    <w:rsid w:val="006F2FAE"/>
    <w:rsid w:val="006F4556"/>
    <w:rsid w:val="006F5837"/>
    <w:rsid w:val="006F68CA"/>
    <w:rsid w:val="00700370"/>
    <w:rsid w:val="0070154D"/>
    <w:rsid w:val="00702596"/>
    <w:rsid w:val="00703430"/>
    <w:rsid w:val="007045E1"/>
    <w:rsid w:val="007063C6"/>
    <w:rsid w:val="00706530"/>
    <w:rsid w:val="007069BE"/>
    <w:rsid w:val="007075D4"/>
    <w:rsid w:val="0071081B"/>
    <w:rsid w:val="0071123C"/>
    <w:rsid w:val="00711CAB"/>
    <w:rsid w:val="007120F0"/>
    <w:rsid w:val="00713BA7"/>
    <w:rsid w:val="007147EB"/>
    <w:rsid w:val="00715380"/>
    <w:rsid w:val="0072147C"/>
    <w:rsid w:val="00722D27"/>
    <w:rsid w:val="00724D9B"/>
    <w:rsid w:val="00725A71"/>
    <w:rsid w:val="0072768E"/>
    <w:rsid w:val="00727C86"/>
    <w:rsid w:val="00730CE9"/>
    <w:rsid w:val="00730D0B"/>
    <w:rsid w:val="007314FF"/>
    <w:rsid w:val="00731C25"/>
    <w:rsid w:val="00735006"/>
    <w:rsid w:val="007355A9"/>
    <w:rsid w:val="00736C8C"/>
    <w:rsid w:val="007370DB"/>
    <w:rsid w:val="0074104B"/>
    <w:rsid w:val="00742BFC"/>
    <w:rsid w:val="007432B0"/>
    <w:rsid w:val="007449B8"/>
    <w:rsid w:val="00744F93"/>
    <w:rsid w:val="0074557E"/>
    <w:rsid w:val="00745BDA"/>
    <w:rsid w:val="00745C86"/>
    <w:rsid w:val="007475F4"/>
    <w:rsid w:val="00752857"/>
    <w:rsid w:val="00752E22"/>
    <w:rsid w:val="007563C4"/>
    <w:rsid w:val="00757B5C"/>
    <w:rsid w:val="00761912"/>
    <w:rsid w:val="00761E88"/>
    <w:rsid w:val="00761F79"/>
    <w:rsid w:val="00763C0B"/>
    <w:rsid w:val="00764603"/>
    <w:rsid w:val="00764A56"/>
    <w:rsid w:val="0076604D"/>
    <w:rsid w:val="00770492"/>
    <w:rsid w:val="0077084C"/>
    <w:rsid w:val="0077387B"/>
    <w:rsid w:val="00775F71"/>
    <w:rsid w:val="00776103"/>
    <w:rsid w:val="0077653C"/>
    <w:rsid w:val="00777262"/>
    <w:rsid w:val="007803D3"/>
    <w:rsid w:val="007805E5"/>
    <w:rsid w:val="00780D61"/>
    <w:rsid w:val="00782348"/>
    <w:rsid w:val="007829E1"/>
    <w:rsid w:val="00782AD2"/>
    <w:rsid w:val="00782CC4"/>
    <w:rsid w:val="00782F69"/>
    <w:rsid w:val="00784436"/>
    <w:rsid w:val="00785982"/>
    <w:rsid w:val="00785CE8"/>
    <w:rsid w:val="00786CAA"/>
    <w:rsid w:val="007879F5"/>
    <w:rsid w:val="00790909"/>
    <w:rsid w:val="00790DB8"/>
    <w:rsid w:val="00791AB2"/>
    <w:rsid w:val="007935B5"/>
    <w:rsid w:val="00794AF1"/>
    <w:rsid w:val="007956D9"/>
    <w:rsid w:val="007962E5"/>
    <w:rsid w:val="007964B8"/>
    <w:rsid w:val="00796E02"/>
    <w:rsid w:val="007979B7"/>
    <w:rsid w:val="007A046B"/>
    <w:rsid w:val="007A16E9"/>
    <w:rsid w:val="007A3759"/>
    <w:rsid w:val="007A38A5"/>
    <w:rsid w:val="007A4653"/>
    <w:rsid w:val="007A626C"/>
    <w:rsid w:val="007A6D4E"/>
    <w:rsid w:val="007B086F"/>
    <w:rsid w:val="007B3B5D"/>
    <w:rsid w:val="007B5A07"/>
    <w:rsid w:val="007C067B"/>
    <w:rsid w:val="007C07EF"/>
    <w:rsid w:val="007C35B5"/>
    <w:rsid w:val="007C3F36"/>
    <w:rsid w:val="007C4373"/>
    <w:rsid w:val="007C437D"/>
    <w:rsid w:val="007C55CA"/>
    <w:rsid w:val="007C59CC"/>
    <w:rsid w:val="007C6237"/>
    <w:rsid w:val="007C6FD2"/>
    <w:rsid w:val="007D003F"/>
    <w:rsid w:val="007D14AB"/>
    <w:rsid w:val="007D3E71"/>
    <w:rsid w:val="007D523C"/>
    <w:rsid w:val="007D6CF6"/>
    <w:rsid w:val="007D7909"/>
    <w:rsid w:val="007E24AF"/>
    <w:rsid w:val="007E33D8"/>
    <w:rsid w:val="007E3496"/>
    <w:rsid w:val="007E5D6A"/>
    <w:rsid w:val="007E645D"/>
    <w:rsid w:val="007E69B2"/>
    <w:rsid w:val="007F0083"/>
    <w:rsid w:val="007F02C1"/>
    <w:rsid w:val="007F1DB9"/>
    <w:rsid w:val="007F2AAD"/>
    <w:rsid w:val="007F3049"/>
    <w:rsid w:val="007F312A"/>
    <w:rsid w:val="007F57C2"/>
    <w:rsid w:val="007F75CA"/>
    <w:rsid w:val="00802129"/>
    <w:rsid w:val="0080230C"/>
    <w:rsid w:val="008047B1"/>
    <w:rsid w:val="00805C79"/>
    <w:rsid w:val="00806BF3"/>
    <w:rsid w:val="00807884"/>
    <w:rsid w:val="00807BBA"/>
    <w:rsid w:val="00807CC6"/>
    <w:rsid w:val="00811E31"/>
    <w:rsid w:val="00812246"/>
    <w:rsid w:val="00812533"/>
    <w:rsid w:val="008127B5"/>
    <w:rsid w:val="00813470"/>
    <w:rsid w:val="00814AAE"/>
    <w:rsid w:val="00814D65"/>
    <w:rsid w:val="008150FD"/>
    <w:rsid w:val="00816E0B"/>
    <w:rsid w:val="0081706C"/>
    <w:rsid w:val="00817293"/>
    <w:rsid w:val="008175B1"/>
    <w:rsid w:val="00821E08"/>
    <w:rsid w:val="008235CF"/>
    <w:rsid w:val="00825642"/>
    <w:rsid w:val="008274A0"/>
    <w:rsid w:val="00830CEB"/>
    <w:rsid w:val="00830ED7"/>
    <w:rsid w:val="00834E96"/>
    <w:rsid w:val="00834EFD"/>
    <w:rsid w:val="00834F17"/>
    <w:rsid w:val="00836509"/>
    <w:rsid w:val="00836FD2"/>
    <w:rsid w:val="008379FE"/>
    <w:rsid w:val="00840099"/>
    <w:rsid w:val="00840CA1"/>
    <w:rsid w:val="008419BF"/>
    <w:rsid w:val="00843C90"/>
    <w:rsid w:val="00843FA2"/>
    <w:rsid w:val="0084437A"/>
    <w:rsid w:val="00844B24"/>
    <w:rsid w:val="00844DEE"/>
    <w:rsid w:val="00844E6C"/>
    <w:rsid w:val="0084515F"/>
    <w:rsid w:val="0085092D"/>
    <w:rsid w:val="00850E87"/>
    <w:rsid w:val="00851234"/>
    <w:rsid w:val="008526FF"/>
    <w:rsid w:val="00853874"/>
    <w:rsid w:val="0085393D"/>
    <w:rsid w:val="008553DC"/>
    <w:rsid w:val="008556A2"/>
    <w:rsid w:val="0085608A"/>
    <w:rsid w:val="008563F1"/>
    <w:rsid w:val="00856D4D"/>
    <w:rsid w:val="0085706F"/>
    <w:rsid w:val="008603FD"/>
    <w:rsid w:val="008610B7"/>
    <w:rsid w:val="00862BBA"/>
    <w:rsid w:val="008642CC"/>
    <w:rsid w:val="00865495"/>
    <w:rsid w:val="00865F9D"/>
    <w:rsid w:val="00866C02"/>
    <w:rsid w:val="00866FD3"/>
    <w:rsid w:val="00867BA4"/>
    <w:rsid w:val="00867BFF"/>
    <w:rsid w:val="00871108"/>
    <w:rsid w:val="00871F8E"/>
    <w:rsid w:val="008725E1"/>
    <w:rsid w:val="0087494C"/>
    <w:rsid w:val="00874C54"/>
    <w:rsid w:val="00875D3B"/>
    <w:rsid w:val="0087661B"/>
    <w:rsid w:val="00877D4C"/>
    <w:rsid w:val="00880CB6"/>
    <w:rsid w:val="0088141F"/>
    <w:rsid w:val="00881E9E"/>
    <w:rsid w:val="00883903"/>
    <w:rsid w:val="00883FA3"/>
    <w:rsid w:val="00884732"/>
    <w:rsid w:val="00884BFC"/>
    <w:rsid w:val="00886746"/>
    <w:rsid w:val="008903FA"/>
    <w:rsid w:val="00891E09"/>
    <w:rsid w:val="00891F3C"/>
    <w:rsid w:val="00892477"/>
    <w:rsid w:val="00893BC9"/>
    <w:rsid w:val="00896815"/>
    <w:rsid w:val="00896DEB"/>
    <w:rsid w:val="0089763B"/>
    <w:rsid w:val="008A01BD"/>
    <w:rsid w:val="008A0CAF"/>
    <w:rsid w:val="008A0E05"/>
    <w:rsid w:val="008A2022"/>
    <w:rsid w:val="008A324B"/>
    <w:rsid w:val="008A3AF5"/>
    <w:rsid w:val="008B0488"/>
    <w:rsid w:val="008B5F85"/>
    <w:rsid w:val="008B6AE3"/>
    <w:rsid w:val="008B733A"/>
    <w:rsid w:val="008B75B4"/>
    <w:rsid w:val="008B7F38"/>
    <w:rsid w:val="008C1909"/>
    <w:rsid w:val="008C1980"/>
    <w:rsid w:val="008C2567"/>
    <w:rsid w:val="008C2924"/>
    <w:rsid w:val="008C2B15"/>
    <w:rsid w:val="008C5D03"/>
    <w:rsid w:val="008C6DF2"/>
    <w:rsid w:val="008C6E65"/>
    <w:rsid w:val="008D1045"/>
    <w:rsid w:val="008D105A"/>
    <w:rsid w:val="008D1FEF"/>
    <w:rsid w:val="008D2119"/>
    <w:rsid w:val="008D3846"/>
    <w:rsid w:val="008D637D"/>
    <w:rsid w:val="008D7E4C"/>
    <w:rsid w:val="008E130D"/>
    <w:rsid w:val="008E22E2"/>
    <w:rsid w:val="008E3C28"/>
    <w:rsid w:val="008E53DC"/>
    <w:rsid w:val="008E552C"/>
    <w:rsid w:val="008E5996"/>
    <w:rsid w:val="008E5ED8"/>
    <w:rsid w:val="008E6E3B"/>
    <w:rsid w:val="008F3F44"/>
    <w:rsid w:val="008F4AE0"/>
    <w:rsid w:val="008F5549"/>
    <w:rsid w:val="008F5EBF"/>
    <w:rsid w:val="008F6802"/>
    <w:rsid w:val="008F7597"/>
    <w:rsid w:val="00900026"/>
    <w:rsid w:val="00901AE1"/>
    <w:rsid w:val="00902E86"/>
    <w:rsid w:val="00905CFF"/>
    <w:rsid w:val="00905E23"/>
    <w:rsid w:val="00906299"/>
    <w:rsid w:val="00906379"/>
    <w:rsid w:val="00907BCB"/>
    <w:rsid w:val="0091094C"/>
    <w:rsid w:val="009118E4"/>
    <w:rsid w:val="00911AAB"/>
    <w:rsid w:val="00912071"/>
    <w:rsid w:val="009121A1"/>
    <w:rsid w:val="00912335"/>
    <w:rsid w:val="009123B4"/>
    <w:rsid w:val="00912F6F"/>
    <w:rsid w:val="00913423"/>
    <w:rsid w:val="0091398C"/>
    <w:rsid w:val="00913ECD"/>
    <w:rsid w:val="00913F1A"/>
    <w:rsid w:val="00914A03"/>
    <w:rsid w:val="0091654C"/>
    <w:rsid w:val="00916DF0"/>
    <w:rsid w:val="009205B4"/>
    <w:rsid w:val="00920E41"/>
    <w:rsid w:val="0092439E"/>
    <w:rsid w:val="00924C61"/>
    <w:rsid w:val="00925A64"/>
    <w:rsid w:val="00925F9A"/>
    <w:rsid w:val="00926048"/>
    <w:rsid w:val="00926287"/>
    <w:rsid w:val="0092644B"/>
    <w:rsid w:val="00927620"/>
    <w:rsid w:val="009310CD"/>
    <w:rsid w:val="009317E5"/>
    <w:rsid w:val="00931D12"/>
    <w:rsid w:val="0093359E"/>
    <w:rsid w:val="009347A9"/>
    <w:rsid w:val="009347BC"/>
    <w:rsid w:val="00936DDF"/>
    <w:rsid w:val="00941155"/>
    <w:rsid w:val="009417B1"/>
    <w:rsid w:val="00943AB6"/>
    <w:rsid w:val="00944820"/>
    <w:rsid w:val="00945536"/>
    <w:rsid w:val="00945FE3"/>
    <w:rsid w:val="00947BE1"/>
    <w:rsid w:val="00951ABE"/>
    <w:rsid w:val="009529FA"/>
    <w:rsid w:val="0095592A"/>
    <w:rsid w:val="00955B59"/>
    <w:rsid w:val="0096082E"/>
    <w:rsid w:val="0096098C"/>
    <w:rsid w:val="00961F0D"/>
    <w:rsid w:val="00963469"/>
    <w:rsid w:val="00964CE0"/>
    <w:rsid w:val="00965C99"/>
    <w:rsid w:val="00965E0B"/>
    <w:rsid w:val="00966305"/>
    <w:rsid w:val="00966493"/>
    <w:rsid w:val="00970546"/>
    <w:rsid w:val="00972F36"/>
    <w:rsid w:val="00974100"/>
    <w:rsid w:val="00975FB3"/>
    <w:rsid w:val="00976851"/>
    <w:rsid w:val="00976BD7"/>
    <w:rsid w:val="009772AA"/>
    <w:rsid w:val="0097764E"/>
    <w:rsid w:val="00977B45"/>
    <w:rsid w:val="00977E54"/>
    <w:rsid w:val="00980638"/>
    <w:rsid w:val="00980DE5"/>
    <w:rsid w:val="0098165A"/>
    <w:rsid w:val="00981B0E"/>
    <w:rsid w:val="00981E5E"/>
    <w:rsid w:val="0098339A"/>
    <w:rsid w:val="009839F3"/>
    <w:rsid w:val="009844E3"/>
    <w:rsid w:val="00986645"/>
    <w:rsid w:val="00990216"/>
    <w:rsid w:val="00990509"/>
    <w:rsid w:val="00990B61"/>
    <w:rsid w:val="00991FBC"/>
    <w:rsid w:val="00992262"/>
    <w:rsid w:val="009926BC"/>
    <w:rsid w:val="00993DC2"/>
    <w:rsid w:val="00995C1C"/>
    <w:rsid w:val="009969EC"/>
    <w:rsid w:val="0099751A"/>
    <w:rsid w:val="00997BE1"/>
    <w:rsid w:val="009A00CF"/>
    <w:rsid w:val="009A1665"/>
    <w:rsid w:val="009A4319"/>
    <w:rsid w:val="009A6C3F"/>
    <w:rsid w:val="009A71D5"/>
    <w:rsid w:val="009A7BF0"/>
    <w:rsid w:val="009B01F5"/>
    <w:rsid w:val="009B105E"/>
    <w:rsid w:val="009B1A45"/>
    <w:rsid w:val="009B36BF"/>
    <w:rsid w:val="009B389E"/>
    <w:rsid w:val="009B454C"/>
    <w:rsid w:val="009B5AAF"/>
    <w:rsid w:val="009B6965"/>
    <w:rsid w:val="009B6F7F"/>
    <w:rsid w:val="009B729B"/>
    <w:rsid w:val="009B73F2"/>
    <w:rsid w:val="009C09FB"/>
    <w:rsid w:val="009C12BD"/>
    <w:rsid w:val="009C1773"/>
    <w:rsid w:val="009C2207"/>
    <w:rsid w:val="009C35CB"/>
    <w:rsid w:val="009C386E"/>
    <w:rsid w:val="009C50FE"/>
    <w:rsid w:val="009C6C03"/>
    <w:rsid w:val="009C7DE0"/>
    <w:rsid w:val="009D1DDE"/>
    <w:rsid w:val="009D3EC0"/>
    <w:rsid w:val="009D4C8F"/>
    <w:rsid w:val="009D5596"/>
    <w:rsid w:val="009D5ABE"/>
    <w:rsid w:val="009D5B77"/>
    <w:rsid w:val="009D60C8"/>
    <w:rsid w:val="009D6CD1"/>
    <w:rsid w:val="009D7BCB"/>
    <w:rsid w:val="009E159A"/>
    <w:rsid w:val="009E35A5"/>
    <w:rsid w:val="009E3A3C"/>
    <w:rsid w:val="009E3A75"/>
    <w:rsid w:val="009E40DB"/>
    <w:rsid w:val="009E4828"/>
    <w:rsid w:val="009E4D41"/>
    <w:rsid w:val="009E7E8C"/>
    <w:rsid w:val="009F398D"/>
    <w:rsid w:val="009F3CAD"/>
    <w:rsid w:val="009F3D95"/>
    <w:rsid w:val="009F451E"/>
    <w:rsid w:val="009F4806"/>
    <w:rsid w:val="009F488B"/>
    <w:rsid w:val="009F4D7B"/>
    <w:rsid w:val="009F4F0A"/>
    <w:rsid w:val="009F7428"/>
    <w:rsid w:val="009F7C24"/>
    <w:rsid w:val="00A00483"/>
    <w:rsid w:val="00A00BDC"/>
    <w:rsid w:val="00A00CB3"/>
    <w:rsid w:val="00A02137"/>
    <w:rsid w:val="00A03697"/>
    <w:rsid w:val="00A03E75"/>
    <w:rsid w:val="00A12617"/>
    <w:rsid w:val="00A129B0"/>
    <w:rsid w:val="00A1553C"/>
    <w:rsid w:val="00A15F5C"/>
    <w:rsid w:val="00A16C4D"/>
    <w:rsid w:val="00A17093"/>
    <w:rsid w:val="00A171B5"/>
    <w:rsid w:val="00A1758C"/>
    <w:rsid w:val="00A20103"/>
    <w:rsid w:val="00A2070D"/>
    <w:rsid w:val="00A20BB0"/>
    <w:rsid w:val="00A213CD"/>
    <w:rsid w:val="00A2347D"/>
    <w:rsid w:val="00A274FA"/>
    <w:rsid w:val="00A278E9"/>
    <w:rsid w:val="00A31171"/>
    <w:rsid w:val="00A31381"/>
    <w:rsid w:val="00A32BFA"/>
    <w:rsid w:val="00A333C5"/>
    <w:rsid w:val="00A35AB6"/>
    <w:rsid w:val="00A35EA3"/>
    <w:rsid w:val="00A407E4"/>
    <w:rsid w:val="00A4365A"/>
    <w:rsid w:val="00A442CD"/>
    <w:rsid w:val="00A449F5"/>
    <w:rsid w:val="00A45E93"/>
    <w:rsid w:val="00A45FCE"/>
    <w:rsid w:val="00A54454"/>
    <w:rsid w:val="00A5577B"/>
    <w:rsid w:val="00A56B91"/>
    <w:rsid w:val="00A608B5"/>
    <w:rsid w:val="00A612DC"/>
    <w:rsid w:val="00A61931"/>
    <w:rsid w:val="00A628DB"/>
    <w:rsid w:val="00A6402B"/>
    <w:rsid w:val="00A6479D"/>
    <w:rsid w:val="00A65564"/>
    <w:rsid w:val="00A65A96"/>
    <w:rsid w:val="00A65CE4"/>
    <w:rsid w:val="00A66948"/>
    <w:rsid w:val="00A67098"/>
    <w:rsid w:val="00A67ACE"/>
    <w:rsid w:val="00A70EF8"/>
    <w:rsid w:val="00A71DB1"/>
    <w:rsid w:val="00A7262C"/>
    <w:rsid w:val="00A726E4"/>
    <w:rsid w:val="00A72BDE"/>
    <w:rsid w:val="00A75671"/>
    <w:rsid w:val="00A767E6"/>
    <w:rsid w:val="00A7694F"/>
    <w:rsid w:val="00A773CC"/>
    <w:rsid w:val="00A77EAF"/>
    <w:rsid w:val="00A82D60"/>
    <w:rsid w:val="00A836D8"/>
    <w:rsid w:val="00A84B99"/>
    <w:rsid w:val="00A86382"/>
    <w:rsid w:val="00A8728F"/>
    <w:rsid w:val="00A906F3"/>
    <w:rsid w:val="00A913CD"/>
    <w:rsid w:val="00A920F7"/>
    <w:rsid w:val="00A9318B"/>
    <w:rsid w:val="00A93622"/>
    <w:rsid w:val="00A94AC1"/>
    <w:rsid w:val="00A95AC0"/>
    <w:rsid w:val="00A97AF7"/>
    <w:rsid w:val="00A97FE9"/>
    <w:rsid w:val="00AA4E49"/>
    <w:rsid w:val="00AA56C6"/>
    <w:rsid w:val="00AA5731"/>
    <w:rsid w:val="00AA5E81"/>
    <w:rsid w:val="00AA6A1C"/>
    <w:rsid w:val="00AA7A6B"/>
    <w:rsid w:val="00AB18B7"/>
    <w:rsid w:val="00AB4A15"/>
    <w:rsid w:val="00AB5C57"/>
    <w:rsid w:val="00AB7388"/>
    <w:rsid w:val="00AB7EFB"/>
    <w:rsid w:val="00AC0377"/>
    <w:rsid w:val="00AC1DE3"/>
    <w:rsid w:val="00AC29D7"/>
    <w:rsid w:val="00AC36CD"/>
    <w:rsid w:val="00AD2223"/>
    <w:rsid w:val="00AD320F"/>
    <w:rsid w:val="00AD335D"/>
    <w:rsid w:val="00AD55B4"/>
    <w:rsid w:val="00AD66DC"/>
    <w:rsid w:val="00AD6A5F"/>
    <w:rsid w:val="00AD7729"/>
    <w:rsid w:val="00AE1296"/>
    <w:rsid w:val="00AE20C2"/>
    <w:rsid w:val="00AE24A6"/>
    <w:rsid w:val="00AE304C"/>
    <w:rsid w:val="00AE32A5"/>
    <w:rsid w:val="00AE6AA5"/>
    <w:rsid w:val="00AF1D05"/>
    <w:rsid w:val="00AF4E57"/>
    <w:rsid w:val="00AF792B"/>
    <w:rsid w:val="00AF7BF7"/>
    <w:rsid w:val="00B0074F"/>
    <w:rsid w:val="00B00A46"/>
    <w:rsid w:val="00B01F89"/>
    <w:rsid w:val="00B0211F"/>
    <w:rsid w:val="00B02699"/>
    <w:rsid w:val="00B03714"/>
    <w:rsid w:val="00B04268"/>
    <w:rsid w:val="00B05760"/>
    <w:rsid w:val="00B05ABE"/>
    <w:rsid w:val="00B069CD"/>
    <w:rsid w:val="00B10560"/>
    <w:rsid w:val="00B10F20"/>
    <w:rsid w:val="00B11641"/>
    <w:rsid w:val="00B11F0C"/>
    <w:rsid w:val="00B12A4E"/>
    <w:rsid w:val="00B1341C"/>
    <w:rsid w:val="00B13A14"/>
    <w:rsid w:val="00B14CDB"/>
    <w:rsid w:val="00B150EE"/>
    <w:rsid w:val="00B15146"/>
    <w:rsid w:val="00B15CD8"/>
    <w:rsid w:val="00B15FC4"/>
    <w:rsid w:val="00B163B7"/>
    <w:rsid w:val="00B16B93"/>
    <w:rsid w:val="00B16F31"/>
    <w:rsid w:val="00B173BA"/>
    <w:rsid w:val="00B21457"/>
    <w:rsid w:val="00B21EE6"/>
    <w:rsid w:val="00B21FDA"/>
    <w:rsid w:val="00B22914"/>
    <w:rsid w:val="00B2437A"/>
    <w:rsid w:val="00B24E92"/>
    <w:rsid w:val="00B25950"/>
    <w:rsid w:val="00B2667F"/>
    <w:rsid w:val="00B27492"/>
    <w:rsid w:val="00B30CEC"/>
    <w:rsid w:val="00B33D2F"/>
    <w:rsid w:val="00B341C0"/>
    <w:rsid w:val="00B3455C"/>
    <w:rsid w:val="00B35219"/>
    <w:rsid w:val="00B357CB"/>
    <w:rsid w:val="00B3618B"/>
    <w:rsid w:val="00B37179"/>
    <w:rsid w:val="00B376C3"/>
    <w:rsid w:val="00B37E5F"/>
    <w:rsid w:val="00B42E5D"/>
    <w:rsid w:val="00B44FD6"/>
    <w:rsid w:val="00B45108"/>
    <w:rsid w:val="00B51867"/>
    <w:rsid w:val="00B519D7"/>
    <w:rsid w:val="00B54EFB"/>
    <w:rsid w:val="00B55CAC"/>
    <w:rsid w:val="00B55D5E"/>
    <w:rsid w:val="00B56877"/>
    <w:rsid w:val="00B63A9A"/>
    <w:rsid w:val="00B6406B"/>
    <w:rsid w:val="00B66C1F"/>
    <w:rsid w:val="00B708E8"/>
    <w:rsid w:val="00B70AC1"/>
    <w:rsid w:val="00B713D8"/>
    <w:rsid w:val="00B71C16"/>
    <w:rsid w:val="00B734D3"/>
    <w:rsid w:val="00B73883"/>
    <w:rsid w:val="00B74454"/>
    <w:rsid w:val="00B74957"/>
    <w:rsid w:val="00B753B6"/>
    <w:rsid w:val="00B75D7B"/>
    <w:rsid w:val="00B76AB9"/>
    <w:rsid w:val="00B80AA9"/>
    <w:rsid w:val="00B812AC"/>
    <w:rsid w:val="00B81801"/>
    <w:rsid w:val="00B819EF"/>
    <w:rsid w:val="00B8393D"/>
    <w:rsid w:val="00B83EA7"/>
    <w:rsid w:val="00B8549D"/>
    <w:rsid w:val="00B859B2"/>
    <w:rsid w:val="00B859CA"/>
    <w:rsid w:val="00B861D8"/>
    <w:rsid w:val="00B90982"/>
    <w:rsid w:val="00B926C7"/>
    <w:rsid w:val="00B9397F"/>
    <w:rsid w:val="00B94516"/>
    <w:rsid w:val="00B97074"/>
    <w:rsid w:val="00B97F11"/>
    <w:rsid w:val="00BA08CF"/>
    <w:rsid w:val="00BA0E22"/>
    <w:rsid w:val="00BA4CB8"/>
    <w:rsid w:val="00BA62A7"/>
    <w:rsid w:val="00BA674F"/>
    <w:rsid w:val="00BB01C1"/>
    <w:rsid w:val="00BB1283"/>
    <w:rsid w:val="00BB283C"/>
    <w:rsid w:val="00BB2855"/>
    <w:rsid w:val="00BB359A"/>
    <w:rsid w:val="00BB6809"/>
    <w:rsid w:val="00BB6F3C"/>
    <w:rsid w:val="00BC092D"/>
    <w:rsid w:val="00BC1959"/>
    <w:rsid w:val="00BC1ADC"/>
    <w:rsid w:val="00BC41B7"/>
    <w:rsid w:val="00BC4238"/>
    <w:rsid w:val="00BC5343"/>
    <w:rsid w:val="00BC5508"/>
    <w:rsid w:val="00BD19C1"/>
    <w:rsid w:val="00BD25B8"/>
    <w:rsid w:val="00BD65B2"/>
    <w:rsid w:val="00BD66C4"/>
    <w:rsid w:val="00BD7118"/>
    <w:rsid w:val="00BE0C84"/>
    <w:rsid w:val="00BE175E"/>
    <w:rsid w:val="00BE291B"/>
    <w:rsid w:val="00BE511C"/>
    <w:rsid w:val="00BE696D"/>
    <w:rsid w:val="00BF05BC"/>
    <w:rsid w:val="00BF1ABD"/>
    <w:rsid w:val="00BF4214"/>
    <w:rsid w:val="00BF54CB"/>
    <w:rsid w:val="00BF6142"/>
    <w:rsid w:val="00BF6A40"/>
    <w:rsid w:val="00BF7A93"/>
    <w:rsid w:val="00C012E1"/>
    <w:rsid w:val="00C025FB"/>
    <w:rsid w:val="00C0267E"/>
    <w:rsid w:val="00C02688"/>
    <w:rsid w:val="00C035C0"/>
    <w:rsid w:val="00C04129"/>
    <w:rsid w:val="00C05F6A"/>
    <w:rsid w:val="00C0679A"/>
    <w:rsid w:val="00C06BB4"/>
    <w:rsid w:val="00C06DDE"/>
    <w:rsid w:val="00C10331"/>
    <w:rsid w:val="00C10CB8"/>
    <w:rsid w:val="00C10D20"/>
    <w:rsid w:val="00C111BF"/>
    <w:rsid w:val="00C116CC"/>
    <w:rsid w:val="00C11D14"/>
    <w:rsid w:val="00C11E6B"/>
    <w:rsid w:val="00C11EEF"/>
    <w:rsid w:val="00C12E0C"/>
    <w:rsid w:val="00C13883"/>
    <w:rsid w:val="00C200A4"/>
    <w:rsid w:val="00C20E23"/>
    <w:rsid w:val="00C20FBC"/>
    <w:rsid w:val="00C21916"/>
    <w:rsid w:val="00C24206"/>
    <w:rsid w:val="00C24880"/>
    <w:rsid w:val="00C24E26"/>
    <w:rsid w:val="00C252BE"/>
    <w:rsid w:val="00C252C5"/>
    <w:rsid w:val="00C26FBD"/>
    <w:rsid w:val="00C30015"/>
    <w:rsid w:val="00C32036"/>
    <w:rsid w:val="00C33D9B"/>
    <w:rsid w:val="00C34581"/>
    <w:rsid w:val="00C3753B"/>
    <w:rsid w:val="00C37BC9"/>
    <w:rsid w:val="00C4416F"/>
    <w:rsid w:val="00C442FA"/>
    <w:rsid w:val="00C457CA"/>
    <w:rsid w:val="00C45850"/>
    <w:rsid w:val="00C45872"/>
    <w:rsid w:val="00C45F7A"/>
    <w:rsid w:val="00C471DA"/>
    <w:rsid w:val="00C500F6"/>
    <w:rsid w:val="00C505FA"/>
    <w:rsid w:val="00C50F95"/>
    <w:rsid w:val="00C5304E"/>
    <w:rsid w:val="00C532F3"/>
    <w:rsid w:val="00C539EE"/>
    <w:rsid w:val="00C53EF5"/>
    <w:rsid w:val="00C53FB6"/>
    <w:rsid w:val="00C55CFC"/>
    <w:rsid w:val="00C57FB7"/>
    <w:rsid w:val="00C60E7A"/>
    <w:rsid w:val="00C61F0C"/>
    <w:rsid w:val="00C626E2"/>
    <w:rsid w:val="00C65D67"/>
    <w:rsid w:val="00C65F3F"/>
    <w:rsid w:val="00C676BB"/>
    <w:rsid w:val="00C701B2"/>
    <w:rsid w:val="00C71D40"/>
    <w:rsid w:val="00C72414"/>
    <w:rsid w:val="00C72FCE"/>
    <w:rsid w:val="00C73564"/>
    <w:rsid w:val="00C73D67"/>
    <w:rsid w:val="00C74BA9"/>
    <w:rsid w:val="00C75701"/>
    <w:rsid w:val="00C75D82"/>
    <w:rsid w:val="00C75DB2"/>
    <w:rsid w:val="00C7605F"/>
    <w:rsid w:val="00C76FE8"/>
    <w:rsid w:val="00C777B4"/>
    <w:rsid w:val="00C804CE"/>
    <w:rsid w:val="00C8062F"/>
    <w:rsid w:val="00C81252"/>
    <w:rsid w:val="00C818AA"/>
    <w:rsid w:val="00C8194E"/>
    <w:rsid w:val="00C82E59"/>
    <w:rsid w:val="00C8368F"/>
    <w:rsid w:val="00C83796"/>
    <w:rsid w:val="00C83D91"/>
    <w:rsid w:val="00C84287"/>
    <w:rsid w:val="00C84325"/>
    <w:rsid w:val="00C84AD2"/>
    <w:rsid w:val="00C858ED"/>
    <w:rsid w:val="00C8667B"/>
    <w:rsid w:val="00C86A4B"/>
    <w:rsid w:val="00C904AD"/>
    <w:rsid w:val="00C90993"/>
    <w:rsid w:val="00C91986"/>
    <w:rsid w:val="00C93340"/>
    <w:rsid w:val="00C93EF1"/>
    <w:rsid w:val="00C941BE"/>
    <w:rsid w:val="00C95415"/>
    <w:rsid w:val="00C95D42"/>
    <w:rsid w:val="00CA2235"/>
    <w:rsid w:val="00CA2B24"/>
    <w:rsid w:val="00CA3CB3"/>
    <w:rsid w:val="00CA4CE3"/>
    <w:rsid w:val="00CA6785"/>
    <w:rsid w:val="00CA6C24"/>
    <w:rsid w:val="00CB1483"/>
    <w:rsid w:val="00CB1577"/>
    <w:rsid w:val="00CB20F1"/>
    <w:rsid w:val="00CB218D"/>
    <w:rsid w:val="00CB23CB"/>
    <w:rsid w:val="00CB2D37"/>
    <w:rsid w:val="00CB3D0D"/>
    <w:rsid w:val="00CB45B7"/>
    <w:rsid w:val="00CB6252"/>
    <w:rsid w:val="00CB6481"/>
    <w:rsid w:val="00CB6B5A"/>
    <w:rsid w:val="00CB7B42"/>
    <w:rsid w:val="00CC3626"/>
    <w:rsid w:val="00CC3BB4"/>
    <w:rsid w:val="00CC448F"/>
    <w:rsid w:val="00CC44CC"/>
    <w:rsid w:val="00CC4D36"/>
    <w:rsid w:val="00CC57E1"/>
    <w:rsid w:val="00CC6585"/>
    <w:rsid w:val="00CD42CD"/>
    <w:rsid w:val="00CD4E33"/>
    <w:rsid w:val="00CD4F3F"/>
    <w:rsid w:val="00CD51FB"/>
    <w:rsid w:val="00CD5566"/>
    <w:rsid w:val="00CD62CD"/>
    <w:rsid w:val="00CD6691"/>
    <w:rsid w:val="00CD6AD9"/>
    <w:rsid w:val="00CD6D13"/>
    <w:rsid w:val="00CD760F"/>
    <w:rsid w:val="00CD7963"/>
    <w:rsid w:val="00CD7C27"/>
    <w:rsid w:val="00CD7ECA"/>
    <w:rsid w:val="00CE13B9"/>
    <w:rsid w:val="00CE1734"/>
    <w:rsid w:val="00CE1D64"/>
    <w:rsid w:val="00CE2B31"/>
    <w:rsid w:val="00CE3224"/>
    <w:rsid w:val="00CE427A"/>
    <w:rsid w:val="00CE58BC"/>
    <w:rsid w:val="00CE63BD"/>
    <w:rsid w:val="00CE67DE"/>
    <w:rsid w:val="00CE7524"/>
    <w:rsid w:val="00CE7D03"/>
    <w:rsid w:val="00CF42AE"/>
    <w:rsid w:val="00CF4314"/>
    <w:rsid w:val="00CF48F9"/>
    <w:rsid w:val="00CF6696"/>
    <w:rsid w:val="00CF7EA7"/>
    <w:rsid w:val="00D00D76"/>
    <w:rsid w:val="00D01065"/>
    <w:rsid w:val="00D03FE6"/>
    <w:rsid w:val="00D11FD9"/>
    <w:rsid w:val="00D13E7D"/>
    <w:rsid w:val="00D17742"/>
    <w:rsid w:val="00D17856"/>
    <w:rsid w:val="00D21D98"/>
    <w:rsid w:val="00D21F65"/>
    <w:rsid w:val="00D2231D"/>
    <w:rsid w:val="00D22F2B"/>
    <w:rsid w:val="00D23217"/>
    <w:rsid w:val="00D24878"/>
    <w:rsid w:val="00D277F5"/>
    <w:rsid w:val="00D30101"/>
    <w:rsid w:val="00D311F8"/>
    <w:rsid w:val="00D312F1"/>
    <w:rsid w:val="00D3200B"/>
    <w:rsid w:val="00D333D8"/>
    <w:rsid w:val="00D33F13"/>
    <w:rsid w:val="00D34765"/>
    <w:rsid w:val="00D34ABD"/>
    <w:rsid w:val="00D36920"/>
    <w:rsid w:val="00D36B52"/>
    <w:rsid w:val="00D377C8"/>
    <w:rsid w:val="00D37B8A"/>
    <w:rsid w:val="00D40DA8"/>
    <w:rsid w:val="00D41274"/>
    <w:rsid w:val="00D43BF3"/>
    <w:rsid w:val="00D4456A"/>
    <w:rsid w:val="00D44A9F"/>
    <w:rsid w:val="00D457F7"/>
    <w:rsid w:val="00D46BFA"/>
    <w:rsid w:val="00D478D3"/>
    <w:rsid w:val="00D51E54"/>
    <w:rsid w:val="00D536DB"/>
    <w:rsid w:val="00D53BE3"/>
    <w:rsid w:val="00D53C50"/>
    <w:rsid w:val="00D548B2"/>
    <w:rsid w:val="00D54E09"/>
    <w:rsid w:val="00D616DB"/>
    <w:rsid w:val="00D63DB1"/>
    <w:rsid w:val="00D64680"/>
    <w:rsid w:val="00D6497A"/>
    <w:rsid w:val="00D664F9"/>
    <w:rsid w:val="00D66687"/>
    <w:rsid w:val="00D67C55"/>
    <w:rsid w:val="00D67D8F"/>
    <w:rsid w:val="00D67F0C"/>
    <w:rsid w:val="00D706E5"/>
    <w:rsid w:val="00D70D54"/>
    <w:rsid w:val="00D70E59"/>
    <w:rsid w:val="00D71508"/>
    <w:rsid w:val="00D71E59"/>
    <w:rsid w:val="00D733EC"/>
    <w:rsid w:val="00D73D6E"/>
    <w:rsid w:val="00D742F9"/>
    <w:rsid w:val="00D746AD"/>
    <w:rsid w:val="00D767BB"/>
    <w:rsid w:val="00D7746F"/>
    <w:rsid w:val="00D77641"/>
    <w:rsid w:val="00D80E2C"/>
    <w:rsid w:val="00D81A30"/>
    <w:rsid w:val="00D826A4"/>
    <w:rsid w:val="00D8376B"/>
    <w:rsid w:val="00D84AEA"/>
    <w:rsid w:val="00D86198"/>
    <w:rsid w:val="00D87BFC"/>
    <w:rsid w:val="00D8E917"/>
    <w:rsid w:val="00D917FC"/>
    <w:rsid w:val="00D91A03"/>
    <w:rsid w:val="00D939B0"/>
    <w:rsid w:val="00D9454E"/>
    <w:rsid w:val="00D94E96"/>
    <w:rsid w:val="00D9602A"/>
    <w:rsid w:val="00D976BE"/>
    <w:rsid w:val="00D9785B"/>
    <w:rsid w:val="00DA037D"/>
    <w:rsid w:val="00DA0C1A"/>
    <w:rsid w:val="00DA0EA4"/>
    <w:rsid w:val="00DA11CC"/>
    <w:rsid w:val="00DA1CE7"/>
    <w:rsid w:val="00DA27E5"/>
    <w:rsid w:val="00DA31A2"/>
    <w:rsid w:val="00DA4C5E"/>
    <w:rsid w:val="00DA5E64"/>
    <w:rsid w:val="00DB0759"/>
    <w:rsid w:val="00DB0E00"/>
    <w:rsid w:val="00DB16E0"/>
    <w:rsid w:val="00DB2DF9"/>
    <w:rsid w:val="00DB2E3E"/>
    <w:rsid w:val="00DB3962"/>
    <w:rsid w:val="00DB3C94"/>
    <w:rsid w:val="00DB465D"/>
    <w:rsid w:val="00DB554C"/>
    <w:rsid w:val="00DB566C"/>
    <w:rsid w:val="00DB6DD7"/>
    <w:rsid w:val="00DB7E63"/>
    <w:rsid w:val="00DC0078"/>
    <w:rsid w:val="00DC047A"/>
    <w:rsid w:val="00DC073E"/>
    <w:rsid w:val="00DC2055"/>
    <w:rsid w:val="00DC3B3C"/>
    <w:rsid w:val="00DC482D"/>
    <w:rsid w:val="00DC6536"/>
    <w:rsid w:val="00DC6DF3"/>
    <w:rsid w:val="00DC6FBE"/>
    <w:rsid w:val="00DC7851"/>
    <w:rsid w:val="00DC7D71"/>
    <w:rsid w:val="00DD0897"/>
    <w:rsid w:val="00DD16B3"/>
    <w:rsid w:val="00DD28D5"/>
    <w:rsid w:val="00DD36C9"/>
    <w:rsid w:val="00DD4FCC"/>
    <w:rsid w:val="00DD7109"/>
    <w:rsid w:val="00DD71E8"/>
    <w:rsid w:val="00DD7361"/>
    <w:rsid w:val="00DD74C8"/>
    <w:rsid w:val="00DD771D"/>
    <w:rsid w:val="00DD7B42"/>
    <w:rsid w:val="00DD7F83"/>
    <w:rsid w:val="00DE014A"/>
    <w:rsid w:val="00DE126B"/>
    <w:rsid w:val="00DE1563"/>
    <w:rsid w:val="00DE29CE"/>
    <w:rsid w:val="00DE3C57"/>
    <w:rsid w:val="00DE3C5A"/>
    <w:rsid w:val="00DE43C1"/>
    <w:rsid w:val="00DE4AC5"/>
    <w:rsid w:val="00DE5A98"/>
    <w:rsid w:val="00DE63F1"/>
    <w:rsid w:val="00DE7776"/>
    <w:rsid w:val="00DF1CF4"/>
    <w:rsid w:val="00DF45CF"/>
    <w:rsid w:val="00E0014A"/>
    <w:rsid w:val="00E001B1"/>
    <w:rsid w:val="00E00E10"/>
    <w:rsid w:val="00E00EB3"/>
    <w:rsid w:val="00E02147"/>
    <w:rsid w:val="00E039FE"/>
    <w:rsid w:val="00E043AF"/>
    <w:rsid w:val="00E0524C"/>
    <w:rsid w:val="00E05A96"/>
    <w:rsid w:val="00E060FE"/>
    <w:rsid w:val="00E0641E"/>
    <w:rsid w:val="00E06664"/>
    <w:rsid w:val="00E0707C"/>
    <w:rsid w:val="00E077FD"/>
    <w:rsid w:val="00E0788B"/>
    <w:rsid w:val="00E07896"/>
    <w:rsid w:val="00E10159"/>
    <w:rsid w:val="00E10754"/>
    <w:rsid w:val="00E10970"/>
    <w:rsid w:val="00E13446"/>
    <w:rsid w:val="00E14016"/>
    <w:rsid w:val="00E15220"/>
    <w:rsid w:val="00E15AA5"/>
    <w:rsid w:val="00E2182C"/>
    <w:rsid w:val="00E21BA2"/>
    <w:rsid w:val="00E21EE5"/>
    <w:rsid w:val="00E22D2D"/>
    <w:rsid w:val="00E23453"/>
    <w:rsid w:val="00E23E15"/>
    <w:rsid w:val="00E27F69"/>
    <w:rsid w:val="00E304BC"/>
    <w:rsid w:val="00E31E69"/>
    <w:rsid w:val="00E32853"/>
    <w:rsid w:val="00E340EF"/>
    <w:rsid w:val="00E34B01"/>
    <w:rsid w:val="00E36450"/>
    <w:rsid w:val="00E36656"/>
    <w:rsid w:val="00E36FA2"/>
    <w:rsid w:val="00E401F8"/>
    <w:rsid w:val="00E40D8A"/>
    <w:rsid w:val="00E4143A"/>
    <w:rsid w:val="00E41A1C"/>
    <w:rsid w:val="00E41B57"/>
    <w:rsid w:val="00E422F2"/>
    <w:rsid w:val="00E423EB"/>
    <w:rsid w:val="00E46425"/>
    <w:rsid w:val="00E47AF1"/>
    <w:rsid w:val="00E47D0E"/>
    <w:rsid w:val="00E50074"/>
    <w:rsid w:val="00E50B17"/>
    <w:rsid w:val="00E51424"/>
    <w:rsid w:val="00E52134"/>
    <w:rsid w:val="00E53795"/>
    <w:rsid w:val="00E56068"/>
    <w:rsid w:val="00E57937"/>
    <w:rsid w:val="00E6015F"/>
    <w:rsid w:val="00E60179"/>
    <w:rsid w:val="00E60969"/>
    <w:rsid w:val="00E62155"/>
    <w:rsid w:val="00E62AEA"/>
    <w:rsid w:val="00E65018"/>
    <w:rsid w:val="00E66308"/>
    <w:rsid w:val="00E7076E"/>
    <w:rsid w:val="00E70A2F"/>
    <w:rsid w:val="00E71161"/>
    <w:rsid w:val="00E711A5"/>
    <w:rsid w:val="00E721F7"/>
    <w:rsid w:val="00E73700"/>
    <w:rsid w:val="00E73925"/>
    <w:rsid w:val="00E77C70"/>
    <w:rsid w:val="00E805B7"/>
    <w:rsid w:val="00E80F18"/>
    <w:rsid w:val="00E84226"/>
    <w:rsid w:val="00E859CC"/>
    <w:rsid w:val="00E87A43"/>
    <w:rsid w:val="00E9184B"/>
    <w:rsid w:val="00E92DE6"/>
    <w:rsid w:val="00E94339"/>
    <w:rsid w:val="00E95A73"/>
    <w:rsid w:val="00E95CAE"/>
    <w:rsid w:val="00E97563"/>
    <w:rsid w:val="00E97A98"/>
    <w:rsid w:val="00E97E3D"/>
    <w:rsid w:val="00EA0DD3"/>
    <w:rsid w:val="00EA3A6B"/>
    <w:rsid w:val="00EA4A68"/>
    <w:rsid w:val="00EA5584"/>
    <w:rsid w:val="00EA6B93"/>
    <w:rsid w:val="00EA7691"/>
    <w:rsid w:val="00EB0B63"/>
    <w:rsid w:val="00EB1299"/>
    <w:rsid w:val="00EB24E1"/>
    <w:rsid w:val="00EB312D"/>
    <w:rsid w:val="00EB6D4D"/>
    <w:rsid w:val="00EB7667"/>
    <w:rsid w:val="00EB7B59"/>
    <w:rsid w:val="00EC11AC"/>
    <w:rsid w:val="00EC13CD"/>
    <w:rsid w:val="00EC265C"/>
    <w:rsid w:val="00EC3AAC"/>
    <w:rsid w:val="00EC3C03"/>
    <w:rsid w:val="00EC4253"/>
    <w:rsid w:val="00EC62DB"/>
    <w:rsid w:val="00EC658D"/>
    <w:rsid w:val="00EC73F7"/>
    <w:rsid w:val="00ED0643"/>
    <w:rsid w:val="00ED0D57"/>
    <w:rsid w:val="00ED1AC1"/>
    <w:rsid w:val="00ED5CAB"/>
    <w:rsid w:val="00ED61CB"/>
    <w:rsid w:val="00ED66C7"/>
    <w:rsid w:val="00ED6E2A"/>
    <w:rsid w:val="00ED7248"/>
    <w:rsid w:val="00EE1E31"/>
    <w:rsid w:val="00EE205F"/>
    <w:rsid w:val="00EE51C3"/>
    <w:rsid w:val="00EE5233"/>
    <w:rsid w:val="00EE6CCB"/>
    <w:rsid w:val="00EF045E"/>
    <w:rsid w:val="00EF2433"/>
    <w:rsid w:val="00EF2593"/>
    <w:rsid w:val="00EF37B3"/>
    <w:rsid w:val="00EF3D86"/>
    <w:rsid w:val="00EF4B6B"/>
    <w:rsid w:val="00F00D6D"/>
    <w:rsid w:val="00F02D37"/>
    <w:rsid w:val="00F031F4"/>
    <w:rsid w:val="00F0418A"/>
    <w:rsid w:val="00F0456D"/>
    <w:rsid w:val="00F04854"/>
    <w:rsid w:val="00F049E1"/>
    <w:rsid w:val="00F05C1D"/>
    <w:rsid w:val="00F05D38"/>
    <w:rsid w:val="00F06689"/>
    <w:rsid w:val="00F06A72"/>
    <w:rsid w:val="00F1052F"/>
    <w:rsid w:val="00F10A0A"/>
    <w:rsid w:val="00F127E1"/>
    <w:rsid w:val="00F136F0"/>
    <w:rsid w:val="00F15E18"/>
    <w:rsid w:val="00F160F6"/>
    <w:rsid w:val="00F173D5"/>
    <w:rsid w:val="00F178C6"/>
    <w:rsid w:val="00F17BB2"/>
    <w:rsid w:val="00F20BBB"/>
    <w:rsid w:val="00F2127B"/>
    <w:rsid w:val="00F2148A"/>
    <w:rsid w:val="00F22AD8"/>
    <w:rsid w:val="00F247AE"/>
    <w:rsid w:val="00F251F8"/>
    <w:rsid w:val="00F27BE6"/>
    <w:rsid w:val="00F30130"/>
    <w:rsid w:val="00F30B8D"/>
    <w:rsid w:val="00F31802"/>
    <w:rsid w:val="00F35586"/>
    <w:rsid w:val="00F35DF9"/>
    <w:rsid w:val="00F364F8"/>
    <w:rsid w:val="00F3765E"/>
    <w:rsid w:val="00F37810"/>
    <w:rsid w:val="00F4035C"/>
    <w:rsid w:val="00F4084C"/>
    <w:rsid w:val="00F4286C"/>
    <w:rsid w:val="00F42C14"/>
    <w:rsid w:val="00F43BD8"/>
    <w:rsid w:val="00F4472E"/>
    <w:rsid w:val="00F525BC"/>
    <w:rsid w:val="00F531C5"/>
    <w:rsid w:val="00F55840"/>
    <w:rsid w:val="00F562F3"/>
    <w:rsid w:val="00F60735"/>
    <w:rsid w:val="00F6171C"/>
    <w:rsid w:val="00F6215C"/>
    <w:rsid w:val="00F640CA"/>
    <w:rsid w:val="00F64126"/>
    <w:rsid w:val="00F65E84"/>
    <w:rsid w:val="00F66403"/>
    <w:rsid w:val="00F67887"/>
    <w:rsid w:val="00F67BD5"/>
    <w:rsid w:val="00F701C2"/>
    <w:rsid w:val="00F7067C"/>
    <w:rsid w:val="00F711F5"/>
    <w:rsid w:val="00F71E85"/>
    <w:rsid w:val="00F72EE7"/>
    <w:rsid w:val="00F7380E"/>
    <w:rsid w:val="00F742EF"/>
    <w:rsid w:val="00F74740"/>
    <w:rsid w:val="00F74B89"/>
    <w:rsid w:val="00F75021"/>
    <w:rsid w:val="00F7509E"/>
    <w:rsid w:val="00F75133"/>
    <w:rsid w:val="00F779DD"/>
    <w:rsid w:val="00F83272"/>
    <w:rsid w:val="00F84001"/>
    <w:rsid w:val="00F85E58"/>
    <w:rsid w:val="00F86609"/>
    <w:rsid w:val="00F86614"/>
    <w:rsid w:val="00F86899"/>
    <w:rsid w:val="00F9091F"/>
    <w:rsid w:val="00F91547"/>
    <w:rsid w:val="00F92189"/>
    <w:rsid w:val="00F934D3"/>
    <w:rsid w:val="00F93510"/>
    <w:rsid w:val="00F94022"/>
    <w:rsid w:val="00F94919"/>
    <w:rsid w:val="00F9551F"/>
    <w:rsid w:val="00F958E2"/>
    <w:rsid w:val="00F95938"/>
    <w:rsid w:val="00F96A67"/>
    <w:rsid w:val="00F975C5"/>
    <w:rsid w:val="00F97640"/>
    <w:rsid w:val="00F97EED"/>
    <w:rsid w:val="00FA0ECF"/>
    <w:rsid w:val="00FA1103"/>
    <w:rsid w:val="00FA157B"/>
    <w:rsid w:val="00FA1CF8"/>
    <w:rsid w:val="00FA2593"/>
    <w:rsid w:val="00FA2CE8"/>
    <w:rsid w:val="00FA35B4"/>
    <w:rsid w:val="00FA3899"/>
    <w:rsid w:val="00FA4909"/>
    <w:rsid w:val="00FA4A20"/>
    <w:rsid w:val="00FA50F3"/>
    <w:rsid w:val="00FA6447"/>
    <w:rsid w:val="00FA6751"/>
    <w:rsid w:val="00FA6840"/>
    <w:rsid w:val="00FA68AE"/>
    <w:rsid w:val="00FA76AF"/>
    <w:rsid w:val="00FB1048"/>
    <w:rsid w:val="00FB23A0"/>
    <w:rsid w:val="00FB4171"/>
    <w:rsid w:val="00FB4AAD"/>
    <w:rsid w:val="00FB5B8F"/>
    <w:rsid w:val="00FB62C4"/>
    <w:rsid w:val="00FB7701"/>
    <w:rsid w:val="00FC011D"/>
    <w:rsid w:val="00FC13CC"/>
    <w:rsid w:val="00FC19C5"/>
    <w:rsid w:val="00FC2C30"/>
    <w:rsid w:val="00FC377D"/>
    <w:rsid w:val="00FC4811"/>
    <w:rsid w:val="00FC6291"/>
    <w:rsid w:val="00FD0A95"/>
    <w:rsid w:val="00FD1AC5"/>
    <w:rsid w:val="00FD1C3E"/>
    <w:rsid w:val="00FD5CF0"/>
    <w:rsid w:val="00FD6223"/>
    <w:rsid w:val="00FD6F2D"/>
    <w:rsid w:val="00FD7F63"/>
    <w:rsid w:val="00FE066B"/>
    <w:rsid w:val="00FE0B9B"/>
    <w:rsid w:val="00FE239E"/>
    <w:rsid w:val="00FE2712"/>
    <w:rsid w:val="00FE2F6E"/>
    <w:rsid w:val="00FE36E0"/>
    <w:rsid w:val="00FE4299"/>
    <w:rsid w:val="00FE5730"/>
    <w:rsid w:val="00FE6E37"/>
    <w:rsid w:val="00FE7B67"/>
    <w:rsid w:val="00FF004C"/>
    <w:rsid w:val="00FF2BD6"/>
    <w:rsid w:val="00FF3C58"/>
    <w:rsid w:val="00FF4298"/>
    <w:rsid w:val="00FF6666"/>
    <w:rsid w:val="00FF6E26"/>
    <w:rsid w:val="00FF7E2C"/>
    <w:rsid w:val="00FF7E73"/>
    <w:rsid w:val="014817F8"/>
    <w:rsid w:val="014C8DDA"/>
    <w:rsid w:val="01A3C34B"/>
    <w:rsid w:val="01E83A31"/>
    <w:rsid w:val="0279A7E2"/>
    <w:rsid w:val="028B1AEF"/>
    <w:rsid w:val="02AD5316"/>
    <w:rsid w:val="030E9EDF"/>
    <w:rsid w:val="031C86CE"/>
    <w:rsid w:val="038DD3A9"/>
    <w:rsid w:val="0417B883"/>
    <w:rsid w:val="04CA51E5"/>
    <w:rsid w:val="059558BF"/>
    <w:rsid w:val="059A40CC"/>
    <w:rsid w:val="064F38C4"/>
    <w:rsid w:val="0650FBDE"/>
    <w:rsid w:val="06752DB8"/>
    <w:rsid w:val="067BF4A0"/>
    <w:rsid w:val="067F9D1B"/>
    <w:rsid w:val="069802D4"/>
    <w:rsid w:val="06CC22FD"/>
    <w:rsid w:val="06F66086"/>
    <w:rsid w:val="06FA76FC"/>
    <w:rsid w:val="07233E97"/>
    <w:rsid w:val="076674B2"/>
    <w:rsid w:val="0797AC1E"/>
    <w:rsid w:val="081D52B9"/>
    <w:rsid w:val="088AF318"/>
    <w:rsid w:val="088C0A31"/>
    <w:rsid w:val="08A4D500"/>
    <w:rsid w:val="0937AF49"/>
    <w:rsid w:val="0944BAE2"/>
    <w:rsid w:val="094EC9B1"/>
    <w:rsid w:val="098900EC"/>
    <w:rsid w:val="09D34A5D"/>
    <w:rsid w:val="0A08DBEF"/>
    <w:rsid w:val="0A2E4663"/>
    <w:rsid w:val="0A456141"/>
    <w:rsid w:val="0A54CB9E"/>
    <w:rsid w:val="0A7712C2"/>
    <w:rsid w:val="0A899623"/>
    <w:rsid w:val="0AA0569C"/>
    <w:rsid w:val="0AC2038F"/>
    <w:rsid w:val="0AC6BB56"/>
    <w:rsid w:val="0ACFDEC4"/>
    <w:rsid w:val="0B181CA0"/>
    <w:rsid w:val="0B390D3D"/>
    <w:rsid w:val="0B589CAF"/>
    <w:rsid w:val="0BBFB5B5"/>
    <w:rsid w:val="0BDD21B2"/>
    <w:rsid w:val="0BFED216"/>
    <w:rsid w:val="0C3C6782"/>
    <w:rsid w:val="0CE0921B"/>
    <w:rsid w:val="0CFE569C"/>
    <w:rsid w:val="0DAD7834"/>
    <w:rsid w:val="0DB6FB39"/>
    <w:rsid w:val="0E6E34BB"/>
    <w:rsid w:val="0E89051B"/>
    <w:rsid w:val="0E8C25E3"/>
    <w:rsid w:val="0E9462FA"/>
    <w:rsid w:val="0E9502A6"/>
    <w:rsid w:val="0EB8A6D9"/>
    <w:rsid w:val="0EFCAFA6"/>
    <w:rsid w:val="0F0160B2"/>
    <w:rsid w:val="0FAABC6C"/>
    <w:rsid w:val="0FC9D22F"/>
    <w:rsid w:val="0FECBDB8"/>
    <w:rsid w:val="10006FA8"/>
    <w:rsid w:val="10398D49"/>
    <w:rsid w:val="10582A52"/>
    <w:rsid w:val="10743234"/>
    <w:rsid w:val="10874A0B"/>
    <w:rsid w:val="108EC761"/>
    <w:rsid w:val="10A003FE"/>
    <w:rsid w:val="10BAC238"/>
    <w:rsid w:val="1136267C"/>
    <w:rsid w:val="1142F902"/>
    <w:rsid w:val="11F546B5"/>
    <w:rsid w:val="12663795"/>
    <w:rsid w:val="12973392"/>
    <w:rsid w:val="129C4D6D"/>
    <w:rsid w:val="130D44E9"/>
    <w:rsid w:val="137C90DE"/>
    <w:rsid w:val="1380DBB6"/>
    <w:rsid w:val="13AC3747"/>
    <w:rsid w:val="13BCC0DA"/>
    <w:rsid w:val="142187C3"/>
    <w:rsid w:val="14814353"/>
    <w:rsid w:val="14C712E7"/>
    <w:rsid w:val="14D63063"/>
    <w:rsid w:val="15293A89"/>
    <w:rsid w:val="1544573A"/>
    <w:rsid w:val="15DBB4A2"/>
    <w:rsid w:val="15E54520"/>
    <w:rsid w:val="15E5CB41"/>
    <w:rsid w:val="15F4FA2E"/>
    <w:rsid w:val="1613A278"/>
    <w:rsid w:val="168E4AAD"/>
    <w:rsid w:val="170AE301"/>
    <w:rsid w:val="17B0C2B8"/>
    <w:rsid w:val="1846FDE0"/>
    <w:rsid w:val="18998578"/>
    <w:rsid w:val="18A684A0"/>
    <w:rsid w:val="18F6F56E"/>
    <w:rsid w:val="18FA4932"/>
    <w:rsid w:val="19038B58"/>
    <w:rsid w:val="19255D54"/>
    <w:rsid w:val="19723CCD"/>
    <w:rsid w:val="1979608B"/>
    <w:rsid w:val="19EF3C4B"/>
    <w:rsid w:val="1A9003ED"/>
    <w:rsid w:val="1A92FC47"/>
    <w:rsid w:val="1AF60533"/>
    <w:rsid w:val="1B3A8095"/>
    <w:rsid w:val="1B525F31"/>
    <w:rsid w:val="1B78170C"/>
    <w:rsid w:val="1B7C39A8"/>
    <w:rsid w:val="1B8F2712"/>
    <w:rsid w:val="1BB5199F"/>
    <w:rsid w:val="1CB85095"/>
    <w:rsid w:val="1D44A20C"/>
    <w:rsid w:val="1D8B1B14"/>
    <w:rsid w:val="1DA3E597"/>
    <w:rsid w:val="1DCB262D"/>
    <w:rsid w:val="1DD175B4"/>
    <w:rsid w:val="1DD69B53"/>
    <w:rsid w:val="1DD70F79"/>
    <w:rsid w:val="1E48D46F"/>
    <w:rsid w:val="1EB425F7"/>
    <w:rsid w:val="1F3B827A"/>
    <w:rsid w:val="1F42FEED"/>
    <w:rsid w:val="1FA0C4DC"/>
    <w:rsid w:val="1FDD198E"/>
    <w:rsid w:val="1FE06555"/>
    <w:rsid w:val="20091856"/>
    <w:rsid w:val="206239B3"/>
    <w:rsid w:val="20776818"/>
    <w:rsid w:val="209A4805"/>
    <w:rsid w:val="21202043"/>
    <w:rsid w:val="21E00128"/>
    <w:rsid w:val="21E1B924"/>
    <w:rsid w:val="226C11F2"/>
    <w:rsid w:val="22CE30CF"/>
    <w:rsid w:val="234D953E"/>
    <w:rsid w:val="236DAA47"/>
    <w:rsid w:val="23D6D202"/>
    <w:rsid w:val="242116DB"/>
    <w:rsid w:val="242F282F"/>
    <w:rsid w:val="24CFC60C"/>
    <w:rsid w:val="24F1FBF4"/>
    <w:rsid w:val="2534454D"/>
    <w:rsid w:val="253936C0"/>
    <w:rsid w:val="255EA772"/>
    <w:rsid w:val="25ADDE62"/>
    <w:rsid w:val="25B10AC0"/>
    <w:rsid w:val="25DC15C0"/>
    <w:rsid w:val="2618ECDB"/>
    <w:rsid w:val="26442C4B"/>
    <w:rsid w:val="26500059"/>
    <w:rsid w:val="26935B82"/>
    <w:rsid w:val="26A1F25D"/>
    <w:rsid w:val="26A66A48"/>
    <w:rsid w:val="271A1307"/>
    <w:rsid w:val="271C0D71"/>
    <w:rsid w:val="272437E6"/>
    <w:rsid w:val="27CAF8B8"/>
    <w:rsid w:val="27F1D997"/>
    <w:rsid w:val="280D3854"/>
    <w:rsid w:val="28F26DCB"/>
    <w:rsid w:val="29393E5E"/>
    <w:rsid w:val="293F3445"/>
    <w:rsid w:val="295D3734"/>
    <w:rsid w:val="29A86000"/>
    <w:rsid w:val="29BCDF27"/>
    <w:rsid w:val="29C5DA04"/>
    <w:rsid w:val="2AAFDD85"/>
    <w:rsid w:val="2ABBF425"/>
    <w:rsid w:val="2AFA9327"/>
    <w:rsid w:val="2B510488"/>
    <w:rsid w:val="2B5B1BC3"/>
    <w:rsid w:val="2C0FB9FF"/>
    <w:rsid w:val="2C183D0E"/>
    <w:rsid w:val="2C5A2503"/>
    <w:rsid w:val="2C6F339A"/>
    <w:rsid w:val="2C9D670C"/>
    <w:rsid w:val="2CB523A1"/>
    <w:rsid w:val="2CD26EC6"/>
    <w:rsid w:val="2D100A5D"/>
    <w:rsid w:val="2D3828A4"/>
    <w:rsid w:val="2D7B82EA"/>
    <w:rsid w:val="2D84D11B"/>
    <w:rsid w:val="2DB9F9A6"/>
    <w:rsid w:val="2E4D42E4"/>
    <w:rsid w:val="2EB3FC5A"/>
    <w:rsid w:val="2F29E347"/>
    <w:rsid w:val="2F33B1D7"/>
    <w:rsid w:val="2F4842F7"/>
    <w:rsid w:val="2FEFF5E3"/>
    <w:rsid w:val="30A2B6D0"/>
    <w:rsid w:val="30C4D8B5"/>
    <w:rsid w:val="311EBB8B"/>
    <w:rsid w:val="31548B38"/>
    <w:rsid w:val="317098A4"/>
    <w:rsid w:val="317C7586"/>
    <w:rsid w:val="31C3900E"/>
    <w:rsid w:val="31FF2C84"/>
    <w:rsid w:val="32665A02"/>
    <w:rsid w:val="326AED7A"/>
    <w:rsid w:val="3286976B"/>
    <w:rsid w:val="32F971EF"/>
    <w:rsid w:val="33171FC6"/>
    <w:rsid w:val="331879F7"/>
    <w:rsid w:val="335D86E9"/>
    <w:rsid w:val="336FCD2B"/>
    <w:rsid w:val="33BCCFDF"/>
    <w:rsid w:val="349EE25B"/>
    <w:rsid w:val="34C09BFB"/>
    <w:rsid w:val="3536E78D"/>
    <w:rsid w:val="354C6BD0"/>
    <w:rsid w:val="357B6718"/>
    <w:rsid w:val="35A57873"/>
    <w:rsid w:val="35B7CAC6"/>
    <w:rsid w:val="35D08510"/>
    <w:rsid w:val="363911F8"/>
    <w:rsid w:val="3663E4D8"/>
    <w:rsid w:val="3680E5E0"/>
    <w:rsid w:val="368A8B8F"/>
    <w:rsid w:val="36F8FE90"/>
    <w:rsid w:val="370DE193"/>
    <w:rsid w:val="371A2825"/>
    <w:rsid w:val="37AC8B0F"/>
    <w:rsid w:val="37B87D0B"/>
    <w:rsid w:val="37C72E13"/>
    <w:rsid w:val="37E40287"/>
    <w:rsid w:val="380C6911"/>
    <w:rsid w:val="3835C93B"/>
    <w:rsid w:val="38ADC7BA"/>
    <w:rsid w:val="3A032CBA"/>
    <w:rsid w:val="3AFFAB02"/>
    <w:rsid w:val="3B58D740"/>
    <w:rsid w:val="3BA8EF30"/>
    <w:rsid w:val="3BB45FBB"/>
    <w:rsid w:val="3C2474A8"/>
    <w:rsid w:val="3C3284DE"/>
    <w:rsid w:val="3D4C288D"/>
    <w:rsid w:val="3D65F804"/>
    <w:rsid w:val="3D71B6AB"/>
    <w:rsid w:val="3D8B5928"/>
    <w:rsid w:val="3D96C14D"/>
    <w:rsid w:val="3EB46050"/>
    <w:rsid w:val="3EC0170E"/>
    <w:rsid w:val="3ED63D3C"/>
    <w:rsid w:val="3F0650BE"/>
    <w:rsid w:val="3F430DEA"/>
    <w:rsid w:val="3FD1FC53"/>
    <w:rsid w:val="407FA1D7"/>
    <w:rsid w:val="408BECCA"/>
    <w:rsid w:val="40DFC26E"/>
    <w:rsid w:val="410EFEB0"/>
    <w:rsid w:val="412D9913"/>
    <w:rsid w:val="412FF387"/>
    <w:rsid w:val="41610BA1"/>
    <w:rsid w:val="41876995"/>
    <w:rsid w:val="41EF56E6"/>
    <w:rsid w:val="4235CCF1"/>
    <w:rsid w:val="4249A58F"/>
    <w:rsid w:val="428B6AA3"/>
    <w:rsid w:val="42B91D84"/>
    <w:rsid w:val="42F41809"/>
    <w:rsid w:val="42FFAA51"/>
    <w:rsid w:val="4315F917"/>
    <w:rsid w:val="435CD835"/>
    <w:rsid w:val="438D3A10"/>
    <w:rsid w:val="43A855B4"/>
    <w:rsid w:val="442217A2"/>
    <w:rsid w:val="44ABC72F"/>
    <w:rsid w:val="45685FFE"/>
    <w:rsid w:val="45889766"/>
    <w:rsid w:val="46B82BC2"/>
    <w:rsid w:val="46E023EB"/>
    <w:rsid w:val="46E40039"/>
    <w:rsid w:val="470C9CBE"/>
    <w:rsid w:val="475A0EFB"/>
    <w:rsid w:val="47777DDD"/>
    <w:rsid w:val="4859ABCA"/>
    <w:rsid w:val="489EB168"/>
    <w:rsid w:val="48CDFEAE"/>
    <w:rsid w:val="4904E633"/>
    <w:rsid w:val="4914D414"/>
    <w:rsid w:val="4918818C"/>
    <w:rsid w:val="49764694"/>
    <w:rsid w:val="49FFCC38"/>
    <w:rsid w:val="4A40CCFF"/>
    <w:rsid w:val="4A9FE425"/>
    <w:rsid w:val="4AB56D22"/>
    <w:rsid w:val="4B34224B"/>
    <w:rsid w:val="4B893D05"/>
    <w:rsid w:val="4B9DAB10"/>
    <w:rsid w:val="4BDE58C8"/>
    <w:rsid w:val="4BE53D02"/>
    <w:rsid w:val="4BEA354D"/>
    <w:rsid w:val="4C34F20E"/>
    <w:rsid w:val="4C6F8600"/>
    <w:rsid w:val="4C727AB0"/>
    <w:rsid w:val="4DB313B5"/>
    <w:rsid w:val="4E046000"/>
    <w:rsid w:val="4E1C8E82"/>
    <w:rsid w:val="4E77C966"/>
    <w:rsid w:val="4EBEB373"/>
    <w:rsid w:val="4ED6041A"/>
    <w:rsid w:val="4EE4148C"/>
    <w:rsid w:val="4F60E372"/>
    <w:rsid w:val="4FF25AC0"/>
    <w:rsid w:val="50159C67"/>
    <w:rsid w:val="50276EC8"/>
    <w:rsid w:val="50673241"/>
    <w:rsid w:val="509DBB79"/>
    <w:rsid w:val="50F72493"/>
    <w:rsid w:val="5104F204"/>
    <w:rsid w:val="511C9A7A"/>
    <w:rsid w:val="519DB201"/>
    <w:rsid w:val="52435885"/>
    <w:rsid w:val="525F56EC"/>
    <w:rsid w:val="53030FEB"/>
    <w:rsid w:val="539ECB47"/>
    <w:rsid w:val="53A4BAAC"/>
    <w:rsid w:val="541A27CF"/>
    <w:rsid w:val="54C018F9"/>
    <w:rsid w:val="557B26DE"/>
    <w:rsid w:val="55C04680"/>
    <w:rsid w:val="55C3415D"/>
    <w:rsid w:val="55DB79F8"/>
    <w:rsid w:val="55F88A63"/>
    <w:rsid w:val="56553348"/>
    <w:rsid w:val="568B6479"/>
    <w:rsid w:val="569935E5"/>
    <w:rsid w:val="569E0C2C"/>
    <w:rsid w:val="56B71084"/>
    <w:rsid w:val="56B9CF9E"/>
    <w:rsid w:val="56C3FC1E"/>
    <w:rsid w:val="56FA3835"/>
    <w:rsid w:val="57034CF4"/>
    <w:rsid w:val="577C81D7"/>
    <w:rsid w:val="578380F9"/>
    <w:rsid w:val="57EC80B1"/>
    <w:rsid w:val="580D72A4"/>
    <w:rsid w:val="584EF3B6"/>
    <w:rsid w:val="5856C180"/>
    <w:rsid w:val="590ECB60"/>
    <w:rsid w:val="596A37B9"/>
    <w:rsid w:val="59988AFD"/>
    <w:rsid w:val="59EF8FA9"/>
    <w:rsid w:val="5A221A60"/>
    <w:rsid w:val="5A32D335"/>
    <w:rsid w:val="5A407EFE"/>
    <w:rsid w:val="5A4ABF73"/>
    <w:rsid w:val="5A8835F1"/>
    <w:rsid w:val="5B5B1E1D"/>
    <w:rsid w:val="5C731D59"/>
    <w:rsid w:val="5D0D2ACE"/>
    <w:rsid w:val="5DB9A426"/>
    <w:rsid w:val="5DEA79B3"/>
    <w:rsid w:val="5E73C12B"/>
    <w:rsid w:val="5E839AC1"/>
    <w:rsid w:val="5EE23327"/>
    <w:rsid w:val="5F0B447B"/>
    <w:rsid w:val="5F4CF25B"/>
    <w:rsid w:val="5F550854"/>
    <w:rsid w:val="60239962"/>
    <w:rsid w:val="6048A6E4"/>
    <w:rsid w:val="604B7A91"/>
    <w:rsid w:val="607A38BB"/>
    <w:rsid w:val="6095BFF7"/>
    <w:rsid w:val="609634F9"/>
    <w:rsid w:val="60FB5773"/>
    <w:rsid w:val="610D2AB0"/>
    <w:rsid w:val="6128D643"/>
    <w:rsid w:val="6185F3E6"/>
    <w:rsid w:val="61973B07"/>
    <w:rsid w:val="61F339F2"/>
    <w:rsid w:val="62598CFD"/>
    <w:rsid w:val="62FE0AFB"/>
    <w:rsid w:val="6341345C"/>
    <w:rsid w:val="640198DF"/>
    <w:rsid w:val="6415F863"/>
    <w:rsid w:val="64354AEB"/>
    <w:rsid w:val="64565C9A"/>
    <w:rsid w:val="64A43713"/>
    <w:rsid w:val="64D6AF5F"/>
    <w:rsid w:val="6526CB10"/>
    <w:rsid w:val="658CE941"/>
    <w:rsid w:val="659F1A52"/>
    <w:rsid w:val="65A0C65F"/>
    <w:rsid w:val="65F9E348"/>
    <w:rsid w:val="65FDF453"/>
    <w:rsid w:val="661C445E"/>
    <w:rsid w:val="667D1AD0"/>
    <w:rsid w:val="66BB542B"/>
    <w:rsid w:val="66E57AA8"/>
    <w:rsid w:val="66F12F2E"/>
    <w:rsid w:val="66F19CF1"/>
    <w:rsid w:val="6703C00C"/>
    <w:rsid w:val="674A0D02"/>
    <w:rsid w:val="67867944"/>
    <w:rsid w:val="686B3025"/>
    <w:rsid w:val="687A04BF"/>
    <w:rsid w:val="68A9E3C9"/>
    <w:rsid w:val="696200CE"/>
    <w:rsid w:val="698DF6E0"/>
    <w:rsid w:val="69CE4E1D"/>
    <w:rsid w:val="6A26EA1D"/>
    <w:rsid w:val="6A63F29E"/>
    <w:rsid w:val="6A81D859"/>
    <w:rsid w:val="6A8F7625"/>
    <w:rsid w:val="6A997589"/>
    <w:rsid w:val="6AAD0271"/>
    <w:rsid w:val="6AC7473D"/>
    <w:rsid w:val="6AD45FAE"/>
    <w:rsid w:val="6AF08F67"/>
    <w:rsid w:val="6BA1516E"/>
    <w:rsid w:val="6BBDD5A2"/>
    <w:rsid w:val="6C28203E"/>
    <w:rsid w:val="6C506EDE"/>
    <w:rsid w:val="6C556856"/>
    <w:rsid w:val="6C7F80E1"/>
    <w:rsid w:val="6CDE1239"/>
    <w:rsid w:val="6CE05B0F"/>
    <w:rsid w:val="6D0D41D5"/>
    <w:rsid w:val="6DB771DE"/>
    <w:rsid w:val="6DEA3C55"/>
    <w:rsid w:val="6E982C45"/>
    <w:rsid w:val="6F079DD4"/>
    <w:rsid w:val="6F37F01D"/>
    <w:rsid w:val="6F3BFD0E"/>
    <w:rsid w:val="6FF67F64"/>
    <w:rsid w:val="7020418F"/>
    <w:rsid w:val="70AC87EF"/>
    <w:rsid w:val="7166C7CB"/>
    <w:rsid w:val="71DA25F1"/>
    <w:rsid w:val="71E4A82D"/>
    <w:rsid w:val="71E82A7A"/>
    <w:rsid w:val="71F1CDF1"/>
    <w:rsid w:val="72374A89"/>
    <w:rsid w:val="733C6163"/>
    <w:rsid w:val="73BC28DA"/>
    <w:rsid w:val="7427A57C"/>
    <w:rsid w:val="74805632"/>
    <w:rsid w:val="74F7F159"/>
    <w:rsid w:val="74F8EDD3"/>
    <w:rsid w:val="7519FB88"/>
    <w:rsid w:val="755E330E"/>
    <w:rsid w:val="7624120F"/>
    <w:rsid w:val="76988A9F"/>
    <w:rsid w:val="76A016C4"/>
    <w:rsid w:val="76B091D1"/>
    <w:rsid w:val="76E5DD11"/>
    <w:rsid w:val="77332560"/>
    <w:rsid w:val="777F3E9D"/>
    <w:rsid w:val="77D8C2B3"/>
    <w:rsid w:val="77E1D8E1"/>
    <w:rsid w:val="78926EAB"/>
    <w:rsid w:val="78D33906"/>
    <w:rsid w:val="78EE2278"/>
    <w:rsid w:val="7922B8AA"/>
    <w:rsid w:val="794931BD"/>
    <w:rsid w:val="79F8C0E4"/>
    <w:rsid w:val="79FE0219"/>
    <w:rsid w:val="7A27B975"/>
    <w:rsid w:val="7A27D807"/>
    <w:rsid w:val="7A40B816"/>
    <w:rsid w:val="7A472C7E"/>
    <w:rsid w:val="7A57CB09"/>
    <w:rsid w:val="7A884337"/>
    <w:rsid w:val="7A9FD93D"/>
    <w:rsid w:val="7AD1F61A"/>
    <w:rsid w:val="7AD4716B"/>
    <w:rsid w:val="7B49FB76"/>
    <w:rsid w:val="7B7EBA0D"/>
    <w:rsid w:val="7BD44671"/>
    <w:rsid w:val="7BF8B393"/>
    <w:rsid w:val="7C1C6A89"/>
    <w:rsid w:val="7C57966E"/>
    <w:rsid w:val="7C5AF8AA"/>
    <w:rsid w:val="7CA1C8F4"/>
    <w:rsid w:val="7CB82149"/>
    <w:rsid w:val="7D52A6A8"/>
    <w:rsid w:val="7D70BA90"/>
    <w:rsid w:val="7E080393"/>
    <w:rsid w:val="7E57A5A2"/>
    <w:rsid w:val="7E58AD70"/>
    <w:rsid w:val="7E59C21C"/>
    <w:rsid w:val="7ECCF5A5"/>
    <w:rsid w:val="7F9E8BEE"/>
    <w:rsid w:val="7FB3A18D"/>
    <w:rsid w:val="7FC94044"/>
    <w:rsid w:val="7FD8A3D9"/>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7413E"/>
  <w15:chartTrackingRefBased/>
  <w15:docId w15:val="{1E286241-F40A-490A-97C0-E2370309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3BE3"/>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7"/>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4"/>
      </w:numPr>
      <w:tabs>
        <w:tab w:val="clear" w:pos="288"/>
        <w:tab w:val="num" w:pos="360"/>
      </w:tabs>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6"/>
      </w:numPr>
      <w:adjustRightInd w:val="0"/>
      <w:snapToGrid w:val="0"/>
      <w:spacing w:before="180" w:after="60"/>
      <w:ind w:left="289" w:hanging="289"/>
      <w:jc w:val="center"/>
    </w:pPr>
    <w:rPr>
      <w:smallCaps/>
      <w:sz w:val="20"/>
    </w:rPr>
  </w:style>
  <w:style w:type="table" w:styleId="TableGrid">
    <w:name w:val="Table Grid"/>
    <w:basedOn w:val="TableNormal"/>
    <w:uiPriority w:val="39"/>
    <w:qFormat/>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3"/>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7"/>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customStyle="1" w:styleId="thesis">
    <w:name w:val="thesis"/>
    <w:basedOn w:val="NoSpacing"/>
    <w:link w:val="thesisChar"/>
    <w:qFormat/>
    <w:rsid w:val="00947BE1"/>
    <w:pPr>
      <w:spacing w:line="480" w:lineRule="auto"/>
      <w:jc w:val="both"/>
    </w:pPr>
    <w:rPr>
      <w:rFonts w:ascii="Calibri" w:eastAsia="Calibri" w:hAnsi="Calibri"/>
      <w:kern w:val="1"/>
      <w:lang w:val="x-none" w:eastAsia="ar-SA"/>
    </w:rPr>
  </w:style>
  <w:style w:type="character" w:customStyle="1" w:styleId="thesisChar">
    <w:name w:val="thesis Char"/>
    <w:link w:val="thesis"/>
    <w:rsid w:val="00947BE1"/>
    <w:rPr>
      <w:rFonts w:ascii="Calibri" w:eastAsia="Calibri" w:hAnsi="Calibri"/>
      <w:kern w:val="1"/>
      <w:sz w:val="24"/>
      <w:szCs w:val="24"/>
      <w:lang w:val="x-none" w:eastAsia="ar-SA"/>
    </w:rPr>
  </w:style>
  <w:style w:type="paragraph" w:styleId="NoSpacing">
    <w:name w:val="No Spacing"/>
    <w:link w:val="NoSpacingChar"/>
    <w:uiPriority w:val="1"/>
    <w:qFormat/>
    <w:rsid w:val="00947BE1"/>
    <w:rPr>
      <w:sz w:val="24"/>
      <w:szCs w:val="24"/>
      <w:lang w:val="en-AU" w:eastAsia="zh-CN"/>
    </w:rPr>
  </w:style>
  <w:style w:type="paragraph" w:styleId="BalloonText">
    <w:name w:val="Balloon Text"/>
    <w:basedOn w:val="Normal"/>
    <w:link w:val="BalloonTextChar"/>
    <w:rsid w:val="002B41C1"/>
    <w:rPr>
      <w:sz w:val="18"/>
      <w:szCs w:val="18"/>
    </w:rPr>
  </w:style>
  <w:style w:type="character" w:customStyle="1" w:styleId="BalloonTextChar">
    <w:name w:val="Balloon Text Char"/>
    <w:link w:val="BalloonText"/>
    <w:rsid w:val="002B41C1"/>
    <w:rPr>
      <w:sz w:val="18"/>
      <w:szCs w:val="18"/>
      <w:lang w:val="en-AU" w:eastAsia="zh-CN"/>
    </w:rPr>
  </w:style>
  <w:style w:type="character" w:styleId="Hyperlink">
    <w:name w:val="Hyperlink"/>
    <w:uiPriority w:val="99"/>
    <w:rsid w:val="00A612DC"/>
    <w:rPr>
      <w:color w:val="0563C1"/>
      <w:u w:val="single"/>
    </w:rPr>
  </w:style>
  <w:style w:type="character" w:customStyle="1" w:styleId="UnresolvedMention1">
    <w:name w:val="Unresolved Mention1"/>
    <w:uiPriority w:val="99"/>
    <w:semiHidden/>
    <w:unhideWhenUsed/>
    <w:rsid w:val="00A612DC"/>
    <w:rPr>
      <w:color w:val="605E5C"/>
      <w:shd w:val="clear" w:color="auto" w:fill="E1DFDD"/>
    </w:rPr>
  </w:style>
  <w:style w:type="paragraph" w:styleId="NormalWeb">
    <w:name w:val="Normal (Web)"/>
    <w:basedOn w:val="Normal"/>
    <w:uiPriority w:val="99"/>
    <w:unhideWhenUsed/>
    <w:rsid w:val="00790DB8"/>
    <w:pPr>
      <w:spacing w:before="100" w:beforeAutospacing="1" w:after="100" w:afterAutospacing="1"/>
    </w:pPr>
    <w:rPr>
      <w:rFonts w:eastAsia="Times New Roman"/>
      <w:lang w:val="en-PH" w:eastAsia="en-US"/>
    </w:rPr>
  </w:style>
  <w:style w:type="paragraph" w:styleId="BodyText">
    <w:name w:val="Body Text"/>
    <w:basedOn w:val="Normal"/>
    <w:link w:val="BodyTextChar"/>
    <w:uiPriority w:val="1"/>
    <w:qFormat/>
    <w:rsid w:val="0047176F"/>
    <w:pPr>
      <w:widowControl w:val="0"/>
      <w:autoSpaceDE w:val="0"/>
      <w:autoSpaceDN w:val="0"/>
    </w:pPr>
    <w:rPr>
      <w:rFonts w:eastAsia="Times New Roman"/>
      <w:lang w:val="en-US" w:eastAsia="en-US"/>
    </w:rPr>
  </w:style>
  <w:style w:type="character" w:customStyle="1" w:styleId="BodyTextChar">
    <w:name w:val="Body Text Char"/>
    <w:link w:val="BodyText"/>
    <w:uiPriority w:val="1"/>
    <w:rsid w:val="0047176F"/>
    <w:rPr>
      <w:rFonts w:eastAsia="Times New Roman"/>
      <w:sz w:val="24"/>
      <w:szCs w:val="24"/>
      <w:lang w:val="en-US"/>
    </w:rPr>
  </w:style>
  <w:style w:type="paragraph" w:styleId="Header">
    <w:name w:val="header"/>
    <w:basedOn w:val="Normal"/>
    <w:link w:val="HeaderChar"/>
    <w:rsid w:val="00193588"/>
    <w:pPr>
      <w:tabs>
        <w:tab w:val="center" w:pos="4680"/>
        <w:tab w:val="right" w:pos="9360"/>
      </w:tabs>
    </w:pPr>
  </w:style>
  <w:style w:type="character" w:customStyle="1" w:styleId="HeaderChar">
    <w:name w:val="Header Char"/>
    <w:link w:val="Header"/>
    <w:rsid w:val="00193588"/>
    <w:rPr>
      <w:sz w:val="24"/>
      <w:szCs w:val="24"/>
      <w:lang w:val="en-AU" w:eastAsia="zh-CN"/>
    </w:rPr>
  </w:style>
  <w:style w:type="paragraph" w:styleId="Footer">
    <w:name w:val="footer"/>
    <w:basedOn w:val="Normal"/>
    <w:link w:val="FooterChar"/>
    <w:uiPriority w:val="99"/>
    <w:rsid w:val="00193588"/>
    <w:pPr>
      <w:tabs>
        <w:tab w:val="center" w:pos="4680"/>
        <w:tab w:val="right" w:pos="9360"/>
      </w:tabs>
    </w:pPr>
  </w:style>
  <w:style w:type="character" w:customStyle="1" w:styleId="FooterChar">
    <w:name w:val="Footer Char"/>
    <w:link w:val="Footer"/>
    <w:uiPriority w:val="99"/>
    <w:rsid w:val="00193588"/>
    <w:rPr>
      <w:sz w:val="24"/>
      <w:szCs w:val="24"/>
      <w:lang w:val="en-AU" w:eastAsia="zh-CN"/>
    </w:rPr>
  </w:style>
  <w:style w:type="table" w:styleId="TableClassic1">
    <w:name w:val="Table Classic 1"/>
    <w:basedOn w:val="TableNormal"/>
    <w:rsid w:val="007F31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69113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986645"/>
    <w:pPr>
      <w:ind w:left="720"/>
      <w:contextualSpacing/>
    </w:pPr>
  </w:style>
  <w:style w:type="table" w:customStyle="1" w:styleId="TableGrid10">
    <w:name w:val="Table Grid1"/>
    <w:basedOn w:val="TableNormal"/>
    <w:next w:val="TableGrid"/>
    <w:uiPriority w:val="39"/>
    <w:qFormat/>
    <w:rsid w:val="00070767"/>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796"/>
    <w:rPr>
      <w:rFonts w:ascii="Arial" w:hAnsi="Arial" w:cs="Arial"/>
      <w:b/>
      <w:bCs/>
      <w:kern w:val="32"/>
      <w:sz w:val="32"/>
      <w:szCs w:val="32"/>
      <w:lang w:val="en-AU" w:eastAsia="zh-CN"/>
    </w:rPr>
  </w:style>
  <w:style w:type="paragraph" w:styleId="Bibliography">
    <w:name w:val="Bibliography"/>
    <w:basedOn w:val="Normal"/>
    <w:next w:val="Normal"/>
    <w:uiPriority w:val="37"/>
    <w:unhideWhenUsed/>
    <w:rsid w:val="00646944"/>
  </w:style>
  <w:style w:type="character" w:customStyle="1" w:styleId="NoSpacingChar">
    <w:name w:val="No Spacing Char"/>
    <w:link w:val="NoSpacing"/>
    <w:uiPriority w:val="1"/>
    <w:qFormat/>
    <w:rsid w:val="00F4035C"/>
    <w:rPr>
      <w:sz w:val="24"/>
      <w:szCs w:val="24"/>
      <w:lang w:val="en-AU" w:eastAsia="zh-CN"/>
    </w:rPr>
  </w:style>
  <w:style w:type="character" w:customStyle="1" w:styleId="mord">
    <w:name w:val="mord"/>
    <w:basedOn w:val="DefaultParagraphFont"/>
    <w:rsid w:val="005C6B12"/>
  </w:style>
  <w:style w:type="character" w:customStyle="1" w:styleId="mrel">
    <w:name w:val="mrel"/>
    <w:basedOn w:val="DefaultParagraphFont"/>
    <w:rsid w:val="005C6B12"/>
  </w:style>
  <w:style w:type="character" w:customStyle="1" w:styleId="mopen">
    <w:name w:val="mopen"/>
    <w:basedOn w:val="DefaultParagraphFont"/>
    <w:rsid w:val="005C6B12"/>
  </w:style>
  <w:style w:type="character" w:customStyle="1" w:styleId="mop">
    <w:name w:val="mop"/>
    <w:basedOn w:val="DefaultParagraphFont"/>
    <w:rsid w:val="005C6B12"/>
  </w:style>
  <w:style w:type="character" w:customStyle="1" w:styleId="mclose">
    <w:name w:val="mclose"/>
    <w:basedOn w:val="DefaultParagraphFont"/>
    <w:rsid w:val="005C6B12"/>
  </w:style>
  <w:style w:type="character" w:customStyle="1" w:styleId="mbin">
    <w:name w:val="mbin"/>
    <w:basedOn w:val="DefaultParagraphFont"/>
    <w:rsid w:val="005C6B12"/>
  </w:style>
  <w:style w:type="character" w:styleId="Strong">
    <w:name w:val="Strong"/>
    <w:basedOn w:val="DefaultParagraphFont"/>
    <w:uiPriority w:val="22"/>
    <w:qFormat/>
    <w:rsid w:val="005C6B12"/>
    <w:rPr>
      <w:b/>
      <w:bCs/>
    </w:rPr>
  </w:style>
  <w:style w:type="character" w:styleId="Emphasis">
    <w:name w:val="Emphasis"/>
    <w:basedOn w:val="DefaultParagraphFont"/>
    <w:uiPriority w:val="20"/>
    <w:qFormat/>
    <w:rsid w:val="00487498"/>
    <w:rPr>
      <w:i/>
      <w:iCs/>
    </w:rPr>
  </w:style>
  <w:style w:type="character" w:styleId="UnresolvedMention">
    <w:name w:val="Unresolved Mention"/>
    <w:basedOn w:val="DefaultParagraphFont"/>
    <w:uiPriority w:val="99"/>
    <w:semiHidden/>
    <w:unhideWhenUsed/>
    <w:rsid w:val="00A274FA"/>
    <w:rPr>
      <w:color w:val="605E5C"/>
      <w:shd w:val="clear" w:color="auto" w:fill="E1DFDD"/>
    </w:rPr>
  </w:style>
  <w:style w:type="character" w:styleId="PlaceholderText">
    <w:name w:val="Placeholder Text"/>
    <w:basedOn w:val="DefaultParagraphFont"/>
    <w:uiPriority w:val="99"/>
    <w:semiHidden/>
    <w:rsid w:val="00606243"/>
    <w:rPr>
      <w:color w:val="666666"/>
    </w:rPr>
  </w:style>
  <w:style w:type="table" w:styleId="PlainTable4">
    <w:name w:val="Plain Table 4"/>
    <w:basedOn w:val="TableNormal"/>
    <w:uiPriority w:val="44"/>
    <w:rsid w:val="00B134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1341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98165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3703">
      <w:bodyDiv w:val="1"/>
      <w:marLeft w:val="0"/>
      <w:marRight w:val="0"/>
      <w:marTop w:val="0"/>
      <w:marBottom w:val="0"/>
      <w:divBdr>
        <w:top w:val="none" w:sz="0" w:space="0" w:color="auto"/>
        <w:left w:val="none" w:sz="0" w:space="0" w:color="auto"/>
        <w:bottom w:val="none" w:sz="0" w:space="0" w:color="auto"/>
        <w:right w:val="none" w:sz="0" w:space="0" w:color="auto"/>
      </w:divBdr>
    </w:div>
    <w:div w:id="19481116">
      <w:bodyDiv w:val="1"/>
      <w:marLeft w:val="0"/>
      <w:marRight w:val="0"/>
      <w:marTop w:val="0"/>
      <w:marBottom w:val="0"/>
      <w:divBdr>
        <w:top w:val="none" w:sz="0" w:space="0" w:color="auto"/>
        <w:left w:val="none" w:sz="0" w:space="0" w:color="auto"/>
        <w:bottom w:val="none" w:sz="0" w:space="0" w:color="auto"/>
        <w:right w:val="none" w:sz="0" w:space="0" w:color="auto"/>
      </w:divBdr>
    </w:div>
    <w:div w:id="28846880">
      <w:bodyDiv w:val="1"/>
      <w:marLeft w:val="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74328383">
      <w:bodyDiv w:val="1"/>
      <w:marLeft w:val="0"/>
      <w:marRight w:val="0"/>
      <w:marTop w:val="0"/>
      <w:marBottom w:val="0"/>
      <w:divBdr>
        <w:top w:val="none" w:sz="0" w:space="0" w:color="auto"/>
        <w:left w:val="none" w:sz="0" w:space="0" w:color="auto"/>
        <w:bottom w:val="none" w:sz="0" w:space="0" w:color="auto"/>
        <w:right w:val="none" w:sz="0" w:space="0" w:color="auto"/>
      </w:divBdr>
    </w:div>
    <w:div w:id="95030628">
      <w:bodyDiv w:val="1"/>
      <w:marLeft w:val="0"/>
      <w:marRight w:val="0"/>
      <w:marTop w:val="0"/>
      <w:marBottom w:val="0"/>
      <w:divBdr>
        <w:top w:val="none" w:sz="0" w:space="0" w:color="auto"/>
        <w:left w:val="none" w:sz="0" w:space="0" w:color="auto"/>
        <w:bottom w:val="none" w:sz="0" w:space="0" w:color="auto"/>
        <w:right w:val="none" w:sz="0" w:space="0" w:color="auto"/>
      </w:divBdr>
    </w:div>
    <w:div w:id="112678064">
      <w:bodyDiv w:val="1"/>
      <w:marLeft w:val="0"/>
      <w:marRight w:val="0"/>
      <w:marTop w:val="0"/>
      <w:marBottom w:val="0"/>
      <w:divBdr>
        <w:top w:val="none" w:sz="0" w:space="0" w:color="auto"/>
        <w:left w:val="none" w:sz="0" w:space="0" w:color="auto"/>
        <w:bottom w:val="none" w:sz="0" w:space="0" w:color="auto"/>
        <w:right w:val="none" w:sz="0" w:space="0" w:color="auto"/>
      </w:divBdr>
    </w:div>
    <w:div w:id="151027612">
      <w:bodyDiv w:val="1"/>
      <w:marLeft w:val="0"/>
      <w:marRight w:val="0"/>
      <w:marTop w:val="0"/>
      <w:marBottom w:val="0"/>
      <w:divBdr>
        <w:top w:val="none" w:sz="0" w:space="0" w:color="auto"/>
        <w:left w:val="none" w:sz="0" w:space="0" w:color="auto"/>
        <w:bottom w:val="none" w:sz="0" w:space="0" w:color="auto"/>
        <w:right w:val="none" w:sz="0" w:space="0" w:color="auto"/>
      </w:divBdr>
    </w:div>
    <w:div w:id="163666565">
      <w:bodyDiv w:val="1"/>
      <w:marLeft w:val="0"/>
      <w:marRight w:val="0"/>
      <w:marTop w:val="0"/>
      <w:marBottom w:val="0"/>
      <w:divBdr>
        <w:top w:val="none" w:sz="0" w:space="0" w:color="auto"/>
        <w:left w:val="none" w:sz="0" w:space="0" w:color="auto"/>
        <w:bottom w:val="none" w:sz="0" w:space="0" w:color="auto"/>
        <w:right w:val="none" w:sz="0" w:space="0" w:color="auto"/>
      </w:divBdr>
    </w:div>
    <w:div w:id="170529408">
      <w:bodyDiv w:val="1"/>
      <w:marLeft w:val="0"/>
      <w:marRight w:val="0"/>
      <w:marTop w:val="0"/>
      <w:marBottom w:val="0"/>
      <w:divBdr>
        <w:top w:val="none" w:sz="0" w:space="0" w:color="auto"/>
        <w:left w:val="none" w:sz="0" w:space="0" w:color="auto"/>
        <w:bottom w:val="none" w:sz="0" w:space="0" w:color="auto"/>
        <w:right w:val="none" w:sz="0" w:space="0" w:color="auto"/>
      </w:divBdr>
    </w:div>
    <w:div w:id="215623317">
      <w:bodyDiv w:val="1"/>
      <w:marLeft w:val="0"/>
      <w:marRight w:val="0"/>
      <w:marTop w:val="0"/>
      <w:marBottom w:val="0"/>
      <w:divBdr>
        <w:top w:val="none" w:sz="0" w:space="0" w:color="auto"/>
        <w:left w:val="none" w:sz="0" w:space="0" w:color="auto"/>
        <w:bottom w:val="none" w:sz="0" w:space="0" w:color="auto"/>
        <w:right w:val="none" w:sz="0" w:space="0" w:color="auto"/>
      </w:divBdr>
    </w:div>
    <w:div w:id="215628390">
      <w:bodyDiv w:val="1"/>
      <w:marLeft w:val="0"/>
      <w:marRight w:val="0"/>
      <w:marTop w:val="0"/>
      <w:marBottom w:val="0"/>
      <w:divBdr>
        <w:top w:val="none" w:sz="0" w:space="0" w:color="auto"/>
        <w:left w:val="none" w:sz="0" w:space="0" w:color="auto"/>
        <w:bottom w:val="none" w:sz="0" w:space="0" w:color="auto"/>
        <w:right w:val="none" w:sz="0" w:space="0" w:color="auto"/>
      </w:divBdr>
    </w:div>
    <w:div w:id="217474632">
      <w:bodyDiv w:val="1"/>
      <w:marLeft w:val="0"/>
      <w:marRight w:val="0"/>
      <w:marTop w:val="0"/>
      <w:marBottom w:val="0"/>
      <w:divBdr>
        <w:top w:val="none" w:sz="0" w:space="0" w:color="auto"/>
        <w:left w:val="none" w:sz="0" w:space="0" w:color="auto"/>
        <w:bottom w:val="none" w:sz="0" w:space="0" w:color="auto"/>
        <w:right w:val="none" w:sz="0" w:space="0" w:color="auto"/>
      </w:divBdr>
    </w:div>
    <w:div w:id="218908246">
      <w:bodyDiv w:val="1"/>
      <w:marLeft w:val="0"/>
      <w:marRight w:val="0"/>
      <w:marTop w:val="0"/>
      <w:marBottom w:val="0"/>
      <w:divBdr>
        <w:top w:val="none" w:sz="0" w:space="0" w:color="auto"/>
        <w:left w:val="none" w:sz="0" w:space="0" w:color="auto"/>
        <w:bottom w:val="none" w:sz="0" w:space="0" w:color="auto"/>
        <w:right w:val="none" w:sz="0" w:space="0" w:color="auto"/>
      </w:divBdr>
    </w:div>
    <w:div w:id="265817584">
      <w:bodyDiv w:val="1"/>
      <w:marLeft w:val="0"/>
      <w:marRight w:val="0"/>
      <w:marTop w:val="0"/>
      <w:marBottom w:val="0"/>
      <w:divBdr>
        <w:top w:val="none" w:sz="0" w:space="0" w:color="auto"/>
        <w:left w:val="none" w:sz="0" w:space="0" w:color="auto"/>
        <w:bottom w:val="none" w:sz="0" w:space="0" w:color="auto"/>
        <w:right w:val="none" w:sz="0" w:space="0" w:color="auto"/>
      </w:divBdr>
    </w:div>
    <w:div w:id="267153741">
      <w:bodyDiv w:val="1"/>
      <w:marLeft w:val="0"/>
      <w:marRight w:val="0"/>
      <w:marTop w:val="0"/>
      <w:marBottom w:val="0"/>
      <w:divBdr>
        <w:top w:val="none" w:sz="0" w:space="0" w:color="auto"/>
        <w:left w:val="none" w:sz="0" w:space="0" w:color="auto"/>
        <w:bottom w:val="none" w:sz="0" w:space="0" w:color="auto"/>
        <w:right w:val="none" w:sz="0" w:space="0" w:color="auto"/>
      </w:divBdr>
    </w:div>
    <w:div w:id="285089796">
      <w:bodyDiv w:val="1"/>
      <w:marLeft w:val="0"/>
      <w:marRight w:val="0"/>
      <w:marTop w:val="0"/>
      <w:marBottom w:val="0"/>
      <w:divBdr>
        <w:top w:val="none" w:sz="0" w:space="0" w:color="auto"/>
        <w:left w:val="none" w:sz="0" w:space="0" w:color="auto"/>
        <w:bottom w:val="none" w:sz="0" w:space="0" w:color="auto"/>
        <w:right w:val="none" w:sz="0" w:space="0" w:color="auto"/>
      </w:divBdr>
    </w:div>
    <w:div w:id="292715990">
      <w:bodyDiv w:val="1"/>
      <w:marLeft w:val="0"/>
      <w:marRight w:val="0"/>
      <w:marTop w:val="0"/>
      <w:marBottom w:val="0"/>
      <w:divBdr>
        <w:top w:val="none" w:sz="0" w:space="0" w:color="auto"/>
        <w:left w:val="none" w:sz="0" w:space="0" w:color="auto"/>
        <w:bottom w:val="none" w:sz="0" w:space="0" w:color="auto"/>
        <w:right w:val="none" w:sz="0" w:space="0" w:color="auto"/>
      </w:divBdr>
    </w:div>
    <w:div w:id="302783278">
      <w:bodyDiv w:val="1"/>
      <w:marLeft w:val="0"/>
      <w:marRight w:val="0"/>
      <w:marTop w:val="0"/>
      <w:marBottom w:val="0"/>
      <w:divBdr>
        <w:top w:val="none" w:sz="0" w:space="0" w:color="auto"/>
        <w:left w:val="none" w:sz="0" w:space="0" w:color="auto"/>
        <w:bottom w:val="none" w:sz="0" w:space="0" w:color="auto"/>
        <w:right w:val="none" w:sz="0" w:space="0" w:color="auto"/>
      </w:divBdr>
    </w:div>
    <w:div w:id="309287218">
      <w:bodyDiv w:val="1"/>
      <w:marLeft w:val="0"/>
      <w:marRight w:val="0"/>
      <w:marTop w:val="0"/>
      <w:marBottom w:val="0"/>
      <w:divBdr>
        <w:top w:val="none" w:sz="0" w:space="0" w:color="auto"/>
        <w:left w:val="none" w:sz="0" w:space="0" w:color="auto"/>
        <w:bottom w:val="none" w:sz="0" w:space="0" w:color="auto"/>
        <w:right w:val="none" w:sz="0" w:space="0" w:color="auto"/>
      </w:divBdr>
    </w:div>
    <w:div w:id="315915410">
      <w:bodyDiv w:val="1"/>
      <w:marLeft w:val="0"/>
      <w:marRight w:val="0"/>
      <w:marTop w:val="0"/>
      <w:marBottom w:val="0"/>
      <w:divBdr>
        <w:top w:val="none" w:sz="0" w:space="0" w:color="auto"/>
        <w:left w:val="none" w:sz="0" w:space="0" w:color="auto"/>
        <w:bottom w:val="none" w:sz="0" w:space="0" w:color="auto"/>
        <w:right w:val="none" w:sz="0" w:space="0" w:color="auto"/>
      </w:divBdr>
    </w:div>
    <w:div w:id="316229097">
      <w:bodyDiv w:val="1"/>
      <w:marLeft w:val="0"/>
      <w:marRight w:val="0"/>
      <w:marTop w:val="0"/>
      <w:marBottom w:val="0"/>
      <w:divBdr>
        <w:top w:val="none" w:sz="0" w:space="0" w:color="auto"/>
        <w:left w:val="none" w:sz="0" w:space="0" w:color="auto"/>
        <w:bottom w:val="none" w:sz="0" w:space="0" w:color="auto"/>
        <w:right w:val="none" w:sz="0" w:space="0" w:color="auto"/>
      </w:divBdr>
    </w:div>
    <w:div w:id="317922457">
      <w:bodyDiv w:val="1"/>
      <w:marLeft w:val="0"/>
      <w:marRight w:val="0"/>
      <w:marTop w:val="0"/>
      <w:marBottom w:val="0"/>
      <w:divBdr>
        <w:top w:val="none" w:sz="0" w:space="0" w:color="auto"/>
        <w:left w:val="none" w:sz="0" w:space="0" w:color="auto"/>
        <w:bottom w:val="none" w:sz="0" w:space="0" w:color="auto"/>
        <w:right w:val="none" w:sz="0" w:space="0" w:color="auto"/>
      </w:divBdr>
    </w:div>
    <w:div w:id="324403917">
      <w:bodyDiv w:val="1"/>
      <w:marLeft w:val="0"/>
      <w:marRight w:val="0"/>
      <w:marTop w:val="0"/>
      <w:marBottom w:val="0"/>
      <w:divBdr>
        <w:top w:val="none" w:sz="0" w:space="0" w:color="auto"/>
        <w:left w:val="none" w:sz="0" w:space="0" w:color="auto"/>
        <w:bottom w:val="none" w:sz="0" w:space="0" w:color="auto"/>
        <w:right w:val="none" w:sz="0" w:space="0" w:color="auto"/>
      </w:divBdr>
    </w:div>
    <w:div w:id="326641429">
      <w:bodyDiv w:val="1"/>
      <w:marLeft w:val="0"/>
      <w:marRight w:val="0"/>
      <w:marTop w:val="0"/>
      <w:marBottom w:val="0"/>
      <w:divBdr>
        <w:top w:val="none" w:sz="0" w:space="0" w:color="auto"/>
        <w:left w:val="none" w:sz="0" w:space="0" w:color="auto"/>
        <w:bottom w:val="none" w:sz="0" w:space="0" w:color="auto"/>
        <w:right w:val="none" w:sz="0" w:space="0" w:color="auto"/>
      </w:divBdr>
    </w:div>
    <w:div w:id="332270104">
      <w:bodyDiv w:val="1"/>
      <w:marLeft w:val="0"/>
      <w:marRight w:val="0"/>
      <w:marTop w:val="0"/>
      <w:marBottom w:val="0"/>
      <w:divBdr>
        <w:top w:val="none" w:sz="0" w:space="0" w:color="auto"/>
        <w:left w:val="none" w:sz="0" w:space="0" w:color="auto"/>
        <w:bottom w:val="none" w:sz="0" w:space="0" w:color="auto"/>
        <w:right w:val="none" w:sz="0" w:space="0" w:color="auto"/>
      </w:divBdr>
    </w:div>
    <w:div w:id="333341196">
      <w:bodyDiv w:val="1"/>
      <w:marLeft w:val="0"/>
      <w:marRight w:val="0"/>
      <w:marTop w:val="0"/>
      <w:marBottom w:val="0"/>
      <w:divBdr>
        <w:top w:val="none" w:sz="0" w:space="0" w:color="auto"/>
        <w:left w:val="none" w:sz="0" w:space="0" w:color="auto"/>
        <w:bottom w:val="none" w:sz="0" w:space="0" w:color="auto"/>
        <w:right w:val="none" w:sz="0" w:space="0" w:color="auto"/>
      </w:divBdr>
    </w:div>
    <w:div w:id="390229790">
      <w:bodyDiv w:val="1"/>
      <w:marLeft w:val="0"/>
      <w:marRight w:val="0"/>
      <w:marTop w:val="0"/>
      <w:marBottom w:val="0"/>
      <w:divBdr>
        <w:top w:val="none" w:sz="0" w:space="0" w:color="auto"/>
        <w:left w:val="none" w:sz="0" w:space="0" w:color="auto"/>
        <w:bottom w:val="none" w:sz="0" w:space="0" w:color="auto"/>
        <w:right w:val="none" w:sz="0" w:space="0" w:color="auto"/>
      </w:divBdr>
    </w:div>
    <w:div w:id="421100288">
      <w:bodyDiv w:val="1"/>
      <w:marLeft w:val="0"/>
      <w:marRight w:val="0"/>
      <w:marTop w:val="0"/>
      <w:marBottom w:val="0"/>
      <w:divBdr>
        <w:top w:val="none" w:sz="0" w:space="0" w:color="auto"/>
        <w:left w:val="none" w:sz="0" w:space="0" w:color="auto"/>
        <w:bottom w:val="none" w:sz="0" w:space="0" w:color="auto"/>
        <w:right w:val="none" w:sz="0" w:space="0" w:color="auto"/>
      </w:divBdr>
    </w:div>
    <w:div w:id="441263363">
      <w:bodyDiv w:val="1"/>
      <w:marLeft w:val="0"/>
      <w:marRight w:val="0"/>
      <w:marTop w:val="0"/>
      <w:marBottom w:val="0"/>
      <w:divBdr>
        <w:top w:val="none" w:sz="0" w:space="0" w:color="auto"/>
        <w:left w:val="none" w:sz="0" w:space="0" w:color="auto"/>
        <w:bottom w:val="none" w:sz="0" w:space="0" w:color="auto"/>
        <w:right w:val="none" w:sz="0" w:space="0" w:color="auto"/>
      </w:divBdr>
    </w:div>
    <w:div w:id="446117649">
      <w:bodyDiv w:val="1"/>
      <w:marLeft w:val="0"/>
      <w:marRight w:val="0"/>
      <w:marTop w:val="0"/>
      <w:marBottom w:val="0"/>
      <w:divBdr>
        <w:top w:val="none" w:sz="0" w:space="0" w:color="auto"/>
        <w:left w:val="none" w:sz="0" w:space="0" w:color="auto"/>
        <w:bottom w:val="none" w:sz="0" w:space="0" w:color="auto"/>
        <w:right w:val="none" w:sz="0" w:space="0" w:color="auto"/>
      </w:divBdr>
    </w:div>
    <w:div w:id="477848444">
      <w:bodyDiv w:val="1"/>
      <w:marLeft w:val="0"/>
      <w:marRight w:val="0"/>
      <w:marTop w:val="0"/>
      <w:marBottom w:val="0"/>
      <w:divBdr>
        <w:top w:val="none" w:sz="0" w:space="0" w:color="auto"/>
        <w:left w:val="none" w:sz="0" w:space="0" w:color="auto"/>
        <w:bottom w:val="none" w:sz="0" w:space="0" w:color="auto"/>
        <w:right w:val="none" w:sz="0" w:space="0" w:color="auto"/>
      </w:divBdr>
    </w:div>
    <w:div w:id="534851714">
      <w:bodyDiv w:val="1"/>
      <w:marLeft w:val="0"/>
      <w:marRight w:val="0"/>
      <w:marTop w:val="0"/>
      <w:marBottom w:val="0"/>
      <w:divBdr>
        <w:top w:val="none" w:sz="0" w:space="0" w:color="auto"/>
        <w:left w:val="none" w:sz="0" w:space="0" w:color="auto"/>
        <w:bottom w:val="none" w:sz="0" w:space="0" w:color="auto"/>
        <w:right w:val="none" w:sz="0" w:space="0" w:color="auto"/>
      </w:divBdr>
    </w:div>
    <w:div w:id="544876304">
      <w:bodyDiv w:val="1"/>
      <w:marLeft w:val="0"/>
      <w:marRight w:val="0"/>
      <w:marTop w:val="0"/>
      <w:marBottom w:val="0"/>
      <w:divBdr>
        <w:top w:val="none" w:sz="0" w:space="0" w:color="auto"/>
        <w:left w:val="none" w:sz="0" w:space="0" w:color="auto"/>
        <w:bottom w:val="none" w:sz="0" w:space="0" w:color="auto"/>
        <w:right w:val="none" w:sz="0" w:space="0" w:color="auto"/>
      </w:divBdr>
    </w:div>
    <w:div w:id="561526676">
      <w:bodyDiv w:val="1"/>
      <w:marLeft w:val="0"/>
      <w:marRight w:val="0"/>
      <w:marTop w:val="0"/>
      <w:marBottom w:val="0"/>
      <w:divBdr>
        <w:top w:val="none" w:sz="0" w:space="0" w:color="auto"/>
        <w:left w:val="none" w:sz="0" w:space="0" w:color="auto"/>
        <w:bottom w:val="none" w:sz="0" w:space="0" w:color="auto"/>
        <w:right w:val="none" w:sz="0" w:space="0" w:color="auto"/>
      </w:divBdr>
    </w:div>
    <w:div w:id="562833374">
      <w:bodyDiv w:val="1"/>
      <w:marLeft w:val="0"/>
      <w:marRight w:val="0"/>
      <w:marTop w:val="0"/>
      <w:marBottom w:val="0"/>
      <w:divBdr>
        <w:top w:val="none" w:sz="0" w:space="0" w:color="auto"/>
        <w:left w:val="none" w:sz="0" w:space="0" w:color="auto"/>
        <w:bottom w:val="none" w:sz="0" w:space="0" w:color="auto"/>
        <w:right w:val="none" w:sz="0" w:space="0" w:color="auto"/>
      </w:divBdr>
    </w:div>
    <w:div w:id="581597663">
      <w:bodyDiv w:val="1"/>
      <w:marLeft w:val="0"/>
      <w:marRight w:val="0"/>
      <w:marTop w:val="0"/>
      <w:marBottom w:val="0"/>
      <w:divBdr>
        <w:top w:val="none" w:sz="0" w:space="0" w:color="auto"/>
        <w:left w:val="none" w:sz="0" w:space="0" w:color="auto"/>
        <w:bottom w:val="none" w:sz="0" w:space="0" w:color="auto"/>
        <w:right w:val="none" w:sz="0" w:space="0" w:color="auto"/>
      </w:divBdr>
    </w:div>
    <w:div w:id="585767120">
      <w:bodyDiv w:val="1"/>
      <w:marLeft w:val="0"/>
      <w:marRight w:val="0"/>
      <w:marTop w:val="0"/>
      <w:marBottom w:val="0"/>
      <w:divBdr>
        <w:top w:val="none" w:sz="0" w:space="0" w:color="auto"/>
        <w:left w:val="none" w:sz="0" w:space="0" w:color="auto"/>
        <w:bottom w:val="none" w:sz="0" w:space="0" w:color="auto"/>
        <w:right w:val="none" w:sz="0" w:space="0" w:color="auto"/>
      </w:divBdr>
    </w:div>
    <w:div w:id="629439473">
      <w:bodyDiv w:val="1"/>
      <w:marLeft w:val="0"/>
      <w:marRight w:val="0"/>
      <w:marTop w:val="0"/>
      <w:marBottom w:val="0"/>
      <w:divBdr>
        <w:top w:val="none" w:sz="0" w:space="0" w:color="auto"/>
        <w:left w:val="none" w:sz="0" w:space="0" w:color="auto"/>
        <w:bottom w:val="none" w:sz="0" w:space="0" w:color="auto"/>
        <w:right w:val="none" w:sz="0" w:space="0" w:color="auto"/>
      </w:divBdr>
    </w:div>
    <w:div w:id="719136167">
      <w:bodyDiv w:val="1"/>
      <w:marLeft w:val="0"/>
      <w:marRight w:val="0"/>
      <w:marTop w:val="0"/>
      <w:marBottom w:val="0"/>
      <w:divBdr>
        <w:top w:val="none" w:sz="0" w:space="0" w:color="auto"/>
        <w:left w:val="none" w:sz="0" w:space="0" w:color="auto"/>
        <w:bottom w:val="none" w:sz="0" w:space="0" w:color="auto"/>
        <w:right w:val="none" w:sz="0" w:space="0" w:color="auto"/>
      </w:divBdr>
    </w:div>
    <w:div w:id="753206149">
      <w:bodyDiv w:val="1"/>
      <w:marLeft w:val="0"/>
      <w:marRight w:val="0"/>
      <w:marTop w:val="0"/>
      <w:marBottom w:val="0"/>
      <w:divBdr>
        <w:top w:val="none" w:sz="0" w:space="0" w:color="auto"/>
        <w:left w:val="none" w:sz="0" w:space="0" w:color="auto"/>
        <w:bottom w:val="none" w:sz="0" w:space="0" w:color="auto"/>
        <w:right w:val="none" w:sz="0" w:space="0" w:color="auto"/>
      </w:divBdr>
    </w:div>
    <w:div w:id="779178643">
      <w:bodyDiv w:val="1"/>
      <w:marLeft w:val="0"/>
      <w:marRight w:val="0"/>
      <w:marTop w:val="0"/>
      <w:marBottom w:val="0"/>
      <w:divBdr>
        <w:top w:val="none" w:sz="0" w:space="0" w:color="auto"/>
        <w:left w:val="none" w:sz="0" w:space="0" w:color="auto"/>
        <w:bottom w:val="none" w:sz="0" w:space="0" w:color="auto"/>
        <w:right w:val="none" w:sz="0" w:space="0" w:color="auto"/>
      </w:divBdr>
    </w:div>
    <w:div w:id="806241090">
      <w:bodyDiv w:val="1"/>
      <w:marLeft w:val="0"/>
      <w:marRight w:val="0"/>
      <w:marTop w:val="0"/>
      <w:marBottom w:val="0"/>
      <w:divBdr>
        <w:top w:val="none" w:sz="0" w:space="0" w:color="auto"/>
        <w:left w:val="none" w:sz="0" w:space="0" w:color="auto"/>
        <w:bottom w:val="none" w:sz="0" w:space="0" w:color="auto"/>
        <w:right w:val="none" w:sz="0" w:space="0" w:color="auto"/>
      </w:divBdr>
    </w:div>
    <w:div w:id="848717766">
      <w:bodyDiv w:val="1"/>
      <w:marLeft w:val="0"/>
      <w:marRight w:val="0"/>
      <w:marTop w:val="0"/>
      <w:marBottom w:val="0"/>
      <w:divBdr>
        <w:top w:val="none" w:sz="0" w:space="0" w:color="auto"/>
        <w:left w:val="none" w:sz="0" w:space="0" w:color="auto"/>
        <w:bottom w:val="none" w:sz="0" w:space="0" w:color="auto"/>
        <w:right w:val="none" w:sz="0" w:space="0" w:color="auto"/>
      </w:divBdr>
    </w:div>
    <w:div w:id="888686120">
      <w:bodyDiv w:val="1"/>
      <w:marLeft w:val="0"/>
      <w:marRight w:val="0"/>
      <w:marTop w:val="0"/>
      <w:marBottom w:val="0"/>
      <w:divBdr>
        <w:top w:val="none" w:sz="0" w:space="0" w:color="auto"/>
        <w:left w:val="none" w:sz="0" w:space="0" w:color="auto"/>
        <w:bottom w:val="none" w:sz="0" w:space="0" w:color="auto"/>
        <w:right w:val="none" w:sz="0" w:space="0" w:color="auto"/>
      </w:divBdr>
    </w:div>
    <w:div w:id="890267204">
      <w:bodyDiv w:val="1"/>
      <w:marLeft w:val="0"/>
      <w:marRight w:val="0"/>
      <w:marTop w:val="0"/>
      <w:marBottom w:val="0"/>
      <w:divBdr>
        <w:top w:val="none" w:sz="0" w:space="0" w:color="auto"/>
        <w:left w:val="none" w:sz="0" w:space="0" w:color="auto"/>
        <w:bottom w:val="none" w:sz="0" w:space="0" w:color="auto"/>
        <w:right w:val="none" w:sz="0" w:space="0" w:color="auto"/>
      </w:divBdr>
    </w:div>
    <w:div w:id="901451967">
      <w:bodyDiv w:val="1"/>
      <w:marLeft w:val="0"/>
      <w:marRight w:val="0"/>
      <w:marTop w:val="0"/>
      <w:marBottom w:val="0"/>
      <w:divBdr>
        <w:top w:val="none" w:sz="0" w:space="0" w:color="auto"/>
        <w:left w:val="none" w:sz="0" w:space="0" w:color="auto"/>
        <w:bottom w:val="none" w:sz="0" w:space="0" w:color="auto"/>
        <w:right w:val="none" w:sz="0" w:space="0" w:color="auto"/>
      </w:divBdr>
    </w:div>
    <w:div w:id="906577057">
      <w:bodyDiv w:val="1"/>
      <w:marLeft w:val="0"/>
      <w:marRight w:val="0"/>
      <w:marTop w:val="0"/>
      <w:marBottom w:val="0"/>
      <w:divBdr>
        <w:top w:val="none" w:sz="0" w:space="0" w:color="auto"/>
        <w:left w:val="none" w:sz="0" w:space="0" w:color="auto"/>
        <w:bottom w:val="none" w:sz="0" w:space="0" w:color="auto"/>
        <w:right w:val="none" w:sz="0" w:space="0" w:color="auto"/>
      </w:divBdr>
    </w:div>
    <w:div w:id="940457233">
      <w:bodyDiv w:val="1"/>
      <w:marLeft w:val="0"/>
      <w:marRight w:val="0"/>
      <w:marTop w:val="0"/>
      <w:marBottom w:val="0"/>
      <w:divBdr>
        <w:top w:val="none" w:sz="0" w:space="0" w:color="auto"/>
        <w:left w:val="none" w:sz="0" w:space="0" w:color="auto"/>
        <w:bottom w:val="none" w:sz="0" w:space="0" w:color="auto"/>
        <w:right w:val="none" w:sz="0" w:space="0" w:color="auto"/>
      </w:divBdr>
    </w:div>
    <w:div w:id="955020666">
      <w:bodyDiv w:val="1"/>
      <w:marLeft w:val="0"/>
      <w:marRight w:val="0"/>
      <w:marTop w:val="0"/>
      <w:marBottom w:val="0"/>
      <w:divBdr>
        <w:top w:val="none" w:sz="0" w:space="0" w:color="auto"/>
        <w:left w:val="none" w:sz="0" w:space="0" w:color="auto"/>
        <w:bottom w:val="none" w:sz="0" w:space="0" w:color="auto"/>
        <w:right w:val="none" w:sz="0" w:space="0" w:color="auto"/>
      </w:divBdr>
    </w:div>
    <w:div w:id="996877830">
      <w:bodyDiv w:val="1"/>
      <w:marLeft w:val="0"/>
      <w:marRight w:val="0"/>
      <w:marTop w:val="0"/>
      <w:marBottom w:val="0"/>
      <w:divBdr>
        <w:top w:val="none" w:sz="0" w:space="0" w:color="auto"/>
        <w:left w:val="none" w:sz="0" w:space="0" w:color="auto"/>
        <w:bottom w:val="none" w:sz="0" w:space="0" w:color="auto"/>
        <w:right w:val="none" w:sz="0" w:space="0" w:color="auto"/>
      </w:divBdr>
    </w:div>
    <w:div w:id="998534196">
      <w:bodyDiv w:val="1"/>
      <w:marLeft w:val="0"/>
      <w:marRight w:val="0"/>
      <w:marTop w:val="0"/>
      <w:marBottom w:val="0"/>
      <w:divBdr>
        <w:top w:val="none" w:sz="0" w:space="0" w:color="auto"/>
        <w:left w:val="none" w:sz="0" w:space="0" w:color="auto"/>
        <w:bottom w:val="none" w:sz="0" w:space="0" w:color="auto"/>
        <w:right w:val="none" w:sz="0" w:space="0" w:color="auto"/>
      </w:divBdr>
    </w:div>
    <w:div w:id="1016730090">
      <w:bodyDiv w:val="1"/>
      <w:marLeft w:val="0"/>
      <w:marRight w:val="0"/>
      <w:marTop w:val="0"/>
      <w:marBottom w:val="0"/>
      <w:divBdr>
        <w:top w:val="none" w:sz="0" w:space="0" w:color="auto"/>
        <w:left w:val="none" w:sz="0" w:space="0" w:color="auto"/>
        <w:bottom w:val="none" w:sz="0" w:space="0" w:color="auto"/>
        <w:right w:val="none" w:sz="0" w:space="0" w:color="auto"/>
      </w:divBdr>
    </w:div>
    <w:div w:id="1044132878">
      <w:bodyDiv w:val="1"/>
      <w:marLeft w:val="0"/>
      <w:marRight w:val="0"/>
      <w:marTop w:val="0"/>
      <w:marBottom w:val="0"/>
      <w:divBdr>
        <w:top w:val="none" w:sz="0" w:space="0" w:color="auto"/>
        <w:left w:val="none" w:sz="0" w:space="0" w:color="auto"/>
        <w:bottom w:val="none" w:sz="0" w:space="0" w:color="auto"/>
        <w:right w:val="none" w:sz="0" w:space="0" w:color="auto"/>
      </w:divBdr>
    </w:div>
    <w:div w:id="1113865562">
      <w:bodyDiv w:val="1"/>
      <w:marLeft w:val="0"/>
      <w:marRight w:val="0"/>
      <w:marTop w:val="0"/>
      <w:marBottom w:val="0"/>
      <w:divBdr>
        <w:top w:val="none" w:sz="0" w:space="0" w:color="auto"/>
        <w:left w:val="none" w:sz="0" w:space="0" w:color="auto"/>
        <w:bottom w:val="none" w:sz="0" w:space="0" w:color="auto"/>
        <w:right w:val="none" w:sz="0" w:space="0" w:color="auto"/>
      </w:divBdr>
    </w:div>
    <w:div w:id="1127040980">
      <w:bodyDiv w:val="1"/>
      <w:marLeft w:val="0"/>
      <w:marRight w:val="0"/>
      <w:marTop w:val="0"/>
      <w:marBottom w:val="0"/>
      <w:divBdr>
        <w:top w:val="none" w:sz="0" w:space="0" w:color="auto"/>
        <w:left w:val="none" w:sz="0" w:space="0" w:color="auto"/>
        <w:bottom w:val="none" w:sz="0" w:space="0" w:color="auto"/>
        <w:right w:val="none" w:sz="0" w:space="0" w:color="auto"/>
      </w:divBdr>
    </w:div>
    <w:div w:id="1144202498">
      <w:bodyDiv w:val="1"/>
      <w:marLeft w:val="0"/>
      <w:marRight w:val="0"/>
      <w:marTop w:val="0"/>
      <w:marBottom w:val="0"/>
      <w:divBdr>
        <w:top w:val="none" w:sz="0" w:space="0" w:color="auto"/>
        <w:left w:val="none" w:sz="0" w:space="0" w:color="auto"/>
        <w:bottom w:val="none" w:sz="0" w:space="0" w:color="auto"/>
        <w:right w:val="none" w:sz="0" w:space="0" w:color="auto"/>
      </w:divBdr>
    </w:div>
    <w:div w:id="1150250320">
      <w:bodyDiv w:val="1"/>
      <w:marLeft w:val="0"/>
      <w:marRight w:val="0"/>
      <w:marTop w:val="0"/>
      <w:marBottom w:val="0"/>
      <w:divBdr>
        <w:top w:val="none" w:sz="0" w:space="0" w:color="auto"/>
        <w:left w:val="none" w:sz="0" w:space="0" w:color="auto"/>
        <w:bottom w:val="none" w:sz="0" w:space="0" w:color="auto"/>
        <w:right w:val="none" w:sz="0" w:space="0" w:color="auto"/>
      </w:divBdr>
    </w:div>
    <w:div w:id="1206677237">
      <w:bodyDiv w:val="1"/>
      <w:marLeft w:val="0"/>
      <w:marRight w:val="0"/>
      <w:marTop w:val="0"/>
      <w:marBottom w:val="0"/>
      <w:divBdr>
        <w:top w:val="none" w:sz="0" w:space="0" w:color="auto"/>
        <w:left w:val="none" w:sz="0" w:space="0" w:color="auto"/>
        <w:bottom w:val="none" w:sz="0" w:space="0" w:color="auto"/>
        <w:right w:val="none" w:sz="0" w:space="0" w:color="auto"/>
      </w:divBdr>
    </w:div>
    <w:div w:id="1212497129">
      <w:bodyDiv w:val="1"/>
      <w:marLeft w:val="0"/>
      <w:marRight w:val="0"/>
      <w:marTop w:val="0"/>
      <w:marBottom w:val="0"/>
      <w:divBdr>
        <w:top w:val="none" w:sz="0" w:space="0" w:color="auto"/>
        <w:left w:val="none" w:sz="0" w:space="0" w:color="auto"/>
        <w:bottom w:val="none" w:sz="0" w:space="0" w:color="auto"/>
        <w:right w:val="none" w:sz="0" w:space="0" w:color="auto"/>
      </w:divBdr>
    </w:div>
    <w:div w:id="1248610471">
      <w:bodyDiv w:val="1"/>
      <w:marLeft w:val="0"/>
      <w:marRight w:val="0"/>
      <w:marTop w:val="0"/>
      <w:marBottom w:val="0"/>
      <w:divBdr>
        <w:top w:val="none" w:sz="0" w:space="0" w:color="auto"/>
        <w:left w:val="none" w:sz="0" w:space="0" w:color="auto"/>
        <w:bottom w:val="none" w:sz="0" w:space="0" w:color="auto"/>
        <w:right w:val="none" w:sz="0" w:space="0" w:color="auto"/>
      </w:divBdr>
    </w:div>
    <w:div w:id="1268349002">
      <w:bodyDiv w:val="1"/>
      <w:marLeft w:val="0"/>
      <w:marRight w:val="0"/>
      <w:marTop w:val="0"/>
      <w:marBottom w:val="0"/>
      <w:divBdr>
        <w:top w:val="none" w:sz="0" w:space="0" w:color="auto"/>
        <w:left w:val="none" w:sz="0" w:space="0" w:color="auto"/>
        <w:bottom w:val="none" w:sz="0" w:space="0" w:color="auto"/>
        <w:right w:val="none" w:sz="0" w:space="0" w:color="auto"/>
      </w:divBdr>
    </w:div>
    <w:div w:id="1281113128">
      <w:bodyDiv w:val="1"/>
      <w:marLeft w:val="0"/>
      <w:marRight w:val="0"/>
      <w:marTop w:val="0"/>
      <w:marBottom w:val="0"/>
      <w:divBdr>
        <w:top w:val="none" w:sz="0" w:space="0" w:color="auto"/>
        <w:left w:val="none" w:sz="0" w:space="0" w:color="auto"/>
        <w:bottom w:val="none" w:sz="0" w:space="0" w:color="auto"/>
        <w:right w:val="none" w:sz="0" w:space="0" w:color="auto"/>
      </w:divBdr>
    </w:div>
    <w:div w:id="1293563170">
      <w:bodyDiv w:val="1"/>
      <w:marLeft w:val="0"/>
      <w:marRight w:val="0"/>
      <w:marTop w:val="0"/>
      <w:marBottom w:val="0"/>
      <w:divBdr>
        <w:top w:val="none" w:sz="0" w:space="0" w:color="auto"/>
        <w:left w:val="none" w:sz="0" w:space="0" w:color="auto"/>
        <w:bottom w:val="none" w:sz="0" w:space="0" w:color="auto"/>
        <w:right w:val="none" w:sz="0" w:space="0" w:color="auto"/>
      </w:divBdr>
    </w:div>
    <w:div w:id="1347713139">
      <w:bodyDiv w:val="1"/>
      <w:marLeft w:val="0"/>
      <w:marRight w:val="0"/>
      <w:marTop w:val="0"/>
      <w:marBottom w:val="0"/>
      <w:divBdr>
        <w:top w:val="none" w:sz="0" w:space="0" w:color="auto"/>
        <w:left w:val="none" w:sz="0" w:space="0" w:color="auto"/>
        <w:bottom w:val="none" w:sz="0" w:space="0" w:color="auto"/>
        <w:right w:val="none" w:sz="0" w:space="0" w:color="auto"/>
      </w:divBdr>
    </w:div>
    <w:div w:id="1360858847">
      <w:bodyDiv w:val="1"/>
      <w:marLeft w:val="0"/>
      <w:marRight w:val="0"/>
      <w:marTop w:val="0"/>
      <w:marBottom w:val="0"/>
      <w:divBdr>
        <w:top w:val="none" w:sz="0" w:space="0" w:color="auto"/>
        <w:left w:val="none" w:sz="0" w:space="0" w:color="auto"/>
        <w:bottom w:val="none" w:sz="0" w:space="0" w:color="auto"/>
        <w:right w:val="none" w:sz="0" w:space="0" w:color="auto"/>
      </w:divBdr>
    </w:div>
    <w:div w:id="1366756416">
      <w:bodyDiv w:val="1"/>
      <w:marLeft w:val="0"/>
      <w:marRight w:val="0"/>
      <w:marTop w:val="0"/>
      <w:marBottom w:val="0"/>
      <w:divBdr>
        <w:top w:val="none" w:sz="0" w:space="0" w:color="auto"/>
        <w:left w:val="none" w:sz="0" w:space="0" w:color="auto"/>
        <w:bottom w:val="none" w:sz="0" w:space="0" w:color="auto"/>
        <w:right w:val="none" w:sz="0" w:space="0" w:color="auto"/>
      </w:divBdr>
    </w:div>
    <w:div w:id="1369256730">
      <w:bodyDiv w:val="1"/>
      <w:marLeft w:val="0"/>
      <w:marRight w:val="0"/>
      <w:marTop w:val="0"/>
      <w:marBottom w:val="0"/>
      <w:divBdr>
        <w:top w:val="none" w:sz="0" w:space="0" w:color="auto"/>
        <w:left w:val="none" w:sz="0" w:space="0" w:color="auto"/>
        <w:bottom w:val="none" w:sz="0" w:space="0" w:color="auto"/>
        <w:right w:val="none" w:sz="0" w:space="0" w:color="auto"/>
      </w:divBdr>
    </w:div>
    <w:div w:id="1384711724">
      <w:bodyDiv w:val="1"/>
      <w:marLeft w:val="0"/>
      <w:marRight w:val="0"/>
      <w:marTop w:val="0"/>
      <w:marBottom w:val="0"/>
      <w:divBdr>
        <w:top w:val="none" w:sz="0" w:space="0" w:color="auto"/>
        <w:left w:val="none" w:sz="0" w:space="0" w:color="auto"/>
        <w:bottom w:val="none" w:sz="0" w:space="0" w:color="auto"/>
        <w:right w:val="none" w:sz="0" w:space="0" w:color="auto"/>
      </w:divBdr>
    </w:div>
    <w:div w:id="1405832484">
      <w:bodyDiv w:val="1"/>
      <w:marLeft w:val="0"/>
      <w:marRight w:val="0"/>
      <w:marTop w:val="0"/>
      <w:marBottom w:val="0"/>
      <w:divBdr>
        <w:top w:val="none" w:sz="0" w:space="0" w:color="auto"/>
        <w:left w:val="none" w:sz="0" w:space="0" w:color="auto"/>
        <w:bottom w:val="none" w:sz="0" w:space="0" w:color="auto"/>
        <w:right w:val="none" w:sz="0" w:space="0" w:color="auto"/>
      </w:divBdr>
    </w:div>
    <w:div w:id="1408529814">
      <w:bodyDiv w:val="1"/>
      <w:marLeft w:val="0"/>
      <w:marRight w:val="0"/>
      <w:marTop w:val="0"/>
      <w:marBottom w:val="0"/>
      <w:divBdr>
        <w:top w:val="none" w:sz="0" w:space="0" w:color="auto"/>
        <w:left w:val="none" w:sz="0" w:space="0" w:color="auto"/>
        <w:bottom w:val="none" w:sz="0" w:space="0" w:color="auto"/>
        <w:right w:val="none" w:sz="0" w:space="0" w:color="auto"/>
      </w:divBdr>
    </w:div>
    <w:div w:id="1414427626">
      <w:bodyDiv w:val="1"/>
      <w:marLeft w:val="0"/>
      <w:marRight w:val="0"/>
      <w:marTop w:val="0"/>
      <w:marBottom w:val="0"/>
      <w:divBdr>
        <w:top w:val="none" w:sz="0" w:space="0" w:color="auto"/>
        <w:left w:val="none" w:sz="0" w:space="0" w:color="auto"/>
        <w:bottom w:val="none" w:sz="0" w:space="0" w:color="auto"/>
        <w:right w:val="none" w:sz="0" w:space="0" w:color="auto"/>
      </w:divBdr>
    </w:div>
    <w:div w:id="1417899694">
      <w:bodyDiv w:val="1"/>
      <w:marLeft w:val="0"/>
      <w:marRight w:val="0"/>
      <w:marTop w:val="0"/>
      <w:marBottom w:val="0"/>
      <w:divBdr>
        <w:top w:val="none" w:sz="0" w:space="0" w:color="auto"/>
        <w:left w:val="none" w:sz="0" w:space="0" w:color="auto"/>
        <w:bottom w:val="none" w:sz="0" w:space="0" w:color="auto"/>
        <w:right w:val="none" w:sz="0" w:space="0" w:color="auto"/>
      </w:divBdr>
    </w:div>
    <w:div w:id="1420785505">
      <w:bodyDiv w:val="1"/>
      <w:marLeft w:val="0"/>
      <w:marRight w:val="0"/>
      <w:marTop w:val="0"/>
      <w:marBottom w:val="0"/>
      <w:divBdr>
        <w:top w:val="none" w:sz="0" w:space="0" w:color="auto"/>
        <w:left w:val="none" w:sz="0" w:space="0" w:color="auto"/>
        <w:bottom w:val="none" w:sz="0" w:space="0" w:color="auto"/>
        <w:right w:val="none" w:sz="0" w:space="0" w:color="auto"/>
      </w:divBdr>
    </w:div>
    <w:div w:id="1459105684">
      <w:bodyDiv w:val="1"/>
      <w:marLeft w:val="0"/>
      <w:marRight w:val="0"/>
      <w:marTop w:val="0"/>
      <w:marBottom w:val="0"/>
      <w:divBdr>
        <w:top w:val="none" w:sz="0" w:space="0" w:color="auto"/>
        <w:left w:val="none" w:sz="0" w:space="0" w:color="auto"/>
        <w:bottom w:val="none" w:sz="0" w:space="0" w:color="auto"/>
        <w:right w:val="none" w:sz="0" w:space="0" w:color="auto"/>
      </w:divBdr>
    </w:div>
    <w:div w:id="1511025681">
      <w:bodyDiv w:val="1"/>
      <w:marLeft w:val="0"/>
      <w:marRight w:val="0"/>
      <w:marTop w:val="0"/>
      <w:marBottom w:val="0"/>
      <w:divBdr>
        <w:top w:val="none" w:sz="0" w:space="0" w:color="auto"/>
        <w:left w:val="none" w:sz="0" w:space="0" w:color="auto"/>
        <w:bottom w:val="none" w:sz="0" w:space="0" w:color="auto"/>
        <w:right w:val="none" w:sz="0" w:space="0" w:color="auto"/>
      </w:divBdr>
    </w:div>
    <w:div w:id="1546329933">
      <w:bodyDiv w:val="1"/>
      <w:marLeft w:val="0"/>
      <w:marRight w:val="0"/>
      <w:marTop w:val="0"/>
      <w:marBottom w:val="0"/>
      <w:divBdr>
        <w:top w:val="none" w:sz="0" w:space="0" w:color="auto"/>
        <w:left w:val="none" w:sz="0" w:space="0" w:color="auto"/>
        <w:bottom w:val="none" w:sz="0" w:space="0" w:color="auto"/>
        <w:right w:val="none" w:sz="0" w:space="0" w:color="auto"/>
      </w:divBdr>
    </w:div>
    <w:div w:id="1558281822">
      <w:bodyDiv w:val="1"/>
      <w:marLeft w:val="0"/>
      <w:marRight w:val="0"/>
      <w:marTop w:val="0"/>
      <w:marBottom w:val="0"/>
      <w:divBdr>
        <w:top w:val="none" w:sz="0" w:space="0" w:color="auto"/>
        <w:left w:val="none" w:sz="0" w:space="0" w:color="auto"/>
        <w:bottom w:val="none" w:sz="0" w:space="0" w:color="auto"/>
        <w:right w:val="none" w:sz="0" w:space="0" w:color="auto"/>
      </w:divBdr>
    </w:div>
    <w:div w:id="1571385227">
      <w:bodyDiv w:val="1"/>
      <w:marLeft w:val="0"/>
      <w:marRight w:val="0"/>
      <w:marTop w:val="0"/>
      <w:marBottom w:val="0"/>
      <w:divBdr>
        <w:top w:val="none" w:sz="0" w:space="0" w:color="auto"/>
        <w:left w:val="none" w:sz="0" w:space="0" w:color="auto"/>
        <w:bottom w:val="none" w:sz="0" w:space="0" w:color="auto"/>
        <w:right w:val="none" w:sz="0" w:space="0" w:color="auto"/>
      </w:divBdr>
    </w:div>
    <w:div w:id="1577088623">
      <w:bodyDiv w:val="1"/>
      <w:marLeft w:val="0"/>
      <w:marRight w:val="0"/>
      <w:marTop w:val="0"/>
      <w:marBottom w:val="0"/>
      <w:divBdr>
        <w:top w:val="none" w:sz="0" w:space="0" w:color="auto"/>
        <w:left w:val="none" w:sz="0" w:space="0" w:color="auto"/>
        <w:bottom w:val="none" w:sz="0" w:space="0" w:color="auto"/>
        <w:right w:val="none" w:sz="0" w:space="0" w:color="auto"/>
      </w:divBdr>
    </w:div>
    <w:div w:id="1603295681">
      <w:bodyDiv w:val="1"/>
      <w:marLeft w:val="0"/>
      <w:marRight w:val="0"/>
      <w:marTop w:val="0"/>
      <w:marBottom w:val="0"/>
      <w:divBdr>
        <w:top w:val="none" w:sz="0" w:space="0" w:color="auto"/>
        <w:left w:val="none" w:sz="0" w:space="0" w:color="auto"/>
        <w:bottom w:val="none" w:sz="0" w:space="0" w:color="auto"/>
        <w:right w:val="none" w:sz="0" w:space="0" w:color="auto"/>
      </w:divBdr>
    </w:div>
    <w:div w:id="1605336424">
      <w:bodyDiv w:val="1"/>
      <w:marLeft w:val="0"/>
      <w:marRight w:val="0"/>
      <w:marTop w:val="0"/>
      <w:marBottom w:val="0"/>
      <w:divBdr>
        <w:top w:val="none" w:sz="0" w:space="0" w:color="auto"/>
        <w:left w:val="none" w:sz="0" w:space="0" w:color="auto"/>
        <w:bottom w:val="none" w:sz="0" w:space="0" w:color="auto"/>
        <w:right w:val="none" w:sz="0" w:space="0" w:color="auto"/>
      </w:divBdr>
    </w:div>
    <w:div w:id="1617638548">
      <w:bodyDiv w:val="1"/>
      <w:marLeft w:val="0"/>
      <w:marRight w:val="0"/>
      <w:marTop w:val="0"/>
      <w:marBottom w:val="0"/>
      <w:divBdr>
        <w:top w:val="none" w:sz="0" w:space="0" w:color="auto"/>
        <w:left w:val="none" w:sz="0" w:space="0" w:color="auto"/>
        <w:bottom w:val="none" w:sz="0" w:space="0" w:color="auto"/>
        <w:right w:val="none" w:sz="0" w:space="0" w:color="auto"/>
      </w:divBdr>
    </w:div>
    <w:div w:id="1622954238">
      <w:bodyDiv w:val="1"/>
      <w:marLeft w:val="0"/>
      <w:marRight w:val="0"/>
      <w:marTop w:val="0"/>
      <w:marBottom w:val="0"/>
      <w:divBdr>
        <w:top w:val="none" w:sz="0" w:space="0" w:color="auto"/>
        <w:left w:val="none" w:sz="0" w:space="0" w:color="auto"/>
        <w:bottom w:val="none" w:sz="0" w:space="0" w:color="auto"/>
        <w:right w:val="none" w:sz="0" w:space="0" w:color="auto"/>
      </w:divBdr>
    </w:div>
    <w:div w:id="1650741231">
      <w:bodyDiv w:val="1"/>
      <w:marLeft w:val="0"/>
      <w:marRight w:val="0"/>
      <w:marTop w:val="0"/>
      <w:marBottom w:val="0"/>
      <w:divBdr>
        <w:top w:val="none" w:sz="0" w:space="0" w:color="auto"/>
        <w:left w:val="none" w:sz="0" w:space="0" w:color="auto"/>
        <w:bottom w:val="none" w:sz="0" w:space="0" w:color="auto"/>
        <w:right w:val="none" w:sz="0" w:space="0" w:color="auto"/>
      </w:divBdr>
    </w:div>
    <w:div w:id="1663125286">
      <w:bodyDiv w:val="1"/>
      <w:marLeft w:val="0"/>
      <w:marRight w:val="0"/>
      <w:marTop w:val="0"/>
      <w:marBottom w:val="0"/>
      <w:divBdr>
        <w:top w:val="none" w:sz="0" w:space="0" w:color="auto"/>
        <w:left w:val="none" w:sz="0" w:space="0" w:color="auto"/>
        <w:bottom w:val="none" w:sz="0" w:space="0" w:color="auto"/>
        <w:right w:val="none" w:sz="0" w:space="0" w:color="auto"/>
      </w:divBdr>
    </w:div>
    <w:div w:id="1664745501">
      <w:bodyDiv w:val="1"/>
      <w:marLeft w:val="0"/>
      <w:marRight w:val="0"/>
      <w:marTop w:val="0"/>
      <w:marBottom w:val="0"/>
      <w:divBdr>
        <w:top w:val="none" w:sz="0" w:space="0" w:color="auto"/>
        <w:left w:val="none" w:sz="0" w:space="0" w:color="auto"/>
        <w:bottom w:val="none" w:sz="0" w:space="0" w:color="auto"/>
        <w:right w:val="none" w:sz="0" w:space="0" w:color="auto"/>
      </w:divBdr>
    </w:div>
    <w:div w:id="1704675957">
      <w:bodyDiv w:val="1"/>
      <w:marLeft w:val="0"/>
      <w:marRight w:val="0"/>
      <w:marTop w:val="0"/>
      <w:marBottom w:val="0"/>
      <w:divBdr>
        <w:top w:val="none" w:sz="0" w:space="0" w:color="auto"/>
        <w:left w:val="none" w:sz="0" w:space="0" w:color="auto"/>
        <w:bottom w:val="none" w:sz="0" w:space="0" w:color="auto"/>
        <w:right w:val="none" w:sz="0" w:space="0" w:color="auto"/>
      </w:divBdr>
    </w:div>
    <w:div w:id="1711372344">
      <w:bodyDiv w:val="1"/>
      <w:marLeft w:val="0"/>
      <w:marRight w:val="0"/>
      <w:marTop w:val="0"/>
      <w:marBottom w:val="0"/>
      <w:divBdr>
        <w:top w:val="none" w:sz="0" w:space="0" w:color="auto"/>
        <w:left w:val="none" w:sz="0" w:space="0" w:color="auto"/>
        <w:bottom w:val="none" w:sz="0" w:space="0" w:color="auto"/>
        <w:right w:val="none" w:sz="0" w:space="0" w:color="auto"/>
      </w:divBdr>
    </w:div>
    <w:div w:id="1713725799">
      <w:bodyDiv w:val="1"/>
      <w:marLeft w:val="0"/>
      <w:marRight w:val="0"/>
      <w:marTop w:val="0"/>
      <w:marBottom w:val="0"/>
      <w:divBdr>
        <w:top w:val="none" w:sz="0" w:space="0" w:color="auto"/>
        <w:left w:val="none" w:sz="0" w:space="0" w:color="auto"/>
        <w:bottom w:val="none" w:sz="0" w:space="0" w:color="auto"/>
        <w:right w:val="none" w:sz="0" w:space="0" w:color="auto"/>
      </w:divBdr>
    </w:div>
    <w:div w:id="1746106227">
      <w:bodyDiv w:val="1"/>
      <w:marLeft w:val="0"/>
      <w:marRight w:val="0"/>
      <w:marTop w:val="0"/>
      <w:marBottom w:val="0"/>
      <w:divBdr>
        <w:top w:val="none" w:sz="0" w:space="0" w:color="auto"/>
        <w:left w:val="none" w:sz="0" w:space="0" w:color="auto"/>
        <w:bottom w:val="none" w:sz="0" w:space="0" w:color="auto"/>
        <w:right w:val="none" w:sz="0" w:space="0" w:color="auto"/>
      </w:divBdr>
    </w:div>
    <w:div w:id="1754349507">
      <w:bodyDiv w:val="1"/>
      <w:marLeft w:val="0"/>
      <w:marRight w:val="0"/>
      <w:marTop w:val="0"/>
      <w:marBottom w:val="0"/>
      <w:divBdr>
        <w:top w:val="none" w:sz="0" w:space="0" w:color="auto"/>
        <w:left w:val="none" w:sz="0" w:space="0" w:color="auto"/>
        <w:bottom w:val="none" w:sz="0" w:space="0" w:color="auto"/>
        <w:right w:val="none" w:sz="0" w:space="0" w:color="auto"/>
      </w:divBdr>
    </w:div>
    <w:div w:id="1757631042">
      <w:bodyDiv w:val="1"/>
      <w:marLeft w:val="0"/>
      <w:marRight w:val="0"/>
      <w:marTop w:val="0"/>
      <w:marBottom w:val="0"/>
      <w:divBdr>
        <w:top w:val="none" w:sz="0" w:space="0" w:color="auto"/>
        <w:left w:val="none" w:sz="0" w:space="0" w:color="auto"/>
        <w:bottom w:val="none" w:sz="0" w:space="0" w:color="auto"/>
        <w:right w:val="none" w:sz="0" w:space="0" w:color="auto"/>
      </w:divBdr>
    </w:div>
    <w:div w:id="1768503681">
      <w:bodyDiv w:val="1"/>
      <w:marLeft w:val="0"/>
      <w:marRight w:val="0"/>
      <w:marTop w:val="0"/>
      <w:marBottom w:val="0"/>
      <w:divBdr>
        <w:top w:val="none" w:sz="0" w:space="0" w:color="auto"/>
        <w:left w:val="none" w:sz="0" w:space="0" w:color="auto"/>
        <w:bottom w:val="none" w:sz="0" w:space="0" w:color="auto"/>
        <w:right w:val="none" w:sz="0" w:space="0" w:color="auto"/>
      </w:divBdr>
    </w:div>
    <w:div w:id="1785004972">
      <w:bodyDiv w:val="1"/>
      <w:marLeft w:val="0"/>
      <w:marRight w:val="0"/>
      <w:marTop w:val="0"/>
      <w:marBottom w:val="0"/>
      <w:divBdr>
        <w:top w:val="none" w:sz="0" w:space="0" w:color="auto"/>
        <w:left w:val="none" w:sz="0" w:space="0" w:color="auto"/>
        <w:bottom w:val="none" w:sz="0" w:space="0" w:color="auto"/>
        <w:right w:val="none" w:sz="0" w:space="0" w:color="auto"/>
      </w:divBdr>
    </w:div>
    <w:div w:id="1793398168">
      <w:bodyDiv w:val="1"/>
      <w:marLeft w:val="0"/>
      <w:marRight w:val="0"/>
      <w:marTop w:val="0"/>
      <w:marBottom w:val="0"/>
      <w:divBdr>
        <w:top w:val="none" w:sz="0" w:space="0" w:color="auto"/>
        <w:left w:val="none" w:sz="0" w:space="0" w:color="auto"/>
        <w:bottom w:val="none" w:sz="0" w:space="0" w:color="auto"/>
        <w:right w:val="none" w:sz="0" w:space="0" w:color="auto"/>
      </w:divBdr>
    </w:div>
    <w:div w:id="1796371204">
      <w:bodyDiv w:val="1"/>
      <w:marLeft w:val="0"/>
      <w:marRight w:val="0"/>
      <w:marTop w:val="0"/>
      <w:marBottom w:val="0"/>
      <w:divBdr>
        <w:top w:val="none" w:sz="0" w:space="0" w:color="auto"/>
        <w:left w:val="none" w:sz="0" w:space="0" w:color="auto"/>
        <w:bottom w:val="none" w:sz="0" w:space="0" w:color="auto"/>
        <w:right w:val="none" w:sz="0" w:space="0" w:color="auto"/>
      </w:divBdr>
    </w:div>
    <w:div w:id="1804468322">
      <w:bodyDiv w:val="1"/>
      <w:marLeft w:val="0"/>
      <w:marRight w:val="0"/>
      <w:marTop w:val="0"/>
      <w:marBottom w:val="0"/>
      <w:divBdr>
        <w:top w:val="none" w:sz="0" w:space="0" w:color="auto"/>
        <w:left w:val="none" w:sz="0" w:space="0" w:color="auto"/>
        <w:bottom w:val="none" w:sz="0" w:space="0" w:color="auto"/>
        <w:right w:val="none" w:sz="0" w:space="0" w:color="auto"/>
      </w:divBdr>
    </w:div>
    <w:div w:id="1819034973">
      <w:bodyDiv w:val="1"/>
      <w:marLeft w:val="0"/>
      <w:marRight w:val="0"/>
      <w:marTop w:val="0"/>
      <w:marBottom w:val="0"/>
      <w:divBdr>
        <w:top w:val="none" w:sz="0" w:space="0" w:color="auto"/>
        <w:left w:val="none" w:sz="0" w:space="0" w:color="auto"/>
        <w:bottom w:val="none" w:sz="0" w:space="0" w:color="auto"/>
        <w:right w:val="none" w:sz="0" w:space="0" w:color="auto"/>
      </w:divBdr>
    </w:div>
    <w:div w:id="1823890767">
      <w:bodyDiv w:val="1"/>
      <w:marLeft w:val="0"/>
      <w:marRight w:val="0"/>
      <w:marTop w:val="0"/>
      <w:marBottom w:val="0"/>
      <w:divBdr>
        <w:top w:val="none" w:sz="0" w:space="0" w:color="auto"/>
        <w:left w:val="none" w:sz="0" w:space="0" w:color="auto"/>
        <w:bottom w:val="none" w:sz="0" w:space="0" w:color="auto"/>
        <w:right w:val="none" w:sz="0" w:space="0" w:color="auto"/>
      </w:divBdr>
    </w:div>
    <w:div w:id="1903834769">
      <w:bodyDiv w:val="1"/>
      <w:marLeft w:val="0"/>
      <w:marRight w:val="0"/>
      <w:marTop w:val="0"/>
      <w:marBottom w:val="0"/>
      <w:divBdr>
        <w:top w:val="none" w:sz="0" w:space="0" w:color="auto"/>
        <w:left w:val="none" w:sz="0" w:space="0" w:color="auto"/>
        <w:bottom w:val="none" w:sz="0" w:space="0" w:color="auto"/>
        <w:right w:val="none" w:sz="0" w:space="0" w:color="auto"/>
      </w:divBdr>
    </w:div>
    <w:div w:id="1923371659">
      <w:bodyDiv w:val="1"/>
      <w:marLeft w:val="0"/>
      <w:marRight w:val="0"/>
      <w:marTop w:val="0"/>
      <w:marBottom w:val="0"/>
      <w:divBdr>
        <w:top w:val="none" w:sz="0" w:space="0" w:color="auto"/>
        <w:left w:val="none" w:sz="0" w:space="0" w:color="auto"/>
        <w:bottom w:val="none" w:sz="0" w:space="0" w:color="auto"/>
        <w:right w:val="none" w:sz="0" w:space="0" w:color="auto"/>
      </w:divBdr>
    </w:div>
    <w:div w:id="1981107721">
      <w:bodyDiv w:val="1"/>
      <w:marLeft w:val="0"/>
      <w:marRight w:val="0"/>
      <w:marTop w:val="0"/>
      <w:marBottom w:val="0"/>
      <w:divBdr>
        <w:top w:val="none" w:sz="0" w:space="0" w:color="auto"/>
        <w:left w:val="none" w:sz="0" w:space="0" w:color="auto"/>
        <w:bottom w:val="none" w:sz="0" w:space="0" w:color="auto"/>
        <w:right w:val="none" w:sz="0" w:space="0" w:color="auto"/>
      </w:divBdr>
      <w:divsChild>
        <w:div w:id="1916817723">
          <w:marLeft w:val="0"/>
          <w:marRight w:val="0"/>
          <w:marTop w:val="0"/>
          <w:marBottom w:val="0"/>
          <w:divBdr>
            <w:top w:val="none" w:sz="0" w:space="0" w:color="auto"/>
            <w:left w:val="none" w:sz="0" w:space="0" w:color="auto"/>
            <w:bottom w:val="none" w:sz="0" w:space="0" w:color="auto"/>
            <w:right w:val="none" w:sz="0" w:space="0" w:color="auto"/>
          </w:divBdr>
          <w:divsChild>
            <w:div w:id="669410741">
              <w:marLeft w:val="0"/>
              <w:marRight w:val="0"/>
              <w:marTop w:val="0"/>
              <w:marBottom w:val="0"/>
              <w:divBdr>
                <w:top w:val="none" w:sz="0" w:space="0" w:color="auto"/>
                <w:left w:val="none" w:sz="0" w:space="0" w:color="auto"/>
                <w:bottom w:val="none" w:sz="0" w:space="0" w:color="auto"/>
                <w:right w:val="none" w:sz="0" w:space="0" w:color="auto"/>
              </w:divBdr>
              <w:divsChild>
                <w:div w:id="1004748075">
                  <w:marLeft w:val="0"/>
                  <w:marRight w:val="0"/>
                  <w:marTop w:val="0"/>
                  <w:marBottom w:val="0"/>
                  <w:divBdr>
                    <w:top w:val="none" w:sz="0" w:space="0" w:color="auto"/>
                    <w:left w:val="none" w:sz="0" w:space="0" w:color="auto"/>
                    <w:bottom w:val="none" w:sz="0" w:space="0" w:color="auto"/>
                    <w:right w:val="none" w:sz="0" w:space="0" w:color="auto"/>
                  </w:divBdr>
                  <w:divsChild>
                    <w:div w:id="479348712">
                      <w:marLeft w:val="0"/>
                      <w:marRight w:val="0"/>
                      <w:marTop w:val="0"/>
                      <w:marBottom w:val="0"/>
                      <w:divBdr>
                        <w:top w:val="none" w:sz="0" w:space="0" w:color="auto"/>
                        <w:left w:val="none" w:sz="0" w:space="0" w:color="auto"/>
                        <w:bottom w:val="none" w:sz="0" w:space="0" w:color="auto"/>
                        <w:right w:val="none" w:sz="0" w:space="0" w:color="auto"/>
                      </w:divBdr>
                      <w:divsChild>
                        <w:div w:id="1962494205">
                          <w:marLeft w:val="0"/>
                          <w:marRight w:val="0"/>
                          <w:marTop w:val="0"/>
                          <w:marBottom w:val="0"/>
                          <w:divBdr>
                            <w:top w:val="none" w:sz="0" w:space="0" w:color="auto"/>
                            <w:left w:val="none" w:sz="0" w:space="0" w:color="auto"/>
                            <w:bottom w:val="none" w:sz="0" w:space="0" w:color="auto"/>
                            <w:right w:val="none" w:sz="0" w:space="0" w:color="auto"/>
                          </w:divBdr>
                          <w:divsChild>
                            <w:div w:id="10435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677369">
      <w:bodyDiv w:val="1"/>
      <w:marLeft w:val="0"/>
      <w:marRight w:val="0"/>
      <w:marTop w:val="0"/>
      <w:marBottom w:val="0"/>
      <w:divBdr>
        <w:top w:val="none" w:sz="0" w:space="0" w:color="auto"/>
        <w:left w:val="none" w:sz="0" w:space="0" w:color="auto"/>
        <w:bottom w:val="none" w:sz="0" w:space="0" w:color="auto"/>
        <w:right w:val="none" w:sz="0" w:space="0" w:color="auto"/>
      </w:divBdr>
    </w:div>
    <w:div w:id="2012488499">
      <w:bodyDiv w:val="1"/>
      <w:marLeft w:val="0"/>
      <w:marRight w:val="0"/>
      <w:marTop w:val="0"/>
      <w:marBottom w:val="0"/>
      <w:divBdr>
        <w:top w:val="none" w:sz="0" w:space="0" w:color="auto"/>
        <w:left w:val="none" w:sz="0" w:space="0" w:color="auto"/>
        <w:bottom w:val="none" w:sz="0" w:space="0" w:color="auto"/>
        <w:right w:val="none" w:sz="0" w:space="0" w:color="auto"/>
      </w:divBdr>
    </w:div>
    <w:div w:id="2012876021">
      <w:bodyDiv w:val="1"/>
      <w:marLeft w:val="0"/>
      <w:marRight w:val="0"/>
      <w:marTop w:val="0"/>
      <w:marBottom w:val="0"/>
      <w:divBdr>
        <w:top w:val="none" w:sz="0" w:space="0" w:color="auto"/>
        <w:left w:val="none" w:sz="0" w:space="0" w:color="auto"/>
        <w:bottom w:val="none" w:sz="0" w:space="0" w:color="auto"/>
        <w:right w:val="none" w:sz="0" w:space="0" w:color="auto"/>
      </w:divBdr>
    </w:div>
    <w:div w:id="2022200710">
      <w:bodyDiv w:val="1"/>
      <w:marLeft w:val="0"/>
      <w:marRight w:val="0"/>
      <w:marTop w:val="0"/>
      <w:marBottom w:val="0"/>
      <w:divBdr>
        <w:top w:val="none" w:sz="0" w:space="0" w:color="auto"/>
        <w:left w:val="none" w:sz="0" w:space="0" w:color="auto"/>
        <w:bottom w:val="none" w:sz="0" w:space="0" w:color="auto"/>
        <w:right w:val="none" w:sz="0" w:space="0" w:color="auto"/>
      </w:divBdr>
    </w:div>
    <w:div w:id="2036541670">
      <w:bodyDiv w:val="1"/>
      <w:marLeft w:val="0"/>
      <w:marRight w:val="0"/>
      <w:marTop w:val="0"/>
      <w:marBottom w:val="0"/>
      <w:divBdr>
        <w:top w:val="none" w:sz="0" w:space="0" w:color="auto"/>
        <w:left w:val="none" w:sz="0" w:space="0" w:color="auto"/>
        <w:bottom w:val="none" w:sz="0" w:space="0" w:color="auto"/>
        <w:right w:val="none" w:sz="0" w:space="0" w:color="auto"/>
      </w:divBdr>
    </w:div>
    <w:div w:id="2048681066">
      <w:bodyDiv w:val="1"/>
      <w:marLeft w:val="0"/>
      <w:marRight w:val="0"/>
      <w:marTop w:val="0"/>
      <w:marBottom w:val="0"/>
      <w:divBdr>
        <w:top w:val="none" w:sz="0" w:space="0" w:color="auto"/>
        <w:left w:val="none" w:sz="0" w:space="0" w:color="auto"/>
        <w:bottom w:val="none" w:sz="0" w:space="0" w:color="auto"/>
        <w:right w:val="none" w:sz="0" w:space="0" w:color="auto"/>
      </w:divBdr>
    </w:div>
    <w:div w:id="2054962134">
      <w:bodyDiv w:val="1"/>
      <w:marLeft w:val="0"/>
      <w:marRight w:val="0"/>
      <w:marTop w:val="0"/>
      <w:marBottom w:val="0"/>
      <w:divBdr>
        <w:top w:val="none" w:sz="0" w:space="0" w:color="auto"/>
        <w:left w:val="none" w:sz="0" w:space="0" w:color="auto"/>
        <w:bottom w:val="none" w:sz="0" w:space="0" w:color="auto"/>
        <w:right w:val="none" w:sz="0" w:space="0" w:color="auto"/>
      </w:divBdr>
    </w:div>
    <w:div w:id="2062753749">
      <w:bodyDiv w:val="1"/>
      <w:marLeft w:val="0"/>
      <w:marRight w:val="0"/>
      <w:marTop w:val="0"/>
      <w:marBottom w:val="0"/>
      <w:divBdr>
        <w:top w:val="none" w:sz="0" w:space="0" w:color="auto"/>
        <w:left w:val="none" w:sz="0" w:space="0" w:color="auto"/>
        <w:bottom w:val="none" w:sz="0" w:space="0" w:color="auto"/>
        <w:right w:val="none" w:sz="0" w:space="0" w:color="auto"/>
      </w:divBdr>
    </w:div>
    <w:div w:id="2071420168">
      <w:bodyDiv w:val="1"/>
      <w:marLeft w:val="0"/>
      <w:marRight w:val="0"/>
      <w:marTop w:val="0"/>
      <w:marBottom w:val="0"/>
      <w:divBdr>
        <w:top w:val="none" w:sz="0" w:space="0" w:color="auto"/>
        <w:left w:val="none" w:sz="0" w:space="0" w:color="auto"/>
        <w:bottom w:val="none" w:sz="0" w:space="0" w:color="auto"/>
        <w:right w:val="none" w:sz="0" w:space="0" w:color="auto"/>
      </w:divBdr>
    </w:div>
    <w:div w:id="2079399554">
      <w:bodyDiv w:val="1"/>
      <w:marLeft w:val="0"/>
      <w:marRight w:val="0"/>
      <w:marTop w:val="0"/>
      <w:marBottom w:val="0"/>
      <w:divBdr>
        <w:top w:val="none" w:sz="0" w:space="0" w:color="auto"/>
        <w:left w:val="none" w:sz="0" w:space="0" w:color="auto"/>
        <w:bottom w:val="none" w:sz="0" w:space="0" w:color="auto"/>
        <w:right w:val="none" w:sz="0" w:space="0" w:color="auto"/>
      </w:divBdr>
    </w:div>
    <w:div w:id="2080977196">
      <w:bodyDiv w:val="1"/>
      <w:marLeft w:val="0"/>
      <w:marRight w:val="0"/>
      <w:marTop w:val="0"/>
      <w:marBottom w:val="0"/>
      <w:divBdr>
        <w:top w:val="none" w:sz="0" w:space="0" w:color="auto"/>
        <w:left w:val="none" w:sz="0" w:space="0" w:color="auto"/>
        <w:bottom w:val="none" w:sz="0" w:space="0" w:color="auto"/>
        <w:right w:val="none" w:sz="0" w:space="0" w:color="auto"/>
      </w:divBdr>
    </w:div>
    <w:div w:id="2132091737">
      <w:bodyDiv w:val="1"/>
      <w:marLeft w:val="0"/>
      <w:marRight w:val="0"/>
      <w:marTop w:val="0"/>
      <w:marBottom w:val="0"/>
      <w:divBdr>
        <w:top w:val="none" w:sz="0" w:space="0" w:color="auto"/>
        <w:left w:val="none" w:sz="0" w:space="0" w:color="auto"/>
        <w:bottom w:val="none" w:sz="0" w:space="0" w:color="auto"/>
        <w:right w:val="none" w:sz="0" w:space="0" w:color="auto"/>
      </w:divBdr>
    </w:div>
    <w:div w:id="2138836392">
      <w:bodyDiv w:val="1"/>
      <w:marLeft w:val="0"/>
      <w:marRight w:val="0"/>
      <w:marTop w:val="0"/>
      <w:marBottom w:val="0"/>
      <w:divBdr>
        <w:top w:val="none" w:sz="0" w:space="0" w:color="auto"/>
        <w:left w:val="none" w:sz="0" w:space="0" w:color="auto"/>
        <w:bottom w:val="none" w:sz="0" w:space="0" w:color="auto"/>
        <w:right w:val="none" w:sz="0" w:space="0" w:color="auto"/>
      </w:divBdr>
    </w:div>
    <w:div w:id="214041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na.gov.ph/articles/1206091" TargetMode="External"/><Relationship Id="rId18" Type="http://schemas.openxmlformats.org/officeDocument/2006/relationships/hyperlink" Target="https://doi.org/10.1016/j.iref.2024.103922" TargetMode="External"/><Relationship Id="rId26" Type="http://schemas.openxmlformats.org/officeDocument/2006/relationships/hyperlink" Target="https://ejournals.ph/article.php?id=26116" TargetMode="External"/><Relationship Id="rId39" Type="http://schemas.openxmlformats.org/officeDocument/2006/relationships/fontTable" Target="fontTable.xml"/><Relationship Id="rId21" Type="http://schemas.openxmlformats.org/officeDocument/2006/relationships/hyperlink" Target="https://doi.org/10.30574/wjarr.2024.24.3.3965" TargetMode="External"/><Relationship Id="rId34" Type="http://schemas.openxmlformats.org/officeDocument/2006/relationships/hyperlink" Target="https://ieeexplore.ieee.org/document/10020556"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1016/j.frl.2023.104438" TargetMode="External"/><Relationship Id="rId25" Type="http://schemas.openxmlformats.org/officeDocument/2006/relationships/hyperlink" Target="https://www.researchgate.net/profile/Marvin-Lofranco/publication/403327278_Empowering_Gen_Z_The_Influence_of_Financial_Literacy_on_the_Financial_Behavior_of_College_Students/links/69cc82c9b6bee4235822058a/Empowering-Gen-Z-The-Influence-of-Financial-Literacy-on-the-Financial-Behavior-of-College-Students.pdf" TargetMode="External"/><Relationship Id="rId33" Type="http://schemas.openxmlformats.org/officeDocument/2006/relationships/hyperlink" Target="https://ieeexplore.ieee.org/document/11211919" TargetMode="External"/><Relationship Id="rId38" Type="http://schemas.openxmlformats.org/officeDocument/2006/relationships/hyperlink" Target="https://ieeexplore.ieee.org/document/11158620" TargetMode="External"/><Relationship Id="rId2" Type="http://schemas.openxmlformats.org/officeDocument/2006/relationships/numbering" Target="numbering.xml"/><Relationship Id="rId16" Type="http://schemas.openxmlformats.org/officeDocument/2006/relationships/hyperlink" Target="https://doi.org/10.55951/nurture.v17i2.154" TargetMode="External"/><Relationship Id="rId20" Type="http://schemas.openxmlformats.org/officeDocument/2006/relationships/hyperlink" Target="https://doi.org/10.1186/s43093-025-00549-z" TargetMode="External"/><Relationship Id="rId29" Type="http://schemas.openxmlformats.org/officeDocument/2006/relationships/hyperlink" Target="https://ieeexplore.ieee.org/document/114124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sciencedirect.com/science/article/pii/S000169182500647X" TargetMode="External"/><Relationship Id="rId32" Type="http://schemas.openxmlformats.org/officeDocument/2006/relationships/hyperlink" Target="https://ieeexplore.ieee.org/document/9799370" TargetMode="External"/><Relationship Id="rId37" Type="http://schemas.openxmlformats.org/officeDocument/2006/relationships/hyperlink" Target="https://ieeexplore.ieee.org/document/10701135"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urture.org.pk/index.php/NURTURE/article/view/154https://nurture.org.pk/index.php/NURTURE/article/view/154" TargetMode="External"/><Relationship Id="rId23" Type="http://schemas.openxmlformats.org/officeDocument/2006/relationships/hyperlink" Target="https://wjarr.com/sites/default/files/fulltext_pdf/WJARR-2024-3965.pdf" TargetMode="External"/><Relationship Id="rId28" Type="http://schemas.openxmlformats.org/officeDocument/2006/relationships/hyperlink" Target="https://www.academia.edu/165950227/Bridging_the_Financial_Gap_A_Stakeholder_Analysis_of_the_JAMA_Financial_Literacy_Program" TargetMode="External"/><Relationship Id="rId36" Type="http://schemas.openxmlformats.org/officeDocument/2006/relationships/hyperlink" Target="https://ieeexplore.ieee.org/document/9780717" TargetMode="External"/><Relationship Id="rId10" Type="http://schemas.openxmlformats.org/officeDocument/2006/relationships/header" Target="header1.xml"/><Relationship Id="rId19" Type="http://schemas.openxmlformats.org/officeDocument/2006/relationships/hyperlink" Target="https://doi.org/10.1111/joca.12510" TargetMode="External"/><Relationship Id="rId31" Type="http://schemas.openxmlformats.org/officeDocument/2006/relationships/hyperlink" Target="https://ieeexplore.ieee.org/document/9375426" TargetMode="External"/><Relationship Id="rId4" Type="http://schemas.openxmlformats.org/officeDocument/2006/relationships/settings" Target="settings.xml"/><Relationship Id="rId9" Type="http://schemas.openxmlformats.org/officeDocument/2006/relationships/hyperlink" Target="mailto:5bonje.hyller.maico@gmail.com" TargetMode="External"/><Relationship Id="rId14" Type="http://schemas.openxmlformats.org/officeDocument/2006/relationships/hyperlink" Target="https://doi.org/10.1111/joca.12510" TargetMode="External"/><Relationship Id="rId22" Type="http://schemas.openxmlformats.org/officeDocument/2006/relationships/hyperlink" Target="https://doi.org/10.3390/su15129358" TargetMode="External"/><Relationship Id="rId27" Type="http://schemas.openxmlformats.org/officeDocument/2006/relationships/hyperlink" Target="https://eric.ed.gov/?q=in+the+philippine&amp;ff1=dtyIn_2024&amp;id=EJ1406248" TargetMode="External"/><Relationship Id="rId30" Type="http://schemas.openxmlformats.org/officeDocument/2006/relationships/hyperlink" Target="https://openjournals.libs.uga.edu/fsr/article/view/3853" TargetMode="External"/><Relationship Id="rId35" Type="http://schemas.openxmlformats.org/officeDocument/2006/relationships/hyperlink" Target="https://ieeexplore.ieee.org/document/11465498" TargetMode="External"/><Relationship Id="rId8" Type="http://schemas.openxmlformats.org/officeDocument/2006/relationships/hyperlink" Target="mailto:1pimentel.carlo.celiz@gmail.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TPa19</b:Tag>
    <b:SourceType>Book</b:SourceType>
    <b:Guid>{421ECFAA-1982-4FCE-98D4-47A25446732A}</b:Guid>
    <b:Title>Soft Computing in Data Analytics </b:Title>
    <b:Year>2019</b:Year>
    <b:Pages>743-757</b:Pages>
    <b:Author>
      <b:Author>
        <b:NameList>
          <b:Person>
            <b:Last>T. Pandu Ranga Vital</b:Last>
            <b:First>B.</b:First>
            <b:Middle>G. Lakshmi, H. Swapna Rekha, M. Dhana Lakshmi</b:Middle>
          </b:Person>
        </b:NameList>
      </b:Author>
    </b:Author>
    <b:City>Springer, Singapore</b:City>
    <b:Publisher>Springer</b:Publisher>
    <b:RefOrder>17</b:RefOrder>
  </b:Source>
  <b:Source>
    <b:Tag>7Be23</b:Tag>
    <b:SourceType>InternetSite</b:SourceType>
    <b:Guid>{1FFC4436-F2BD-4818-89C0-F3E21A1006D5}</b:Guid>
    <b:Title>7 Benefits of Data Analytics in Higher Education</b:Title>
    <b:Year>2023</b:Year>
    <b:ProductionCompany>Cambridge Spark</b:ProductionCompany>
    <b:Month>April</b:Month>
    <b:Day>20</b:Day>
    <b:YearAccessed>2025</b:YearAccessed>
    <b:MonthAccessed>February</b:MonthAccessed>
    <b:DayAccessed>06</b:DayAccessed>
    <b:URL>https://www.cambridgespark.com/info/7-benefits-of-data-analytics-in-higher-education</b:URL>
    <b:RefOrder>18</b:RefOrder>
  </b:Source>
  <b:Source>
    <b:Tag>NaW22</b:Tag>
    <b:SourceType>JournalArticle</b:SourceType>
    <b:Guid>{5300DE0A-3248-4F84-B3E5-E1A9227CCDBF}</b:Guid>
    <b:Author>
      <b:Author>
        <b:NameList>
          <b:Person>
            <b:Last>Na Wang</b:Last>
            <b:First>Minghao</b:First>
            <b:Middle>Yao, Jinsong Li</b:Middle>
          </b:Person>
        </b:NameList>
      </b:Author>
    </b:Author>
    <b:Title>Research on Student Achievement Analysis Method Based on Decision Tree Algorithm</b:Title>
    <b:Year>2022</b:Year>
    <b:Pages>352-355</b:Pages>
    <b:RefOrder>19</b:RefOrder>
  </b:Source>
  <b:Source>
    <b:Tag>Sha23</b:Tag>
    <b:SourceType>JournalArticle</b:SourceType>
    <b:Guid>{86931B36-3D50-421D-9619-390FAA65EEDB}</b:Guid>
    <b:Title>A Comprehensive Survey on Usage of Learning Analytics for Enhancing Learner's Performance in Learning Portals</b:Title>
    <b:Year>2023</b:Year>
    <b:Author>
      <b:Author>
        <b:NameList>
          <b:Person>
            <b:Last>Shabnam Ara S.J</b:Last>
            <b:First>R.</b:First>
            <b:Middle>Tanuja,S. Manjula, K R Venugopal</b:Middle>
          </b:Person>
        </b:NameList>
      </b:Author>
    </b:Author>
    <b:JournalName>Journal of Educational Technology Systems</b:JournalName>
    <b:RefOrder>20</b:RefOrder>
  </b:Source>
  <b:Source>
    <b:Tag>His25</b:Tag>
    <b:SourceType>InternetSite</b:SourceType>
    <b:Guid>{BF72D3C2-2533-4C28-A1D8-32B866D8C0E0}</b:Guid>
    <b:Title>History | Professional Regulation Commission</b:Title>
    <b:YearAccessed>2025</b:YearAccessed>
    <b:MonthAccessed>January</b:MonthAccessed>
    <b:DayAccessed>31</b:DayAccessed>
    <b:URL>https://www.prc.gov.ph/history</b:URL>
    <b:RefOrder>21</b:RefOrder>
  </b:Source>
  <b:Source>
    <b:Tag>htt25</b:Tag>
    <b:SourceType>JournalArticle</b:SourceType>
    <b:Guid>{3B4B382B-F783-49DE-8C38-BD10D41727DB}</b:Guid>
    <b:Title>Teachers' and Students' Opinions about Students' Attention Problems during the Lesson</b:Title>
    <b:YearAccessed>2025</b:YearAccessed>
    <b:MonthAccessed>January</b:MonthAccessed>
    <b:DayAccessed>31</b:DayAccessed>
    <b:URL>https://eric.ed.gov/?id=EJ1232893</b:URL>
    <b:Year>2019</b:Year>
    <b:Author>
      <b:Author>
        <b:NameList>
          <b:Person>
            <b:Last>Cicekci</b:Last>
            <b:First>Mehmet</b:First>
            <b:Middle>Ali</b:Middle>
          </b:Person>
          <b:Person>
            <b:Last>Sadik</b:Last>
            <b:First>Fatma</b:First>
          </b:Person>
        </b:NameList>
      </b:Author>
    </b:Author>
    <b:JournalName>Journal of Education and Learning</b:JournalName>
    <b:Pages>15-30</b:Pages>
    <b:Volume>VIII</b:Volume>
    <b:RefOrder>22</b:RefOrder>
  </b:Source>
  <b:Source>
    <b:Tag>LIL24</b:Tag>
    <b:SourceType>DocumentFromInternetSite</b:SourceType>
    <b:Guid>{A34B5135-1A66-4683-BC69-F13B54186DB8}</b:Guid>
    <b:Title>Factors Influencing the Licensure Examination for</b:Title>
    <b:Year>2024</b:Year>
    <b:Month>October</b:Month>
    <b:YearAccessed>2025</b:YearAccessed>
    <b:MonthAccessed>February</b:MonthAccessed>
    <b:DayAccessed>3</b:DayAccessed>
    <b:URL>https://www.irejournals.com/formatedpaper/1706450.pdf</b:URL>
    <b:Author>
      <b:Author>
        <b:NameList>
          <b:Person>
            <b:Last>CAYE</b:Last>
            <b:First>LILY</b:First>
            <b:Middle>B.</b:Middle>
          </b:Person>
        </b:NameList>
      </b:Author>
    </b:Author>
    <b:RefOrder>23</b:RefOrder>
  </b:Source>
  <b:Source>
    <b:Tag>Jay20</b:Tag>
    <b:SourceType>JournalArticle</b:SourceType>
    <b:Guid>{D5A06A58-A926-4F53-8D05-D56CF61F8417}</b:Guid>
    <b:Author>
      <b:Author>
        <b:NameList>
          <b:Person>
            <b:Last>Jay-cen Tamayo Amanonce</b:Last>
            <b:First>Ariel</b:First>
            <b:Middle>Macarubbo Maramag</b:Middle>
          </b:Person>
        </b:NameList>
      </b:Author>
    </b:Author>
    <b:Title>Licensure Examination Performance and Academic Achievement</b:Title>
    <b:JournalName>International Journal of Evaluation and Research in Education (IJERE)</b:JournalName>
    <b:Year>2020</b:Year>
    <b:Pages>510~516</b:Pages>
    <b:Volume>9</b:Volume>
    <b:Issue>3</b:Issue>
    <b:RefOrder>24</b:RefOrder>
  </b:Source>
  <b:Source>
    <b:Tag>Jan17</b:Tag>
    <b:SourceType>Report</b:SourceType>
    <b:Guid>{4B961246-0E6D-46ED-AFB4-774020F1196D}</b:Guid>
    <b:Author>
      <b:Author>
        <b:NameList>
          <b:Person>
            <b:Last>Mateo</b:Last>
            <b:First>Janvic</b:First>
          </b:Person>
        </b:NameList>
      </b:Author>
    </b:Author>
    <b:Title>Teacher performance in board exams worsening </b:Title>
    <b:Year>2017</b:Year>
    <b:Publisher>The Philippine Star</b:Publisher>
    <b:City>Mandaluyong</b:City>
    <b:RefOrder>25</b:RefOrder>
  </b:Source>
  <b:Source>
    <b:Tag>Sta23</b:Tag>
    <b:SourceType>DocumentFromInternetSite</b:SourceType>
    <b:Guid>{80F5C906-BA46-4098-9F9C-65783AC63A16}</b:Guid>
    <b:Title>State of Philippine Education Report 2023</b:Title>
    <b:Year>2023</b:Year>
    <b:YearAccessed>2025</b:YearAccessed>
    <b:MonthAccessed>January</b:MonthAccessed>
    <b:DayAccessed>31</b:DayAccessed>
    <b:URL>https://pbed.ph/blogs/47/PBEd/State%20of%20Philippine%20Education%20Report%202023</b:URL>
    <b:RefOrder>26</b:RefOrder>
  </b:Source>
  <b:Source>
    <b:Tag>Cab25</b:Tag>
    <b:SourceType>JournalArticle</b:SourceType>
    <b:Guid>{B943184C-0CAF-4C21-826E-1DE2EF72B9C5}</b:Guid>
    <b:Title>Graduates Are Failing in the Examination: An Ethical Investigation on the Experiences of Board Licensure Examination for Professional Teachers (BLEPT) Takers</b:Title>
    <b:YearAccessed>20125</b:YearAccessed>
    <b:MonthAccessed>January</b:MonthAccessed>
    <b:DayAccessed>31</b:DayAccessed>
    <b:Author>
      <b:Author>
        <b:NameList>
          <b:Person>
            <b:Last>Cabahug M</b:Last>
            <b:First>Bonghanoy</b:First>
            <b:Middle>S, Tubog Jr. J, Asingua A, Chen Q, Tulid C</b:Middle>
          </b:Person>
        </b:NameList>
      </b:Author>
    </b:Author>
    <b:Year>2024</b:Year>
    <b:JournalName>American Journal of Multidisciplinary Research and Innovation</b:JournalName>
    <b:Pages>1-6</b:Pages>
    <b:Volume>3</b:Volume>
    <b:Issue>2</b:Issue>
    <b:RefOrder>7</b:RefOrder>
  </b:Source>
  <b:Source>
    <b:Tag>Dim24</b:Tag>
    <b:SourceType>JournalArticle</b:SourceType>
    <b:Guid>{C8C00638-7AE8-4584-B510-C4FEC27C4B50}</b:Guid>
    <b:Author>
      <b:Author>
        <b:NameList>
          <b:Person>
            <b:Last>Dimas</b:Last>
            <b:First>Ruby</b:First>
            <b:Middle>B.</b:Middle>
          </b:Person>
        </b:NameList>
      </b:Author>
    </b:Author>
    <b:Title>Factors Affecting the Licensure Examination for Teachers (LET) Performance of BSEd Graduates</b:Title>
    <b:JournalName>Pakistan Journal of Life and Social Sciences</b:JournalName>
    <b:Year>2024</b:Year>
    <b:RefOrder>9</b:RefOrder>
  </b:Source>
  <b:Source>
    <b:Tag>Alf25</b:Tag>
    <b:SourceType>DocumentFromInternetSite</b:SourceType>
    <b:Guid>{D01B4843-075A-44A3-9D53-7791EA7A4E41}</b:Guid>
    <b:Author>
      <b:Author>
        <b:NameList>
          <b:Person>
            <b:Last>A</b:Last>
            <b:First>Alfozan</b:First>
          </b:Person>
        </b:NameList>
      </b:Author>
    </b:Author>
    <b:Title>Leadership Dynamics in Organizational Change: An In-Depth Exploration of Public and Private Sectors in Saudi Arabia</b:Title>
    <b:YearAccessed>2025</b:YearAccessed>
    <b:MonthAccessed>January</b:MonthAccessed>
    <b:DayAccessed>31</b:DayAccessed>
    <b:RefOrder>27</b:RefOrder>
  </b:Source>
  <b:Source>
    <b:Tag>Mer25</b:Tag>
    <b:SourceType>InternetSite</b:SourceType>
    <b:Guid>{7E30AAFA-94D1-4725-8019-16EFD38D0A3E}</b:Guid>
    <b:Title>Study highlights insufficient preparation for future Filipino teachers </b:Title>
    <b:YearAccessed>2025</b:YearAccessed>
    <b:MonthAccessed>January</b:MonthAccessed>
    <b:DayAccessed>31</b:DayAccessed>
    <b:URL>https://mb.com.ph/2023/02/02/study-highlights-insufficient-preparation-for-future-filipino-teachers/</b:URL>
    <b:Author>
      <b:Author>
        <b:NameList>
          <b:Person>
            <b:Last>Hernando-Malipot</b:Last>
            <b:First>Merlina</b:First>
          </b:Person>
        </b:NameList>
      </b:Author>
    </b:Author>
    <b:ProductionCompany>Manila Bulletin</b:ProductionCompany>
    <b:RefOrder>28</b:RefOrder>
  </b:Source>
  <b:Source>
    <b:Tag>Vic15</b:Tag>
    <b:SourceType>DocumentFromInternetSite</b:SourceType>
    <b:Guid>{A50AB946-07DA-4430-9B57-6C42E9D467F3}</b:Guid>
    <b:Author>
      <b:Author>
        <b:NameList>
          <b:Person>
            <b:Last>Vico</b:Last>
            <b:First>A.</b:First>
          </b:Person>
        </b:NameList>
      </b:Author>
    </b:Author>
    <b:Title>PREDICTORS OF PERFORMANCE IN THE LICENSURE EXAMINATION FOR TEACHERS OF THE GRADUATES OF HIGHER EDUCATION INSTITUTIONS IN ABRA</b:Title>
    <b:Year>2015</b:Year>
    <b:YearAccessed>2025</b:YearAccessed>
    <b:MonthAccessed>January</b:MonthAccessed>
    <b:DayAccessed>31</b:DayAccessed>
    <b:RefOrder>29</b:RefOrder>
  </b:Source>
  <b:Source>
    <b:Tag>PSa21</b:Tag>
    <b:SourceType>DocumentFromInternetSite</b:SourceType>
    <b:Guid>{9E15CD3A-AD58-4F08-A26A-E0856148FB9F}</b:Guid>
    <b:Author>
      <b:Author>
        <b:NameList>
          <b:Person>
            <b:Last>P. San</b:Last>
            <b:First>Luis</b:First>
            <b:Middle>C</b:Middle>
          </b:Person>
        </b:NameList>
      </b:Author>
    </b:Author>
    <b:Title>AUTOMATED LICENSURE EXAMINATION REVIEWER FOR TEACHERS (A.L.E.R.T.): AN INNOVATIVE INTERVENTION REVIEW SYSTEM FOR LSPU CTE STUDENTS</b:Title>
    <b:Year>2021</b:Year>
    <b:YearAccessed>2025</b:YearAccessed>
    <b:MonthAccessed>January</b:MonthAccessed>
    <b:DayAccessed>31</b:DayAccessed>
    <b:RefOrder>30</b:RefOrder>
  </b:Source>
  <b:Source>
    <b:Tag>How20</b:Tag>
    <b:SourceType>InternetSite</b:SourceType>
    <b:Guid>{CA98ECD2-529B-47B6-918E-FBAE04033850}</b:Guid>
    <b:Title>How Important Is Technology in Education? Benefits, Challenges, and Impact on Students</b:Title>
    <b:Year>2020</b:Year>
    <b:YearAccessed>2025</b:YearAccessed>
    <b:MonthAccessed>January</b:MonthAccessed>
    <b:DayAccessed>31</b:DayAccessed>
    <b:URL>https://soeonline.american.edu/blog/technology-in-education/</b:URL>
    <b:ProductionCompany>American.edu</b:ProductionCompany>
    <b:RefOrder>31</b:RefOrder>
  </b:Source>
  <b:Source>
    <b:Tag>PRC24</b:Tag>
    <b:SourceType>InternetSite</b:SourceType>
    <b:Guid>{5B9890B5-1AF8-426B-842C-2B0441FF3E2B}</b:Guid>
    <b:Title>LET PASSING RATE: Exam Statistics in the Previous Years</b:Title>
    <b:InternetSiteTitle>Board Exams PH</b:InternetSiteTitle>
    <b:Year>2024</b:Year>
    <b:Month>December</b:Month>
    <b:Day>13</b:Day>
    <b:URL>https://boardexams.ph/list-of-passers/september-2024-licensure-exam-for-teachers-let-secondary-level/</b:URL>
    <b:Author>
      <b:Author>
        <b:NameList>
          <b:Person>
            <b:Last>PRC</b:Last>
          </b:Person>
        </b:NameList>
      </b:Author>
    </b:Author>
    <b:RefOrder>32</b:RefOrder>
  </b:Source>
  <b:Source>
    <b:Tag>PRC241</b:Tag>
    <b:SourceType>InternetSite</b:SourceType>
    <b:Guid>{AB8B066B-52BD-4073-94AA-8BE17F49642C}</b:Guid>
    <b:Author>
      <b:Author>
        <b:NameList>
          <b:Person>
            <b:Last>PRC</b:Last>
          </b:Person>
        </b:NameList>
      </b:Author>
    </b:Author>
    <b:Title>LET PASSING RATE: Exam Statistics in the Previous Years</b:Title>
    <b:ProductionCompany>Board Exams PH</b:ProductionCompany>
    <b:Year>2024</b:Year>
    <b:Month>December</b:Month>
    <b:Day>13</b:Day>
    <b:YearAccessed>2025</b:YearAccessed>
    <b:MonthAccessed>Febuary</b:MonthAccessed>
    <b:URL>https://boardexams.ph/list-of-passers/september-2024-licensure-exam-for-teachers-let-secondary-level/</b:URL>
    <b:RefOrder>6</b:RefOrder>
  </b:Source>
  <b:Source>
    <b:Tag>MLa21</b:Tag>
    <b:SourceType>JournalArticle</b:SourceType>
    <b:Guid>{AE9F4E4A-7CE8-4C4D-8A81-9FBEEB893AEE}</b:Guid>
    <b:Title>Cost analysis of LET review programs in the Philippines,</b:Title>
    <b:Year>2021</b:Year>
    <b:Author>
      <b:Author>
        <b:NameList>
          <b:Person>
            <b:Last>Lacambra</b:Last>
            <b:First>M.</b:First>
          </b:Person>
        </b:NameList>
      </b:Author>
    </b:Author>
    <b:JournalName>Philippine Journal of Education</b:JournalName>
    <b:Pages>45-56</b:Pages>
    <b:Volume>94</b:Volume>
    <b:Issue>2</b:Issue>
    <b:RefOrder>8</b:RefOrder>
  </b:Source>
  <b:Source>
    <b:Tag>BST24</b:Tag>
    <b:SourceType>JournalArticle</b:SourceType>
    <b:Guid>{BC0890D6-E717-4276-9F34-638C1F32B221}</b:Guid>
    <b:Author>
      <b:Author>
        <b:NameList>
          <b:Person>
            <b:Last>M</b:Last>
            <b:First>B.</b:First>
            <b:Middle>S. T. J. J. A. A. C. Q. T. C. Cabahug</b:Middle>
          </b:Person>
        </b:NameList>
      </b:Author>
    </b:Author>
    <b:Title>Graduates Are Failing in the Examination: An Ethical Investigation on the Experiences of Board Licensure Examination for Professional Teachers (BLEPT) Takers</b:Title>
    <b:JournalName>American Journal of Multidisciplinary Research and Innovation</b:JournalName>
    <b:Year>2024</b:Year>
    <b:Pages>1-6</b:Pages>
    <b:Volume>3</b:Volume>
    <b:Issue>2</b:Issue>
    <b:RefOrder>33</b:RefOrder>
  </b:Source>
  <b:Source>
    <b:Tag>MJa10</b:Tag>
    <b:SourceType>Report</b:SourceType>
    <b:Guid>{42D2C847-8209-4920-A18A-269364C36202}</b:Guid>
    <b:Title>PRC to intensify campaign vs review centers</b:Title>
    <b:Year>2010</b:Year>
    <b:Author>
      <b:Author>
        <b:NameList>
          <b:Person>
            <b:Last>Jaymalin</b:Last>
            <b:First>M.</b:First>
          </b:Person>
        </b:NameList>
      </b:Author>
    </b:Author>
    <b:Publisher>The Philippine Star</b:Publisher>
    <b:City>Manila</b:City>
    <b:RefOrder>12</b:RefOrder>
  </b:Source>
  <b:Source>
    <b:Tag>PUN06</b:Tag>
    <b:SourceType>DocumentFromInternetSite</b:SourceType>
    <b:Guid>{0CAD99F2-7916-4BB5-B83A-B0E1D81AA99C}</b:Guid>
    <b:Title>Implementing Rules and Regulations Governing the Establishment and Operation of Review Centers and Similar Entities</b:Title>
    <b:Year> 2006</b:Year>
    <b:Author>
      <b:Author>
        <b:NameList>
          <b:Person>
            <b:Last>PUNO</b:Last>
            <b:First>C.</b:First>
            <b:Middle>S.</b:Middle>
          </b:Person>
        </b:NameList>
      </b:Author>
    </b:Author>
    <b:Month>Nov</b:Month>
    <b:Day>3</b:Day>
    <b:URL>https://legaldex.com/laws/implementing-rules-and-regulations-governing-the-establishment-and-operation-of</b:URL>
    <b:RefOrder>13</b:RefOrder>
  </b:Source>
  <b:Source>
    <b:Tag>Jou24</b:Tag>
    <b:SourceType>JournalArticle</b:SourceType>
    <b:Guid>{1C4FD95F-B35C-490D-ABF5-DB8D019C430A}</b:Guid>
    <b:Title>Challenges and Dilemmas of Digitalization in Philippine Education</b:Title>
    <b:Year>2024</b:Year>
    <b:Author>
      <b:Author>
        <b:NameList>
          <b:Person>
            <b:Last>Governance</b:Last>
            <b:First>Journal</b:First>
            <b:Middle>of Public Administration and</b:Middle>
          </b:Person>
        </b:NameList>
      </b:Author>
    </b:Author>
    <b:JournalName>Journal of Public Administration and Governance</b:JournalName>
    <b:Pages>37-52</b:Pages>
    <b:Volume>14</b:Volume>
    <b:Issue>2</b:Issue>
    <b:RefOrder>10</b:RefOrder>
  </b:Source>
  <b:Source>
    <b:Tag>RFe23</b:Tag>
    <b:SourceType>JournalArticle</b:SourceType>
    <b:Guid>{A327A07A-BA3A-4656-8B5E-3DE35E1FD491}</b:Guid>
    <b:Author>
      <b:Author>
        <b:NameList>
          <b:Person>
            <b:Last>Schmid</b:Last>
            <b:First>R.</b:First>
            <b:Middle>F. e. a.</b:Middle>
          </b:Person>
        </b:NameList>
      </b:Author>
    </b:Author>
    <b:Title>A meta-analysis of online learning, blended learning, the flipped classroom, and traditional classroom in higher education</b:Title>
    <b:JournalName>Computers and Education: Artificial Intelligence</b:JournalName>
    <b:Year>2023</b:Year>
    <b:RefOrder>14</b:RefOrder>
  </b:Source>
  <b:Source>
    <b:Tag>AGP17</b:Tag>
    <b:SourceType>JournalArticle</b:SourceType>
    <b:Guid>{21048BA0-3573-4833-8CEC-91388D4846E0}</b:Guid>
    <b:Author>
      <b:Author>
        <b:NameList>
          <b:Person>
            <b:Last>Picciano</b:Last>
            <b:First>A.</b:First>
            <b:Middle>G.</b:Middle>
          </b:Person>
        </b:NameList>
      </b:Author>
    </b:Author>
    <b:Title>Theories and Frameworks for Online Education: Seeking an Integrated Model</b:Title>
    <b:JournalName>Online Learning</b:JournalName>
    <b:Year>2017</b:Year>
    <b:Pages>166-190</b:Pages>
    <b:Volume>21</b:Volume>
    <b:Issue>3</b:Issue>
    <b:RefOrder>16</b:RefOrder>
  </b:Source>
  <b:Source>
    <b:Tag>PaP24</b:Tag>
    <b:SourceType>JournalArticle</b:SourceType>
    <b:Guid>{977D74B0-E6AA-4011-902D-EDD0442054F3}</b:Guid>
    <b:Author>
      <b:Author>
        <b:NameList>
          <b:Person>
            <b:Last>Paderes</b:Last>
            <b:First>P.</b:First>
            <b:Middle>a.</b:Middle>
          </b:Person>
        </b:NameList>
      </b:Author>
    </b:Author>
    <b:Title>Readiness of Bachelor of Secondary Education Graduating Students for the Licensure Examination for Professional Teachers</b:Title>
    <b:JournalName>International Journal of Research and Innovation in Social Science (IJRISS)</b:JournalName>
    <b:Year>2024</b:Year>
    <b:RefOrder>15</b:RefOrder>
  </b:Source>
  <b:Source>
    <b:Tag>JMV20</b:Tag>
    <b:SourceType>JournalArticle</b:SourceType>
    <b:Guid>{CD3561C2-BF59-444A-BFA8-29CF5ADBEC35}</b:Guid>
    <b:Author>
      <b:Author>
        <b:NameList>
          <b:Person>
            <b:Last>Lucero</b:Last>
            <b:First>J.</b:First>
            <b:Middle>M. V. J. T. C. P. G. F. J. Harold R.</b:Middle>
          </b:Person>
        </b:NameList>
      </b:Author>
    </b:Author>
    <b:Title>Assessment of E-Learning Readiness of Faculty Members and Students in the Government and Private Higher Education Institutions in the Philippines</b:Title>
    <b:JournalName>International Journal of Computing Sciences Research</b:JournalName>
    <b:Year>2020</b:Year>
    <b:Pages>398 to 406</b:Pages>
    <b:Volume>5</b:Volume>
    <b:RefOrder>11</b:RefOrder>
  </b:Source>
  <b:Source>
    <b:Tag>BGL19</b:Tag>
    <b:SourceType>ConferenceProceedings</b:SourceType>
    <b:Guid>{ACC1B13B-02A4-4730-AB66-C3339F761B9D}</b:Guid>
    <b:Title>Soft Computing in Data Analytics</b:Title>
    <b:Year>2019</b:Year>
    <b:Author>
      <b:Author>
        <b:NameList>
          <b:Person>
            <b:Last>Vital</b:Last>
            <b:First>B.</b:First>
            <b:Middle>G. L. H. S. R. M. D. L. T. Pandu Ranga</b:Middle>
          </b:Person>
        </b:NameList>
      </b:Author>
    </b:Author>
    <b:ConferenceName>Springer</b:ConferenceName>
    <b:City>Singapore</b:City>
    <b:RefOrder>1</b:RefOrder>
  </b:Source>
  <b:Source>
    <b:Tag>Has</b:Tag>
    <b:SourceType>JournalArticle</b:SourceType>
    <b:Guid>{FE6BC018-4FDE-4932-BB2B-D2F752F44E3B}</b:Guid>
    <b:Author>
      <b:Author>
        <b:NameList>
          <b:Person>
            <b:Last>Hassan Khosravi</b:Last>
            <b:First>Simon</b:First>
            <b:Middle>Buckingham Shum b, Guanliang Chen c, Cristina Conati, Yi-Shan Tsai c, Judy Kay e, Simon Knight b, Roberto Martinez-Maldonado c, Shazia Sadiq, Dragan Gaˇsevi´c</b:Middle>
          </b:Person>
        </b:NameList>
      </b:Author>
    </b:Author>
    <b:Title>Explainable Artificial Intelligence in education</b:Title>
    <b:JournalName>Computers and Education: Artificial Intelligence</b:JournalName>
    <b:Year>2022</b:Year>
    <b:RefOrder>4</b:RefOrder>
  </b:Source>
  <b:Source>
    <b:Tag>MYJ22</b:Tag>
    <b:SourceType>ConferenceProceedings</b:SourceType>
    <b:Guid>{DC9A190D-8E87-413F-9F24-7758C34A72EF}</b:Guid>
    <b:Author>
      <b:Author>
        <b:NameList>
          <b:Person>
            <b:Last>Wang</b:Last>
            <b:First>M.</b:First>
            <b:Middle>Y. J. L. Na</b:Middle>
          </b:Person>
        </b:NameList>
      </b:Author>
    </b:Author>
    <b:Title>Research on Student Achievement Analysis Method Based on Decision Tree Algorithm</b:Title>
    <b:Year>2022</b:Year>
    <b:Pages>352-355</b:Pages>
    <b:ConferenceName>IEEE</b:ConferenceName>
    <b:City>Frankfurt, Germany </b:City>
    <b:RefOrder>2</b:RefOrder>
  </b:Source>
  <b:Source>
    <b:Tag>RTM232</b:Tag>
    <b:SourceType>JournalArticle</b:SourceType>
    <b:Guid>{ABD3B678-C889-452C-9E73-C64EDCDEFE0B}</b:Guid>
    <b:Author>
      <b:Author>
        <b:NameList>
          <b:Person>
            <b:Last>S.J</b:Last>
            <b:First>R.</b:First>
            <b:Middle>T. M. K. R. V. Shabnam Ara</b:Middle>
          </b:Person>
        </b:NameList>
      </b:Author>
    </b:Author>
    <b:Title>A Comprehensive Survey on Usage of Learning Analytics for Enhancing Learner's Performance in Learning Portals</b:Title>
    <b:JournalName>Journal of Educational Technology Systems</b:JournalName>
    <b:Year>2023</b:Year>
    <b:RefOrder>3</b:RefOrder>
  </b:Source>
  <b:Source>
    <b:Tag>Gio25</b:Tag>
    <b:SourceType>DocumentFromInternetSite</b:SourceType>
    <b:Guid>{DFED6C46-536A-404D-9487-7A401CA79CF3}</b:Guid>
    <b:Author>
      <b:Author>
        <b:NameList>
          <b:Person>
            <b:Last>Giovanni De Gasperis</b:Last>
            <b:First>Sante</b:First>
            <b:Middle>Dino Facchini</b:Middle>
          </b:Person>
        </b:NameList>
      </b:Author>
    </b:Author>
    <b:Title>A Comparative Study of Rule-Based and Data-Driven Approaches in Industrial Monitoring</b:Title>
    <b:Year>2025</b:Year>
    <b:YearAccessed>2026</b:YearAccessed>
    <b:MonthAccessed>08</b:MonthAccessed>
    <b:DayAccessed>Jan</b:DayAccessed>
    <b:URL>https://arxiv.org/pdf/2509.15848v1</b:URL>
    <b:RefOrder>5</b:RefOrder>
  </b:Source>
</b:Sources>
</file>

<file path=customXml/itemProps1.xml><?xml version="1.0" encoding="utf-8"?>
<ds:datastoreItem xmlns:ds="http://schemas.openxmlformats.org/officeDocument/2006/customXml" ds:itemID="{FF1C7870-0A43-8341-9E7A-AC981A9C7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6859</Words>
  <Characters>39101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LET Do IT: An Online Licensure Examination for Teachers Reviewer with Performance Analytics</vt:lpstr>
    </vt:vector>
  </TitlesOfParts>
  <Company/>
  <LinksUpToDate>false</LinksUpToDate>
  <CharactersWithSpaces>45869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 Do IT: An Online Licensure Examination for Teachers Reviewer with Performance Analytics</dc:title>
  <dc:subject/>
  <dc:creator>Causal Productions;Lady Joy P. Porras1;Harold R. Lucero2;Princess Ann R. Valdez3;Nataniel P. Herras4;Teodorico J. Gabucan Jr5</dc:creator>
  <cp:keywords/>
  <cp:lastModifiedBy>Microsoft Office User</cp:lastModifiedBy>
  <cp:revision>2</cp:revision>
  <cp:lastPrinted>2026-01-09T23:39:00Z</cp:lastPrinted>
  <dcterms:created xsi:type="dcterms:W3CDTF">2026-05-17T14:05:00Z</dcterms:created>
  <dcterms:modified xsi:type="dcterms:W3CDTF">2026-05-17T14:05:00Z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da833f96-9db0-3ab0-b797-2ae87e24a79c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6507f377-4a0f-4127-b036-8b19c2d31f18</vt:lpwstr>
  </property>
</Properties>
</file>