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47225" w14:textId="77777777" w:rsidR="008D62B7" w:rsidRDefault="00825EF2">
      <w:pPr>
        <w:pStyle w:val="Title"/>
      </w:pPr>
      <w:r>
        <w:t>Observational Study on Half-Dose Magnesium Sulphate Therapy in Treatment of Preeclampsia and Eclampsia in Assam Medical College</w:t>
      </w:r>
    </w:p>
    <w:p w14:paraId="43547226" w14:textId="09B00E74" w:rsidR="008D62B7" w:rsidRDefault="00825EF2">
      <w:pPr>
        <w:pStyle w:val="Author"/>
      </w:pPr>
      <w:r>
        <w:t/>
      </w:r>
      <w:r w:rsidR="009F2E2B">
        <w:t/>
      </w:r>
      <w:r w:rsidR="000A66EE">
        <w:t xml:space="preserve"/>
      </w:r>
      <w:proofErr w:type="spellStart"/>
      <w:r w:rsidR="009F2E2B">
        <w:t/>
      </w:r>
      <w:proofErr w:type="spellEnd"/>
      <w:r w:rsidR="00890E10">
        <w:t/>
      </w:r>
      <w:r w:rsidR="000A66EE">
        <w:t xml:space="preserve"/>
      </w:r>
      <w:proofErr w:type="spellStart"/>
      <w:r w:rsidR="00AF2D7C">
        <w:t/>
      </w:r>
      <w:proofErr w:type="spellEnd"/>
    </w:p>
    <w:p w14:paraId="43547227" w14:textId="77777777" w:rsidR="008D62B7" w:rsidRDefault="00825EF2">
      <w:pPr>
        <w:pStyle w:val="Date"/>
      </w:pPr>
      <w:r>
        <w:t/>
      </w:r>
    </w:p>
    <w:p w14:paraId="43547228" w14:textId="77777777" w:rsidR="008D62B7" w:rsidRDefault="00825EF2">
      <w:pPr>
        <w:pStyle w:val="FirstParagraph"/>
      </w:pPr>
      <w:r>
        <w:rPr>
          <w:b/>
          <w:bCs/>
        </w:rPr>
        <w:t/>
      </w:r>
      <w:r>
        <w:br/>
        <w:t/>
      </w:r>
      <w:r>
        <w:br/>
      </w:r>
      <w:r>
        <w:rPr>
          <w:b/>
          <w:bCs/>
        </w:rPr>
        <w:t/>
      </w:r>
    </w:p>
    <w:p w14:paraId="43547229" w14:textId="5156B071" w:rsidR="008D62B7" w:rsidRDefault="00825EF2">
      <w:pPr>
        <w:pStyle w:val="BodyText"/>
      </w:pPr>
      <w:r>
        <w:rPr>
          <w:b/>
          <w:bCs/>
        </w:rPr>
        <w:t xml:space="preserve"/>
      </w:r>
      <w:proofErr w:type="gramStart"/>
      <w:r>
        <w:rPr>
          <w:b/>
          <w:bCs/>
        </w:rPr>
        <w:t/>
      </w:r>
      <w:proofErr w:type="gramEnd"/>
      <w:r>
        <w:rPr>
          <w:b/>
          <w:bCs/>
        </w:rPr>
        <w:t/>
      </w:r>
      <w:r w:rsidR="00510483">
        <w:rPr>
          <w:b/>
          <w:bCs/>
        </w:rPr>
        <w:t/>
      </w:r>
      <w:bookmarkStart w:id="0" w:name="_Hlk232704477"/>
      <w:r w:rsidR="00960667">
        <w:rPr>
          <w:b/>
          <w:bCs/>
        </w:rPr>
        <w:t xml:space="preserve"/>
      </w:r>
      <w:proofErr w:type="spellStart"/>
      <w:r w:rsidR="00510483">
        <w:rPr>
          <w:b/>
          <w:bCs/>
        </w:rPr>
        <w:t/>
      </w:r>
      <w:proofErr w:type="spellEnd"/>
      <w:r w:rsidR="00270E63">
        <w:rPr>
          <w:b/>
          <w:bCs/>
        </w:rPr>
        <w:t/>
      </w:r>
      <w:r w:rsidR="004C0C73">
        <w:rPr>
          <w:b/>
          <w:bCs/>
        </w:rPr>
        <w:t/>
      </w:r>
      <w:bookmarkEnd w:id="0"/>
      <w:r w:rsidR="004C0C73" w:rsidRPr="004C0C73">
        <w:rPr>
          <w:b/>
          <w:bCs/>
        </w:rPr>
        <w:t xml:space="preserve"/>
      </w:r>
      <w:proofErr w:type="spellStart"/>
      <w:r w:rsidR="004C0C73">
        <w:rPr>
          <w:b/>
          <w:bCs/>
        </w:rPr>
        <w:t/>
      </w:r>
      <w:r w:rsidR="004C0C73">
        <w:rPr>
          <w:b/>
          <w:bCs/>
        </w:rPr>
        <w:t/>
      </w:r>
      <w:proofErr w:type="spellEnd"/>
      <w:r w:rsidR="004C0C73">
        <w:rPr>
          <w:b/>
          <w:bCs/>
        </w:rPr>
        <w:t/>
      </w:r>
      <w:r w:rsidR="00751E3E">
        <w:rPr>
          <w:b/>
          <w:bCs/>
        </w:rPr>
        <w:t/>
      </w:r>
      <w:r w:rsidR="004C0C73">
        <w:rPr>
          <w:b/>
          <w:bCs/>
        </w:rPr>
        <w:t/>
      </w:r>
    </w:p>
    <w:p w14:paraId="00F99643" w14:textId="26CFA68D" w:rsidR="00AF2D7C" w:rsidRDefault="00825EF2" w:rsidP="00AF2D7C">
      <w:pPr>
        <w:pStyle w:val="BodyText"/>
        <w:numPr>
          <w:ilvl w:val="0"/>
          <w:numId w:val="3"/>
        </w:numPr>
      </w:pPr>
      <w:r>
        <w:t/>
      </w:r>
      <w:r>
        <w:br/>
        <w:t/>
      </w:r>
      <w:bookmarkStart w:id="1" w:name="_Hlk228394162"/>
      <w:r>
        <w:t/>
      </w:r>
      <w:bookmarkEnd w:id="1"/>
      <w:r>
        <w:t xml:space="preserve"/>
      </w:r>
      <w:r>
        <w:br/>
      </w:r>
      <w:bookmarkStart w:id="2" w:name="_Hlk228393859"/>
      <w:r>
        <w:t/>
      </w:r>
      <w:r w:rsidR="00EE0DD7">
        <w:t/>
      </w:r>
      <w:r>
        <w:t xml:space="preserve"/>
      </w:r>
      <w:bookmarkEnd w:id="2"/>
      <w:r w:rsidR="002E161E">
        <w:t/>
      </w:r>
    </w:p>
    <w:p w14:paraId="5071E50F" w14:textId="1F1620F5" w:rsidR="00AD2BE2" w:rsidRDefault="002E161E" w:rsidP="002E161E">
      <w:pPr>
        <w:pStyle w:val="BodyText"/>
        <w:ind w:left="360"/>
      </w:pPr>
      <w:r>
        <w:t xml:space="preserve"/>
      </w:r>
      <w:r w:rsidR="000715CC">
        <w:t/>
      </w:r>
      <w:r w:rsidR="00270E63">
        <w:t/>
      </w:r>
      <w:r w:rsidR="000715CC">
        <w:t xml:space="preserve"/>
      </w:r>
      <w:r w:rsidR="003D5E4F">
        <w:t/>
      </w:r>
      <w:r w:rsidR="000715CC">
        <w:t xml:space="preserve"/>
      </w:r>
      <w:proofErr w:type="spellStart"/>
      <w:r w:rsidR="000715CC">
        <w:t/>
      </w:r>
      <w:proofErr w:type="spellEnd"/>
      <w:r w:rsidR="000715CC">
        <w:t xml:space="preserve"/>
      </w:r>
      <w:r>
        <w:t xml:space="preserve"/>
      </w:r>
      <w:r w:rsidR="000715CC">
        <w:t/>
      </w:r>
    </w:p>
    <w:p w14:paraId="30F9D35E" w14:textId="545C21F3" w:rsidR="002E161E" w:rsidRDefault="002E161E" w:rsidP="002E161E">
      <w:pPr>
        <w:pStyle w:val="BodyText"/>
        <w:ind w:left="360"/>
      </w:pPr>
      <w:r>
        <w:t xml:space="preserve"/>
      </w:r>
      <w:r>
        <w:t xml:space="preserve"/>
      </w:r>
      <w:r w:rsidR="00751E3E">
        <w:t/>
      </w:r>
      <w:r>
        <w:t xml:space="preserve"/>
      </w:r>
      <w:proofErr w:type="spellStart"/>
      <w:r>
        <w:t/>
      </w:r>
      <w:proofErr w:type="spellEnd"/>
      <w:r>
        <w:t xml:space="preserve"/>
      </w:r>
      <w:r>
        <w:t xml:space="preserve"/>
      </w:r>
      <w:r>
        <w:t/>
      </w:r>
    </w:p>
    <w:p w14:paraId="2EFB1545" w14:textId="7B2E787D" w:rsidR="002E161E" w:rsidRDefault="002E161E" w:rsidP="002E161E">
      <w:pPr>
        <w:pStyle w:val="BodyText"/>
        <w:ind w:left="360"/>
      </w:pPr>
    </w:p>
    <w:p w14:paraId="4354722B" w14:textId="577B4BEF" w:rsidR="008D62B7" w:rsidRDefault="00825EF2">
      <w:pPr>
        <w:pStyle w:val="BodyText"/>
      </w:pPr>
      <w:r>
        <w:t/>
      </w:r>
      <w:r>
        <w:br/>
        <w:t xml:space="preserve"/>
      </w:r>
      <w:proofErr w:type="spellStart"/>
      <w:proofErr w:type="gramStart"/>
      <w:r>
        <w:t/>
      </w:r>
      <w:r w:rsidR="00407962">
        <w:t/>
      </w:r>
      <w:r w:rsidR="0027414E">
        <w:t/>
      </w:r>
      <w:r w:rsidR="002154FB">
        <w:t/>
      </w:r>
      <w:proofErr w:type="spellEnd"/>
      <w:proofErr w:type="gramEnd"/>
      <w:r w:rsidR="002154FB">
        <w:t xml:space="preserve"/>
      </w:r>
      <w:r w:rsidR="00DA32BD">
        <w:t/>
      </w:r>
      <w:r w:rsidR="002154FB">
        <w:t/>
      </w:r>
      <w:r>
        <w:br/>
        <w:t/>
      </w:r>
    </w:p>
    <w:p w14:paraId="4354722C" w14:textId="77777777" w:rsidR="008D62B7" w:rsidRDefault="00825EF2">
      <w:pPr>
        <w:pStyle w:val="Heading2"/>
      </w:pPr>
      <w:bookmarkStart w:id="3" w:name="abstract"/>
      <w:r>
        <w:t>Abstract</w:t>
      </w:r>
    </w:p>
    <w:p w14:paraId="4354722D" w14:textId="77777777" w:rsidR="008D62B7" w:rsidRDefault="00825EF2">
      <w:pPr>
        <w:pStyle w:val="FirstParagraph"/>
      </w:pPr>
      <w:r>
        <w:rPr>
          <w:b/>
          <w:bCs/>
        </w:rPr>
        <w:t>Objective:</w:t>
      </w:r>
      <w:r>
        <w:t xml:space="preserve"> To evaluate the efficacy and safety of half-dose magnesium sulphate therapy in the management of preeclampsia and eclampsia among mothers with BMI less than 30 kg/m2 at Assam Medical College and Hospital, Dibrugarh.</w:t>
      </w:r>
    </w:p>
    <w:p w14:paraId="4354722E" w14:textId="77777777" w:rsidR="008D62B7" w:rsidRDefault="00825EF2">
      <w:pPr>
        <w:pStyle w:val="BodyText"/>
      </w:pPr>
      <w:r>
        <w:rPr>
          <w:b/>
          <w:bCs/>
        </w:rPr>
        <w:t>Methods:</w:t>
      </w:r>
      <w:r>
        <w:t xml:space="preserve"> This hospital-based prospective observational study included 80 pregnant women diagnosed with preeclampsia or eclampsia and having BMI &lt;30 kg/m2. All participants received half-dose magnesium sulphate therapy as per the study protocol. Demographic characteristics, obstetric details, seizure control, adverse effects, maternal complications, mode of delivery, and perinatal outcomes were recorded using a structured proforma.</w:t>
      </w:r>
    </w:p>
    <w:p w14:paraId="4354722F" w14:textId="18B0F779" w:rsidR="008D62B7" w:rsidRDefault="00825EF2">
      <w:pPr>
        <w:pStyle w:val="BodyText"/>
      </w:pPr>
      <w:r>
        <w:rPr>
          <w:b/>
          <w:bCs/>
        </w:rPr>
        <w:lastRenderedPageBreak/>
        <w:t>Results:</w:t>
      </w:r>
      <w:r>
        <w:t xml:space="preserve"> Most patients were in the reproductive age group of 19-35 years (57.5%), while 42.5% were at the extremes of maternal age. Primigravida constituted the largest parity group (47.5%). Effective seizure control was achieved in 79 of 80 patients (98.75%), with only one breakthrough seizure. Mild side effects included flushing, </w:t>
      </w:r>
      <w:proofErr w:type="spellStart"/>
      <w:proofErr w:type="gramStart"/>
      <w:r>
        <w:t>nausea</w:t>
      </w:r>
      <w:r w:rsidR="001F61C4">
        <w:t>,</w:t>
      </w:r>
      <w:r>
        <w:t>vomiting</w:t>
      </w:r>
      <w:proofErr w:type="spellEnd"/>
      <w:proofErr w:type="gramEnd"/>
      <w:r>
        <w:t>, injection-site pain, and one case of loss of deep tendon reflex after full-dose therapy was given for intractable seizure. Vaginal delivery was the most common mode of delivery (55%), followed by caesarean section (40%). Live births occurred in 77 pregnancies (96.25%).</w:t>
      </w:r>
    </w:p>
    <w:p w14:paraId="43547230" w14:textId="77777777" w:rsidR="008D62B7" w:rsidRDefault="00825EF2">
      <w:pPr>
        <w:pStyle w:val="BodyText"/>
      </w:pPr>
      <w:r>
        <w:rPr>
          <w:b/>
          <w:bCs/>
        </w:rPr>
        <w:t>Conclusion:</w:t>
      </w:r>
      <w:r>
        <w:t xml:space="preserve"> Half-dose magnesium sulphate therapy was effective in controlling seizures and preventing recurrence in preeclampsia and eclampsia with a favorable safety profile. This regimen may be a practical alternative in populations with lower BMI, though larger multicentric studies are required to validate dosing protocols.</w:t>
      </w:r>
    </w:p>
    <w:p w14:paraId="43547231" w14:textId="77777777" w:rsidR="008D62B7" w:rsidRDefault="00825EF2">
      <w:pPr>
        <w:pStyle w:val="BodyText"/>
      </w:pPr>
      <w:r>
        <w:rPr>
          <w:b/>
          <w:bCs/>
        </w:rPr>
        <w:t>Keywords:</w:t>
      </w:r>
      <w:r>
        <w:t xml:space="preserve"> Preeclampsia; Eclampsia; Magnesium sulphate; Half-dose regimen; Low body mass index; Maternal outcomes.</w:t>
      </w:r>
    </w:p>
    <w:p w14:paraId="43547232" w14:textId="77777777" w:rsidR="008D62B7" w:rsidRDefault="00825EF2">
      <w:pPr>
        <w:pStyle w:val="Heading2"/>
      </w:pPr>
      <w:bookmarkStart w:id="4" w:name="introduction"/>
      <w:bookmarkEnd w:id="3"/>
      <w:r>
        <w:t>Introduction</w:t>
      </w:r>
    </w:p>
    <w:p w14:paraId="43547233" w14:textId="77777777" w:rsidR="008D62B7" w:rsidRDefault="00825EF2">
      <w:pPr>
        <w:pStyle w:val="FirstParagraph"/>
      </w:pPr>
      <w:r>
        <w:t>Hypertensive disorders of pregnancy remain important contributors to maternal and perinatal morbidity and mortality, particularly in low- and middle-income countries. Preeclampsia is a multisystem pregnancy complication characterized by new-onset hypertension after 20 weeks of gestation with proteinuria or end-organ dysfunction. Eclampsia represents the occurrence of generalized tonic-clonic convulsions in a woman with preeclampsia, after excluding other neurological causes.</w:t>
      </w:r>
    </w:p>
    <w:p w14:paraId="43547234" w14:textId="03227C5F" w:rsidR="008D62B7" w:rsidRDefault="00825EF2">
      <w:pPr>
        <w:pStyle w:val="BodyText"/>
      </w:pPr>
      <w:r>
        <w:t>Magnesium sulphate is widely accepted as the gold standard drug for seizure prophylaxis and treatment in severe preeclampsia and eclampsia. Standard regimens such as Pritchard and Zuspan are effective,</w:t>
      </w:r>
      <w:r w:rsidR="00F86827" w:rsidRPr="00F86827">
        <w:rPr>
          <w:rFonts w:ascii="Times New Roman" w:hAnsi="Times New Roman"/>
          <w:color w:val="000000" w:themeColor="text1"/>
        </w:rPr>
        <w:t xml:space="preserve"> </w:t>
      </w:r>
      <w:r w:rsidR="00532523" w:rsidRPr="00AD2205">
        <w:rPr>
          <w:color w:val="000000" w:themeColor="text1"/>
        </w:rPr>
        <w:t>t</w:t>
      </w:r>
      <w:r w:rsidR="00F86827" w:rsidRPr="00AD2205">
        <w:rPr>
          <w:color w:val="000000" w:themeColor="text1"/>
        </w:rPr>
        <w:t>he Pritchard regimen involves a loading dose of 4 g intravenously followed by 10 g intramuscularly, with maintenance doses of 5 g intramuscularly every 4 hours. The Zuspan regimen consists of a 4 g intravenous loading dose followed by a continuous infusion of 1–2 g per hour</w:t>
      </w:r>
      <w:r w:rsidR="00532523">
        <w:rPr>
          <w:rFonts w:ascii="Times New Roman" w:hAnsi="Times New Roman"/>
          <w:color w:val="000000" w:themeColor="text1"/>
        </w:rPr>
        <w:t>,</w:t>
      </w:r>
      <w:r>
        <w:t xml:space="preserve"> but they may be associated with dose-related adverse effects and require careful clinical monitoring. Women from Asian and Indian populations often have lower body weight and BMI than Western populations, raising concern that standard dosing may increase the risk of toxicity in selected patients.</w:t>
      </w:r>
    </w:p>
    <w:p w14:paraId="43547235" w14:textId="3E4A58BA" w:rsidR="008D62B7" w:rsidRDefault="00825EF2">
      <w:pPr>
        <w:pStyle w:val="BodyText"/>
      </w:pPr>
      <w:r>
        <w:t>Reduced-dose or half-dose magnesium sulphate regimens have therefore been evaluated to retain anticonvulsant efficacy while reducing drug burden, adverse effects, injection pain, and monitoring demands.</w:t>
      </w:r>
      <w:r w:rsidR="005F12DB" w:rsidRPr="005F12DB">
        <w:rPr>
          <w:rFonts w:ascii="Times New Roman" w:hAnsi="Times New Roman"/>
          <w:color w:val="000000" w:themeColor="text1"/>
          <w:lang w:eastAsia="zh-CN"/>
        </w:rPr>
        <w:t xml:space="preserve"> </w:t>
      </w:r>
      <w:r w:rsidR="005F12DB" w:rsidRPr="00AD2205">
        <w:rPr>
          <w:color w:val="000000" w:themeColor="text1"/>
          <w:lang w:eastAsia="zh-CN"/>
        </w:rPr>
        <w:t>At the half dose 2g of MgSO4 was administered as loading dose intravenously and 5 grams as intramuscularly as a buttock injection. Maintenance dose of 2.5 grams is administered intramuscularly with 4 hours interval in buttock</w:t>
      </w:r>
      <w:r w:rsidR="00212453">
        <w:rPr>
          <w:rFonts w:ascii="Times New Roman" w:hAnsi="Times New Roman"/>
          <w:color w:val="000000" w:themeColor="text1"/>
          <w:lang w:eastAsia="zh-CN"/>
        </w:rPr>
        <w:t>.</w:t>
      </w:r>
      <w:r>
        <w:t xml:space="preserve"> The present study assessed the safety and efficacy of half-dose magnesium sulphate therapy among mothers with BMI less than 30 kg/m2 in a tertiary care hospital.</w:t>
      </w:r>
    </w:p>
    <w:p w14:paraId="43547236" w14:textId="77777777" w:rsidR="008D62B7" w:rsidRDefault="00825EF2">
      <w:pPr>
        <w:pStyle w:val="Heading2"/>
      </w:pPr>
      <w:bookmarkStart w:id="5" w:name="study-design-and-population"/>
      <w:bookmarkEnd w:id="4"/>
      <w:r>
        <w:t>Study Design and Population</w:t>
      </w:r>
    </w:p>
    <w:p w14:paraId="43547237" w14:textId="77777777" w:rsidR="008D62B7" w:rsidRDefault="00825EF2">
      <w:pPr>
        <w:pStyle w:val="FirstParagraph"/>
      </w:pPr>
      <w:r>
        <w:t xml:space="preserve">This was a hospital-based prospective observational study conducted in the Department of Obstetrics and Gynaecology, Assam Medical College and Hospital, Dibrugarh. The study </w:t>
      </w:r>
      <w:r>
        <w:lastRenderedPageBreak/>
        <w:t>included 80 pregnant women diagnosed with preeclampsia or eclampsia and having BMI &lt;30 kg/m2. Sample size was calculated using a 95% confidence interval with expected proportion of 95% and allowable error of 5%, and was finalized as 80 participants.</w:t>
      </w:r>
    </w:p>
    <w:p w14:paraId="43547238" w14:textId="77777777" w:rsidR="008D62B7" w:rsidRDefault="00825EF2">
      <w:pPr>
        <w:pStyle w:val="Heading2"/>
      </w:pPr>
      <w:bookmarkStart w:id="6" w:name="materials-and-methods"/>
      <w:bookmarkEnd w:id="5"/>
      <w:r>
        <w:t>Materials and Methods</w:t>
      </w:r>
    </w:p>
    <w:p w14:paraId="43547239" w14:textId="77777777" w:rsidR="008D62B7" w:rsidRDefault="00825EF2">
      <w:pPr>
        <w:pStyle w:val="FirstParagraph"/>
      </w:pPr>
      <w:r>
        <w:t>Ethical clearance was obtained from the Institutional Human Ethics Committee of Assam Medical College and Hospital prior to commencement. Eligible patients were identified from the labour room, antenatal ward, emergency department, or intensive care unit. Written informed consent was obtained from the patient or legally acceptable representative in unconscious or actively convulsing patients.</w:t>
      </w:r>
    </w:p>
    <w:p w14:paraId="4354723A" w14:textId="77777777" w:rsidR="008D62B7" w:rsidRDefault="00825EF2">
      <w:pPr>
        <w:pStyle w:val="BodyText"/>
      </w:pPr>
      <w:r>
        <w:t>Inclusion criteria included pregnant women diagnosed with preeclampsia or eclampsia, BMI less than 30 kg/m2 at admission, gestational age &gt;=20 weeks, antepartum, intrapartum, or postpartum eclampsia, and receipt of half-dose magnesium sulphate therapy. Exclusion criteria included BMI &gt;=30 kg/m2, known renal disease or oliguria, magnesium sulphate hypersensitivity, pre-existing neurological disorder or epilepsy, prior standard-dose magnesium sulphate before admission, severe cardiac disease, or myasthenia gravis.</w:t>
      </w:r>
    </w:p>
    <w:p w14:paraId="4354723B" w14:textId="77777777" w:rsidR="008D62B7" w:rsidRDefault="00825EF2">
      <w:pPr>
        <w:pStyle w:val="BodyText"/>
      </w:pPr>
      <w:r>
        <w:t>Baseline demographic and obstetric details were recorded, including age, socioeconomic status, parity, booking status, and gestational age. Clinical evaluation included blood pressure, pulse rate, respiratory rate, temperature, edema, neurological status, and number of convulsions prior to admission. Laboratory investigations included haemoglobin, platelet count, liver function tests, renal function tests, urine albumin, and serum magnesium levels after therapy where indicated. Patients were monitored for respiratory rate, urine output, deep tendon reflexes, seizure recurrence, adverse effects, and maternal and perinatal outcomes.</w:t>
      </w:r>
    </w:p>
    <w:p w14:paraId="4354723C" w14:textId="77777777" w:rsidR="008D62B7" w:rsidRDefault="00825EF2">
      <w:pPr>
        <w:pStyle w:val="Heading2"/>
      </w:pPr>
      <w:bookmarkStart w:id="7" w:name="results"/>
      <w:bookmarkEnd w:id="6"/>
      <w:r>
        <w:t>Results</w:t>
      </w:r>
    </w:p>
    <w:p w14:paraId="4354723D" w14:textId="54F63CFA" w:rsidR="008D62B7" w:rsidRDefault="00825EF2">
      <w:pPr>
        <w:pStyle w:val="FirstParagraph"/>
      </w:pPr>
      <w:r>
        <w:t>A total of 80 women with BMI less than 30 kg/m2 were included. Most patients were aged 19-35 years (57.5%), while 22.5% were below 19 years and 20% were above 35 years. Primigravida</w:t>
      </w:r>
      <w:r w:rsidR="00842D8A">
        <w:t>e</w:t>
      </w:r>
      <w:r>
        <w:t xml:space="preserve"> were the largest parity group (47.5%). Low socioeconomic status accounted for 72.5% of the study population.</w:t>
      </w:r>
    </w:p>
    <w:p w14:paraId="4354723E" w14:textId="77777777" w:rsidR="008D62B7" w:rsidRDefault="00825EF2">
      <w:pPr>
        <w:pStyle w:val="BodyText"/>
      </w:pPr>
      <w:r>
        <w:rPr>
          <w:b/>
          <w:bCs/>
        </w:rPr>
        <w:t>Table 1: Baseline demographic characteristics</w:t>
      </w:r>
    </w:p>
    <w:tbl>
      <w:tblPr>
        <w:tblStyle w:val="Table"/>
        <w:tblW w:w="0" w:type="auto"/>
        <w:tblLook w:val="0020" w:firstRow="1" w:lastRow="0" w:firstColumn="0" w:lastColumn="0" w:noHBand="0" w:noVBand="0"/>
      </w:tblPr>
      <w:tblGrid>
        <w:gridCol w:w="1301"/>
        <w:gridCol w:w="1779"/>
        <w:gridCol w:w="1060"/>
        <w:gridCol w:w="1360"/>
      </w:tblGrid>
      <w:tr w:rsidR="008D62B7" w14:paraId="43547243" w14:textId="77777777" w:rsidTr="008D62B7">
        <w:trPr>
          <w:cnfStyle w:val="100000000000" w:firstRow="1" w:lastRow="0" w:firstColumn="0" w:lastColumn="0" w:oddVBand="0" w:evenVBand="0" w:oddHBand="0" w:evenHBand="0" w:firstRowFirstColumn="0" w:firstRowLastColumn="0" w:lastRowFirstColumn="0" w:lastRowLastColumn="0"/>
          <w:tblHeader/>
        </w:trPr>
        <w:tc>
          <w:tcPr>
            <w:tcW w:w="0" w:type="auto"/>
          </w:tcPr>
          <w:p w14:paraId="4354723F" w14:textId="77777777" w:rsidR="008D62B7" w:rsidRDefault="00825EF2">
            <w:pPr>
              <w:pStyle w:val="Compact"/>
            </w:pPr>
            <w:r>
              <w:t>Parameter</w:t>
            </w:r>
          </w:p>
        </w:tc>
        <w:tc>
          <w:tcPr>
            <w:tcW w:w="0" w:type="auto"/>
          </w:tcPr>
          <w:p w14:paraId="43547240" w14:textId="77777777" w:rsidR="008D62B7" w:rsidRDefault="00825EF2">
            <w:pPr>
              <w:pStyle w:val="Compact"/>
              <w:jc w:val="right"/>
            </w:pPr>
            <w:r>
              <w:t>Category</w:t>
            </w:r>
          </w:p>
        </w:tc>
        <w:tc>
          <w:tcPr>
            <w:tcW w:w="0" w:type="auto"/>
          </w:tcPr>
          <w:p w14:paraId="43547241" w14:textId="77777777" w:rsidR="008D62B7" w:rsidRDefault="00825EF2">
            <w:pPr>
              <w:pStyle w:val="Compact"/>
              <w:jc w:val="right"/>
            </w:pPr>
            <w:r>
              <w:t>Number</w:t>
            </w:r>
          </w:p>
        </w:tc>
        <w:tc>
          <w:tcPr>
            <w:tcW w:w="0" w:type="auto"/>
          </w:tcPr>
          <w:p w14:paraId="43547242" w14:textId="77777777" w:rsidR="008D62B7" w:rsidRDefault="00825EF2">
            <w:pPr>
              <w:pStyle w:val="Compact"/>
              <w:jc w:val="right"/>
            </w:pPr>
            <w:r>
              <w:t>Percentage</w:t>
            </w:r>
          </w:p>
        </w:tc>
      </w:tr>
      <w:tr w:rsidR="008D62B7" w14:paraId="43547248" w14:textId="77777777">
        <w:tc>
          <w:tcPr>
            <w:tcW w:w="0" w:type="auto"/>
          </w:tcPr>
          <w:p w14:paraId="43547244" w14:textId="77777777" w:rsidR="008D62B7" w:rsidRDefault="00825EF2">
            <w:pPr>
              <w:pStyle w:val="Compact"/>
            </w:pPr>
            <w:r>
              <w:t>Age</w:t>
            </w:r>
          </w:p>
        </w:tc>
        <w:tc>
          <w:tcPr>
            <w:tcW w:w="0" w:type="auto"/>
          </w:tcPr>
          <w:p w14:paraId="43547245" w14:textId="77777777" w:rsidR="008D62B7" w:rsidRDefault="00825EF2">
            <w:pPr>
              <w:pStyle w:val="Compact"/>
              <w:jc w:val="right"/>
            </w:pPr>
            <w:r>
              <w:t>&lt;19 years</w:t>
            </w:r>
          </w:p>
        </w:tc>
        <w:tc>
          <w:tcPr>
            <w:tcW w:w="0" w:type="auto"/>
          </w:tcPr>
          <w:p w14:paraId="43547246" w14:textId="77777777" w:rsidR="008D62B7" w:rsidRDefault="00825EF2">
            <w:pPr>
              <w:pStyle w:val="Compact"/>
              <w:jc w:val="right"/>
            </w:pPr>
            <w:r>
              <w:t>18</w:t>
            </w:r>
          </w:p>
        </w:tc>
        <w:tc>
          <w:tcPr>
            <w:tcW w:w="0" w:type="auto"/>
          </w:tcPr>
          <w:p w14:paraId="43547247" w14:textId="77777777" w:rsidR="008D62B7" w:rsidRDefault="00825EF2">
            <w:pPr>
              <w:pStyle w:val="Compact"/>
              <w:jc w:val="right"/>
            </w:pPr>
            <w:r>
              <w:t>22.5</w:t>
            </w:r>
          </w:p>
        </w:tc>
      </w:tr>
      <w:tr w:rsidR="008D62B7" w14:paraId="4354724D" w14:textId="77777777">
        <w:tc>
          <w:tcPr>
            <w:tcW w:w="0" w:type="auto"/>
          </w:tcPr>
          <w:p w14:paraId="43547249" w14:textId="77777777" w:rsidR="008D62B7" w:rsidRDefault="00825EF2">
            <w:pPr>
              <w:pStyle w:val="Compact"/>
            </w:pPr>
            <w:r>
              <w:t>Age</w:t>
            </w:r>
          </w:p>
        </w:tc>
        <w:tc>
          <w:tcPr>
            <w:tcW w:w="0" w:type="auto"/>
          </w:tcPr>
          <w:p w14:paraId="4354724A" w14:textId="77777777" w:rsidR="008D62B7" w:rsidRDefault="00825EF2">
            <w:pPr>
              <w:pStyle w:val="Compact"/>
              <w:jc w:val="right"/>
            </w:pPr>
            <w:r>
              <w:t>19-35 years</w:t>
            </w:r>
          </w:p>
        </w:tc>
        <w:tc>
          <w:tcPr>
            <w:tcW w:w="0" w:type="auto"/>
          </w:tcPr>
          <w:p w14:paraId="4354724B" w14:textId="77777777" w:rsidR="008D62B7" w:rsidRDefault="00825EF2">
            <w:pPr>
              <w:pStyle w:val="Compact"/>
              <w:jc w:val="right"/>
            </w:pPr>
            <w:r>
              <w:t>46</w:t>
            </w:r>
          </w:p>
        </w:tc>
        <w:tc>
          <w:tcPr>
            <w:tcW w:w="0" w:type="auto"/>
          </w:tcPr>
          <w:p w14:paraId="4354724C" w14:textId="77777777" w:rsidR="008D62B7" w:rsidRDefault="00825EF2">
            <w:pPr>
              <w:pStyle w:val="Compact"/>
              <w:jc w:val="right"/>
            </w:pPr>
            <w:r>
              <w:t>57.5</w:t>
            </w:r>
          </w:p>
        </w:tc>
      </w:tr>
      <w:tr w:rsidR="008D62B7" w14:paraId="43547252" w14:textId="77777777">
        <w:tc>
          <w:tcPr>
            <w:tcW w:w="0" w:type="auto"/>
          </w:tcPr>
          <w:p w14:paraId="4354724E" w14:textId="77777777" w:rsidR="008D62B7" w:rsidRDefault="00825EF2">
            <w:pPr>
              <w:pStyle w:val="Compact"/>
            </w:pPr>
            <w:r>
              <w:t>Age</w:t>
            </w:r>
          </w:p>
        </w:tc>
        <w:tc>
          <w:tcPr>
            <w:tcW w:w="0" w:type="auto"/>
          </w:tcPr>
          <w:p w14:paraId="4354724F" w14:textId="77777777" w:rsidR="008D62B7" w:rsidRDefault="00825EF2">
            <w:pPr>
              <w:pStyle w:val="Compact"/>
              <w:jc w:val="right"/>
            </w:pPr>
            <w:r>
              <w:t>&gt;35 years</w:t>
            </w:r>
          </w:p>
        </w:tc>
        <w:tc>
          <w:tcPr>
            <w:tcW w:w="0" w:type="auto"/>
          </w:tcPr>
          <w:p w14:paraId="43547250" w14:textId="77777777" w:rsidR="008D62B7" w:rsidRDefault="00825EF2">
            <w:pPr>
              <w:pStyle w:val="Compact"/>
              <w:jc w:val="right"/>
            </w:pPr>
            <w:r>
              <w:t>16</w:t>
            </w:r>
          </w:p>
        </w:tc>
        <w:tc>
          <w:tcPr>
            <w:tcW w:w="0" w:type="auto"/>
          </w:tcPr>
          <w:p w14:paraId="43547251" w14:textId="77777777" w:rsidR="008D62B7" w:rsidRDefault="00825EF2">
            <w:pPr>
              <w:pStyle w:val="Compact"/>
              <w:jc w:val="right"/>
            </w:pPr>
            <w:r>
              <w:t>20.0</w:t>
            </w:r>
          </w:p>
        </w:tc>
      </w:tr>
      <w:tr w:rsidR="008D62B7" w14:paraId="43547257" w14:textId="77777777">
        <w:tc>
          <w:tcPr>
            <w:tcW w:w="0" w:type="auto"/>
          </w:tcPr>
          <w:p w14:paraId="43547253" w14:textId="77777777" w:rsidR="008D62B7" w:rsidRDefault="00825EF2">
            <w:pPr>
              <w:pStyle w:val="Compact"/>
            </w:pPr>
            <w:r>
              <w:t>Parity</w:t>
            </w:r>
          </w:p>
        </w:tc>
        <w:tc>
          <w:tcPr>
            <w:tcW w:w="0" w:type="auto"/>
          </w:tcPr>
          <w:p w14:paraId="43547254" w14:textId="77777777" w:rsidR="008D62B7" w:rsidRDefault="00825EF2">
            <w:pPr>
              <w:pStyle w:val="Compact"/>
              <w:jc w:val="right"/>
            </w:pPr>
            <w:r>
              <w:t>Primigravida</w:t>
            </w:r>
          </w:p>
        </w:tc>
        <w:tc>
          <w:tcPr>
            <w:tcW w:w="0" w:type="auto"/>
          </w:tcPr>
          <w:p w14:paraId="43547255" w14:textId="77777777" w:rsidR="008D62B7" w:rsidRDefault="00825EF2">
            <w:pPr>
              <w:pStyle w:val="Compact"/>
              <w:jc w:val="right"/>
            </w:pPr>
            <w:r>
              <w:t>38</w:t>
            </w:r>
          </w:p>
        </w:tc>
        <w:tc>
          <w:tcPr>
            <w:tcW w:w="0" w:type="auto"/>
          </w:tcPr>
          <w:p w14:paraId="43547256" w14:textId="77777777" w:rsidR="008D62B7" w:rsidRDefault="00825EF2">
            <w:pPr>
              <w:pStyle w:val="Compact"/>
              <w:jc w:val="right"/>
            </w:pPr>
            <w:r>
              <w:t>47.5</w:t>
            </w:r>
          </w:p>
        </w:tc>
      </w:tr>
      <w:tr w:rsidR="008D62B7" w14:paraId="4354725C" w14:textId="77777777">
        <w:tc>
          <w:tcPr>
            <w:tcW w:w="0" w:type="auto"/>
          </w:tcPr>
          <w:p w14:paraId="43547258" w14:textId="77777777" w:rsidR="008D62B7" w:rsidRDefault="00825EF2">
            <w:pPr>
              <w:pStyle w:val="Compact"/>
            </w:pPr>
            <w:r>
              <w:t>Parity</w:t>
            </w:r>
          </w:p>
        </w:tc>
        <w:tc>
          <w:tcPr>
            <w:tcW w:w="0" w:type="auto"/>
          </w:tcPr>
          <w:p w14:paraId="43547259" w14:textId="77777777" w:rsidR="008D62B7" w:rsidRDefault="00825EF2">
            <w:pPr>
              <w:pStyle w:val="Compact"/>
              <w:jc w:val="right"/>
            </w:pPr>
            <w:r>
              <w:t>Second gravida</w:t>
            </w:r>
          </w:p>
        </w:tc>
        <w:tc>
          <w:tcPr>
            <w:tcW w:w="0" w:type="auto"/>
          </w:tcPr>
          <w:p w14:paraId="4354725A" w14:textId="77777777" w:rsidR="008D62B7" w:rsidRDefault="00825EF2">
            <w:pPr>
              <w:pStyle w:val="Compact"/>
              <w:jc w:val="right"/>
            </w:pPr>
            <w:r>
              <w:t>26</w:t>
            </w:r>
          </w:p>
        </w:tc>
        <w:tc>
          <w:tcPr>
            <w:tcW w:w="0" w:type="auto"/>
          </w:tcPr>
          <w:p w14:paraId="4354725B" w14:textId="77777777" w:rsidR="008D62B7" w:rsidRDefault="00825EF2">
            <w:pPr>
              <w:pStyle w:val="Compact"/>
              <w:jc w:val="right"/>
            </w:pPr>
            <w:r>
              <w:t>32.5</w:t>
            </w:r>
          </w:p>
        </w:tc>
      </w:tr>
      <w:tr w:rsidR="008D62B7" w14:paraId="43547261" w14:textId="77777777">
        <w:tc>
          <w:tcPr>
            <w:tcW w:w="0" w:type="auto"/>
          </w:tcPr>
          <w:p w14:paraId="4354725D" w14:textId="77777777" w:rsidR="008D62B7" w:rsidRDefault="00825EF2">
            <w:pPr>
              <w:pStyle w:val="Compact"/>
            </w:pPr>
            <w:r>
              <w:t>Parity</w:t>
            </w:r>
          </w:p>
        </w:tc>
        <w:tc>
          <w:tcPr>
            <w:tcW w:w="0" w:type="auto"/>
          </w:tcPr>
          <w:p w14:paraId="4354725E" w14:textId="77777777" w:rsidR="008D62B7" w:rsidRDefault="00825EF2">
            <w:pPr>
              <w:pStyle w:val="Compact"/>
              <w:jc w:val="right"/>
            </w:pPr>
            <w:r>
              <w:t>&gt;2</w:t>
            </w:r>
          </w:p>
        </w:tc>
        <w:tc>
          <w:tcPr>
            <w:tcW w:w="0" w:type="auto"/>
          </w:tcPr>
          <w:p w14:paraId="4354725F" w14:textId="77777777" w:rsidR="008D62B7" w:rsidRDefault="00825EF2">
            <w:pPr>
              <w:pStyle w:val="Compact"/>
              <w:jc w:val="right"/>
            </w:pPr>
            <w:r>
              <w:t>16</w:t>
            </w:r>
          </w:p>
        </w:tc>
        <w:tc>
          <w:tcPr>
            <w:tcW w:w="0" w:type="auto"/>
          </w:tcPr>
          <w:p w14:paraId="43547260" w14:textId="77777777" w:rsidR="008D62B7" w:rsidRDefault="00825EF2">
            <w:pPr>
              <w:pStyle w:val="Compact"/>
              <w:jc w:val="right"/>
            </w:pPr>
            <w:r>
              <w:t>20.0</w:t>
            </w:r>
          </w:p>
        </w:tc>
      </w:tr>
      <w:tr w:rsidR="008D62B7" w14:paraId="43547266" w14:textId="77777777">
        <w:tc>
          <w:tcPr>
            <w:tcW w:w="0" w:type="auto"/>
          </w:tcPr>
          <w:p w14:paraId="43547262" w14:textId="77777777" w:rsidR="008D62B7" w:rsidRDefault="00825EF2">
            <w:pPr>
              <w:pStyle w:val="Compact"/>
            </w:pPr>
            <w:r>
              <w:t>BMI</w:t>
            </w:r>
          </w:p>
        </w:tc>
        <w:tc>
          <w:tcPr>
            <w:tcW w:w="0" w:type="auto"/>
          </w:tcPr>
          <w:p w14:paraId="43547263" w14:textId="77777777" w:rsidR="008D62B7" w:rsidRDefault="00825EF2">
            <w:pPr>
              <w:pStyle w:val="Compact"/>
              <w:jc w:val="right"/>
            </w:pPr>
            <w:r>
              <w:t>&lt;25 kg/m2</w:t>
            </w:r>
          </w:p>
        </w:tc>
        <w:tc>
          <w:tcPr>
            <w:tcW w:w="0" w:type="auto"/>
          </w:tcPr>
          <w:p w14:paraId="43547264" w14:textId="77777777" w:rsidR="008D62B7" w:rsidRDefault="00825EF2">
            <w:pPr>
              <w:pStyle w:val="Compact"/>
              <w:jc w:val="right"/>
            </w:pPr>
            <w:r>
              <w:t>42</w:t>
            </w:r>
          </w:p>
        </w:tc>
        <w:tc>
          <w:tcPr>
            <w:tcW w:w="0" w:type="auto"/>
          </w:tcPr>
          <w:p w14:paraId="43547265" w14:textId="77777777" w:rsidR="008D62B7" w:rsidRDefault="00825EF2">
            <w:pPr>
              <w:pStyle w:val="Compact"/>
              <w:jc w:val="right"/>
            </w:pPr>
            <w:r>
              <w:t>52.5</w:t>
            </w:r>
          </w:p>
        </w:tc>
      </w:tr>
      <w:tr w:rsidR="008D62B7" w14:paraId="4354726B" w14:textId="77777777">
        <w:tc>
          <w:tcPr>
            <w:tcW w:w="0" w:type="auto"/>
          </w:tcPr>
          <w:p w14:paraId="43547267" w14:textId="77777777" w:rsidR="008D62B7" w:rsidRDefault="00825EF2">
            <w:pPr>
              <w:pStyle w:val="Compact"/>
            </w:pPr>
            <w:r>
              <w:lastRenderedPageBreak/>
              <w:t>BMI</w:t>
            </w:r>
          </w:p>
        </w:tc>
        <w:tc>
          <w:tcPr>
            <w:tcW w:w="0" w:type="auto"/>
          </w:tcPr>
          <w:p w14:paraId="43547268" w14:textId="77777777" w:rsidR="008D62B7" w:rsidRDefault="00825EF2">
            <w:pPr>
              <w:pStyle w:val="Compact"/>
              <w:jc w:val="right"/>
            </w:pPr>
            <w:r>
              <w:t>25-29.9 kg/m2</w:t>
            </w:r>
          </w:p>
        </w:tc>
        <w:tc>
          <w:tcPr>
            <w:tcW w:w="0" w:type="auto"/>
          </w:tcPr>
          <w:p w14:paraId="43547269" w14:textId="77777777" w:rsidR="008D62B7" w:rsidRDefault="00825EF2">
            <w:pPr>
              <w:pStyle w:val="Compact"/>
              <w:jc w:val="right"/>
            </w:pPr>
            <w:r>
              <w:t>38</w:t>
            </w:r>
          </w:p>
        </w:tc>
        <w:tc>
          <w:tcPr>
            <w:tcW w:w="0" w:type="auto"/>
          </w:tcPr>
          <w:p w14:paraId="4354726A" w14:textId="77777777" w:rsidR="008D62B7" w:rsidRDefault="00825EF2">
            <w:pPr>
              <w:pStyle w:val="Compact"/>
              <w:jc w:val="right"/>
            </w:pPr>
            <w:r>
              <w:t>47.5</w:t>
            </w:r>
          </w:p>
        </w:tc>
      </w:tr>
    </w:tbl>
    <w:p w14:paraId="4354726C" w14:textId="77777777" w:rsidR="008D62B7" w:rsidRDefault="00825EF2">
      <w:pPr>
        <w:pStyle w:val="BodyText"/>
      </w:pPr>
      <w:r>
        <w:t>Preeclampsia and eclampsia were noted in both normal reproductive age and extreme age categories. Among patients below 19 years or above 35 years, 28 had preeclampsia and 14 had eclampsia. Among patients aged 19-35 years, 22 had preeclampsia and 16 had eclampsia.</w:t>
      </w:r>
    </w:p>
    <w:p w14:paraId="4354726D" w14:textId="77777777" w:rsidR="008D62B7" w:rsidRDefault="00825EF2">
      <w:pPr>
        <w:pStyle w:val="BodyText"/>
      </w:pPr>
      <w:r>
        <w:rPr>
          <w:b/>
          <w:bCs/>
        </w:rPr>
        <w:t>Table 2: Diagnosis distribution and socioeconomic status</w:t>
      </w:r>
    </w:p>
    <w:tbl>
      <w:tblPr>
        <w:tblStyle w:val="Table"/>
        <w:tblW w:w="0" w:type="auto"/>
        <w:tblLook w:val="0020" w:firstRow="1" w:lastRow="0" w:firstColumn="0" w:lastColumn="0" w:noHBand="0" w:noVBand="0"/>
      </w:tblPr>
      <w:tblGrid>
        <w:gridCol w:w="2418"/>
        <w:gridCol w:w="1957"/>
        <w:gridCol w:w="1595"/>
        <w:gridCol w:w="1263"/>
        <w:gridCol w:w="750"/>
      </w:tblGrid>
      <w:tr w:rsidR="008D62B7" w14:paraId="43547273" w14:textId="77777777" w:rsidTr="008D62B7">
        <w:trPr>
          <w:cnfStyle w:val="100000000000" w:firstRow="1" w:lastRow="0" w:firstColumn="0" w:lastColumn="0" w:oddVBand="0" w:evenVBand="0" w:oddHBand="0" w:evenHBand="0" w:firstRowFirstColumn="0" w:firstRowLastColumn="0" w:lastRowFirstColumn="0" w:lastRowLastColumn="0"/>
          <w:tblHeader/>
        </w:trPr>
        <w:tc>
          <w:tcPr>
            <w:tcW w:w="0" w:type="auto"/>
          </w:tcPr>
          <w:p w14:paraId="4354726E" w14:textId="77777777" w:rsidR="008D62B7" w:rsidRDefault="00825EF2">
            <w:pPr>
              <w:pStyle w:val="Compact"/>
            </w:pPr>
            <w:r>
              <w:t>Variable</w:t>
            </w:r>
          </w:p>
        </w:tc>
        <w:tc>
          <w:tcPr>
            <w:tcW w:w="0" w:type="auto"/>
          </w:tcPr>
          <w:p w14:paraId="4354726F" w14:textId="77777777" w:rsidR="008D62B7" w:rsidRDefault="00825EF2">
            <w:pPr>
              <w:pStyle w:val="Compact"/>
              <w:jc w:val="right"/>
            </w:pPr>
            <w:r>
              <w:t>Category</w:t>
            </w:r>
          </w:p>
        </w:tc>
        <w:tc>
          <w:tcPr>
            <w:tcW w:w="0" w:type="auto"/>
          </w:tcPr>
          <w:p w14:paraId="43547270" w14:textId="77777777" w:rsidR="008D62B7" w:rsidRDefault="00825EF2">
            <w:pPr>
              <w:pStyle w:val="Compact"/>
              <w:jc w:val="right"/>
            </w:pPr>
            <w:r>
              <w:t>Preeclampsia</w:t>
            </w:r>
          </w:p>
        </w:tc>
        <w:tc>
          <w:tcPr>
            <w:tcW w:w="0" w:type="auto"/>
          </w:tcPr>
          <w:p w14:paraId="43547271" w14:textId="77777777" w:rsidR="008D62B7" w:rsidRDefault="00825EF2">
            <w:pPr>
              <w:pStyle w:val="Compact"/>
              <w:jc w:val="right"/>
            </w:pPr>
            <w:r>
              <w:t>Eclampsia</w:t>
            </w:r>
          </w:p>
        </w:tc>
        <w:tc>
          <w:tcPr>
            <w:tcW w:w="0" w:type="auto"/>
          </w:tcPr>
          <w:p w14:paraId="43547272" w14:textId="77777777" w:rsidR="008D62B7" w:rsidRDefault="00825EF2">
            <w:pPr>
              <w:pStyle w:val="Compact"/>
              <w:jc w:val="right"/>
            </w:pPr>
            <w:r>
              <w:t>Total</w:t>
            </w:r>
          </w:p>
        </w:tc>
      </w:tr>
      <w:tr w:rsidR="008D62B7" w14:paraId="43547279" w14:textId="77777777">
        <w:tc>
          <w:tcPr>
            <w:tcW w:w="0" w:type="auto"/>
          </w:tcPr>
          <w:p w14:paraId="43547274" w14:textId="77777777" w:rsidR="008D62B7" w:rsidRDefault="00825EF2">
            <w:pPr>
              <w:pStyle w:val="Compact"/>
            </w:pPr>
            <w:r>
              <w:t>Age group</w:t>
            </w:r>
          </w:p>
        </w:tc>
        <w:tc>
          <w:tcPr>
            <w:tcW w:w="0" w:type="auto"/>
          </w:tcPr>
          <w:p w14:paraId="43547275" w14:textId="77777777" w:rsidR="008D62B7" w:rsidRDefault="00825EF2">
            <w:pPr>
              <w:pStyle w:val="Compact"/>
              <w:jc w:val="right"/>
            </w:pPr>
            <w:r>
              <w:t>&lt;19 or &gt;35 years</w:t>
            </w:r>
          </w:p>
        </w:tc>
        <w:tc>
          <w:tcPr>
            <w:tcW w:w="0" w:type="auto"/>
          </w:tcPr>
          <w:p w14:paraId="43547276" w14:textId="77777777" w:rsidR="008D62B7" w:rsidRDefault="00825EF2">
            <w:pPr>
              <w:pStyle w:val="Compact"/>
              <w:jc w:val="right"/>
            </w:pPr>
            <w:r>
              <w:t>28</w:t>
            </w:r>
          </w:p>
        </w:tc>
        <w:tc>
          <w:tcPr>
            <w:tcW w:w="0" w:type="auto"/>
          </w:tcPr>
          <w:p w14:paraId="43547277" w14:textId="77777777" w:rsidR="008D62B7" w:rsidRDefault="00825EF2">
            <w:pPr>
              <w:pStyle w:val="Compact"/>
              <w:jc w:val="right"/>
            </w:pPr>
            <w:r>
              <w:t>14</w:t>
            </w:r>
          </w:p>
        </w:tc>
        <w:tc>
          <w:tcPr>
            <w:tcW w:w="0" w:type="auto"/>
          </w:tcPr>
          <w:p w14:paraId="43547278" w14:textId="77777777" w:rsidR="008D62B7" w:rsidRDefault="00825EF2">
            <w:pPr>
              <w:pStyle w:val="Compact"/>
              <w:jc w:val="right"/>
            </w:pPr>
            <w:r>
              <w:t>42</w:t>
            </w:r>
          </w:p>
        </w:tc>
      </w:tr>
      <w:tr w:rsidR="008D62B7" w14:paraId="4354727F" w14:textId="77777777">
        <w:tc>
          <w:tcPr>
            <w:tcW w:w="0" w:type="auto"/>
          </w:tcPr>
          <w:p w14:paraId="4354727A" w14:textId="77777777" w:rsidR="008D62B7" w:rsidRDefault="00825EF2">
            <w:pPr>
              <w:pStyle w:val="Compact"/>
            </w:pPr>
            <w:r>
              <w:t>Age group</w:t>
            </w:r>
          </w:p>
        </w:tc>
        <w:tc>
          <w:tcPr>
            <w:tcW w:w="0" w:type="auto"/>
          </w:tcPr>
          <w:p w14:paraId="4354727B" w14:textId="77777777" w:rsidR="008D62B7" w:rsidRDefault="00825EF2">
            <w:pPr>
              <w:pStyle w:val="Compact"/>
              <w:jc w:val="right"/>
            </w:pPr>
            <w:r>
              <w:t>19-35 years</w:t>
            </w:r>
          </w:p>
        </w:tc>
        <w:tc>
          <w:tcPr>
            <w:tcW w:w="0" w:type="auto"/>
          </w:tcPr>
          <w:p w14:paraId="4354727C" w14:textId="77777777" w:rsidR="008D62B7" w:rsidRDefault="00825EF2">
            <w:pPr>
              <w:pStyle w:val="Compact"/>
              <w:jc w:val="right"/>
            </w:pPr>
            <w:r>
              <w:t>22</w:t>
            </w:r>
          </w:p>
        </w:tc>
        <w:tc>
          <w:tcPr>
            <w:tcW w:w="0" w:type="auto"/>
          </w:tcPr>
          <w:p w14:paraId="4354727D" w14:textId="77777777" w:rsidR="008D62B7" w:rsidRDefault="00825EF2">
            <w:pPr>
              <w:pStyle w:val="Compact"/>
              <w:jc w:val="right"/>
            </w:pPr>
            <w:r>
              <w:t>16</w:t>
            </w:r>
          </w:p>
        </w:tc>
        <w:tc>
          <w:tcPr>
            <w:tcW w:w="0" w:type="auto"/>
          </w:tcPr>
          <w:p w14:paraId="4354727E" w14:textId="77777777" w:rsidR="008D62B7" w:rsidRDefault="00825EF2">
            <w:pPr>
              <w:pStyle w:val="Compact"/>
              <w:jc w:val="right"/>
            </w:pPr>
            <w:r>
              <w:t>38</w:t>
            </w:r>
          </w:p>
        </w:tc>
      </w:tr>
      <w:tr w:rsidR="008D62B7" w14:paraId="43547285" w14:textId="77777777">
        <w:tc>
          <w:tcPr>
            <w:tcW w:w="0" w:type="auto"/>
          </w:tcPr>
          <w:p w14:paraId="43547280" w14:textId="77777777" w:rsidR="008D62B7" w:rsidRDefault="00825EF2">
            <w:pPr>
              <w:pStyle w:val="Compact"/>
            </w:pPr>
            <w:r>
              <w:t>Socioeconomic status</w:t>
            </w:r>
          </w:p>
        </w:tc>
        <w:tc>
          <w:tcPr>
            <w:tcW w:w="0" w:type="auto"/>
          </w:tcPr>
          <w:p w14:paraId="43547281" w14:textId="77777777" w:rsidR="008D62B7" w:rsidRDefault="00825EF2">
            <w:pPr>
              <w:pStyle w:val="Compact"/>
              <w:jc w:val="right"/>
            </w:pPr>
            <w:r>
              <w:t>Low</w:t>
            </w:r>
          </w:p>
        </w:tc>
        <w:tc>
          <w:tcPr>
            <w:tcW w:w="0" w:type="auto"/>
          </w:tcPr>
          <w:p w14:paraId="43547282" w14:textId="77777777" w:rsidR="008D62B7" w:rsidRDefault="00825EF2">
            <w:pPr>
              <w:pStyle w:val="Compact"/>
              <w:jc w:val="right"/>
            </w:pPr>
            <w:r>
              <w:t>38</w:t>
            </w:r>
          </w:p>
        </w:tc>
        <w:tc>
          <w:tcPr>
            <w:tcW w:w="0" w:type="auto"/>
          </w:tcPr>
          <w:p w14:paraId="43547283" w14:textId="77777777" w:rsidR="008D62B7" w:rsidRDefault="00825EF2">
            <w:pPr>
              <w:pStyle w:val="Compact"/>
              <w:jc w:val="right"/>
            </w:pPr>
            <w:r>
              <w:t>20</w:t>
            </w:r>
          </w:p>
        </w:tc>
        <w:tc>
          <w:tcPr>
            <w:tcW w:w="0" w:type="auto"/>
          </w:tcPr>
          <w:p w14:paraId="43547284" w14:textId="77777777" w:rsidR="008D62B7" w:rsidRDefault="00825EF2">
            <w:pPr>
              <w:pStyle w:val="Compact"/>
              <w:jc w:val="right"/>
            </w:pPr>
            <w:r>
              <w:t>58</w:t>
            </w:r>
          </w:p>
        </w:tc>
      </w:tr>
      <w:tr w:rsidR="008D62B7" w14:paraId="4354728B" w14:textId="77777777">
        <w:tc>
          <w:tcPr>
            <w:tcW w:w="0" w:type="auto"/>
          </w:tcPr>
          <w:p w14:paraId="43547286" w14:textId="77777777" w:rsidR="008D62B7" w:rsidRDefault="00825EF2">
            <w:pPr>
              <w:pStyle w:val="Compact"/>
            </w:pPr>
            <w:r>
              <w:t>Socioeconomic status</w:t>
            </w:r>
          </w:p>
        </w:tc>
        <w:tc>
          <w:tcPr>
            <w:tcW w:w="0" w:type="auto"/>
          </w:tcPr>
          <w:p w14:paraId="43547287" w14:textId="77777777" w:rsidR="008D62B7" w:rsidRDefault="00825EF2">
            <w:pPr>
              <w:pStyle w:val="Compact"/>
              <w:jc w:val="right"/>
            </w:pPr>
            <w:r>
              <w:t>Middle</w:t>
            </w:r>
          </w:p>
        </w:tc>
        <w:tc>
          <w:tcPr>
            <w:tcW w:w="0" w:type="auto"/>
          </w:tcPr>
          <w:p w14:paraId="43547288" w14:textId="77777777" w:rsidR="008D62B7" w:rsidRDefault="00825EF2">
            <w:pPr>
              <w:pStyle w:val="Compact"/>
              <w:jc w:val="right"/>
            </w:pPr>
            <w:r>
              <w:t>10</w:t>
            </w:r>
          </w:p>
        </w:tc>
        <w:tc>
          <w:tcPr>
            <w:tcW w:w="0" w:type="auto"/>
          </w:tcPr>
          <w:p w14:paraId="43547289" w14:textId="77777777" w:rsidR="008D62B7" w:rsidRDefault="00825EF2">
            <w:pPr>
              <w:pStyle w:val="Compact"/>
              <w:jc w:val="right"/>
            </w:pPr>
            <w:r>
              <w:t>8</w:t>
            </w:r>
          </w:p>
        </w:tc>
        <w:tc>
          <w:tcPr>
            <w:tcW w:w="0" w:type="auto"/>
          </w:tcPr>
          <w:p w14:paraId="4354728A" w14:textId="77777777" w:rsidR="008D62B7" w:rsidRDefault="00825EF2">
            <w:pPr>
              <w:pStyle w:val="Compact"/>
              <w:jc w:val="right"/>
            </w:pPr>
            <w:r>
              <w:t>18</w:t>
            </w:r>
          </w:p>
        </w:tc>
      </w:tr>
      <w:tr w:rsidR="008D62B7" w14:paraId="43547291" w14:textId="77777777">
        <w:tc>
          <w:tcPr>
            <w:tcW w:w="0" w:type="auto"/>
          </w:tcPr>
          <w:p w14:paraId="4354728C" w14:textId="77777777" w:rsidR="008D62B7" w:rsidRDefault="00825EF2">
            <w:pPr>
              <w:pStyle w:val="Compact"/>
            </w:pPr>
            <w:r>
              <w:t>Socioeconomic status</w:t>
            </w:r>
          </w:p>
        </w:tc>
        <w:tc>
          <w:tcPr>
            <w:tcW w:w="0" w:type="auto"/>
          </w:tcPr>
          <w:p w14:paraId="4354728D" w14:textId="77777777" w:rsidR="008D62B7" w:rsidRDefault="00825EF2">
            <w:pPr>
              <w:pStyle w:val="Compact"/>
              <w:jc w:val="right"/>
            </w:pPr>
            <w:r>
              <w:t>High</w:t>
            </w:r>
          </w:p>
        </w:tc>
        <w:tc>
          <w:tcPr>
            <w:tcW w:w="0" w:type="auto"/>
          </w:tcPr>
          <w:p w14:paraId="4354728E" w14:textId="77777777" w:rsidR="008D62B7" w:rsidRDefault="00825EF2">
            <w:pPr>
              <w:pStyle w:val="Compact"/>
              <w:jc w:val="right"/>
            </w:pPr>
            <w:r>
              <w:t>0</w:t>
            </w:r>
          </w:p>
        </w:tc>
        <w:tc>
          <w:tcPr>
            <w:tcW w:w="0" w:type="auto"/>
          </w:tcPr>
          <w:p w14:paraId="4354728F" w14:textId="77777777" w:rsidR="008D62B7" w:rsidRDefault="00825EF2">
            <w:pPr>
              <w:pStyle w:val="Compact"/>
              <w:jc w:val="right"/>
            </w:pPr>
            <w:r>
              <w:t>4</w:t>
            </w:r>
          </w:p>
        </w:tc>
        <w:tc>
          <w:tcPr>
            <w:tcW w:w="0" w:type="auto"/>
          </w:tcPr>
          <w:p w14:paraId="43547290" w14:textId="77777777" w:rsidR="008D62B7" w:rsidRDefault="00825EF2">
            <w:pPr>
              <w:pStyle w:val="Compact"/>
              <w:jc w:val="right"/>
            </w:pPr>
            <w:r>
              <w:t>4</w:t>
            </w:r>
          </w:p>
        </w:tc>
      </w:tr>
    </w:tbl>
    <w:p w14:paraId="43547292" w14:textId="77777777" w:rsidR="008D62B7" w:rsidRDefault="00825EF2">
      <w:pPr>
        <w:pStyle w:val="BodyText"/>
      </w:pPr>
      <w:r>
        <w:t>Seizure control was achieved in 79 patients (98.75%) following half-dose magnesium sulphate therapy. Only one patient had a breakthrough seizure and was subsequently managed with full-dose magnesium sulphate; serum magnesium in that patient increased to 8 mg/dL.</w:t>
      </w:r>
    </w:p>
    <w:p w14:paraId="43547293" w14:textId="77777777" w:rsidR="008D62B7" w:rsidRDefault="00825EF2">
      <w:pPr>
        <w:pStyle w:val="BodyText"/>
      </w:pPr>
      <w:r>
        <w:rPr>
          <w:b/>
          <w:bCs/>
        </w:rPr>
        <w:t>Table 3: Seizure control and side effects</w:t>
      </w:r>
    </w:p>
    <w:tbl>
      <w:tblPr>
        <w:tblStyle w:val="Table"/>
        <w:tblW w:w="0" w:type="auto"/>
        <w:tblLook w:val="0020" w:firstRow="1" w:lastRow="0" w:firstColumn="0" w:lastColumn="0" w:noHBand="0" w:noVBand="0"/>
      </w:tblPr>
      <w:tblGrid>
        <w:gridCol w:w="1770"/>
        <w:gridCol w:w="2905"/>
        <w:gridCol w:w="1060"/>
        <w:gridCol w:w="2286"/>
      </w:tblGrid>
      <w:tr w:rsidR="008D62B7" w14:paraId="43547298" w14:textId="77777777" w:rsidTr="008D62B7">
        <w:trPr>
          <w:cnfStyle w:val="100000000000" w:firstRow="1" w:lastRow="0" w:firstColumn="0" w:lastColumn="0" w:oddVBand="0" w:evenVBand="0" w:oddHBand="0" w:evenHBand="0" w:firstRowFirstColumn="0" w:firstRowLastColumn="0" w:lastRowFirstColumn="0" w:lastRowLastColumn="0"/>
          <w:tblHeader/>
        </w:trPr>
        <w:tc>
          <w:tcPr>
            <w:tcW w:w="0" w:type="auto"/>
          </w:tcPr>
          <w:p w14:paraId="43547294" w14:textId="77777777" w:rsidR="008D62B7" w:rsidRDefault="00825EF2">
            <w:pPr>
              <w:pStyle w:val="Compact"/>
            </w:pPr>
            <w:r>
              <w:t>Parameter</w:t>
            </w:r>
          </w:p>
        </w:tc>
        <w:tc>
          <w:tcPr>
            <w:tcW w:w="0" w:type="auto"/>
          </w:tcPr>
          <w:p w14:paraId="43547295" w14:textId="77777777" w:rsidR="008D62B7" w:rsidRDefault="00825EF2">
            <w:pPr>
              <w:pStyle w:val="Compact"/>
              <w:jc w:val="right"/>
            </w:pPr>
            <w:r>
              <w:t>Outcome</w:t>
            </w:r>
          </w:p>
        </w:tc>
        <w:tc>
          <w:tcPr>
            <w:tcW w:w="0" w:type="auto"/>
          </w:tcPr>
          <w:p w14:paraId="43547296" w14:textId="77777777" w:rsidR="008D62B7" w:rsidRDefault="00825EF2">
            <w:pPr>
              <w:pStyle w:val="Compact"/>
              <w:jc w:val="right"/>
            </w:pPr>
            <w:r>
              <w:t>Number</w:t>
            </w:r>
          </w:p>
        </w:tc>
        <w:tc>
          <w:tcPr>
            <w:tcW w:w="0" w:type="auto"/>
          </w:tcPr>
          <w:p w14:paraId="43547297" w14:textId="77777777" w:rsidR="008D62B7" w:rsidRDefault="00825EF2">
            <w:pPr>
              <w:pStyle w:val="Compact"/>
              <w:jc w:val="right"/>
            </w:pPr>
            <w:r>
              <w:t>Percentage/Remark</w:t>
            </w:r>
          </w:p>
        </w:tc>
      </w:tr>
      <w:tr w:rsidR="008D62B7" w14:paraId="4354729D" w14:textId="77777777">
        <w:tc>
          <w:tcPr>
            <w:tcW w:w="0" w:type="auto"/>
          </w:tcPr>
          <w:p w14:paraId="43547299" w14:textId="77777777" w:rsidR="008D62B7" w:rsidRDefault="00825EF2">
            <w:pPr>
              <w:pStyle w:val="Compact"/>
            </w:pPr>
            <w:r>
              <w:t>Seizure control</w:t>
            </w:r>
          </w:p>
        </w:tc>
        <w:tc>
          <w:tcPr>
            <w:tcW w:w="0" w:type="auto"/>
          </w:tcPr>
          <w:p w14:paraId="4354729A" w14:textId="77777777" w:rsidR="008D62B7" w:rsidRDefault="00825EF2">
            <w:pPr>
              <w:pStyle w:val="Compact"/>
              <w:jc w:val="right"/>
            </w:pPr>
            <w:r>
              <w:t>No breakthrough seizure</w:t>
            </w:r>
          </w:p>
        </w:tc>
        <w:tc>
          <w:tcPr>
            <w:tcW w:w="0" w:type="auto"/>
          </w:tcPr>
          <w:p w14:paraId="4354729B" w14:textId="77777777" w:rsidR="008D62B7" w:rsidRDefault="00825EF2">
            <w:pPr>
              <w:pStyle w:val="Compact"/>
              <w:jc w:val="right"/>
            </w:pPr>
            <w:r>
              <w:t>79</w:t>
            </w:r>
          </w:p>
        </w:tc>
        <w:tc>
          <w:tcPr>
            <w:tcW w:w="0" w:type="auto"/>
          </w:tcPr>
          <w:p w14:paraId="4354729C" w14:textId="77777777" w:rsidR="008D62B7" w:rsidRDefault="00825EF2">
            <w:pPr>
              <w:pStyle w:val="Compact"/>
              <w:jc w:val="right"/>
            </w:pPr>
            <w:r>
              <w:t>98.75%</w:t>
            </w:r>
          </w:p>
        </w:tc>
      </w:tr>
      <w:tr w:rsidR="008D62B7" w14:paraId="435472A2" w14:textId="77777777">
        <w:tc>
          <w:tcPr>
            <w:tcW w:w="0" w:type="auto"/>
          </w:tcPr>
          <w:p w14:paraId="4354729E" w14:textId="77777777" w:rsidR="008D62B7" w:rsidRDefault="00825EF2">
            <w:pPr>
              <w:pStyle w:val="Compact"/>
            </w:pPr>
            <w:r>
              <w:t>Seizure control</w:t>
            </w:r>
          </w:p>
        </w:tc>
        <w:tc>
          <w:tcPr>
            <w:tcW w:w="0" w:type="auto"/>
          </w:tcPr>
          <w:p w14:paraId="4354729F" w14:textId="77777777" w:rsidR="008D62B7" w:rsidRDefault="00825EF2">
            <w:pPr>
              <w:pStyle w:val="Compact"/>
              <w:jc w:val="right"/>
            </w:pPr>
            <w:r>
              <w:t>Breakthrough seizure</w:t>
            </w:r>
          </w:p>
        </w:tc>
        <w:tc>
          <w:tcPr>
            <w:tcW w:w="0" w:type="auto"/>
          </w:tcPr>
          <w:p w14:paraId="435472A0" w14:textId="77777777" w:rsidR="008D62B7" w:rsidRDefault="00825EF2">
            <w:pPr>
              <w:pStyle w:val="Compact"/>
              <w:jc w:val="right"/>
            </w:pPr>
            <w:r>
              <w:t>1</w:t>
            </w:r>
          </w:p>
        </w:tc>
        <w:tc>
          <w:tcPr>
            <w:tcW w:w="0" w:type="auto"/>
          </w:tcPr>
          <w:p w14:paraId="435472A1" w14:textId="77777777" w:rsidR="008D62B7" w:rsidRDefault="00825EF2">
            <w:pPr>
              <w:pStyle w:val="Compact"/>
              <w:jc w:val="right"/>
            </w:pPr>
            <w:r>
              <w:t>1.25%</w:t>
            </w:r>
          </w:p>
        </w:tc>
      </w:tr>
      <w:tr w:rsidR="008D62B7" w14:paraId="435472A7" w14:textId="77777777">
        <w:tc>
          <w:tcPr>
            <w:tcW w:w="0" w:type="auto"/>
          </w:tcPr>
          <w:p w14:paraId="435472A3" w14:textId="77777777" w:rsidR="008D62B7" w:rsidRDefault="00825EF2">
            <w:pPr>
              <w:pStyle w:val="Compact"/>
            </w:pPr>
            <w:r>
              <w:t>Side effect</w:t>
            </w:r>
          </w:p>
        </w:tc>
        <w:tc>
          <w:tcPr>
            <w:tcW w:w="0" w:type="auto"/>
          </w:tcPr>
          <w:p w14:paraId="435472A4" w14:textId="77777777" w:rsidR="008D62B7" w:rsidRDefault="00825EF2">
            <w:pPr>
              <w:pStyle w:val="Compact"/>
              <w:jc w:val="right"/>
            </w:pPr>
            <w:r>
              <w:t>Flushing</w:t>
            </w:r>
          </w:p>
        </w:tc>
        <w:tc>
          <w:tcPr>
            <w:tcW w:w="0" w:type="auto"/>
          </w:tcPr>
          <w:p w14:paraId="435472A5" w14:textId="77777777" w:rsidR="008D62B7" w:rsidRDefault="00825EF2">
            <w:pPr>
              <w:pStyle w:val="Compact"/>
              <w:jc w:val="right"/>
            </w:pPr>
            <w:r>
              <w:t>3</w:t>
            </w:r>
          </w:p>
        </w:tc>
        <w:tc>
          <w:tcPr>
            <w:tcW w:w="0" w:type="auto"/>
          </w:tcPr>
          <w:p w14:paraId="435472A6" w14:textId="77777777" w:rsidR="008D62B7" w:rsidRDefault="00825EF2">
            <w:pPr>
              <w:pStyle w:val="Compact"/>
              <w:jc w:val="right"/>
            </w:pPr>
            <w:r>
              <w:t>Mild</w:t>
            </w:r>
          </w:p>
        </w:tc>
      </w:tr>
      <w:tr w:rsidR="008D62B7" w14:paraId="435472AC" w14:textId="77777777">
        <w:tc>
          <w:tcPr>
            <w:tcW w:w="0" w:type="auto"/>
          </w:tcPr>
          <w:p w14:paraId="435472A8" w14:textId="77777777" w:rsidR="008D62B7" w:rsidRDefault="00825EF2">
            <w:pPr>
              <w:pStyle w:val="Compact"/>
            </w:pPr>
            <w:r>
              <w:t>Side effect</w:t>
            </w:r>
          </w:p>
        </w:tc>
        <w:tc>
          <w:tcPr>
            <w:tcW w:w="0" w:type="auto"/>
          </w:tcPr>
          <w:p w14:paraId="435472A9" w14:textId="77777777" w:rsidR="008D62B7" w:rsidRDefault="00825EF2">
            <w:pPr>
              <w:pStyle w:val="Compact"/>
              <w:jc w:val="right"/>
            </w:pPr>
            <w:r>
              <w:t>Nausea/Vomiting</w:t>
            </w:r>
          </w:p>
        </w:tc>
        <w:tc>
          <w:tcPr>
            <w:tcW w:w="0" w:type="auto"/>
          </w:tcPr>
          <w:p w14:paraId="435472AA" w14:textId="77777777" w:rsidR="008D62B7" w:rsidRDefault="00825EF2">
            <w:pPr>
              <w:pStyle w:val="Compact"/>
              <w:jc w:val="right"/>
            </w:pPr>
            <w:r>
              <w:t>2</w:t>
            </w:r>
          </w:p>
        </w:tc>
        <w:tc>
          <w:tcPr>
            <w:tcW w:w="0" w:type="auto"/>
          </w:tcPr>
          <w:p w14:paraId="435472AB" w14:textId="77777777" w:rsidR="008D62B7" w:rsidRDefault="00825EF2">
            <w:pPr>
              <w:pStyle w:val="Compact"/>
              <w:jc w:val="right"/>
            </w:pPr>
            <w:r>
              <w:t>Mild</w:t>
            </w:r>
          </w:p>
        </w:tc>
      </w:tr>
      <w:tr w:rsidR="008D62B7" w14:paraId="435472B1" w14:textId="77777777">
        <w:tc>
          <w:tcPr>
            <w:tcW w:w="0" w:type="auto"/>
          </w:tcPr>
          <w:p w14:paraId="435472AD" w14:textId="77777777" w:rsidR="008D62B7" w:rsidRDefault="00825EF2">
            <w:pPr>
              <w:pStyle w:val="Compact"/>
            </w:pPr>
            <w:r>
              <w:t>Side effect</w:t>
            </w:r>
          </w:p>
        </w:tc>
        <w:tc>
          <w:tcPr>
            <w:tcW w:w="0" w:type="auto"/>
          </w:tcPr>
          <w:p w14:paraId="435472AE" w14:textId="77777777" w:rsidR="008D62B7" w:rsidRDefault="00825EF2">
            <w:pPr>
              <w:pStyle w:val="Compact"/>
              <w:jc w:val="right"/>
            </w:pPr>
            <w:r>
              <w:t>Injection site pain</w:t>
            </w:r>
          </w:p>
        </w:tc>
        <w:tc>
          <w:tcPr>
            <w:tcW w:w="0" w:type="auto"/>
          </w:tcPr>
          <w:p w14:paraId="435472AF" w14:textId="77777777" w:rsidR="008D62B7" w:rsidRDefault="00825EF2">
            <w:pPr>
              <w:pStyle w:val="Compact"/>
              <w:jc w:val="right"/>
            </w:pPr>
            <w:r>
              <w:t>3</w:t>
            </w:r>
          </w:p>
        </w:tc>
        <w:tc>
          <w:tcPr>
            <w:tcW w:w="0" w:type="auto"/>
          </w:tcPr>
          <w:p w14:paraId="435472B0" w14:textId="77777777" w:rsidR="008D62B7" w:rsidRDefault="00825EF2">
            <w:pPr>
              <w:pStyle w:val="Compact"/>
              <w:jc w:val="right"/>
            </w:pPr>
            <w:r>
              <w:t>Mild</w:t>
            </w:r>
          </w:p>
        </w:tc>
      </w:tr>
      <w:tr w:rsidR="008D62B7" w14:paraId="435472B6" w14:textId="77777777">
        <w:tc>
          <w:tcPr>
            <w:tcW w:w="0" w:type="auto"/>
          </w:tcPr>
          <w:p w14:paraId="435472B2" w14:textId="77777777" w:rsidR="008D62B7" w:rsidRDefault="00825EF2">
            <w:pPr>
              <w:pStyle w:val="Compact"/>
            </w:pPr>
            <w:r>
              <w:t>Side effect</w:t>
            </w:r>
          </w:p>
        </w:tc>
        <w:tc>
          <w:tcPr>
            <w:tcW w:w="0" w:type="auto"/>
          </w:tcPr>
          <w:p w14:paraId="435472B3" w14:textId="77777777" w:rsidR="008D62B7" w:rsidRDefault="00825EF2">
            <w:pPr>
              <w:pStyle w:val="Compact"/>
              <w:jc w:val="right"/>
            </w:pPr>
            <w:r>
              <w:t>Injection site abscess</w:t>
            </w:r>
          </w:p>
        </w:tc>
        <w:tc>
          <w:tcPr>
            <w:tcW w:w="0" w:type="auto"/>
          </w:tcPr>
          <w:p w14:paraId="435472B4" w14:textId="77777777" w:rsidR="008D62B7" w:rsidRDefault="00825EF2">
            <w:pPr>
              <w:pStyle w:val="Compact"/>
              <w:jc w:val="right"/>
            </w:pPr>
            <w:r>
              <w:t>0</w:t>
            </w:r>
          </w:p>
        </w:tc>
        <w:tc>
          <w:tcPr>
            <w:tcW w:w="0" w:type="auto"/>
          </w:tcPr>
          <w:p w14:paraId="435472B5" w14:textId="77777777" w:rsidR="008D62B7" w:rsidRDefault="00825EF2">
            <w:pPr>
              <w:pStyle w:val="Compact"/>
              <w:jc w:val="right"/>
            </w:pPr>
            <w:r>
              <w:t>Nil</w:t>
            </w:r>
          </w:p>
        </w:tc>
      </w:tr>
      <w:tr w:rsidR="008D62B7" w14:paraId="435472BB" w14:textId="77777777">
        <w:tc>
          <w:tcPr>
            <w:tcW w:w="0" w:type="auto"/>
          </w:tcPr>
          <w:p w14:paraId="435472B7" w14:textId="77777777" w:rsidR="008D62B7" w:rsidRDefault="00825EF2">
            <w:pPr>
              <w:pStyle w:val="Compact"/>
            </w:pPr>
            <w:r>
              <w:t>Side effect</w:t>
            </w:r>
          </w:p>
        </w:tc>
        <w:tc>
          <w:tcPr>
            <w:tcW w:w="0" w:type="auto"/>
          </w:tcPr>
          <w:p w14:paraId="435472B8" w14:textId="77777777" w:rsidR="008D62B7" w:rsidRDefault="00825EF2">
            <w:pPr>
              <w:pStyle w:val="Compact"/>
              <w:jc w:val="right"/>
            </w:pPr>
            <w:r>
              <w:t>Loss of deep tendon reflex</w:t>
            </w:r>
          </w:p>
        </w:tc>
        <w:tc>
          <w:tcPr>
            <w:tcW w:w="0" w:type="auto"/>
          </w:tcPr>
          <w:p w14:paraId="435472B9" w14:textId="77777777" w:rsidR="008D62B7" w:rsidRDefault="00825EF2">
            <w:pPr>
              <w:pStyle w:val="Compact"/>
              <w:jc w:val="right"/>
            </w:pPr>
            <w:r>
              <w:t>1</w:t>
            </w:r>
          </w:p>
        </w:tc>
        <w:tc>
          <w:tcPr>
            <w:tcW w:w="0" w:type="auto"/>
          </w:tcPr>
          <w:p w14:paraId="435472BA" w14:textId="77777777" w:rsidR="008D62B7" w:rsidRDefault="00825EF2">
            <w:pPr>
              <w:pStyle w:val="Compact"/>
              <w:jc w:val="right"/>
            </w:pPr>
            <w:r>
              <w:t>After full dose</w:t>
            </w:r>
          </w:p>
        </w:tc>
      </w:tr>
    </w:tbl>
    <w:p w14:paraId="435472BC" w14:textId="77777777" w:rsidR="008D62B7" w:rsidRDefault="00825EF2">
      <w:pPr>
        <w:pStyle w:val="BodyText"/>
      </w:pPr>
      <w:r>
        <w:t>Maternal complications were relatively low. Preterm delivery was the most common complication (15%), followed by postpartum hemorrhage (7.5%), antepartum hemorrhage (6.25%), blood transfusion (6.25%), ICU admission (5%), and placental bed bleeding (3.75%).</w:t>
      </w:r>
    </w:p>
    <w:p w14:paraId="435472BD" w14:textId="77777777" w:rsidR="008D62B7" w:rsidRDefault="00825EF2">
      <w:pPr>
        <w:pStyle w:val="BodyText"/>
      </w:pPr>
      <w:r>
        <w:rPr>
          <w:b/>
          <w:bCs/>
        </w:rPr>
        <w:t>Table 4: Maternal complications and perinatal outcomes</w:t>
      </w:r>
    </w:p>
    <w:tbl>
      <w:tblPr>
        <w:tblStyle w:val="Table"/>
        <w:tblW w:w="0" w:type="auto"/>
        <w:tblLook w:val="0020" w:firstRow="1" w:lastRow="0" w:firstColumn="0" w:lastColumn="0" w:noHBand="0" w:noVBand="0"/>
      </w:tblPr>
      <w:tblGrid>
        <w:gridCol w:w="2775"/>
        <w:gridCol w:w="1060"/>
        <w:gridCol w:w="1360"/>
      </w:tblGrid>
      <w:tr w:rsidR="008D62B7" w14:paraId="435472C1" w14:textId="77777777" w:rsidTr="008D62B7">
        <w:trPr>
          <w:cnfStyle w:val="100000000000" w:firstRow="1" w:lastRow="0" w:firstColumn="0" w:lastColumn="0" w:oddVBand="0" w:evenVBand="0" w:oddHBand="0" w:evenHBand="0" w:firstRowFirstColumn="0" w:firstRowLastColumn="0" w:lastRowFirstColumn="0" w:lastRowLastColumn="0"/>
          <w:tblHeader/>
        </w:trPr>
        <w:tc>
          <w:tcPr>
            <w:tcW w:w="0" w:type="auto"/>
          </w:tcPr>
          <w:p w14:paraId="435472BE" w14:textId="77777777" w:rsidR="008D62B7" w:rsidRDefault="00825EF2">
            <w:pPr>
              <w:pStyle w:val="Compact"/>
            </w:pPr>
            <w:r>
              <w:t>Outcome</w:t>
            </w:r>
          </w:p>
        </w:tc>
        <w:tc>
          <w:tcPr>
            <w:tcW w:w="0" w:type="auto"/>
          </w:tcPr>
          <w:p w14:paraId="435472BF" w14:textId="77777777" w:rsidR="008D62B7" w:rsidRDefault="00825EF2">
            <w:pPr>
              <w:pStyle w:val="Compact"/>
              <w:jc w:val="right"/>
            </w:pPr>
            <w:r>
              <w:t>Number</w:t>
            </w:r>
          </w:p>
        </w:tc>
        <w:tc>
          <w:tcPr>
            <w:tcW w:w="0" w:type="auto"/>
          </w:tcPr>
          <w:p w14:paraId="435472C0" w14:textId="77777777" w:rsidR="008D62B7" w:rsidRDefault="00825EF2">
            <w:pPr>
              <w:pStyle w:val="Compact"/>
              <w:jc w:val="right"/>
            </w:pPr>
            <w:r>
              <w:t>Percentage</w:t>
            </w:r>
          </w:p>
        </w:tc>
      </w:tr>
      <w:tr w:rsidR="008D62B7" w14:paraId="435472C5" w14:textId="77777777">
        <w:tc>
          <w:tcPr>
            <w:tcW w:w="0" w:type="auto"/>
          </w:tcPr>
          <w:p w14:paraId="435472C2" w14:textId="77777777" w:rsidR="008D62B7" w:rsidRDefault="00825EF2">
            <w:pPr>
              <w:pStyle w:val="Compact"/>
            </w:pPr>
            <w:r>
              <w:t>Antepartum hemorrhage</w:t>
            </w:r>
          </w:p>
        </w:tc>
        <w:tc>
          <w:tcPr>
            <w:tcW w:w="0" w:type="auto"/>
          </w:tcPr>
          <w:p w14:paraId="435472C3" w14:textId="77777777" w:rsidR="008D62B7" w:rsidRDefault="00825EF2">
            <w:pPr>
              <w:pStyle w:val="Compact"/>
              <w:jc w:val="right"/>
            </w:pPr>
            <w:r>
              <w:t>5</w:t>
            </w:r>
          </w:p>
        </w:tc>
        <w:tc>
          <w:tcPr>
            <w:tcW w:w="0" w:type="auto"/>
          </w:tcPr>
          <w:p w14:paraId="435472C4" w14:textId="77777777" w:rsidR="008D62B7" w:rsidRDefault="00825EF2">
            <w:pPr>
              <w:pStyle w:val="Compact"/>
              <w:jc w:val="right"/>
            </w:pPr>
            <w:r>
              <w:t>6.25</w:t>
            </w:r>
          </w:p>
        </w:tc>
      </w:tr>
      <w:tr w:rsidR="008D62B7" w14:paraId="435472C9" w14:textId="77777777">
        <w:tc>
          <w:tcPr>
            <w:tcW w:w="0" w:type="auto"/>
          </w:tcPr>
          <w:p w14:paraId="435472C6" w14:textId="77777777" w:rsidR="008D62B7" w:rsidRDefault="00825EF2">
            <w:pPr>
              <w:pStyle w:val="Compact"/>
            </w:pPr>
            <w:r>
              <w:t>Preterm delivery</w:t>
            </w:r>
          </w:p>
        </w:tc>
        <w:tc>
          <w:tcPr>
            <w:tcW w:w="0" w:type="auto"/>
          </w:tcPr>
          <w:p w14:paraId="435472C7" w14:textId="77777777" w:rsidR="008D62B7" w:rsidRDefault="00825EF2">
            <w:pPr>
              <w:pStyle w:val="Compact"/>
              <w:jc w:val="right"/>
            </w:pPr>
            <w:r>
              <w:t>12</w:t>
            </w:r>
          </w:p>
        </w:tc>
        <w:tc>
          <w:tcPr>
            <w:tcW w:w="0" w:type="auto"/>
          </w:tcPr>
          <w:p w14:paraId="435472C8" w14:textId="77777777" w:rsidR="008D62B7" w:rsidRDefault="00825EF2">
            <w:pPr>
              <w:pStyle w:val="Compact"/>
              <w:jc w:val="right"/>
            </w:pPr>
            <w:r>
              <w:t>15.0</w:t>
            </w:r>
          </w:p>
        </w:tc>
      </w:tr>
      <w:tr w:rsidR="008D62B7" w14:paraId="435472CD" w14:textId="77777777">
        <w:tc>
          <w:tcPr>
            <w:tcW w:w="0" w:type="auto"/>
          </w:tcPr>
          <w:p w14:paraId="435472CA" w14:textId="77777777" w:rsidR="008D62B7" w:rsidRDefault="00825EF2">
            <w:pPr>
              <w:pStyle w:val="Compact"/>
            </w:pPr>
            <w:r>
              <w:t>Placental bed bleeding</w:t>
            </w:r>
          </w:p>
        </w:tc>
        <w:tc>
          <w:tcPr>
            <w:tcW w:w="0" w:type="auto"/>
          </w:tcPr>
          <w:p w14:paraId="435472CB" w14:textId="77777777" w:rsidR="008D62B7" w:rsidRDefault="00825EF2">
            <w:pPr>
              <w:pStyle w:val="Compact"/>
              <w:jc w:val="right"/>
            </w:pPr>
            <w:r>
              <w:t>3</w:t>
            </w:r>
          </w:p>
        </w:tc>
        <w:tc>
          <w:tcPr>
            <w:tcW w:w="0" w:type="auto"/>
          </w:tcPr>
          <w:p w14:paraId="435472CC" w14:textId="77777777" w:rsidR="008D62B7" w:rsidRDefault="00825EF2">
            <w:pPr>
              <w:pStyle w:val="Compact"/>
              <w:jc w:val="right"/>
            </w:pPr>
            <w:r>
              <w:t>3.75</w:t>
            </w:r>
          </w:p>
        </w:tc>
      </w:tr>
      <w:tr w:rsidR="008D62B7" w14:paraId="435472D1" w14:textId="77777777">
        <w:tc>
          <w:tcPr>
            <w:tcW w:w="0" w:type="auto"/>
          </w:tcPr>
          <w:p w14:paraId="435472CE" w14:textId="77777777" w:rsidR="008D62B7" w:rsidRDefault="00825EF2">
            <w:pPr>
              <w:pStyle w:val="Compact"/>
            </w:pPr>
            <w:r>
              <w:lastRenderedPageBreak/>
              <w:t>Postpartum hemorrhage</w:t>
            </w:r>
          </w:p>
        </w:tc>
        <w:tc>
          <w:tcPr>
            <w:tcW w:w="0" w:type="auto"/>
          </w:tcPr>
          <w:p w14:paraId="435472CF" w14:textId="77777777" w:rsidR="008D62B7" w:rsidRDefault="00825EF2">
            <w:pPr>
              <w:pStyle w:val="Compact"/>
              <w:jc w:val="right"/>
            </w:pPr>
            <w:r>
              <w:t>6</w:t>
            </w:r>
          </w:p>
        </w:tc>
        <w:tc>
          <w:tcPr>
            <w:tcW w:w="0" w:type="auto"/>
          </w:tcPr>
          <w:p w14:paraId="435472D0" w14:textId="77777777" w:rsidR="008D62B7" w:rsidRDefault="00825EF2">
            <w:pPr>
              <w:pStyle w:val="Compact"/>
              <w:jc w:val="right"/>
            </w:pPr>
            <w:r>
              <w:t>7.5</w:t>
            </w:r>
          </w:p>
        </w:tc>
      </w:tr>
      <w:tr w:rsidR="008D62B7" w14:paraId="435472D5" w14:textId="77777777">
        <w:tc>
          <w:tcPr>
            <w:tcW w:w="0" w:type="auto"/>
          </w:tcPr>
          <w:p w14:paraId="435472D2" w14:textId="77777777" w:rsidR="008D62B7" w:rsidRDefault="00825EF2">
            <w:pPr>
              <w:pStyle w:val="Compact"/>
            </w:pPr>
            <w:r>
              <w:t>ICU admission</w:t>
            </w:r>
          </w:p>
        </w:tc>
        <w:tc>
          <w:tcPr>
            <w:tcW w:w="0" w:type="auto"/>
          </w:tcPr>
          <w:p w14:paraId="435472D3" w14:textId="77777777" w:rsidR="008D62B7" w:rsidRDefault="00825EF2">
            <w:pPr>
              <w:pStyle w:val="Compact"/>
              <w:jc w:val="right"/>
            </w:pPr>
            <w:r>
              <w:t>4</w:t>
            </w:r>
          </w:p>
        </w:tc>
        <w:tc>
          <w:tcPr>
            <w:tcW w:w="0" w:type="auto"/>
          </w:tcPr>
          <w:p w14:paraId="435472D4" w14:textId="77777777" w:rsidR="008D62B7" w:rsidRDefault="00825EF2">
            <w:pPr>
              <w:pStyle w:val="Compact"/>
              <w:jc w:val="right"/>
            </w:pPr>
            <w:r>
              <w:t>5.0</w:t>
            </w:r>
          </w:p>
        </w:tc>
      </w:tr>
      <w:tr w:rsidR="008D62B7" w14:paraId="435472D9" w14:textId="77777777">
        <w:tc>
          <w:tcPr>
            <w:tcW w:w="0" w:type="auto"/>
          </w:tcPr>
          <w:p w14:paraId="435472D6" w14:textId="77777777" w:rsidR="008D62B7" w:rsidRDefault="00825EF2">
            <w:pPr>
              <w:pStyle w:val="Compact"/>
            </w:pPr>
            <w:r>
              <w:t>Blood transfusion</w:t>
            </w:r>
          </w:p>
        </w:tc>
        <w:tc>
          <w:tcPr>
            <w:tcW w:w="0" w:type="auto"/>
          </w:tcPr>
          <w:p w14:paraId="435472D7" w14:textId="77777777" w:rsidR="008D62B7" w:rsidRDefault="00825EF2">
            <w:pPr>
              <w:pStyle w:val="Compact"/>
              <w:jc w:val="right"/>
            </w:pPr>
            <w:r>
              <w:t>5</w:t>
            </w:r>
          </w:p>
        </w:tc>
        <w:tc>
          <w:tcPr>
            <w:tcW w:w="0" w:type="auto"/>
          </w:tcPr>
          <w:p w14:paraId="435472D8" w14:textId="77777777" w:rsidR="008D62B7" w:rsidRDefault="00825EF2">
            <w:pPr>
              <w:pStyle w:val="Compact"/>
              <w:jc w:val="right"/>
            </w:pPr>
            <w:r>
              <w:t>6.25</w:t>
            </w:r>
          </w:p>
        </w:tc>
      </w:tr>
      <w:tr w:rsidR="008D62B7" w14:paraId="435472DD" w14:textId="77777777">
        <w:tc>
          <w:tcPr>
            <w:tcW w:w="0" w:type="auto"/>
          </w:tcPr>
          <w:p w14:paraId="435472DA" w14:textId="77777777" w:rsidR="008D62B7" w:rsidRDefault="00825EF2">
            <w:pPr>
              <w:pStyle w:val="Compact"/>
            </w:pPr>
            <w:r>
              <w:t>Live births</w:t>
            </w:r>
          </w:p>
        </w:tc>
        <w:tc>
          <w:tcPr>
            <w:tcW w:w="0" w:type="auto"/>
          </w:tcPr>
          <w:p w14:paraId="435472DB" w14:textId="77777777" w:rsidR="008D62B7" w:rsidRDefault="00825EF2">
            <w:pPr>
              <w:pStyle w:val="Compact"/>
              <w:jc w:val="right"/>
            </w:pPr>
            <w:r>
              <w:t>77</w:t>
            </w:r>
          </w:p>
        </w:tc>
        <w:tc>
          <w:tcPr>
            <w:tcW w:w="0" w:type="auto"/>
          </w:tcPr>
          <w:p w14:paraId="435472DC" w14:textId="77777777" w:rsidR="008D62B7" w:rsidRDefault="00825EF2">
            <w:pPr>
              <w:pStyle w:val="Compact"/>
              <w:jc w:val="right"/>
            </w:pPr>
            <w:r>
              <w:t>96.25</w:t>
            </w:r>
          </w:p>
        </w:tc>
      </w:tr>
      <w:tr w:rsidR="008D62B7" w14:paraId="435472E1" w14:textId="77777777">
        <w:tc>
          <w:tcPr>
            <w:tcW w:w="0" w:type="auto"/>
          </w:tcPr>
          <w:p w14:paraId="435472DE" w14:textId="77777777" w:rsidR="008D62B7" w:rsidRDefault="00825EF2">
            <w:pPr>
              <w:pStyle w:val="Compact"/>
            </w:pPr>
            <w:r>
              <w:t>IUFD</w:t>
            </w:r>
          </w:p>
        </w:tc>
        <w:tc>
          <w:tcPr>
            <w:tcW w:w="0" w:type="auto"/>
          </w:tcPr>
          <w:p w14:paraId="435472DF" w14:textId="77777777" w:rsidR="008D62B7" w:rsidRDefault="00825EF2">
            <w:pPr>
              <w:pStyle w:val="Compact"/>
              <w:jc w:val="right"/>
            </w:pPr>
            <w:r>
              <w:t>2</w:t>
            </w:r>
          </w:p>
        </w:tc>
        <w:tc>
          <w:tcPr>
            <w:tcW w:w="0" w:type="auto"/>
          </w:tcPr>
          <w:p w14:paraId="435472E0" w14:textId="77777777" w:rsidR="008D62B7" w:rsidRDefault="00825EF2">
            <w:pPr>
              <w:pStyle w:val="Compact"/>
              <w:jc w:val="right"/>
            </w:pPr>
            <w:r>
              <w:t>2.5</w:t>
            </w:r>
          </w:p>
        </w:tc>
      </w:tr>
      <w:tr w:rsidR="008D62B7" w14:paraId="435472E5" w14:textId="77777777">
        <w:tc>
          <w:tcPr>
            <w:tcW w:w="0" w:type="auto"/>
          </w:tcPr>
          <w:p w14:paraId="435472E2" w14:textId="77777777" w:rsidR="008D62B7" w:rsidRDefault="00825EF2">
            <w:pPr>
              <w:pStyle w:val="Compact"/>
            </w:pPr>
            <w:r>
              <w:t>Neonatal death</w:t>
            </w:r>
          </w:p>
        </w:tc>
        <w:tc>
          <w:tcPr>
            <w:tcW w:w="0" w:type="auto"/>
          </w:tcPr>
          <w:p w14:paraId="435472E3" w14:textId="77777777" w:rsidR="008D62B7" w:rsidRDefault="00825EF2">
            <w:pPr>
              <w:pStyle w:val="Compact"/>
              <w:jc w:val="right"/>
            </w:pPr>
            <w:r>
              <w:t>1</w:t>
            </w:r>
          </w:p>
        </w:tc>
        <w:tc>
          <w:tcPr>
            <w:tcW w:w="0" w:type="auto"/>
          </w:tcPr>
          <w:p w14:paraId="435472E4" w14:textId="77777777" w:rsidR="008D62B7" w:rsidRDefault="00825EF2">
            <w:pPr>
              <w:pStyle w:val="Compact"/>
              <w:jc w:val="right"/>
            </w:pPr>
            <w:r>
              <w:t>1.25</w:t>
            </w:r>
          </w:p>
        </w:tc>
      </w:tr>
    </w:tbl>
    <w:p w14:paraId="435472E6" w14:textId="77777777" w:rsidR="008D62B7" w:rsidRDefault="00825EF2">
      <w:pPr>
        <w:pStyle w:val="BodyText"/>
      </w:pPr>
      <w:r>
        <w:t>Vaginal delivery was the most common mode of delivery, accounting for 44 cases (55%). Caesarean section was performed in 32 cases (40%), mainly for fetal distress, unfavorable cervix, cephalopelvic disproportion, or failed induction. Forceps delivery was needed in four cases (5%).</w:t>
      </w:r>
    </w:p>
    <w:p w14:paraId="435472E7" w14:textId="77777777" w:rsidR="008D62B7" w:rsidRDefault="00825EF2">
      <w:pPr>
        <w:pStyle w:val="BodyText"/>
      </w:pPr>
      <w:r>
        <w:rPr>
          <w:b/>
          <w:bCs/>
        </w:rPr>
        <w:t>Table 5: Mode of delivery and indications for caesarean section</w:t>
      </w:r>
    </w:p>
    <w:tbl>
      <w:tblPr>
        <w:tblStyle w:val="Table"/>
        <w:tblW w:w="0" w:type="auto"/>
        <w:tblLook w:val="0020" w:firstRow="1" w:lastRow="0" w:firstColumn="0" w:lastColumn="0" w:noHBand="0" w:noVBand="0"/>
      </w:tblPr>
      <w:tblGrid>
        <w:gridCol w:w="1556"/>
        <w:gridCol w:w="3139"/>
        <w:gridCol w:w="1060"/>
        <w:gridCol w:w="2286"/>
      </w:tblGrid>
      <w:tr w:rsidR="008D62B7" w14:paraId="435472EC" w14:textId="77777777" w:rsidTr="008D62B7">
        <w:trPr>
          <w:cnfStyle w:val="100000000000" w:firstRow="1" w:lastRow="0" w:firstColumn="0" w:lastColumn="0" w:oddVBand="0" w:evenVBand="0" w:oddHBand="0" w:evenHBand="0" w:firstRowFirstColumn="0" w:firstRowLastColumn="0" w:lastRowFirstColumn="0" w:lastRowLastColumn="0"/>
          <w:tblHeader/>
        </w:trPr>
        <w:tc>
          <w:tcPr>
            <w:tcW w:w="0" w:type="auto"/>
          </w:tcPr>
          <w:p w14:paraId="435472E8" w14:textId="77777777" w:rsidR="008D62B7" w:rsidRDefault="00825EF2">
            <w:pPr>
              <w:pStyle w:val="Compact"/>
            </w:pPr>
            <w:r>
              <w:t>Variable</w:t>
            </w:r>
          </w:p>
        </w:tc>
        <w:tc>
          <w:tcPr>
            <w:tcW w:w="0" w:type="auto"/>
          </w:tcPr>
          <w:p w14:paraId="435472E9" w14:textId="77777777" w:rsidR="008D62B7" w:rsidRDefault="00825EF2">
            <w:pPr>
              <w:pStyle w:val="Compact"/>
              <w:jc w:val="right"/>
            </w:pPr>
            <w:r>
              <w:t>Category</w:t>
            </w:r>
          </w:p>
        </w:tc>
        <w:tc>
          <w:tcPr>
            <w:tcW w:w="0" w:type="auto"/>
          </w:tcPr>
          <w:p w14:paraId="435472EA" w14:textId="77777777" w:rsidR="008D62B7" w:rsidRDefault="00825EF2">
            <w:pPr>
              <w:pStyle w:val="Compact"/>
              <w:jc w:val="right"/>
            </w:pPr>
            <w:r>
              <w:t>Number</w:t>
            </w:r>
          </w:p>
        </w:tc>
        <w:tc>
          <w:tcPr>
            <w:tcW w:w="0" w:type="auto"/>
          </w:tcPr>
          <w:p w14:paraId="435472EB" w14:textId="77777777" w:rsidR="008D62B7" w:rsidRDefault="00825EF2">
            <w:pPr>
              <w:pStyle w:val="Compact"/>
              <w:jc w:val="right"/>
            </w:pPr>
            <w:r>
              <w:t>Percentage/Remark</w:t>
            </w:r>
          </w:p>
        </w:tc>
      </w:tr>
      <w:tr w:rsidR="008D62B7" w14:paraId="435472F1" w14:textId="77777777">
        <w:tc>
          <w:tcPr>
            <w:tcW w:w="0" w:type="auto"/>
          </w:tcPr>
          <w:p w14:paraId="435472ED" w14:textId="77777777" w:rsidR="008D62B7" w:rsidRDefault="00825EF2">
            <w:pPr>
              <w:pStyle w:val="Compact"/>
            </w:pPr>
            <w:r>
              <w:t>Mode</w:t>
            </w:r>
          </w:p>
        </w:tc>
        <w:tc>
          <w:tcPr>
            <w:tcW w:w="0" w:type="auto"/>
          </w:tcPr>
          <w:p w14:paraId="435472EE" w14:textId="77777777" w:rsidR="008D62B7" w:rsidRDefault="00825EF2">
            <w:pPr>
              <w:pStyle w:val="Compact"/>
              <w:jc w:val="right"/>
            </w:pPr>
            <w:r>
              <w:t>Vaginal delivery</w:t>
            </w:r>
          </w:p>
        </w:tc>
        <w:tc>
          <w:tcPr>
            <w:tcW w:w="0" w:type="auto"/>
          </w:tcPr>
          <w:p w14:paraId="435472EF" w14:textId="77777777" w:rsidR="008D62B7" w:rsidRDefault="00825EF2">
            <w:pPr>
              <w:pStyle w:val="Compact"/>
              <w:jc w:val="right"/>
            </w:pPr>
            <w:r>
              <w:t>44</w:t>
            </w:r>
          </w:p>
        </w:tc>
        <w:tc>
          <w:tcPr>
            <w:tcW w:w="0" w:type="auto"/>
          </w:tcPr>
          <w:p w14:paraId="435472F0" w14:textId="77777777" w:rsidR="008D62B7" w:rsidRDefault="00825EF2">
            <w:pPr>
              <w:pStyle w:val="Compact"/>
              <w:jc w:val="right"/>
            </w:pPr>
            <w:r>
              <w:t>55%</w:t>
            </w:r>
          </w:p>
        </w:tc>
      </w:tr>
      <w:tr w:rsidR="008D62B7" w14:paraId="435472F6" w14:textId="77777777">
        <w:tc>
          <w:tcPr>
            <w:tcW w:w="0" w:type="auto"/>
          </w:tcPr>
          <w:p w14:paraId="435472F2" w14:textId="77777777" w:rsidR="008D62B7" w:rsidRDefault="00825EF2">
            <w:pPr>
              <w:pStyle w:val="Compact"/>
            </w:pPr>
            <w:r>
              <w:t>Mode</w:t>
            </w:r>
          </w:p>
        </w:tc>
        <w:tc>
          <w:tcPr>
            <w:tcW w:w="0" w:type="auto"/>
          </w:tcPr>
          <w:p w14:paraId="435472F3" w14:textId="77777777" w:rsidR="008D62B7" w:rsidRDefault="00825EF2">
            <w:pPr>
              <w:pStyle w:val="Compact"/>
              <w:jc w:val="right"/>
            </w:pPr>
            <w:r>
              <w:t>Caesarean section</w:t>
            </w:r>
          </w:p>
        </w:tc>
        <w:tc>
          <w:tcPr>
            <w:tcW w:w="0" w:type="auto"/>
          </w:tcPr>
          <w:p w14:paraId="435472F4" w14:textId="77777777" w:rsidR="008D62B7" w:rsidRDefault="00825EF2">
            <w:pPr>
              <w:pStyle w:val="Compact"/>
              <w:jc w:val="right"/>
            </w:pPr>
            <w:r>
              <w:t>32</w:t>
            </w:r>
          </w:p>
        </w:tc>
        <w:tc>
          <w:tcPr>
            <w:tcW w:w="0" w:type="auto"/>
          </w:tcPr>
          <w:p w14:paraId="435472F5" w14:textId="77777777" w:rsidR="008D62B7" w:rsidRDefault="00825EF2">
            <w:pPr>
              <w:pStyle w:val="Compact"/>
              <w:jc w:val="right"/>
            </w:pPr>
            <w:r>
              <w:t>40%</w:t>
            </w:r>
          </w:p>
        </w:tc>
      </w:tr>
      <w:tr w:rsidR="008D62B7" w14:paraId="435472FB" w14:textId="77777777">
        <w:tc>
          <w:tcPr>
            <w:tcW w:w="0" w:type="auto"/>
          </w:tcPr>
          <w:p w14:paraId="435472F7" w14:textId="77777777" w:rsidR="008D62B7" w:rsidRDefault="00825EF2">
            <w:pPr>
              <w:pStyle w:val="Compact"/>
            </w:pPr>
            <w:r>
              <w:t>Mode</w:t>
            </w:r>
          </w:p>
        </w:tc>
        <w:tc>
          <w:tcPr>
            <w:tcW w:w="0" w:type="auto"/>
          </w:tcPr>
          <w:p w14:paraId="435472F8" w14:textId="77777777" w:rsidR="008D62B7" w:rsidRDefault="00825EF2">
            <w:pPr>
              <w:pStyle w:val="Compact"/>
              <w:jc w:val="right"/>
            </w:pPr>
            <w:r>
              <w:t>Forceps delivery</w:t>
            </w:r>
          </w:p>
        </w:tc>
        <w:tc>
          <w:tcPr>
            <w:tcW w:w="0" w:type="auto"/>
          </w:tcPr>
          <w:p w14:paraId="435472F9" w14:textId="77777777" w:rsidR="008D62B7" w:rsidRDefault="00825EF2">
            <w:pPr>
              <w:pStyle w:val="Compact"/>
              <w:jc w:val="right"/>
            </w:pPr>
            <w:r>
              <w:t>4</w:t>
            </w:r>
          </w:p>
        </w:tc>
        <w:tc>
          <w:tcPr>
            <w:tcW w:w="0" w:type="auto"/>
          </w:tcPr>
          <w:p w14:paraId="435472FA" w14:textId="77777777" w:rsidR="008D62B7" w:rsidRDefault="00825EF2">
            <w:pPr>
              <w:pStyle w:val="Compact"/>
              <w:jc w:val="right"/>
            </w:pPr>
            <w:r>
              <w:t>5%</w:t>
            </w:r>
          </w:p>
        </w:tc>
      </w:tr>
      <w:tr w:rsidR="008D62B7" w14:paraId="43547300" w14:textId="77777777">
        <w:tc>
          <w:tcPr>
            <w:tcW w:w="0" w:type="auto"/>
          </w:tcPr>
          <w:p w14:paraId="435472FC" w14:textId="77777777" w:rsidR="008D62B7" w:rsidRDefault="00825EF2">
            <w:pPr>
              <w:pStyle w:val="Compact"/>
            </w:pPr>
            <w:r>
              <w:t>CS indication</w:t>
            </w:r>
          </w:p>
        </w:tc>
        <w:tc>
          <w:tcPr>
            <w:tcW w:w="0" w:type="auto"/>
          </w:tcPr>
          <w:p w14:paraId="435472FD" w14:textId="77777777" w:rsidR="008D62B7" w:rsidRDefault="00825EF2">
            <w:pPr>
              <w:pStyle w:val="Compact"/>
              <w:jc w:val="right"/>
            </w:pPr>
            <w:r>
              <w:t>Failure of induction</w:t>
            </w:r>
          </w:p>
        </w:tc>
        <w:tc>
          <w:tcPr>
            <w:tcW w:w="0" w:type="auto"/>
          </w:tcPr>
          <w:p w14:paraId="435472FE" w14:textId="77777777" w:rsidR="008D62B7" w:rsidRDefault="00825EF2">
            <w:pPr>
              <w:pStyle w:val="Compact"/>
              <w:jc w:val="right"/>
            </w:pPr>
            <w:r>
              <w:t>5</w:t>
            </w:r>
          </w:p>
        </w:tc>
        <w:tc>
          <w:tcPr>
            <w:tcW w:w="0" w:type="auto"/>
          </w:tcPr>
          <w:p w14:paraId="435472FF" w14:textId="77777777" w:rsidR="008D62B7" w:rsidRDefault="008D62B7">
            <w:pPr>
              <w:pStyle w:val="Compact"/>
            </w:pPr>
          </w:p>
        </w:tc>
      </w:tr>
      <w:tr w:rsidR="008D62B7" w14:paraId="43547305" w14:textId="77777777">
        <w:tc>
          <w:tcPr>
            <w:tcW w:w="0" w:type="auto"/>
          </w:tcPr>
          <w:p w14:paraId="43547301" w14:textId="77777777" w:rsidR="008D62B7" w:rsidRDefault="00825EF2">
            <w:pPr>
              <w:pStyle w:val="Compact"/>
            </w:pPr>
            <w:r>
              <w:t>CS indication</w:t>
            </w:r>
          </w:p>
        </w:tc>
        <w:tc>
          <w:tcPr>
            <w:tcW w:w="0" w:type="auto"/>
          </w:tcPr>
          <w:p w14:paraId="43547302" w14:textId="77777777" w:rsidR="008D62B7" w:rsidRDefault="00825EF2">
            <w:pPr>
              <w:pStyle w:val="Compact"/>
              <w:jc w:val="right"/>
            </w:pPr>
            <w:r>
              <w:t>Unfavorable cervix</w:t>
            </w:r>
          </w:p>
        </w:tc>
        <w:tc>
          <w:tcPr>
            <w:tcW w:w="0" w:type="auto"/>
          </w:tcPr>
          <w:p w14:paraId="43547303" w14:textId="77777777" w:rsidR="008D62B7" w:rsidRDefault="00825EF2">
            <w:pPr>
              <w:pStyle w:val="Compact"/>
              <w:jc w:val="right"/>
            </w:pPr>
            <w:r>
              <w:t>8</w:t>
            </w:r>
          </w:p>
        </w:tc>
        <w:tc>
          <w:tcPr>
            <w:tcW w:w="0" w:type="auto"/>
          </w:tcPr>
          <w:p w14:paraId="43547304" w14:textId="77777777" w:rsidR="008D62B7" w:rsidRDefault="008D62B7">
            <w:pPr>
              <w:pStyle w:val="Compact"/>
            </w:pPr>
          </w:p>
        </w:tc>
      </w:tr>
      <w:tr w:rsidR="008D62B7" w14:paraId="4354730A" w14:textId="77777777">
        <w:tc>
          <w:tcPr>
            <w:tcW w:w="0" w:type="auto"/>
          </w:tcPr>
          <w:p w14:paraId="43547306" w14:textId="77777777" w:rsidR="008D62B7" w:rsidRDefault="00825EF2">
            <w:pPr>
              <w:pStyle w:val="Compact"/>
            </w:pPr>
            <w:r>
              <w:t>CS indication</w:t>
            </w:r>
          </w:p>
        </w:tc>
        <w:tc>
          <w:tcPr>
            <w:tcW w:w="0" w:type="auto"/>
          </w:tcPr>
          <w:p w14:paraId="43547307" w14:textId="77777777" w:rsidR="008D62B7" w:rsidRDefault="00825EF2">
            <w:pPr>
              <w:pStyle w:val="Compact"/>
              <w:jc w:val="right"/>
            </w:pPr>
            <w:r>
              <w:t>Fetal distress</w:t>
            </w:r>
          </w:p>
        </w:tc>
        <w:tc>
          <w:tcPr>
            <w:tcW w:w="0" w:type="auto"/>
          </w:tcPr>
          <w:p w14:paraId="43547308" w14:textId="77777777" w:rsidR="008D62B7" w:rsidRDefault="00825EF2">
            <w:pPr>
              <w:pStyle w:val="Compact"/>
              <w:jc w:val="right"/>
            </w:pPr>
            <w:r>
              <w:t>13</w:t>
            </w:r>
          </w:p>
        </w:tc>
        <w:tc>
          <w:tcPr>
            <w:tcW w:w="0" w:type="auto"/>
          </w:tcPr>
          <w:p w14:paraId="43547309" w14:textId="77777777" w:rsidR="008D62B7" w:rsidRDefault="008D62B7">
            <w:pPr>
              <w:pStyle w:val="Compact"/>
            </w:pPr>
          </w:p>
        </w:tc>
      </w:tr>
      <w:tr w:rsidR="008D62B7" w14:paraId="4354730F" w14:textId="77777777">
        <w:tc>
          <w:tcPr>
            <w:tcW w:w="0" w:type="auto"/>
          </w:tcPr>
          <w:p w14:paraId="4354730B" w14:textId="77777777" w:rsidR="008D62B7" w:rsidRDefault="00825EF2">
            <w:pPr>
              <w:pStyle w:val="Compact"/>
            </w:pPr>
            <w:r>
              <w:t>CS indication</w:t>
            </w:r>
          </w:p>
        </w:tc>
        <w:tc>
          <w:tcPr>
            <w:tcW w:w="0" w:type="auto"/>
          </w:tcPr>
          <w:p w14:paraId="4354730C" w14:textId="77777777" w:rsidR="008D62B7" w:rsidRDefault="00825EF2">
            <w:pPr>
              <w:pStyle w:val="Compact"/>
              <w:jc w:val="right"/>
            </w:pPr>
            <w:r>
              <w:t>Cephalopelvic disproportion</w:t>
            </w:r>
          </w:p>
        </w:tc>
        <w:tc>
          <w:tcPr>
            <w:tcW w:w="0" w:type="auto"/>
          </w:tcPr>
          <w:p w14:paraId="4354730D" w14:textId="77777777" w:rsidR="008D62B7" w:rsidRDefault="00825EF2">
            <w:pPr>
              <w:pStyle w:val="Compact"/>
              <w:jc w:val="right"/>
            </w:pPr>
            <w:r>
              <w:t>6</w:t>
            </w:r>
          </w:p>
        </w:tc>
        <w:tc>
          <w:tcPr>
            <w:tcW w:w="0" w:type="auto"/>
          </w:tcPr>
          <w:p w14:paraId="4354730E" w14:textId="77777777" w:rsidR="008D62B7" w:rsidRDefault="008D62B7">
            <w:pPr>
              <w:pStyle w:val="Compact"/>
            </w:pPr>
          </w:p>
        </w:tc>
      </w:tr>
    </w:tbl>
    <w:p w14:paraId="43547310" w14:textId="77777777" w:rsidR="008D62B7" w:rsidRDefault="00825EF2">
      <w:pPr>
        <w:pStyle w:val="BodyText"/>
      </w:pPr>
      <w:r>
        <w:t>Gestational age distribution showed a high burden of preterm delivery: 22 patients delivered before 34 weeks, 30 delivered between 34 and 37 weeks, and 28 delivered after 37 weeks. The high proportion of preterm birth reflects the severity of hypertensive disorders and the need for early delivery in selected cases.</w:t>
      </w:r>
    </w:p>
    <w:p w14:paraId="43547311" w14:textId="77777777" w:rsidR="008D62B7" w:rsidRDefault="00825EF2">
      <w:pPr>
        <w:pStyle w:val="BodyText"/>
      </w:pPr>
      <w:r>
        <w:rPr>
          <w:b/>
          <w:bCs/>
        </w:rPr>
        <w:t>Table 6: Laboratory investigations</w:t>
      </w:r>
    </w:p>
    <w:tbl>
      <w:tblPr>
        <w:tblStyle w:val="Table"/>
        <w:tblW w:w="0" w:type="auto"/>
        <w:tblLook w:val="0020" w:firstRow="1" w:lastRow="0" w:firstColumn="0" w:lastColumn="0" w:noHBand="0" w:noVBand="0"/>
      </w:tblPr>
      <w:tblGrid>
        <w:gridCol w:w="2910"/>
        <w:gridCol w:w="1014"/>
        <w:gridCol w:w="930"/>
        <w:gridCol w:w="930"/>
        <w:gridCol w:w="1014"/>
      </w:tblGrid>
      <w:tr w:rsidR="008D62B7" w14:paraId="43547317" w14:textId="77777777" w:rsidTr="008D62B7">
        <w:trPr>
          <w:cnfStyle w:val="100000000000" w:firstRow="1" w:lastRow="0" w:firstColumn="0" w:lastColumn="0" w:oddVBand="0" w:evenVBand="0" w:oddHBand="0" w:evenHBand="0" w:firstRowFirstColumn="0" w:firstRowLastColumn="0" w:lastRowFirstColumn="0" w:lastRowLastColumn="0"/>
          <w:tblHeader/>
        </w:trPr>
        <w:tc>
          <w:tcPr>
            <w:tcW w:w="0" w:type="auto"/>
          </w:tcPr>
          <w:p w14:paraId="43547312" w14:textId="77777777" w:rsidR="008D62B7" w:rsidRDefault="00825EF2">
            <w:pPr>
              <w:pStyle w:val="Compact"/>
            </w:pPr>
            <w:r>
              <w:t>Investigation</w:t>
            </w:r>
          </w:p>
        </w:tc>
        <w:tc>
          <w:tcPr>
            <w:tcW w:w="0" w:type="auto"/>
          </w:tcPr>
          <w:p w14:paraId="43547313" w14:textId="77777777" w:rsidR="008D62B7" w:rsidRDefault="00825EF2">
            <w:pPr>
              <w:pStyle w:val="Compact"/>
              <w:jc w:val="right"/>
            </w:pPr>
            <w:r>
              <w:t>Mean</w:t>
            </w:r>
          </w:p>
        </w:tc>
        <w:tc>
          <w:tcPr>
            <w:tcW w:w="0" w:type="auto"/>
          </w:tcPr>
          <w:p w14:paraId="43547314" w14:textId="77777777" w:rsidR="008D62B7" w:rsidRDefault="00825EF2">
            <w:pPr>
              <w:pStyle w:val="Compact"/>
              <w:jc w:val="right"/>
            </w:pPr>
            <w:r>
              <w:t>S.D.</w:t>
            </w:r>
          </w:p>
        </w:tc>
        <w:tc>
          <w:tcPr>
            <w:tcW w:w="0" w:type="auto"/>
          </w:tcPr>
          <w:p w14:paraId="43547315" w14:textId="77777777" w:rsidR="008D62B7" w:rsidRDefault="00825EF2">
            <w:pPr>
              <w:pStyle w:val="Compact"/>
              <w:jc w:val="right"/>
            </w:pPr>
            <w:r>
              <w:t>Min</w:t>
            </w:r>
          </w:p>
        </w:tc>
        <w:tc>
          <w:tcPr>
            <w:tcW w:w="0" w:type="auto"/>
          </w:tcPr>
          <w:p w14:paraId="43547316" w14:textId="77777777" w:rsidR="008D62B7" w:rsidRDefault="00825EF2">
            <w:pPr>
              <w:pStyle w:val="Compact"/>
              <w:jc w:val="right"/>
            </w:pPr>
            <w:r>
              <w:t>Max</w:t>
            </w:r>
          </w:p>
        </w:tc>
      </w:tr>
      <w:tr w:rsidR="008D62B7" w14:paraId="4354731D" w14:textId="77777777">
        <w:tc>
          <w:tcPr>
            <w:tcW w:w="0" w:type="auto"/>
          </w:tcPr>
          <w:p w14:paraId="43547318" w14:textId="77777777" w:rsidR="008D62B7" w:rsidRDefault="00825EF2">
            <w:pPr>
              <w:pStyle w:val="Compact"/>
            </w:pPr>
            <w:r>
              <w:t>Haemoglobin (g/dL)</w:t>
            </w:r>
          </w:p>
        </w:tc>
        <w:tc>
          <w:tcPr>
            <w:tcW w:w="0" w:type="auto"/>
          </w:tcPr>
          <w:p w14:paraId="43547319" w14:textId="77777777" w:rsidR="008D62B7" w:rsidRDefault="00825EF2">
            <w:pPr>
              <w:pStyle w:val="Compact"/>
              <w:jc w:val="right"/>
            </w:pPr>
            <w:r>
              <w:t>9.42</w:t>
            </w:r>
          </w:p>
        </w:tc>
        <w:tc>
          <w:tcPr>
            <w:tcW w:w="0" w:type="auto"/>
          </w:tcPr>
          <w:p w14:paraId="4354731A" w14:textId="77777777" w:rsidR="008D62B7" w:rsidRDefault="00825EF2">
            <w:pPr>
              <w:pStyle w:val="Compact"/>
              <w:jc w:val="right"/>
            </w:pPr>
            <w:r>
              <w:t>1.68</w:t>
            </w:r>
          </w:p>
        </w:tc>
        <w:tc>
          <w:tcPr>
            <w:tcW w:w="0" w:type="auto"/>
          </w:tcPr>
          <w:p w14:paraId="4354731B" w14:textId="77777777" w:rsidR="008D62B7" w:rsidRDefault="00825EF2">
            <w:pPr>
              <w:pStyle w:val="Compact"/>
              <w:jc w:val="right"/>
            </w:pPr>
            <w:r>
              <w:t>6.20</w:t>
            </w:r>
          </w:p>
        </w:tc>
        <w:tc>
          <w:tcPr>
            <w:tcW w:w="0" w:type="auto"/>
          </w:tcPr>
          <w:p w14:paraId="4354731C" w14:textId="77777777" w:rsidR="008D62B7" w:rsidRDefault="00825EF2">
            <w:pPr>
              <w:pStyle w:val="Compact"/>
              <w:jc w:val="right"/>
            </w:pPr>
            <w:r>
              <w:t>13.10</w:t>
            </w:r>
          </w:p>
        </w:tc>
      </w:tr>
      <w:tr w:rsidR="008D62B7" w14:paraId="43547323" w14:textId="77777777">
        <w:tc>
          <w:tcPr>
            <w:tcW w:w="0" w:type="auto"/>
          </w:tcPr>
          <w:p w14:paraId="4354731E" w14:textId="77777777" w:rsidR="008D62B7" w:rsidRDefault="00825EF2">
            <w:pPr>
              <w:pStyle w:val="Compact"/>
            </w:pPr>
            <w:r>
              <w:t>Platelet count (/mm3)</w:t>
            </w:r>
          </w:p>
        </w:tc>
        <w:tc>
          <w:tcPr>
            <w:tcW w:w="0" w:type="auto"/>
          </w:tcPr>
          <w:p w14:paraId="4354731F" w14:textId="77777777" w:rsidR="008D62B7" w:rsidRDefault="00825EF2">
            <w:pPr>
              <w:pStyle w:val="Compact"/>
              <w:jc w:val="right"/>
            </w:pPr>
            <w:r>
              <w:t>152340</w:t>
            </w:r>
          </w:p>
        </w:tc>
        <w:tc>
          <w:tcPr>
            <w:tcW w:w="0" w:type="auto"/>
          </w:tcPr>
          <w:p w14:paraId="43547320" w14:textId="77777777" w:rsidR="008D62B7" w:rsidRDefault="00825EF2">
            <w:pPr>
              <w:pStyle w:val="Compact"/>
              <w:jc w:val="right"/>
            </w:pPr>
            <w:r>
              <w:t>48750</w:t>
            </w:r>
          </w:p>
        </w:tc>
        <w:tc>
          <w:tcPr>
            <w:tcW w:w="0" w:type="auto"/>
          </w:tcPr>
          <w:p w14:paraId="43547321" w14:textId="77777777" w:rsidR="008D62B7" w:rsidRDefault="00825EF2">
            <w:pPr>
              <w:pStyle w:val="Compact"/>
              <w:jc w:val="right"/>
            </w:pPr>
            <w:r>
              <w:t>72000</w:t>
            </w:r>
          </w:p>
        </w:tc>
        <w:tc>
          <w:tcPr>
            <w:tcW w:w="0" w:type="auto"/>
          </w:tcPr>
          <w:p w14:paraId="43547322" w14:textId="77777777" w:rsidR="008D62B7" w:rsidRDefault="00825EF2">
            <w:pPr>
              <w:pStyle w:val="Compact"/>
              <w:jc w:val="right"/>
            </w:pPr>
            <w:r>
              <w:t>390000</w:t>
            </w:r>
          </w:p>
        </w:tc>
      </w:tr>
      <w:tr w:rsidR="008D62B7" w14:paraId="43547329" w14:textId="77777777">
        <w:tc>
          <w:tcPr>
            <w:tcW w:w="0" w:type="auto"/>
          </w:tcPr>
          <w:p w14:paraId="43547324" w14:textId="77777777" w:rsidR="008D62B7" w:rsidRDefault="00825EF2">
            <w:pPr>
              <w:pStyle w:val="Compact"/>
            </w:pPr>
            <w:r>
              <w:t>Blood urea (mg/dL)</w:t>
            </w:r>
          </w:p>
        </w:tc>
        <w:tc>
          <w:tcPr>
            <w:tcW w:w="0" w:type="auto"/>
          </w:tcPr>
          <w:p w14:paraId="43547325" w14:textId="77777777" w:rsidR="008D62B7" w:rsidRDefault="00825EF2">
            <w:pPr>
              <w:pStyle w:val="Compact"/>
              <w:jc w:val="right"/>
            </w:pPr>
            <w:r>
              <w:t>25.10</w:t>
            </w:r>
          </w:p>
        </w:tc>
        <w:tc>
          <w:tcPr>
            <w:tcW w:w="0" w:type="auto"/>
          </w:tcPr>
          <w:p w14:paraId="43547326" w14:textId="77777777" w:rsidR="008D62B7" w:rsidRDefault="00825EF2">
            <w:pPr>
              <w:pStyle w:val="Compact"/>
              <w:jc w:val="right"/>
            </w:pPr>
            <w:r>
              <w:t>14.82</w:t>
            </w:r>
          </w:p>
        </w:tc>
        <w:tc>
          <w:tcPr>
            <w:tcW w:w="0" w:type="auto"/>
          </w:tcPr>
          <w:p w14:paraId="43547327" w14:textId="77777777" w:rsidR="008D62B7" w:rsidRDefault="00825EF2">
            <w:pPr>
              <w:pStyle w:val="Compact"/>
              <w:jc w:val="right"/>
            </w:pPr>
            <w:r>
              <w:t>12.00</w:t>
            </w:r>
          </w:p>
        </w:tc>
        <w:tc>
          <w:tcPr>
            <w:tcW w:w="0" w:type="auto"/>
          </w:tcPr>
          <w:p w14:paraId="43547328" w14:textId="77777777" w:rsidR="008D62B7" w:rsidRDefault="00825EF2">
            <w:pPr>
              <w:pStyle w:val="Compact"/>
              <w:jc w:val="right"/>
            </w:pPr>
            <w:r>
              <w:t>105.00</w:t>
            </w:r>
          </w:p>
        </w:tc>
      </w:tr>
      <w:tr w:rsidR="008D62B7" w14:paraId="4354732F" w14:textId="77777777">
        <w:tc>
          <w:tcPr>
            <w:tcW w:w="0" w:type="auto"/>
          </w:tcPr>
          <w:p w14:paraId="4354732A" w14:textId="77777777" w:rsidR="008D62B7" w:rsidRDefault="00825EF2">
            <w:pPr>
              <w:pStyle w:val="Compact"/>
            </w:pPr>
            <w:r>
              <w:t>Serum uric acid (mg/dL)</w:t>
            </w:r>
          </w:p>
        </w:tc>
        <w:tc>
          <w:tcPr>
            <w:tcW w:w="0" w:type="auto"/>
          </w:tcPr>
          <w:p w14:paraId="4354732B" w14:textId="77777777" w:rsidR="008D62B7" w:rsidRDefault="00825EF2">
            <w:pPr>
              <w:pStyle w:val="Compact"/>
              <w:jc w:val="right"/>
            </w:pPr>
            <w:r>
              <w:t>4.82</w:t>
            </w:r>
          </w:p>
        </w:tc>
        <w:tc>
          <w:tcPr>
            <w:tcW w:w="0" w:type="auto"/>
          </w:tcPr>
          <w:p w14:paraId="4354732C" w14:textId="77777777" w:rsidR="008D62B7" w:rsidRDefault="00825EF2">
            <w:pPr>
              <w:pStyle w:val="Compact"/>
              <w:jc w:val="right"/>
            </w:pPr>
            <w:r>
              <w:t>1.37</w:t>
            </w:r>
          </w:p>
        </w:tc>
        <w:tc>
          <w:tcPr>
            <w:tcW w:w="0" w:type="auto"/>
          </w:tcPr>
          <w:p w14:paraId="4354732D" w14:textId="77777777" w:rsidR="008D62B7" w:rsidRDefault="00825EF2">
            <w:pPr>
              <w:pStyle w:val="Compact"/>
              <w:jc w:val="right"/>
            </w:pPr>
            <w:r>
              <w:t>2.10</w:t>
            </w:r>
          </w:p>
        </w:tc>
        <w:tc>
          <w:tcPr>
            <w:tcW w:w="0" w:type="auto"/>
          </w:tcPr>
          <w:p w14:paraId="4354732E" w14:textId="77777777" w:rsidR="008D62B7" w:rsidRDefault="00825EF2">
            <w:pPr>
              <w:pStyle w:val="Compact"/>
              <w:jc w:val="right"/>
            </w:pPr>
            <w:r>
              <w:t>9.80</w:t>
            </w:r>
          </w:p>
        </w:tc>
      </w:tr>
      <w:tr w:rsidR="008D62B7" w14:paraId="43547335" w14:textId="77777777">
        <w:tc>
          <w:tcPr>
            <w:tcW w:w="0" w:type="auto"/>
          </w:tcPr>
          <w:p w14:paraId="43547330" w14:textId="77777777" w:rsidR="008D62B7" w:rsidRDefault="00825EF2">
            <w:pPr>
              <w:pStyle w:val="Compact"/>
            </w:pPr>
            <w:r>
              <w:t>Serum creatinine (mg/dL)</w:t>
            </w:r>
          </w:p>
        </w:tc>
        <w:tc>
          <w:tcPr>
            <w:tcW w:w="0" w:type="auto"/>
          </w:tcPr>
          <w:p w14:paraId="43547331" w14:textId="77777777" w:rsidR="008D62B7" w:rsidRDefault="00825EF2">
            <w:pPr>
              <w:pStyle w:val="Compact"/>
              <w:jc w:val="right"/>
            </w:pPr>
            <w:r>
              <w:t>1.02</w:t>
            </w:r>
          </w:p>
        </w:tc>
        <w:tc>
          <w:tcPr>
            <w:tcW w:w="0" w:type="auto"/>
          </w:tcPr>
          <w:p w14:paraId="43547332" w14:textId="77777777" w:rsidR="008D62B7" w:rsidRDefault="00825EF2">
            <w:pPr>
              <w:pStyle w:val="Compact"/>
              <w:jc w:val="right"/>
            </w:pPr>
            <w:r>
              <w:t>0.62</w:t>
            </w:r>
          </w:p>
        </w:tc>
        <w:tc>
          <w:tcPr>
            <w:tcW w:w="0" w:type="auto"/>
          </w:tcPr>
          <w:p w14:paraId="43547333" w14:textId="77777777" w:rsidR="008D62B7" w:rsidRDefault="00825EF2">
            <w:pPr>
              <w:pStyle w:val="Compact"/>
              <w:jc w:val="right"/>
            </w:pPr>
            <w:r>
              <w:t>0.50</w:t>
            </w:r>
          </w:p>
        </w:tc>
        <w:tc>
          <w:tcPr>
            <w:tcW w:w="0" w:type="auto"/>
          </w:tcPr>
          <w:p w14:paraId="43547334" w14:textId="77777777" w:rsidR="008D62B7" w:rsidRDefault="00825EF2">
            <w:pPr>
              <w:pStyle w:val="Compact"/>
              <w:jc w:val="right"/>
            </w:pPr>
            <w:r>
              <w:t>4.20</w:t>
            </w:r>
          </w:p>
        </w:tc>
      </w:tr>
      <w:tr w:rsidR="008D62B7" w14:paraId="4354733B" w14:textId="77777777">
        <w:tc>
          <w:tcPr>
            <w:tcW w:w="0" w:type="auto"/>
          </w:tcPr>
          <w:p w14:paraId="43547336" w14:textId="77777777" w:rsidR="008D62B7" w:rsidRDefault="00825EF2">
            <w:pPr>
              <w:pStyle w:val="Compact"/>
            </w:pPr>
            <w:r>
              <w:t>ALT (IU/L)</w:t>
            </w:r>
          </w:p>
        </w:tc>
        <w:tc>
          <w:tcPr>
            <w:tcW w:w="0" w:type="auto"/>
          </w:tcPr>
          <w:p w14:paraId="43547337" w14:textId="77777777" w:rsidR="008D62B7" w:rsidRDefault="00825EF2">
            <w:pPr>
              <w:pStyle w:val="Compact"/>
              <w:jc w:val="right"/>
            </w:pPr>
            <w:r>
              <w:t>88.40</w:t>
            </w:r>
          </w:p>
        </w:tc>
        <w:tc>
          <w:tcPr>
            <w:tcW w:w="0" w:type="auto"/>
          </w:tcPr>
          <w:p w14:paraId="43547338" w14:textId="77777777" w:rsidR="008D62B7" w:rsidRDefault="00825EF2">
            <w:pPr>
              <w:pStyle w:val="Compact"/>
              <w:jc w:val="right"/>
            </w:pPr>
            <w:r>
              <w:t>120.65</w:t>
            </w:r>
          </w:p>
        </w:tc>
        <w:tc>
          <w:tcPr>
            <w:tcW w:w="0" w:type="auto"/>
          </w:tcPr>
          <w:p w14:paraId="43547339" w14:textId="77777777" w:rsidR="008D62B7" w:rsidRDefault="00825EF2">
            <w:pPr>
              <w:pStyle w:val="Compact"/>
              <w:jc w:val="right"/>
            </w:pPr>
            <w:r>
              <w:t>20.00</w:t>
            </w:r>
          </w:p>
        </w:tc>
        <w:tc>
          <w:tcPr>
            <w:tcW w:w="0" w:type="auto"/>
          </w:tcPr>
          <w:p w14:paraId="4354733A" w14:textId="77777777" w:rsidR="008D62B7" w:rsidRDefault="00825EF2">
            <w:pPr>
              <w:pStyle w:val="Compact"/>
              <w:jc w:val="right"/>
            </w:pPr>
            <w:r>
              <w:t>620.00</w:t>
            </w:r>
          </w:p>
        </w:tc>
      </w:tr>
      <w:tr w:rsidR="008D62B7" w14:paraId="43547341" w14:textId="77777777">
        <w:tc>
          <w:tcPr>
            <w:tcW w:w="0" w:type="auto"/>
          </w:tcPr>
          <w:p w14:paraId="4354733C" w14:textId="77777777" w:rsidR="008D62B7" w:rsidRDefault="00825EF2">
            <w:pPr>
              <w:pStyle w:val="Compact"/>
            </w:pPr>
            <w:r>
              <w:t>AST (IU/L)</w:t>
            </w:r>
          </w:p>
        </w:tc>
        <w:tc>
          <w:tcPr>
            <w:tcW w:w="0" w:type="auto"/>
          </w:tcPr>
          <w:p w14:paraId="4354733D" w14:textId="77777777" w:rsidR="008D62B7" w:rsidRDefault="00825EF2">
            <w:pPr>
              <w:pStyle w:val="Compact"/>
              <w:jc w:val="right"/>
            </w:pPr>
            <w:r>
              <w:t>95.30</w:t>
            </w:r>
          </w:p>
        </w:tc>
        <w:tc>
          <w:tcPr>
            <w:tcW w:w="0" w:type="auto"/>
          </w:tcPr>
          <w:p w14:paraId="4354733E" w14:textId="77777777" w:rsidR="008D62B7" w:rsidRDefault="00825EF2">
            <w:pPr>
              <w:pStyle w:val="Compact"/>
              <w:jc w:val="right"/>
            </w:pPr>
            <w:r>
              <w:t>128.70</w:t>
            </w:r>
          </w:p>
        </w:tc>
        <w:tc>
          <w:tcPr>
            <w:tcW w:w="0" w:type="auto"/>
          </w:tcPr>
          <w:p w14:paraId="4354733F" w14:textId="77777777" w:rsidR="008D62B7" w:rsidRDefault="00825EF2">
            <w:pPr>
              <w:pStyle w:val="Compact"/>
              <w:jc w:val="right"/>
            </w:pPr>
            <w:r>
              <w:t>22.00</w:t>
            </w:r>
          </w:p>
        </w:tc>
        <w:tc>
          <w:tcPr>
            <w:tcW w:w="0" w:type="auto"/>
          </w:tcPr>
          <w:p w14:paraId="43547340" w14:textId="77777777" w:rsidR="008D62B7" w:rsidRDefault="00825EF2">
            <w:pPr>
              <w:pStyle w:val="Compact"/>
              <w:jc w:val="right"/>
            </w:pPr>
            <w:r>
              <w:t>700.00</w:t>
            </w:r>
          </w:p>
        </w:tc>
      </w:tr>
      <w:tr w:rsidR="008D62B7" w14:paraId="43547347" w14:textId="77777777">
        <w:tc>
          <w:tcPr>
            <w:tcW w:w="0" w:type="auto"/>
          </w:tcPr>
          <w:p w14:paraId="43547342" w14:textId="77777777" w:rsidR="008D62B7" w:rsidRDefault="00825EF2">
            <w:pPr>
              <w:pStyle w:val="Compact"/>
            </w:pPr>
            <w:r>
              <w:t>LDH (IU/L)</w:t>
            </w:r>
          </w:p>
        </w:tc>
        <w:tc>
          <w:tcPr>
            <w:tcW w:w="0" w:type="auto"/>
          </w:tcPr>
          <w:p w14:paraId="43547343" w14:textId="77777777" w:rsidR="008D62B7" w:rsidRDefault="00825EF2">
            <w:pPr>
              <w:pStyle w:val="Compact"/>
              <w:jc w:val="right"/>
            </w:pPr>
            <w:r>
              <w:t>340.20</w:t>
            </w:r>
          </w:p>
        </w:tc>
        <w:tc>
          <w:tcPr>
            <w:tcW w:w="0" w:type="auto"/>
          </w:tcPr>
          <w:p w14:paraId="43547344" w14:textId="77777777" w:rsidR="008D62B7" w:rsidRDefault="00825EF2">
            <w:pPr>
              <w:pStyle w:val="Compact"/>
              <w:jc w:val="right"/>
            </w:pPr>
            <w:r>
              <w:t>145.60</w:t>
            </w:r>
          </w:p>
        </w:tc>
        <w:tc>
          <w:tcPr>
            <w:tcW w:w="0" w:type="auto"/>
          </w:tcPr>
          <w:p w14:paraId="43547345" w14:textId="77777777" w:rsidR="008D62B7" w:rsidRDefault="00825EF2">
            <w:pPr>
              <w:pStyle w:val="Compact"/>
              <w:jc w:val="right"/>
            </w:pPr>
            <w:r>
              <w:t>160.00</w:t>
            </w:r>
          </w:p>
        </w:tc>
        <w:tc>
          <w:tcPr>
            <w:tcW w:w="0" w:type="auto"/>
          </w:tcPr>
          <w:p w14:paraId="43547346" w14:textId="77777777" w:rsidR="008D62B7" w:rsidRDefault="00825EF2">
            <w:pPr>
              <w:pStyle w:val="Compact"/>
              <w:jc w:val="right"/>
            </w:pPr>
            <w:r>
              <w:t>980.00</w:t>
            </w:r>
          </w:p>
        </w:tc>
      </w:tr>
    </w:tbl>
    <w:p w14:paraId="43547348" w14:textId="77777777" w:rsidR="008D62B7" w:rsidRDefault="00825EF2">
      <w:pPr>
        <w:pStyle w:val="BodyText"/>
      </w:pPr>
      <w:r>
        <w:lastRenderedPageBreak/>
        <w:t>Serum magnesium levels after therapy were mostly in the lower therapeutic or sub-therapeutic range. Forty-eight patients had levels below 3 mg/dL, 29 had levels between 3 and 3.9 mg/dL, two had 4 mg/dL, and one patient had 8 mg/dL after receiving conventional full-dose magnesium sulphate following a breakthrough seizure.</w:t>
      </w:r>
    </w:p>
    <w:p w14:paraId="43547349" w14:textId="77777777" w:rsidR="008D62B7" w:rsidRDefault="00825EF2">
      <w:pPr>
        <w:pStyle w:val="BodyText"/>
      </w:pPr>
      <w:r>
        <w:rPr>
          <w:b/>
          <w:bCs/>
        </w:rPr>
        <w:t>Table 7: Serum magnesium levels after therapy</w:t>
      </w:r>
    </w:p>
    <w:tbl>
      <w:tblPr>
        <w:tblStyle w:val="Table"/>
        <w:tblW w:w="0" w:type="auto"/>
        <w:tblLook w:val="0020" w:firstRow="1" w:lastRow="0" w:firstColumn="0" w:lastColumn="0" w:noHBand="0" w:noVBand="0"/>
      </w:tblPr>
      <w:tblGrid>
        <w:gridCol w:w="2873"/>
        <w:gridCol w:w="2199"/>
      </w:tblGrid>
      <w:tr w:rsidR="008D62B7" w14:paraId="4354734C" w14:textId="77777777" w:rsidTr="008D62B7">
        <w:trPr>
          <w:cnfStyle w:val="100000000000" w:firstRow="1" w:lastRow="0" w:firstColumn="0" w:lastColumn="0" w:oddVBand="0" w:evenVBand="0" w:oddHBand="0" w:evenHBand="0" w:firstRowFirstColumn="0" w:firstRowLastColumn="0" w:lastRowFirstColumn="0" w:lastRowLastColumn="0"/>
          <w:tblHeader/>
        </w:trPr>
        <w:tc>
          <w:tcPr>
            <w:tcW w:w="0" w:type="auto"/>
          </w:tcPr>
          <w:p w14:paraId="4354734A" w14:textId="77777777" w:rsidR="008D62B7" w:rsidRDefault="00825EF2">
            <w:pPr>
              <w:pStyle w:val="Compact"/>
            </w:pPr>
            <w:r>
              <w:t>Magnesium level (mg/dL)</w:t>
            </w:r>
          </w:p>
        </w:tc>
        <w:tc>
          <w:tcPr>
            <w:tcW w:w="0" w:type="auto"/>
          </w:tcPr>
          <w:p w14:paraId="4354734B" w14:textId="77777777" w:rsidR="008D62B7" w:rsidRDefault="00825EF2">
            <w:pPr>
              <w:pStyle w:val="Compact"/>
              <w:jc w:val="right"/>
            </w:pPr>
            <w:r>
              <w:t>Number of patients</w:t>
            </w:r>
          </w:p>
        </w:tc>
      </w:tr>
      <w:tr w:rsidR="008D62B7" w14:paraId="4354734F" w14:textId="77777777">
        <w:tc>
          <w:tcPr>
            <w:tcW w:w="0" w:type="auto"/>
          </w:tcPr>
          <w:p w14:paraId="4354734D" w14:textId="77777777" w:rsidR="008D62B7" w:rsidRDefault="00825EF2">
            <w:pPr>
              <w:pStyle w:val="Compact"/>
            </w:pPr>
            <w:r>
              <w:t>&lt;3</w:t>
            </w:r>
          </w:p>
        </w:tc>
        <w:tc>
          <w:tcPr>
            <w:tcW w:w="0" w:type="auto"/>
          </w:tcPr>
          <w:p w14:paraId="4354734E" w14:textId="77777777" w:rsidR="008D62B7" w:rsidRDefault="00825EF2">
            <w:pPr>
              <w:pStyle w:val="Compact"/>
              <w:jc w:val="right"/>
            </w:pPr>
            <w:r>
              <w:t>48</w:t>
            </w:r>
          </w:p>
        </w:tc>
      </w:tr>
      <w:tr w:rsidR="008D62B7" w14:paraId="43547352" w14:textId="77777777">
        <w:tc>
          <w:tcPr>
            <w:tcW w:w="0" w:type="auto"/>
          </w:tcPr>
          <w:p w14:paraId="43547350" w14:textId="77777777" w:rsidR="008D62B7" w:rsidRDefault="00825EF2">
            <w:pPr>
              <w:pStyle w:val="Compact"/>
            </w:pPr>
            <w:r>
              <w:t>3-3.9</w:t>
            </w:r>
          </w:p>
        </w:tc>
        <w:tc>
          <w:tcPr>
            <w:tcW w:w="0" w:type="auto"/>
          </w:tcPr>
          <w:p w14:paraId="43547351" w14:textId="77777777" w:rsidR="008D62B7" w:rsidRDefault="00825EF2">
            <w:pPr>
              <w:pStyle w:val="Compact"/>
              <w:jc w:val="right"/>
            </w:pPr>
            <w:r>
              <w:t>29</w:t>
            </w:r>
          </w:p>
        </w:tc>
      </w:tr>
      <w:tr w:rsidR="008D62B7" w14:paraId="43547355" w14:textId="77777777">
        <w:tc>
          <w:tcPr>
            <w:tcW w:w="0" w:type="auto"/>
          </w:tcPr>
          <w:p w14:paraId="43547353" w14:textId="77777777" w:rsidR="008D62B7" w:rsidRDefault="00825EF2">
            <w:pPr>
              <w:pStyle w:val="Compact"/>
            </w:pPr>
            <w:r>
              <w:t>4</w:t>
            </w:r>
          </w:p>
        </w:tc>
        <w:tc>
          <w:tcPr>
            <w:tcW w:w="0" w:type="auto"/>
          </w:tcPr>
          <w:p w14:paraId="43547354" w14:textId="77777777" w:rsidR="008D62B7" w:rsidRDefault="00825EF2">
            <w:pPr>
              <w:pStyle w:val="Compact"/>
              <w:jc w:val="right"/>
            </w:pPr>
            <w:r>
              <w:t>2</w:t>
            </w:r>
          </w:p>
        </w:tc>
      </w:tr>
      <w:tr w:rsidR="008D62B7" w14:paraId="43547358" w14:textId="77777777">
        <w:tc>
          <w:tcPr>
            <w:tcW w:w="0" w:type="auto"/>
          </w:tcPr>
          <w:p w14:paraId="43547356" w14:textId="77777777" w:rsidR="008D62B7" w:rsidRDefault="00825EF2">
            <w:pPr>
              <w:pStyle w:val="Compact"/>
            </w:pPr>
            <w:r>
              <w:t>8*</w:t>
            </w:r>
          </w:p>
        </w:tc>
        <w:tc>
          <w:tcPr>
            <w:tcW w:w="0" w:type="auto"/>
          </w:tcPr>
          <w:p w14:paraId="43547357" w14:textId="77777777" w:rsidR="008D62B7" w:rsidRDefault="00825EF2">
            <w:pPr>
              <w:pStyle w:val="Compact"/>
              <w:jc w:val="right"/>
            </w:pPr>
            <w:r>
              <w:t>1</w:t>
            </w:r>
          </w:p>
        </w:tc>
      </w:tr>
    </w:tbl>
    <w:p w14:paraId="43547359" w14:textId="77777777" w:rsidR="008D62B7" w:rsidRDefault="00825EF2">
      <w:pPr>
        <w:pStyle w:val="Heading2"/>
      </w:pPr>
      <w:bookmarkStart w:id="8" w:name="discussion"/>
      <w:bookmarkEnd w:id="7"/>
      <w:r>
        <w:t>Discussion</w:t>
      </w:r>
    </w:p>
    <w:p w14:paraId="4354735A" w14:textId="77777777" w:rsidR="008D62B7" w:rsidRDefault="00825EF2">
      <w:pPr>
        <w:pStyle w:val="FirstParagraph"/>
      </w:pPr>
      <w:r>
        <w:t>The study showed that half-dose magnesium sulphate therapy provided effective seizure control in women with preeclampsia and eclampsia with BMI less than 30 kg/m2. The very low breakthrough seizure rate suggests that reduced-dose therapy can retain anticonvulsant efficacy in this population. The findings align with Indian studies that evaluated low-dose magnesium sulphate regimens and reported adequate seizure control with fewer drug-related adverse effects.</w:t>
      </w:r>
    </w:p>
    <w:p w14:paraId="4354735B" w14:textId="77777777" w:rsidR="008D62B7" w:rsidRDefault="00825EF2">
      <w:pPr>
        <w:pStyle w:val="BodyText"/>
      </w:pPr>
      <w:r>
        <w:t>The largest proportion of patients belonged to the 19-35 year reproductive age group, but a significant proportion were teenagers or women older than 35 years. These extremes of maternal age are recognized risk groups for hypertensive disorders of pregnancy and warrant careful antenatal screening and referral. Low socioeconomic status formed the majority of cases, highlighting the importance of access to antenatal care and timely hospital referral.</w:t>
      </w:r>
    </w:p>
    <w:p w14:paraId="4354735C" w14:textId="2BE7F200" w:rsidR="008D62B7" w:rsidRDefault="00825EF2">
      <w:pPr>
        <w:pStyle w:val="BodyText"/>
      </w:pPr>
      <w:r>
        <w:t xml:space="preserve">Maternal safety outcomes were favorable. Side effects were mild and included flushing, </w:t>
      </w:r>
      <w:proofErr w:type="spellStart"/>
      <w:proofErr w:type="gramStart"/>
      <w:r>
        <w:t>nausea</w:t>
      </w:r>
      <w:r w:rsidR="000760BC">
        <w:t>,</w:t>
      </w:r>
      <w:r>
        <w:t>vomiting</w:t>
      </w:r>
      <w:proofErr w:type="spellEnd"/>
      <w:proofErr w:type="gramEnd"/>
      <w:r>
        <w:t>, and injection-site pain. Loss of deep tendon reflex was observed in one patient after escalation to full-dose therapy. No injection-site abscess was reported. These findings support the concept that lower dosing may reduce drug-related toxicity and improve tolerability, particularly in women with lower BMI or in settings where intensive monitoring resources are limited.</w:t>
      </w:r>
    </w:p>
    <w:p w14:paraId="4354735D" w14:textId="77777777" w:rsidR="008D62B7" w:rsidRDefault="00825EF2">
      <w:pPr>
        <w:pStyle w:val="BodyText"/>
      </w:pPr>
      <w:r>
        <w:t>Perinatal outcomes were also acceptable for a population with severe hypertensive disorders. Most pregnancies resulted in live births, while two cases of IUFD had occurred before admission and one neonatal death was recorded. Preterm birth remained common, reflecting the underlying disease severity rather than an adverse effect of magnesium sulphate therapy.</w:t>
      </w:r>
    </w:p>
    <w:p w14:paraId="4354735E" w14:textId="77777777" w:rsidR="008D62B7" w:rsidRDefault="00825EF2">
      <w:pPr>
        <w:pStyle w:val="Heading2"/>
      </w:pPr>
      <w:bookmarkStart w:id="9" w:name="conclusion"/>
      <w:bookmarkEnd w:id="8"/>
      <w:r>
        <w:t>Conclusion</w:t>
      </w:r>
    </w:p>
    <w:p w14:paraId="4354735F" w14:textId="77777777" w:rsidR="008D62B7" w:rsidRDefault="00825EF2">
      <w:pPr>
        <w:pStyle w:val="FirstParagraph"/>
      </w:pPr>
      <w:r>
        <w:t xml:space="preserve">Half-dose magnesium sulphate therapy was effective in controlling seizures and preventing recurrence in patients with preeclampsia and eclampsia with BMI less than 30 kg/m2. The regimen showed a favorable safety profile, with minimal side effects and low maternal </w:t>
      </w:r>
      <w:r>
        <w:lastRenderedPageBreak/>
        <w:t>complication rates. It may be considered a practical alternative to standard-dose regimens in selected low-BMI populations, especially in resource-limited tertiary care settings. Larger multicentric studies with longer follow-up are needed to validate these findings and establish standardized reduced-dose protocols.</w:t>
      </w:r>
    </w:p>
    <w:p w14:paraId="43547360" w14:textId="77777777" w:rsidR="008D62B7" w:rsidRDefault="00825EF2">
      <w:pPr>
        <w:pStyle w:val="Heading2"/>
      </w:pPr>
      <w:bookmarkStart w:id="10" w:name="references"/>
      <w:bookmarkEnd w:id="9"/>
      <w:r>
        <w:t>References</w:t>
      </w:r>
    </w:p>
    <w:p w14:paraId="43547361" w14:textId="77777777" w:rsidR="008D62B7" w:rsidRDefault="00825EF2">
      <w:pPr>
        <w:pStyle w:val="Compact"/>
        <w:numPr>
          <w:ilvl w:val="0"/>
          <w:numId w:val="2"/>
        </w:numPr>
      </w:pPr>
      <w:r>
        <w:t>Cunningham FG, Leveno KJ, Bloom SL, Spong CY, Dashe JS, Hoffman BL, et al. Williams Obstetrics. 25th ed. New York: McGraw-Hill Education; 2018.</w:t>
      </w:r>
    </w:p>
    <w:p w14:paraId="43547362" w14:textId="77777777" w:rsidR="008D62B7" w:rsidRDefault="00825EF2">
      <w:pPr>
        <w:pStyle w:val="Compact"/>
        <w:numPr>
          <w:ilvl w:val="0"/>
          <w:numId w:val="2"/>
        </w:numPr>
      </w:pPr>
      <w:r>
        <w:t>World Health Organization. WHO recommendations for prevention and treatment of pre-eclampsia and eclampsia. Geneva: WHO Press; 2011.</w:t>
      </w:r>
    </w:p>
    <w:p w14:paraId="43547363" w14:textId="77777777" w:rsidR="008D62B7" w:rsidRDefault="00825EF2">
      <w:pPr>
        <w:pStyle w:val="Compact"/>
        <w:numPr>
          <w:ilvl w:val="0"/>
          <w:numId w:val="2"/>
        </w:numPr>
      </w:pPr>
      <w:r>
        <w:t>American College of Obstetricians and Gynecologists. Gestational hypertension and preeclampsia. ACOG Practice Bulletin No. 222. Obstet Gynecol. 2020;135:e237-260.</w:t>
      </w:r>
    </w:p>
    <w:p w14:paraId="43547364" w14:textId="77777777" w:rsidR="008D62B7" w:rsidRDefault="00825EF2">
      <w:pPr>
        <w:pStyle w:val="Compact"/>
        <w:numPr>
          <w:ilvl w:val="0"/>
          <w:numId w:val="2"/>
        </w:numPr>
      </w:pPr>
      <w:r>
        <w:t>Duley L. The global impact of pre-eclampsia and eclampsia. Semin Perinatol. 2009;33(3):130-137.</w:t>
      </w:r>
    </w:p>
    <w:p w14:paraId="43547365" w14:textId="77777777" w:rsidR="008D62B7" w:rsidRDefault="00825EF2">
      <w:pPr>
        <w:pStyle w:val="Compact"/>
        <w:numPr>
          <w:ilvl w:val="0"/>
          <w:numId w:val="2"/>
        </w:numPr>
      </w:pPr>
      <w:r>
        <w:t>Abalos E, Cuesta C, Grosso AL, Chou D, Say L. Global and regional estimates of preeclampsia and eclampsia. Obstet Gynecol. 2013;122(3):457-465.</w:t>
      </w:r>
    </w:p>
    <w:p w14:paraId="43547366" w14:textId="77777777" w:rsidR="008D62B7" w:rsidRDefault="00825EF2">
      <w:pPr>
        <w:pStyle w:val="Compact"/>
        <w:numPr>
          <w:ilvl w:val="0"/>
          <w:numId w:val="2"/>
        </w:numPr>
      </w:pPr>
      <w:r>
        <w:t>Steegers EA, von Dadelszen P, Duvekot JJ, Pijnenborg R. Pre-eclampsia. Lancet. 2010;376(9741):631-644.</w:t>
      </w:r>
    </w:p>
    <w:p w14:paraId="43547367" w14:textId="77777777" w:rsidR="008D62B7" w:rsidRDefault="00825EF2">
      <w:pPr>
        <w:pStyle w:val="Compact"/>
        <w:numPr>
          <w:ilvl w:val="0"/>
          <w:numId w:val="2"/>
        </w:numPr>
      </w:pPr>
      <w:r>
        <w:t>Roberts JM, Hubel CA. The two-stage model of preeclampsia. Placenta. 2009;30(Suppl A):S32-S37.</w:t>
      </w:r>
    </w:p>
    <w:p w14:paraId="43547368" w14:textId="77777777" w:rsidR="008D62B7" w:rsidRDefault="00825EF2">
      <w:pPr>
        <w:pStyle w:val="Compact"/>
        <w:numPr>
          <w:ilvl w:val="0"/>
          <w:numId w:val="2"/>
        </w:numPr>
      </w:pPr>
      <w:r>
        <w:t>Redman CW, Sargent IL. Latest advances in understanding preeclampsia. Science. 2005;308(5728):1592-1594.</w:t>
      </w:r>
    </w:p>
    <w:p w14:paraId="43547369" w14:textId="77777777" w:rsidR="008D62B7" w:rsidRDefault="00825EF2">
      <w:pPr>
        <w:pStyle w:val="Compact"/>
        <w:numPr>
          <w:ilvl w:val="0"/>
          <w:numId w:val="2"/>
        </w:numPr>
      </w:pPr>
      <w:r>
        <w:t>Sibai BM. Diagnosis, prevention, and management of eclampsia. Obstet Gynecol. 2005;105(2):402-410.</w:t>
      </w:r>
    </w:p>
    <w:p w14:paraId="4354736A" w14:textId="77777777" w:rsidR="008D62B7" w:rsidRDefault="00825EF2">
      <w:pPr>
        <w:pStyle w:val="Compact"/>
        <w:numPr>
          <w:ilvl w:val="0"/>
          <w:numId w:val="2"/>
        </w:numPr>
      </w:pPr>
      <w:r>
        <w:t>Magee LA, Pels A, Helewa M, Rey E, von Dadelszen P. Diagnosis, evaluation, and management of hypertensive disorders of pregnancy. Pregnancy Hypertens. 2014;4(2):105-145.</w:t>
      </w:r>
    </w:p>
    <w:p w14:paraId="4354736B" w14:textId="77777777" w:rsidR="008D62B7" w:rsidRDefault="00825EF2">
      <w:pPr>
        <w:pStyle w:val="Compact"/>
        <w:numPr>
          <w:ilvl w:val="0"/>
          <w:numId w:val="2"/>
        </w:numPr>
      </w:pPr>
      <w:r>
        <w:t>Duckitt K, Harrington D. Risk factors for pre-eclampsia at antenatal booking. BMJ. 2005;330:565.</w:t>
      </w:r>
    </w:p>
    <w:p w14:paraId="4354736C" w14:textId="77777777" w:rsidR="008D62B7" w:rsidRDefault="00825EF2">
      <w:pPr>
        <w:pStyle w:val="Compact"/>
        <w:numPr>
          <w:ilvl w:val="0"/>
          <w:numId w:val="2"/>
        </w:numPr>
      </w:pPr>
      <w:r>
        <w:t>Sardesai S, Maira S, Patil A. Low-dose magnesium sulfate therapy. Int J Gynecol Obstet. 2003;81:37-41.</w:t>
      </w:r>
    </w:p>
    <w:p w14:paraId="4354736D" w14:textId="77777777" w:rsidR="008D62B7" w:rsidRDefault="00825EF2">
      <w:pPr>
        <w:pStyle w:val="Compact"/>
        <w:numPr>
          <w:ilvl w:val="0"/>
          <w:numId w:val="2"/>
        </w:numPr>
      </w:pPr>
      <w:r>
        <w:t>Begum R, Begum A, Quadir E. Low-dose magnesium sulfate regimen. Bangladesh Med Res Counc Bull. 2001;27:47-52.</w:t>
      </w:r>
    </w:p>
    <w:p w14:paraId="4354736E" w14:textId="77777777" w:rsidR="008D62B7" w:rsidRDefault="00825EF2">
      <w:pPr>
        <w:pStyle w:val="Compact"/>
        <w:numPr>
          <w:ilvl w:val="0"/>
          <w:numId w:val="2"/>
        </w:numPr>
      </w:pPr>
      <w:r>
        <w:t>Bhattacharjee N, Saha SP, Ganguly RP. Comparative study of low-dose magnesium sulfate. J Obstet Gynaecol Res. 2011;37:969-975.</w:t>
      </w:r>
    </w:p>
    <w:p w14:paraId="4354736F" w14:textId="77777777" w:rsidR="008D62B7" w:rsidRDefault="00825EF2">
      <w:pPr>
        <w:pStyle w:val="Compact"/>
        <w:numPr>
          <w:ilvl w:val="0"/>
          <w:numId w:val="2"/>
        </w:numPr>
      </w:pPr>
      <w:r>
        <w:t>Bangal VB, et al. Low-dose magnesium sulphate therapy. Pravara Med Rev. 2009.</w:t>
      </w:r>
    </w:p>
    <w:p w14:paraId="43547370" w14:textId="77777777" w:rsidR="008D62B7" w:rsidRDefault="00825EF2">
      <w:pPr>
        <w:pStyle w:val="Compact"/>
        <w:numPr>
          <w:ilvl w:val="0"/>
          <w:numId w:val="2"/>
        </w:numPr>
      </w:pPr>
      <w:r>
        <w:t>da Costa TX, Azeredo FJ, Ururahy MAG, et al. Population pharmacokinetics of magnesium sulfate in preeclampsia. Clin Pharmacokinet. 2020.</w:t>
      </w:r>
      <w:bookmarkEnd w:id="10"/>
    </w:p>
    <w:sectPr w:rsidR="008D62B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CADE9" w14:textId="77777777" w:rsidR="00FA5E94" w:rsidRDefault="00FA5E94">
      <w:pPr>
        <w:spacing w:after="0"/>
      </w:pPr>
      <w:r>
        <w:separator/>
      </w:r>
    </w:p>
  </w:endnote>
  <w:endnote w:type="continuationSeparator" w:id="0">
    <w:p w14:paraId="02027A03" w14:textId="77777777" w:rsidR="00FA5E94" w:rsidRDefault="00FA5E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463D2" w14:textId="77777777" w:rsidR="00FA5E94" w:rsidRDefault="00FA5E94">
      <w:r>
        <w:separator/>
      </w:r>
    </w:p>
  </w:footnote>
  <w:footnote w:type="continuationSeparator" w:id="0">
    <w:p w14:paraId="0972DDD1" w14:textId="77777777" w:rsidR="00FA5E94" w:rsidRDefault="00FA5E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3356DE3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817025B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16A57DA0"/>
    <w:multiLevelType w:val="hybridMultilevel"/>
    <w:tmpl w:val="FA763E04"/>
    <w:lvl w:ilvl="0" w:tplc="B2920E46">
      <w:start w:val="1"/>
      <w:numFmt w:val="decimal"/>
      <w:lvlText w:val="(%1)"/>
      <w:lvlJc w:val="left"/>
      <w:pPr>
        <w:ind w:left="732" w:hanging="372"/>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50720427">
    <w:abstractNumId w:val="0"/>
  </w:num>
  <w:num w:numId="2" w16cid:durableId="9202199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6953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2B7"/>
    <w:rsid w:val="000621DA"/>
    <w:rsid w:val="000715CC"/>
    <w:rsid w:val="000760BC"/>
    <w:rsid w:val="000A66EE"/>
    <w:rsid w:val="001F61C4"/>
    <w:rsid w:val="00212453"/>
    <w:rsid w:val="002154FB"/>
    <w:rsid w:val="00270E63"/>
    <w:rsid w:val="0027414E"/>
    <w:rsid w:val="002E161E"/>
    <w:rsid w:val="002F6B82"/>
    <w:rsid w:val="003D5E4F"/>
    <w:rsid w:val="00407962"/>
    <w:rsid w:val="004C0C73"/>
    <w:rsid w:val="00510483"/>
    <w:rsid w:val="00532523"/>
    <w:rsid w:val="005A2B8E"/>
    <w:rsid w:val="005F12DB"/>
    <w:rsid w:val="00751E3E"/>
    <w:rsid w:val="00825EF2"/>
    <w:rsid w:val="00842D8A"/>
    <w:rsid w:val="00890E10"/>
    <w:rsid w:val="008D62B7"/>
    <w:rsid w:val="00960667"/>
    <w:rsid w:val="009C59D7"/>
    <w:rsid w:val="009F2E2B"/>
    <w:rsid w:val="00AD2205"/>
    <w:rsid w:val="00AD2BE2"/>
    <w:rsid w:val="00AF2D7C"/>
    <w:rsid w:val="00DA32BD"/>
    <w:rsid w:val="00EE0DD7"/>
    <w:rsid w:val="00F86827"/>
    <w:rsid w:val="00FA5E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7225"/>
  <w15:docId w15:val="{67EF24BE-9F7B-472F-AB7D-4AB3F341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7</Pages>
  <Words>2277</Words>
  <Characters>12982</Characters>
  <Application>Microsoft Office Word</Application>
  <DocSecurity>0</DocSecurity>
  <Lines>108</Lines>
  <Paragraphs>30</Paragraphs>
  <ScaleCrop>false</ScaleCrop>
  <Company/>
  <LinksUpToDate>false</LinksUpToDate>
  <CharactersWithSpaces>15229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Observational Study on Half-Dose Magnesium Sulphate Therapy in Treatment of Preeclampsia and Eclampsia in Assam Medical College</dc:title>
  <dc:creator>Susila Devi P.; Majumdar M. K.; Kurmi B.</dc:creator>
  <cp:keywords/>
  <cp:lastModifiedBy>susi.lsmu@gmail.com</cp:lastModifiedBy>
  <cp:revision>31</cp:revision>
  <dcterms:created xsi:type="dcterms:W3CDTF">2026-04-29T13:45:00Z</dcterms:created>
  <dcterms:modified xsi:type="dcterms:W3CDTF">2026-06-18T14:36:00Z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International Journal of Current Pharmaceutical Review and Research 2026; 18(3); 000-000</vt:lpwstr>
  </property>
</Properties>
</file>