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A4CAA" w14:textId="3C8C9629" w:rsidR="001B5E46" w:rsidRPr="00D74626" w:rsidRDefault="001B5E46" w:rsidP="00D74626">
      <w:pPr>
        <w:spacing w:line="360" w:lineRule="auto"/>
        <w:jc w:val="center"/>
        <w:rPr>
          <w:rFonts w:asciiTheme="majorBidi" w:hAnsiTheme="majorBidi" w:cstheme="majorBidi"/>
          <w:b/>
          <w:bCs/>
          <w:sz w:val="32"/>
          <w:szCs w:val="32"/>
        </w:rPr>
      </w:pPr>
      <w:bookmarkStart w:id="0" w:name="_GoBack"/>
      <w:bookmarkEnd w:id="0"/>
      <w:r w:rsidRPr="00D74626">
        <w:rPr>
          <w:rFonts w:asciiTheme="majorBidi" w:hAnsiTheme="majorBidi" w:cstheme="majorBidi"/>
          <w:b/>
          <w:bCs/>
          <w:sz w:val="32"/>
          <w:szCs w:val="32"/>
        </w:rPr>
        <w:t xml:space="preserve">Impact of Green Human Resource Practices on </w:t>
      </w:r>
      <w:r w:rsidR="0060253D" w:rsidRPr="00D74626">
        <w:rPr>
          <w:rFonts w:asciiTheme="majorBidi" w:hAnsiTheme="majorBidi" w:cstheme="majorBidi"/>
          <w:b/>
          <w:bCs/>
          <w:sz w:val="32"/>
          <w:szCs w:val="32"/>
        </w:rPr>
        <w:t xml:space="preserve">Talent </w:t>
      </w:r>
      <w:r w:rsidRPr="00D74626">
        <w:rPr>
          <w:rFonts w:asciiTheme="majorBidi" w:hAnsiTheme="majorBidi" w:cstheme="majorBidi"/>
          <w:b/>
          <w:bCs/>
          <w:sz w:val="32"/>
          <w:szCs w:val="32"/>
        </w:rPr>
        <w:t>Retention in Higher Education Institutions at Karachi</w:t>
      </w:r>
    </w:p>
    <w:p w14:paraId="748BF091" w14:textId="77777777" w:rsidR="001B5E46" w:rsidRPr="00D74626" w:rsidRDefault="001B5E46" w:rsidP="00D74626">
      <w:pPr>
        <w:spacing w:line="360" w:lineRule="auto"/>
        <w:jc w:val="center"/>
        <w:rPr>
          <w:rFonts w:asciiTheme="majorBidi" w:hAnsiTheme="majorBidi" w:cstheme="majorBidi"/>
          <w:sz w:val="24"/>
          <w:szCs w:val="24"/>
        </w:rPr>
      </w:pPr>
    </w:p>
    <w:p w14:paraId="06E7F406" w14:textId="572532D6" w:rsidR="006E3C46" w:rsidRPr="00D74626" w:rsidRDefault="00C626D8" w:rsidP="00D74626">
      <w:pPr>
        <w:spacing w:after="0" w:line="360" w:lineRule="auto"/>
        <w:jc w:val="center"/>
        <w:rPr>
          <w:rFonts w:asciiTheme="majorBidi" w:hAnsiTheme="majorBidi" w:cstheme="majorBidi"/>
          <w:sz w:val="24"/>
          <w:szCs w:val="24"/>
        </w:rPr>
      </w:pPr>
      <w:r w:rsidRPr="00D74626">
        <w:rPr>
          <w:rFonts w:asciiTheme="majorBidi" w:hAnsiTheme="majorBidi" w:cstheme="majorBidi"/>
          <w:sz w:val="24"/>
          <w:szCs w:val="24"/>
        </w:rPr>
        <w:t/>
      </w:r>
      <w:r w:rsidR="006E3C46" w:rsidRPr="00D74626">
        <w:rPr>
          <w:rFonts w:asciiTheme="majorBidi" w:hAnsiTheme="majorBidi" w:cstheme="majorBidi"/>
          <w:sz w:val="24"/>
          <w:szCs w:val="24"/>
          <w:vertAlign w:val="superscript"/>
        </w:rPr>
        <w:t/>
      </w:r>
      <w:r w:rsidR="006E3C46" w:rsidRPr="00D74626">
        <w:rPr>
          <w:rFonts w:asciiTheme="majorBidi" w:hAnsiTheme="majorBidi" w:cstheme="majorBidi"/>
          <w:sz w:val="24"/>
          <w:szCs w:val="24"/>
        </w:rPr>
        <w:t/>
      </w:r>
      <w:r w:rsidR="006E3C46" w:rsidRPr="00D74626">
        <w:rPr>
          <w:rFonts w:asciiTheme="majorBidi" w:hAnsiTheme="majorBidi" w:cstheme="majorBidi"/>
          <w:sz w:val="24"/>
          <w:szCs w:val="24"/>
          <w:vertAlign w:val="superscript"/>
        </w:rPr>
        <w:t/>
      </w:r>
      <w:r w:rsidR="006E3C46" w:rsidRPr="00D74626">
        <w:rPr>
          <w:rFonts w:asciiTheme="majorBidi" w:hAnsiTheme="majorBidi" w:cstheme="majorBidi"/>
          <w:sz w:val="24"/>
          <w:szCs w:val="24"/>
        </w:rPr>
        <w:t xml:space="preserve"/>
      </w:r>
    </w:p>
    <w:p w14:paraId="1E05A9CB" w14:textId="77777777" w:rsidR="006E3C46" w:rsidRPr="00D74626" w:rsidRDefault="006E3C46" w:rsidP="00D74626">
      <w:pPr>
        <w:spacing w:after="0" w:line="360" w:lineRule="auto"/>
        <w:rPr>
          <w:rFonts w:asciiTheme="majorBidi" w:hAnsiTheme="majorBidi" w:cstheme="majorBidi"/>
          <w:sz w:val="24"/>
          <w:szCs w:val="24"/>
        </w:rPr>
      </w:pPr>
    </w:p>
    <w:p w14:paraId="7102D15F" w14:textId="77777777" w:rsidR="006E3C46" w:rsidRPr="00D74626" w:rsidRDefault="006E3C46" w:rsidP="00D74626">
      <w:pPr>
        <w:spacing w:after="0" w:line="360" w:lineRule="auto"/>
        <w:rPr>
          <w:rFonts w:asciiTheme="majorBidi" w:hAnsiTheme="majorBidi" w:cstheme="majorBidi"/>
          <w:sz w:val="24"/>
          <w:szCs w:val="24"/>
        </w:rPr>
      </w:pPr>
      <w:r w:rsidRPr="00D74626">
        <w:rPr>
          <w:rFonts w:asciiTheme="majorBidi" w:hAnsiTheme="majorBidi" w:cstheme="majorBidi"/>
          <w:sz w:val="24"/>
          <w:szCs w:val="24"/>
          <w:vertAlign w:val="superscript"/>
        </w:rPr>
        <w:t xml:space="preserve"/>
      </w:r>
      <w:r w:rsidRPr="00D74626">
        <w:rPr>
          <w:rFonts w:asciiTheme="majorBidi" w:hAnsiTheme="majorBidi" w:cstheme="majorBidi"/>
          <w:sz w:val="24"/>
          <w:szCs w:val="24"/>
        </w:rPr>
        <w:t/>
      </w:r>
    </w:p>
    <w:p w14:paraId="68D1B904" w14:textId="3A89E50F" w:rsidR="006E3C46" w:rsidRPr="00D74626" w:rsidRDefault="006E3C46" w:rsidP="00D74626">
      <w:pPr>
        <w:spacing w:after="0" w:line="360" w:lineRule="auto"/>
        <w:rPr>
          <w:rFonts w:asciiTheme="majorBidi" w:hAnsiTheme="majorBidi" w:cstheme="majorBidi"/>
          <w:sz w:val="24"/>
          <w:szCs w:val="24"/>
        </w:rPr>
      </w:pPr>
      <w:r w:rsidRPr="00D74626">
        <w:rPr>
          <w:rFonts w:asciiTheme="majorBidi" w:hAnsiTheme="majorBidi" w:cstheme="majorBidi"/>
          <w:sz w:val="24"/>
          <w:szCs w:val="24"/>
          <w:vertAlign w:val="superscript"/>
        </w:rPr>
        <w:t/>
      </w:r>
      <w:r w:rsidRPr="00D74626">
        <w:rPr>
          <w:rFonts w:asciiTheme="majorBidi" w:hAnsiTheme="majorBidi" w:cstheme="majorBidi"/>
          <w:sz w:val="24"/>
          <w:szCs w:val="24"/>
        </w:rPr>
        <w:t xml:space="preserve"/>
      </w:r>
    </w:p>
    <w:p w14:paraId="6D944934" w14:textId="77777777" w:rsidR="006E3C46" w:rsidRPr="00D74626" w:rsidRDefault="006E3C46" w:rsidP="00D74626">
      <w:pPr>
        <w:spacing w:after="0" w:line="360" w:lineRule="auto"/>
        <w:rPr>
          <w:rFonts w:asciiTheme="majorBidi" w:hAnsiTheme="majorBidi" w:cstheme="majorBidi"/>
          <w:sz w:val="24"/>
          <w:szCs w:val="24"/>
        </w:rPr>
      </w:pPr>
    </w:p>
    <w:p w14:paraId="52F7E6C8" w14:textId="77777777" w:rsidR="001B5E46" w:rsidRPr="00D74626" w:rsidRDefault="001B5E46" w:rsidP="00D74626">
      <w:pPr>
        <w:pStyle w:val="Heading1"/>
        <w:spacing w:after="240" w:line="360" w:lineRule="auto"/>
        <w:jc w:val="center"/>
        <w:rPr>
          <w:rFonts w:asciiTheme="majorBidi" w:hAnsiTheme="majorBidi"/>
          <w:b/>
          <w:bCs/>
          <w:color w:val="auto"/>
          <w:sz w:val="24"/>
          <w:szCs w:val="24"/>
        </w:rPr>
      </w:pPr>
      <w:bookmarkStart w:id="1" w:name="_Toc197707624"/>
      <w:r w:rsidRPr="00D74626">
        <w:rPr>
          <w:rFonts w:asciiTheme="majorBidi" w:hAnsiTheme="majorBidi"/>
          <w:b/>
          <w:bCs/>
          <w:color w:val="auto"/>
          <w:sz w:val="24"/>
          <w:szCs w:val="24"/>
        </w:rPr>
        <w:t>Abstract</w:t>
      </w:r>
      <w:bookmarkEnd w:id="1"/>
    </w:p>
    <w:p w14:paraId="6DB7F983" w14:textId="63C2A892" w:rsidR="008A254B" w:rsidRPr="00D74626" w:rsidRDefault="008A254B" w:rsidP="00D74626">
      <w:pPr>
        <w:spacing w:before="100" w:beforeAutospacing="1" w:after="100" w:afterAutospacing="1" w:line="360" w:lineRule="auto"/>
        <w:rPr>
          <w:rFonts w:asciiTheme="majorBidi" w:hAnsiTheme="majorBidi" w:cstheme="majorBidi"/>
          <w:sz w:val="24"/>
          <w:szCs w:val="24"/>
        </w:rPr>
      </w:pPr>
      <w:r w:rsidRPr="00D74626">
        <w:rPr>
          <w:rFonts w:asciiTheme="majorBidi" w:hAnsiTheme="majorBidi" w:cstheme="majorBidi"/>
          <w:sz w:val="24"/>
          <w:szCs w:val="24"/>
        </w:rPr>
        <w:t xml:space="preserve">This literature review explores the role of Green Human Resource Management in enhancing </w:t>
      </w:r>
      <w:r w:rsidR="0060253D" w:rsidRPr="00D74626">
        <w:rPr>
          <w:rFonts w:asciiTheme="majorBidi" w:hAnsiTheme="majorBidi" w:cstheme="majorBidi"/>
          <w:sz w:val="24"/>
          <w:szCs w:val="24"/>
        </w:rPr>
        <w:t>Talent Retention</w:t>
      </w:r>
      <w:r w:rsidRPr="00D74626">
        <w:rPr>
          <w:rFonts w:asciiTheme="majorBidi" w:hAnsiTheme="majorBidi" w:cstheme="majorBidi"/>
          <w:sz w:val="24"/>
          <w:szCs w:val="24"/>
        </w:rPr>
        <w:t xml:space="preserve"> within higher education institutions, particularly in Karachi, Pakistan, by synthesizing existing research through a systematic analysis of empirical studies, theoretical frameworks, and policy documents. The study focuses on key practices such as green recruitment, training, and organizational culture, emphasizing their practical implications for fostering sustainability-driven workplaces. Higher education institutions should adopt structured Green Human Resource Management policies, including eco-friendly training programs and sustainability-aligned performance management, while ensuring leadership commitment to institutionalize long-term environmental and employee engagement strategies. The methodology involves a comprehensive review of global and regional studies to identify best practices and gaps in implementation, particularly in developing economies. By aligning Green Human Resource Management with Sustainable Development Goals, universities can contribute to broader environmental and social sustainability while improving staff retention. The findings underscore the need for contextual adaptations, policy reforms, and cross-cultural applications to strengthen Green Human Resource Management’s effectiveness in academic settings. </w:t>
      </w:r>
    </w:p>
    <w:p w14:paraId="1DEAF986" w14:textId="00703AA8" w:rsidR="003F148B" w:rsidRPr="00D74626" w:rsidRDefault="003F148B" w:rsidP="00D74626">
      <w:pPr>
        <w:spacing w:before="100" w:beforeAutospacing="1" w:after="100" w:afterAutospacing="1" w:line="360" w:lineRule="auto"/>
        <w:ind w:left="1170" w:hanging="1170"/>
        <w:rPr>
          <w:rFonts w:asciiTheme="majorBidi" w:eastAsia="Times New Roman" w:hAnsiTheme="majorBidi" w:cstheme="majorBidi"/>
          <w:sz w:val="24"/>
          <w:szCs w:val="24"/>
        </w:rPr>
      </w:pPr>
      <w:r w:rsidRPr="00D74626">
        <w:rPr>
          <w:rFonts w:asciiTheme="majorBidi" w:eastAsia="Times New Roman" w:hAnsiTheme="majorBidi" w:cstheme="majorBidi"/>
          <w:b/>
          <w:bCs/>
          <w:sz w:val="24"/>
          <w:szCs w:val="24"/>
        </w:rPr>
        <w:t>Keywords:</w:t>
      </w:r>
      <w:r w:rsidRPr="00D74626">
        <w:rPr>
          <w:rFonts w:asciiTheme="majorBidi" w:eastAsia="Times New Roman" w:hAnsiTheme="majorBidi" w:cstheme="majorBidi"/>
          <w:sz w:val="24"/>
          <w:szCs w:val="24"/>
        </w:rPr>
        <w:t xml:space="preserve"> Green Human Resource Management, </w:t>
      </w:r>
      <w:r w:rsidR="0060253D" w:rsidRPr="00D74626">
        <w:rPr>
          <w:rFonts w:asciiTheme="majorBidi" w:eastAsia="Times New Roman" w:hAnsiTheme="majorBidi" w:cstheme="majorBidi"/>
          <w:sz w:val="24"/>
          <w:szCs w:val="24"/>
        </w:rPr>
        <w:t>Talent Retention</w:t>
      </w:r>
      <w:r w:rsidRPr="00D74626">
        <w:rPr>
          <w:rFonts w:asciiTheme="majorBidi" w:eastAsia="Times New Roman" w:hAnsiTheme="majorBidi" w:cstheme="majorBidi"/>
          <w:sz w:val="24"/>
          <w:szCs w:val="24"/>
        </w:rPr>
        <w:t>, Sustainability, Higher Education</w:t>
      </w:r>
      <w:r w:rsidR="008A254B" w:rsidRPr="00D74626">
        <w:rPr>
          <w:rFonts w:asciiTheme="majorBidi" w:eastAsia="Times New Roman" w:hAnsiTheme="majorBidi" w:cstheme="majorBidi"/>
          <w:sz w:val="24"/>
          <w:szCs w:val="24"/>
        </w:rPr>
        <w:t xml:space="preserve"> Institutes</w:t>
      </w:r>
    </w:p>
    <w:p w14:paraId="7ACD5CA4" w14:textId="77777777" w:rsidR="00560476" w:rsidRPr="00D74626" w:rsidRDefault="00560476" w:rsidP="00D74626">
      <w:pPr>
        <w:spacing w:line="360" w:lineRule="auto"/>
        <w:rPr>
          <w:rFonts w:asciiTheme="majorBidi" w:hAnsiTheme="majorBidi" w:cstheme="majorBidi"/>
        </w:rPr>
      </w:pPr>
    </w:p>
    <w:p w14:paraId="4551C9F5" w14:textId="77777777" w:rsidR="00961DFD" w:rsidRPr="00D74626" w:rsidRDefault="00961DFD" w:rsidP="00D74626">
      <w:pPr>
        <w:pStyle w:val="Heading3"/>
        <w:spacing w:line="360" w:lineRule="auto"/>
        <w:rPr>
          <w:rFonts w:asciiTheme="majorBidi" w:hAnsiTheme="majorBidi"/>
          <w:color w:val="auto"/>
        </w:rPr>
      </w:pPr>
      <w:bookmarkStart w:id="2" w:name="_Toc197707628"/>
      <w:r w:rsidRPr="00D74626">
        <w:rPr>
          <w:rStyle w:val="Strong"/>
          <w:rFonts w:asciiTheme="majorBidi" w:hAnsiTheme="majorBidi"/>
          <w:color w:val="auto"/>
        </w:rPr>
        <w:t>Introduction</w:t>
      </w:r>
    </w:p>
    <w:p w14:paraId="6DBD8EA6" w14:textId="77777777" w:rsidR="00961DFD" w:rsidRPr="00D74626" w:rsidRDefault="00961DFD" w:rsidP="00D74626">
      <w:pPr>
        <w:spacing w:before="100" w:beforeAutospacing="1" w:after="100" w:afterAutospacing="1" w:line="360" w:lineRule="auto"/>
        <w:ind w:firstLine="720"/>
        <w:rPr>
          <w:rFonts w:asciiTheme="majorBidi" w:hAnsiTheme="majorBidi" w:cstheme="majorBidi"/>
        </w:rPr>
      </w:pPr>
      <w:r w:rsidRPr="00D74626">
        <w:rPr>
          <w:rFonts w:asciiTheme="majorBidi" w:hAnsiTheme="majorBidi" w:cstheme="majorBidi"/>
        </w:rPr>
        <w:t xml:space="preserve">In recent years, the urgency to address climate change has become a central concern in both global policy and organizational strategy. The </w:t>
      </w:r>
      <w:r w:rsidRPr="00D74626">
        <w:rPr>
          <w:rStyle w:val="Strong"/>
          <w:rFonts w:asciiTheme="majorBidi" w:hAnsiTheme="majorBidi" w:cstheme="majorBidi"/>
          <w:b w:val="0"/>
          <w:bCs w:val="0"/>
        </w:rPr>
        <w:t>Paris Agreement (2015)</w:t>
      </w:r>
      <w:r w:rsidRPr="00D74626">
        <w:rPr>
          <w:rFonts w:asciiTheme="majorBidi" w:hAnsiTheme="majorBidi" w:cstheme="majorBidi"/>
          <w:b/>
          <w:bCs/>
        </w:rPr>
        <w:t>,</w:t>
      </w:r>
      <w:r w:rsidRPr="00D74626">
        <w:rPr>
          <w:rFonts w:asciiTheme="majorBidi" w:hAnsiTheme="majorBidi" w:cstheme="majorBidi"/>
        </w:rPr>
        <w:t xml:space="preserve"> a landmark international treaty, emphasized the need for countries and institutions to reduce greenhouse gas emissions and adopt environmentally responsible practices. Complementing this, the </w:t>
      </w:r>
      <w:r w:rsidRPr="00D74626">
        <w:rPr>
          <w:rStyle w:val="Strong"/>
          <w:rFonts w:asciiTheme="majorBidi" w:hAnsiTheme="majorBidi" w:cstheme="majorBidi"/>
          <w:b w:val="0"/>
          <w:bCs w:val="0"/>
        </w:rPr>
        <w:t>United Nations Sustainable Development Goals (SDGs)</w:t>
      </w:r>
      <w:r w:rsidRPr="00D74626">
        <w:rPr>
          <w:rFonts w:asciiTheme="majorBidi" w:hAnsiTheme="majorBidi" w:cstheme="majorBidi"/>
        </w:rPr>
        <w:t xml:space="preserve"> provide a comprehensive blueprint for sustainable growth. Together, these initiatives call upon organizations, including higher education institutions, to align their policies and operations—particularly in human resource management—with broader environmental and sustainability goals.</w:t>
      </w:r>
    </w:p>
    <w:p w14:paraId="1C165D8F" w14:textId="0F3200FE" w:rsidR="00961DFD" w:rsidRPr="00D74626" w:rsidRDefault="00961DFD" w:rsidP="00D74626">
      <w:pPr>
        <w:spacing w:before="100" w:beforeAutospacing="1" w:after="100" w:afterAutospacing="1" w:line="360" w:lineRule="auto"/>
        <w:ind w:firstLine="720"/>
        <w:rPr>
          <w:rFonts w:asciiTheme="majorBidi" w:hAnsiTheme="majorBidi" w:cstheme="majorBidi"/>
        </w:rPr>
      </w:pPr>
      <w:r w:rsidRPr="00D74626">
        <w:rPr>
          <w:rFonts w:asciiTheme="majorBidi" w:hAnsiTheme="majorBidi" w:cstheme="majorBidi"/>
        </w:rPr>
        <w:t xml:space="preserve">The </w:t>
      </w:r>
      <w:r w:rsidRPr="00D74626">
        <w:rPr>
          <w:rStyle w:val="Strong"/>
          <w:rFonts w:asciiTheme="majorBidi" w:hAnsiTheme="majorBidi" w:cstheme="majorBidi"/>
          <w:b w:val="0"/>
          <w:bCs w:val="0"/>
        </w:rPr>
        <w:t xml:space="preserve">nexus of this study is the exploration of how Green Human Resource Management (GHRM) practices contribute to </w:t>
      </w:r>
      <w:r w:rsidR="0060253D" w:rsidRPr="00D74626">
        <w:rPr>
          <w:rStyle w:val="Strong"/>
          <w:rFonts w:asciiTheme="majorBidi" w:hAnsiTheme="majorBidi" w:cstheme="majorBidi"/>
          <w:b w:val="0"/>
          <w:bCs w:val="0"/>
        </w:rPr>
        <w:t>Talent Retention</w:t>
      </w:r>
      <w:r w:rsidRPr="00D74626">
        <w:rPr>
          <w:rFonts w:asciiTheme="majorBidi" w:hAnsiTheme="majorBidi" w:cstheme="majorBidi"/>
        </w:rPr>
        <w:t>, particularly within higher education institutions in Karachi, Pakistan. GHRM, an emerging domain within strategic HR, represents a shift from conventional personnel practices to sustainability-driven approaches. This includes embedding eco-conscious values into HR functions such as recruitment, training, performance appraisal, and employee engagement. While traditional HRM focused primarily on administrative tasks like payroll and record-keeping, GHRM integrates environmental considerations into organizational culture and workforce planning.</w:t>
      </w:r>
    </w:p>
    <w:p w14:paraId="210FF61E" w14:textId="77777777" w:rsidR="00961DFD" w:rsidRPr="00D74626" w:rsidRDefault="00961DFD" w:rsidP="00D74626">
      <w:pPr>
        <w:spacing w:before="100" w:beforeAutospacing="1" w:after="100" w:afterAutospacing="1" w:line="360" w:lineRule="auto"/>
        <w:ind w:firstLine="720"/>
        <w:rPr>
          <w:rFonts w:asciiTheme="majorBidi" w:hAnsiTheme="majorBidi" w:cstheme="majorBidi"/>
        </w:rPr>
      </w:pPr>
      <w:r w:rsidRPr="00D74626">
        <w:rPr>
          <w:rFonts w:asciiTheme="majorBidi" w:hAnsiTheme="majorBidi" w:cstheme="majorBidi"/>
        </w:rPr>
        <w:t xml:space="preserve">The </w:t>
      </w:r>
      <w:r w:rsidRPr="00D74626">
        <w:rPr>
          <w:rStyle w:val="Strong"/>
          <w:rFonts w:asciiTheme="majorBidi" w:hAnsiTheme="majorBidi" w:cstheme="majorBidi"/>
          <w:b w:val="0"/>
          <w:bCs w:val="0"/>
        </w:rPr>
        <w:t>Paris Agreement</w:t>
      </w:r>
      <w:r w:rsidRPr="00D74626">
        <w:rPr>
          <w:rFonts w:asciiTheme="majorBidi" w:hAnsiTheme="majorBidi" w:cstheme="majorBidi"/>
        </w:rPr>
        <w:t xml:space="preserve"> encourages signatory nations and their institutions to adopt sustainable workplace practices. In alignment with this, GHRM emphasizes the importance of environmentally responsible HR strategies that reduce an organization's ecological footprint. This includes not only policy compliance but also proactive employee engagement in sustainability initiatives. Similarly, the </w:t>
      </w:r>
      <w:r w:rsidRPr="00D74626">
        <w:rPr>
          <w:rStyle w:val="Strong"/>
          <w:rFonts w:asciiTheme="majorBidi" w:hAnsiTheme="majorBidi" w:cstheme="majorBidi"/>
          <w:b w:val="0"/>
          <w:bCs w:val="0"/>
        </w:rPr>
        <w:t>Sustainable Development Goals</w:t>
      </w:r>
      <w:r w:rsidRPr="00D74626">
        <w:rPr>
          <w:rFonts w:asciiTheme="majorBidi" w:hAnsiTheme="majorBidi" w:cstheme="majorBidi"/>
        </w:rPr>
        <w:t xml:space="preserve">, particularly </w:t>
      </w:r>
      <w:r w:rsidRPr="00D74626">
        <w:rPr>
          <w:rStyle w:val="Strong"/>
          <w:rFonts w:asciiTheme="majorBidi" w:hAnsiTheme="majorBidi" w:cstheme="majorBidi"/>
          <w:b w:val="0"/>
          <w:bCs w:val="0"/>
        </w:rPr>
        <w:t>SDG 4 (Quality Education)</w:t>
      </w:r>
      <w:r w:rsidRPr="00D74626">
        <w:rPr>
          <w:rFonts w:asciiTheme="majorBidi" w:hAnsiTheme="majorBidi" w:cstheme="majorBidi"/>
        </w:rPr>
        <w:t xml:space="preserve"> and </w:t>
      </w:r>
      <w:r w:rsidRPr="00D74626">
        <w:rPr>
          <w:rStyle w:val="Strong"/>
          <w:rFonts w:asciiTheme="majorBidi" w:hAnsiTheme="majorBidi" w:cstheme="majorBidi"/>
          <w:b w:val="0"/>
          <w:bCs w:val="0"/>
        </w:rPr>
        <w:t>SDG 13 (Climate Action)</w:t>
      </w:r>
      <w:r w:rsidRPr="00D74626">
        <w:rPr>
          <w:rFonts w:asciiTheme="majorBidi" w:hAnsiTheme="majorBidi" w:cstheme="majorBidi"/>
          <w:b/>
          <w:bCs/>
        </w:rPr>
        <w:t>,</w:t>
      </w:r>
      <w:r w:rsidRPr="00D74626">
        <w:rPr>
          <w:rFonts w:asciiTheme="majorBidi" w:hAnsiTheme="majorBidi" w:cstheme="majorBidi"/>
        </w:rPr>
        <w:t xml:space="preserve"> promote the integration of environmental consciousness within educational institutions. SDG 4 calls for embedding sustainability into education systems, while SDG 13 urges all sectors to take meaningful action against climate change—including through workplace behavior and practices. By adopting green HR strategies, universities can contribute meaningfully to these goals while also enhancing internal outcomes such as employee satisfaction and retention.</w:t>
      </w:r>
    </w:p>
    <w:p w14:paraId="40F9D770" w14:textId="2795BFA9" w:rsidR="00961DFD" w:rsidRPr="00D74626" w:rsidRDefault="00961DFD" w:rsidP="00D74626">
      <w:pPr>
        <w:spacing w:before="100" w:beforeAutospacing="1" w:after="100" w:afterAutospacing="1" w:line="360" w:lineRule="auto"/>
        <w:ind w:firstLine="720"/>
        <w:rPr>
          <w:rFonts w:asciiTheme="majorBidi" w:hAnsiTheme="majorBidi" w:cstheme="majorBidi"/>
        </w:rPr>
      </w:pPr>
      <w:r w:rsidRPr="00D74626">
        <w:rPr>
          <w:rFonts w:asciiTheme="majorBidi" w:hAnsiTheme="majorBidi" w:cstheme="majorBidi"/>
        </w:rPr>
        <w:t xml:space="preserve">In the context of </w:t>
      </w:r>
      <w:r w:rsidRPr="00D74626">
        <w:rPr>
          <w:rStyle w:val="Strong"/>
          <w:rFonts w:asciiTheme="majorBidi" w:hAnsiTheme="majorBidi" w:cstheme="majorBidi"/>
          <w:b w:val="0"/>
          <w:bCs w:val="0"/>
        </w:rPr>
        <w:t>developing countries like Pakistan</w:t>
      </w:r>
      <w:r w:rsidRPr="00D74626">
        <w:rPr>
          <w:rFonts w:asciiTheme="majorBidi" w:hAnsiTheme="majorBidi" w:cstheme="majorBidi"/>
          <w:b/>
          <w:bCs/>
        </w:rPr>
        <w:t>,</w:t>
      </w:r>
      <w:r w:rsidRPr="00D74626">
        <w:rPr>
          <w:rFonts w:asciiTheme="majorBidi" w:hAnsiTheme="majorBidi" w:cstheme="majorBidi"/>
        </w:rPr>
        <w:t xml:space="preserve"> the application of GHRM is still in a nascent stage, especially within academic institutions. While industries such as manufacturing and corporate services have started integrating sustainability into their business models, the education sector has yet to fully capitalize on green HR opportunities. Higher education institutions, being knowledge-driven </w:t>
      </w:r>
      <w:r w:rsidRPr="00D74626">
        <w:rPr>
          <w:rFonts w:asciiTheme="majorBidi" w:hAnsiTheme="majorBidi" w:cstheme="majorBidi"/>
        </w:rPr>
        <w:lastRenderedPageBreak/>
        <w:t xml:space="preserve">organizations, play a critical role in modeling and promoting sustainability. However, there is limited empirical research exploring how green HR practices in these institutions affect </w:t>
      </w:r>
      <w:r w:rsidR="0060253D" w:rsidRPr="00D74626">
        <w:rPr>
          <w:rFonts w:asciiTheme="majorBidi" w:hAnsiTheme="majorBidi" w:cstheme="majorBidi"/>
        </w:rPr>
        <w:t>Talent Retention</w:t>
      </w:r>
      <w:r w:rsidRPr="00D74626">
        <w:rPr>
          <w:rFonts w:asciiTheme="majorBidi" w:hAnsiTheme="majorBidi" w:cstheme="majorBidi"/>
        </w:rPr>
        <w:t>—a key component of organizational stability and growth.</w:t>
      </w:r>
      <w:r w:rsidR="008A254B" w:rsidRPr="00D74626">
        <w:rPr>
          <w:rFonts w:asciiTheme="majorBidi" w:hAnsiTheme="majorBidi" w:cstheme="majorBidi"/>
        </w:rPr>
        <w:t xml:space="preserve"> </w:t>
      </w:r>
      <w:r w:rsidR="0060253D" w:rsidRPr="00D74626">
        <w:rPr>
          <w:rFonts w:asciiTheme="majorBidi" w:hAnsiTheme="majorBidi" w:cstheme="majorBidi"/>
        </w:rPr>
        <w:t>Talent Retention</w:t>
      </w:r>
      <w:r w:rsidRPr="00D74626">
        <w:rPr>
          <w:rFonts w:asciiTheme="majorBidi" w:hAnsiTheme="majorBidi" w:cstheme="majorBidi"/>
        </w:rPr>
        <w:t xml:space="preserve"> has become a growing concern for universities, as frequent staff turnover can disrupt continuity, increase costs, and hinder institutional development. GHRM practices, by aligning employees with the institution's environmental values, may foster a deeper sense of purpose, loyalty, and long-term commitment. When employees perceive that their organization is actively contributing to environmental well-being, they are more likely to feel motivated, supported, and aligned with organizational goals. This not only improves employee morale but may also reduce turnover intentions.</w:t>
      </w:r>
      <w:r w:rsidR="008A254B" w:rsidRPr="00D74626">
        <w:rPr>
          <w:rFonts w:asciiTheme="majorBidi" w:hAnsiTheme="majorBidi" w:cstheme="majorBidi"/>
        </w:rPr>
        <w:t xml:space="preserve"> </w:t>
      </w:r>
      <w:r w:rsidRPr="00D74626">
        <w:rPr>
          <w:rFonts w:asciiTheme="majorBidi" w:hAnsiTheme="majorBidi" w:cstheme="majorBidi"/>
        </w:rPr>
        <w:t xml:space="preserve">Therefore, this study aims to examine the role of GHRM in enhancing </w:t>
      </w:r>
      <w:r w:rsidR="0060253D" w:rsidRPr="00D74626">
        <w:rPr>
          <w:rFonts w:asciiTheme="majorBidi" w:hAnsiTheme="majorBidi" w:cstheme="majorBidi"/>
        </w:rPr>
        <w:t>Talent Retention</w:t>
      </w:r>
      <w:r w:rsidRPr="00D74626">
        <w:rPr>
          <w:rFonts w:asciiTheme="majorBidi" w:hAnsiTheme="majorBidi" w:cstheme="majorBidi"/>
        </w:rPr>
        <w:t xml:space="preserve"> in the higher education sector of Karachi. By investigating how environmentally responsible HR practices influence employees’ decisions to stay, the research addresses a crucial gap in both academic literature and practical HR implementation. The findings are expected to contribute valuable insights for university leaders, HR professionals, and policymakers striving to integrate sustainability into their operational and strategic frameworks.</w:t>
      </w:r>
    </w:p>
    <w:bookmarkEnd w:id="2"/>
    <w:p w14:paraId="59161550" w14:textId="4F8BDE3D" w:rsidR="00164597" w:rsidRPr="00D74626" w:rsidRDefault="008B4007" w:rsidP="00D74626">
      <w:pPr>
        <w:spacing w:line="360" w:lineRule="auto"/>
        <w:ind w:firstLine="720"/>
        <w:rPr>
          <w:rFonts w:asciiTheme="majorBidi" w:eastAsia="Times New Roman" w:hAnsiTheme="majorBidi" w:cstheme="majorBidi"/>
          <w:sz w:val="24"/>
          <w:szCs w:val="24"/>
        </w:rPr>
      </w:pPr>
      <w:r w:rsidRPr="00D74626">
        <w:rPr>
          <w:rFonts w:asciiTheme="majorBidi" w:hAnsiTheme="majorBidi" w:cstheme="majorBidi"/>
        </w:rPr>
        <w:t xml:space="preserve">Despite increasing global emphasis on sustainability, higher education institutions in Karachi face challenges in implementing Green Human Resource Management (GHRM) practices effectively. There is limited research on how green HR strategies contribute to </w:t>
      </w:r>
      <w:r w:rsidR="0060253D" w:rsidRPr="00D74626">
        <w:rPr>
          <w:rFonts w:asciiTheme="majorBidi" w:hAnsiTheme="majorBidi" w:cstheme="majorBidi"/>
        </w:rPr>
        <w:t>Talent Retention</w:t>
      </w:r>
      <w:r w:rsidRPr="00D74626">
        <w:rPr>
          <w:rFonts w:asciiTheme="majorBidi" w:hAnsiTheme="majorBidi" w:cstheme="majorBidi"/>
        </w:rPr>
        <w:t xml:space="preserve"> in this sector. The lack of structured frameworks and awareness further hinders the integration of sustainability into HR functions. </w:t>
      </w:r>
      <w:r w:rsidR="00164597" w:rsidRPr="00D74626">
        <w:rPr>
          <w:rFonts w:asciiTheme="majorBidi" w:eastAsia="Times New Roman" w:hAnsiTheme="majorBidi" w:cstheme="majorBidi"/>
          <w:sz w:val="24"/>
          <w:szCs w:val="24"/>
        </w:rPr>
        <w:t xml:space="preserve">This study explores the impact of Green HR practices on </w:t>
      </w:r>
      <w:r w:rsidR="0060253D" w:rsidRPr="00D74626">
        <w:rPr>
          <w:rFonts w:asciiTheme="majorBidi" w:eastAsia="Times New Roman" w:hAnsiTheme="majorBidi" w:cstheme="majorBidi"/>
          <w:sz w:val="24"/>
          <w:szCs w:val="24"/>
        </w:rPr>
        <w:t>Talent Retention</w:t>
      </w:r>
      <w:r w:rsidR="00164597" w:rsidRPr="00D74626">
        <w:rPr>
          <w:rFonts w:asciiTheme="majorBidi" w:eastAsia="Times New Roman" w:hAnsiTheme="majorBidi" w:cstheme="majorBidi"/>
          <w:sz w:val="24"/>
          <w:szCs w:val="24"/>
        </w:rPr>
        <w:t xml:space="preserve"> in Karachi's higher education institutions, focusing on sustainable recruitment, Green training, and self-efficacy. It aims to expand Green HRM research and offer recommendations for creating a sustainable work environment.</w:t>
      </w:r>
    </w:p>
    <w:p w14:paraId="7A354A4A" w14:textId="29CE880B" w:rsidR="00850783" w:rsidRPr="00D74626" w:rsidRDefault="00850783" w:rsidP="00D74626">
      <w:pPr>
        <w:pStyle w:val="ListParagraph"/>
        <w:numPr>
          <w:ilvl w:val="0"/>
          <w:numId w:val="6"/>
        </w:numPr>
        <w:spacing w:line="360" w:lineRule="auto"/>
        <w:ind w:left="1080"/>
        <w:rPr>
          <w:rFonts w:asciiTheme="majorBidi" w:hAnsiTheme="majorBidi" w:cstheme="majorBidi"/>
          <w:sz w:val="24"/>
          <w:szCs w:val="24"/>
        </w:rPr>
      </w:pPr>
      <w:r w:rsidRPr="00D74626">
        <w:rPr>
          <w:rFonts w:asciiTheme="majorBidi" w:hAnsiTheme="majorBidi" w:cstheme="majorBidi"/>
          <w:sz w:val="24"/>
          <w:szCs w:val="24"/>
        </w:rPr>
        <w:t>Th</w:t>
      </w:r>
      <w:r w:rsidR="001B5E46" w:rsidRPr="00D74626">
        <w:rPr>
          <w:rFonts w:asciiTheme="majorBidi" w:hAnsiTheme="majorBidi" w:cstheme="majorBidi"/>
          <w:sz w:val="24"/>
          <w:szCs w:val="24"/>
        </w:rPr>
        <w:t xml:space="preserve">ere is </w:t>
      </w:r>
      <w:r w:rsidR="008624ED" w:rsidRPr="00D74626">
        <w:rPr>
          <w:rFonts w:asciiTheme="majorBidi" w:hAnsiTheme="majorBidi" w:cstheme="majorBidi"/>
          <w:sz w:val="24"/>
          <w:szCs w:val="24"/>
        </w:rPr>
        <w:t xml:space="preserve">Significant </w:t>
      </w:r>
      <w:r w:rsidR="001B5E46" w:rsidRPr="00D74626">
        <w:rPr>
          <w:rFonts w:asciiTheme="majorBidi" w:hAnsiTheme="majorBidi" w:cstheme="majorBidi"/>
          <w:sz w:val="24"/>
          <w:szCs w:val="24"/>
        </w:rPr>
        <w:t xml:space="preserve">impact of Green Human resource practices on </w:t>
      </w:r>
      <w:r w:rsidR="00D64B00" w:rsidRPr="00D74626">
        <w:rPr>
          <w:rFonts w:asciiTheme="majorBidi" w:hAnsiTheme="majorBidi" w:cstheme="majorBidi"/>
          <w:sz w:val="24"/>
          <w:szCs w:val="24"/>
        </w:rPr>
        <w:t>employee’s</w:t>
      </w:r>
      <w:r w:rsidR="001B5E46" w:rsidRPr="00D74626">
        <w:rPr>
          <w:rFonts w:asciiTheme="majorBidi" w:hAnsiTheme="majorBidi" w:cstheme="majorBidi"/>
          <w:sz w:val="24"/>
          <w:szCs w:val="24"/>
        </w:rPr>
        <w:t xml:space="preserve"> retention</w:t>
      </w:r>
      <w:r w:rsidR="00C00936" w:rsidRPr="00D74626">
        <w:rPr>
          <w:rFonts w:asciiTheme="majorBidi" w:hAnsiTheme="majorBidi" w:cstheme="majorBidi"/>
          <w:sz w:val="24"/>
          <w:szCs w:val="24"/>
        </w:rPr>
        <w:t xml:space="preserve"> in higher education</w:t>
      </w:r>
      <w:r w:rsidR="00476621" w:rsidRPr="00D74626">
        <w:rPr>
          <w:rFonts w:asciiTheme="majorBidi" w:hAnsiTheme="majorBidi" w:cstheme="majorBidi"/>
          <w:sz w:val="24"/>
          <w:szCs w:val="24"/>
        </w:rPr>
        <w:t xml:space="preserve"> institution Karachi</w:t>
      </w:r>
      <w:r w:rsidR="001B5E46" w:rsidRPr="00D74626">
        <w:rPr>
          <w:rFonts w:asciiTheme="majorBidi" w:hAnsiTheme="majorBidi" w:cstheme="majorBidi"/>
          <w:sz w:val="24"/>
          <w:szCs w:val="24"/>
        </w:rPr>
        <w:t>.</w:t>
      </w:r>
    </w:p>
    <w:p w14:paraId="54BCC06D" w14:textId="11F948B5" w:rsidR="00850783" w:rsidRPr="00D74626" w:rsidRDefault="001B5E46" w:rsidP="00D74626">
      <w:pPr>
        <w:pStyle w:val="ListParagraph"/>
        <w:numPr>
          <w:ilvl w:val="0"/>
          <w:numId w:val="6"/>
        </w:numPr>
        <w:spacing w:line="360" w:lineRule="auto"/>
        <w:ind w:left="1080"/>
        <w:rPr>
          <w:rFonts w:asciiTheme="majorBidi" w:hAnsiTheme="majorBidi" w:cstheme="majorBidi"/>
          <w:sz w:val="24"/>
          <w:szCs w:val="24"/>
        </w:rPr>
      </w:pPr>
      <w:r w:rsidRPr="00D74626">
        <w:rPr>
          <w:rFonts w:asciiTheme="majorBidi" w:hAnsiTheme="majorBidi" w:cstheme="majorBidi"/>
          <w:sz w:val="24"/>
          <w:szCs w:val="24"/>
        </w:rPr>
        <w:t xml:space="preserve">Green </w:t>
      </w:r>
      <w:r w:rsidR="00001A5A" w:rsidRPr="00D74626">
        <w:rPr>
          <w:rFonts w:asciiTheme="majorBidi" w:hAnsiTheme="majorBidi" w:cstheme="majorBidi"/>
          <w:sz w:val="24"/>
          <w:szCs w:val="24"/>
        </w:rPr>
        <w:t>Learning</w:t>
      </w:r>
      <w:r w:rsidRPr="00D74626">
        <w:rPr>
          <w:rFonts w:asciiTheme="majorBidi" w:hAnsiTheme="majorBidi" w:cstheme="majorBidi"/>
          <w:sz w:val="24"/>
          <w:szCs w:val="24"/>
        </w:rPr>
        <w:t xml:space="preserve"> program </w:t>
      </w:r>
      <w:r w:rsidR="00476621" w:rsidRPr="00D74626">
        <w:rPr>
          <w:rFonts w:asciiTheme="majorBidi" w:hAnsiTheme="majorBidi" w:cstheme="majorBidi"/>
          <w:sz w:val="24"/>
          <w:szCs w:val="24"/>
        </w:rPr>
        <w:t xml:space="preserve">positively </w:t>
      </w:r>
      <w:r w:rsidR="0039399A" w:rsidRPr="00D74626">
        <w:rPr>
          <w:rFonts w:asciiTheme="majorBidi" w:hAnsiTheme="majorBidi" w:cstheme="majorBidi"/>
          <w:sz w:val="24"/>
          <w:szCs w:val="24"/>
        </w:rPr>
        <w:t>influences</w:t>
      </w:r>
      <w:r w:rsidR="00476621" w:rsidRPr="00D74626">
        <w:rPr>
          <w:rFonts w:asciiTheme="majorBidi" w:hAnsiTheme="majorBidi" w:cstheme="majorBidi"/>
          <w:sz w:val="24"/>
          <w:szCs w:val="24"/>
        </w:rPr>
        <w:t xml:space="preserve"> </w:t>
      </w:r>
      <w:r w:rsidR="0060253D" w:rsidRPr="00D74626">
        <w:rPr>
          <w:rFonts w:asciiTheme="majorBidi" w:hAnsiTheme="majorBidi" w:cstheme="majorBidi"/>
          <w:sz w:val="24"/>
          <w:szCs w:val="24"/>
        </w:rPr>
        <w:t>Talent Retention</w:t>
      </w:r>
      <w:r w:rsidR="00476621" w:rsidRPr="00D74626">
        <w:rPr>
          <w:rFonts w:asciiTheme="majorBidi" w:hAnsiTheme="majorBidi" w:cstheme="majorBidi"/>
          <w:sz w:val="24"/>
          <w:szCs w:val="24"/>
        </w:rPr>
        <w:t xml:space="preserve"> in higher education institution </w:t>
      </w:r>
      <w:r w:rsidR="0039399A" w:rsidRPr="00D74626">
        <w:rPr>
          <w:rFonts w:asciiTheme="majorBidi" w:hAnsiTheme="majorBidi" w:cstheme="majorBidi"/>
          <w:sz w:val="24"/>
          <w:szCs w:val="24"/>
        </w:rPr>
        <w:t>Karachi.</w:t>
      </w:r>
    </w:p>
    <w:p w14:paraId="5C4557A1" w14:textId="77777777" w:rsidR="00850783" w:rsidRPr="00D74626" w:rsidRDefault="001B5E46" w:rsidP="00D74626">
      <w:pPr>
        <w:pStyle w:val="ListParagraph"/>
        <w:numPr>
          <w:ilvl w:val="0"/>
          <w:numId w:val="6"/>
        </w:numPr>
        <w:spacing w:line="360" w:lineRule="auto"/>
        <w:ind w:left="1080"/>
        <w:rPr>
          <w:rFonts w:asciiTheme="majorBidi" w:hAnsiTheme="majorBidi" w:cstheme="majorBidi"/>
          <w:sz w:val="24"/>
          <w:szCs w:val="24"/>
        </w:rPr>
      </w:pPr>
      <w:r w:rsidRPr="00D74626">
        <w:rPr>
          <w:rFonts w:asciiTheme="majorBidi" w:hAnsiTheme="majorBidi" w:cstheme="majorBidi"/>
          <w:sz w:val="24"/>
          <w:szCs w:val="24"/>
        </w:rPr>
        <w:t xml:space="preserve">Self-efficacy </w:t>
      </w:r>
      <w:r w:rsidR="0039399A" w:rsidRPr="00D74626">
        <w:rPr>
          <w:rFonts w:asciiTheme="majorBidi" w:hAnsiTheme="majorBidi" w:cstheme="majorBidi"/>
          <w:sz w:val="24"/>
          <w:szCs w:val="24"/>
        </w:rPr>
        <w:t>moderates the</w:t>
      </w:r>
      <w:r w:rsidRPr="00D74626">
        <w:rPr>
          <w:rFonts w:asciiTheme="majorBidi" w:hAnsiTheme="majorBidi" w:cstheme="majorBidi"/>
          <w:sz w:val="24"/>
          <w:szCs w:val="24"/>
        </w:rPr>
        <w:t xml:space="preserve"> relationship between green </w:t>
      </w:r>
      <w:r w:rsidR="00001A5A" w:rsidRPr="00D74626">
        <w:rPr>
          <w:rFonts w:asciiTheme="majorBidi" w:hAnsiTheme="majorBidi" w:cstheme="majorBidi"/>
          <w:sz w:val="24"/>
          <w:szCs w:val="24"/>
        </w:rPr>
        <w:t>hiring</w:t>
      </w:r>
      <w:r w:rsidRPr="00D74626">
        <w:rPr>
          <w:rFonts w:asciiTheme="majorBidi" w:hAnsiTheme="majorBidi" w:cstheme="majorBidi"/>
          <w:sz w:val="24"/>
          <w:szCs w:val="24"/>
        </w:rPr>
        <w:t xml:space="preserve"> practices and </w:t>
      </w:r>
      <w:r w:rsidR="0039399A" w:rsidRPr="00D74626">
        <w:rPr>
          <w:rFonts w:asciiTheme="majorBidi" w:hAnsiTheme="majorBidi" w:cstheme="majorBidi"/>
          <w:sz w:val="24"/>
          <w:szCs w:val="24"/>
        </w:rPr>
        <w:t>employee’s</w:t>
      </w:r>
      <w:r w:rsidRPr="00D74626">
        <w:rPr>
          <w:rFonts w:asciiTheme="majorBidi" w:hAnsiTheme="majorBidi" w:cstheme="majorBidi"/>
          <w:sz w:val="24"/>
          <w:szCs w:val="24"/>
        </w:rPr>
        <w:t xml:space="preserve"> retention.</w:t>
      </w:r>
      <w:r w:rsidR="00745B33" w:rsidRPr="00D74626">
        <w:rPr>
          <w:rFonts w:asciiTheme="majorBidi" w:hAnsiTheme="majorBidi" w:cstheme="majorBidi"/>
          <w:sz w:val="24"/>
          <w:szCs w:val="24"/>
        </w:rPr>
        <w:t xml:space="preserve"> </w:t>
      </w:r>
    </w:p>
    <w:p w14:paraId="5FE369E7" w14:textId="77777777" w:rsidR="00850783" w:rsidRPr="00D74626" w:rsidRDefault="00833DC9" w:rsidP="00D74626">
      <w:pPr>
        <w:pStyle w:val="ListParagraph"/>
        <w:numPr>
          <w:ilvl w:val="0"/>
          <w:numId w:val="6"/>
        </w:numPr>
        <w:spacing w:line="360" w:lineRule="auto"/>
        <w:ind w:left="1080"/>
        <w:rPr>
          <w:rFonts w:asciiTheme="majorBidi" w:hAnsiTheme="majorBidi" w:cstheme="majorBidi"/>
          <w:sz w:val="24"/>
          <w:szCs w:val="24"/>
        </w:rPr>
      </w:pPr>
      <w:r w:rsidRPr="00D74626">
        <w:rPr>
          <w:rFonts w:asciiTheme="majorBidi" w:hAnsiTheme="majorBidi" w:cstheme="majorBidi"/>
          <w:sz w:val="24"/>
          <w:szCs w:val="24"/>
        </w:rPr>
        <w:t xml:space="preserve">Employee Self-efficacy moderates the relationship between green learning program and </w:t>
      </w:r>
      <w:r w:rsidR="0039399A" w:rsidRPr="00D74626">
        <w:rPr>
          <w:rFonts w:asciiTheme="majorBidi" w:hAnsiTheme="majorBidi" w:cstheme="majorBidi"/>
          <w:sz w:val="24"/>
          <w:szCs w:val="24"/>
        </w:rPr>
        <w:t>employee’s</w:t>
      </w:r>
      <w:r w:rsidRPr="00D74626">
        <w:rPr>
          <w:rFonts w:asciiTheme="majorBidi" w:hAnsiTheme="majorBidi" w:cstheme="majorBidi"/>
          <w:sz w:val="24"/>
          <w:szCs w:val="24"/>
        </w:rPr>
        <w:t xml:space="preserve"> retention </w:t>
      </w:r>
      <w:r w:rsidR="006866B2" w:rsidRPr="00D74626">
        <w:rPr>
          <w:rFonts w:asciiTheme="majorBidi" w:hAnsiTheme="majorBidi" w:cstheme="majorBidi"/>
          <w:sz w:val="24"/>
          <w:szCs w:val="24"/>
        </w:rPr>
        <w:t>as the relationship is stronger when self-efficacy is high.</w:t>
      </w:r>
    </w:p>
    <w:p w14:paraId="5DCB96F8" w14:textId="40539D05" w:rsidR="00850783" w:rsidRPr="00D74626" w:rsidRDefault="007A7B8D" w:rsidP="00D74626">
      <w:pPr>
        <w:pStyle w:val="ListParagraph"/>
        <w:numPr>
          <w:ilvl w:val="0"/>
          <w:numId w:val="6"/>
        </w:numPr>
        <w:spacing w:line="360" w:lineRule="auto"/>
        <w:ind w:left="1080"/>
        <w:rPr>
          <w:rFonts w:asciiTheme="majorBidi" w:hAnsiTheme="majorBidi" w:cstheme="majorBidi"/>
          <w:sz w:val="24"/>
          <w:szCs w:val="24"/>
        </w:rPr>
      </w:pPr>
      <w:r w:rsidRPr="00D74626">
        <w:rPr>
          <w:rFonts w:asciiTheme="majorBidi" w:hAnsiTheme="majorBidi" w:cstheme="majorBidi"/>
          <w:sz w:val="24"/>
          <w:szCs w:val="24"/>
        </w:rPr>
        <w:lastRenderedPageBreak/>
        <w:t xml:space="preserve">There is a considerable </w:t>
      </w:r>
      <w:r w:rsidR="005517F5" w:rsidRPr="00D74626">
        <w:rPr>
          <w:rFonts w:asciiTheme="majorBidi" w:hAnsiTheme="majorBidi" w:cstheme="majorBidi"/>
          <w:sz w:val="24"/>
          <w:szCs w:val="24"/>
        </w:rPr>
        <w:t xml:space="preserve">combined effect of green hiring practices and green learning on </w:t>
      </w:r>
      <w:r w:rsidR="0060253D" w:rsidRPr="00D74626">
        <w:rPr>
          <w:rFonts w:asciiTheme="majorBidi" w:hAnsiTheme="majorBidi" w:cstheme="majorBidi"/>
          <w:sz w:val="24"/>
          <w:szCs w:val="24"/>
        </w:rPr>
        <w:t>Talent Retention</w:t>
      </w:r>
      <w:r w:rsidR="005517F5" w:rsidRPr="00D74626">
        <w:rPr>
          <w:rFonts w:asciiTheme="majorBidi" w:hAnsiTheme="majorBidi" w:cstheme="majorBidi"/>
          <w:sz w:val="24"/>
          <w:szCs w:val="24"/>
        </w:rPr>
        <w:t>.</w:t>
      </w:r>
    </w:p>
    <w:p w14:paraId="3F6A87FB" w14:textId="53C3540C" w:rsidR="00516D0A" w:rsidRPr="00D74626" w:rsidRDefault="00516D0A" w:rsidP="00D74626">
      <w:pPr>
        <w:pStyle w:val="ListParagraph"/>
        <w:numPr>
          <w:ilvl w:val="0"/>
          <w:numId w:val="6"/>
        </w:numPr>
        <w:spacing w:line="360" w:lineRule="auto"/>
        <w:ind w:left="1080"/>
        <w:rPr>
          <w:rFonts w:asciiTheme="majorBidi" w:hAnsiTheme="majorBidi" w:cstheme="majorBidi"/>
          <w:sz w:val="24"/>
          <w:szCs w:val="24"/>
        </w:rPr>
      </w:pPr>
      <w:r w:rsidRPr="00D74626">
        <w:rPr>
          <w:rFonts w:asciiTheme="majorBidi" w:hAnsiTheme="majorBidi" w:cstheme="majorBidi"/>
          <w:sz w:val="24"/>
          <w:szCs w:val="24"/>
        </w:rPr>
        <w:t xml:space="preserve">Employee self-efficacy has noticeable positive </w:t>
      </w:r>
      <w:r w:rsidR="00D53173" w:rsidRPr="00D74626">
        <w:rPr>
          <w:rFonts w:asciiTheme="majorBidi" w:hAnsiTheme="majorBidi" w:cstheme="majorBidi"/>
          <w:sz w:val="24"/>
          <w:szCs w:val="24"/>
        </w:rPr>
        <w:t xml:space="preserve">effect on </w:t>
      </w:r>
      <w:r w:rsidR="0060253D" w:rsidRPr="00D74626">
        <w:rPr>
          <w:rFonts w:asciiTheme="majorBidi" w:hAnsiTheme="majorBidi" w:cstheme="majorBidi"/>
          <w:sz w:val="24"/>
          <w:szCs w:val="24"/>
        </w:rPr>
        <w:t>Talent Retention</w:t>
      </w:r>
      <w:r w:rsidR="00D53173" w:rsidRPr="00D74626">
        <w:rPr>
          <w:rFonts w:asciiTheme="majorBidi" w:hAnsiTheme="majorBidi" w:cstheme="majorBidi"/>
          <w:sz w:val="24"/>
          <w:szCs w:val="24"/>
        </w:rPr>
        <w:t>.</w:t>
      </w:r>
    </w:p>
    <w:p w14:paraId="7A4C5FA5" w14:textId="576524DA" w:rsidR="001769B8" w:rsidRPr="00D74626" w:rsidRDefault="001C1979" w:rsidP="00D74626">
      <w:pPr>
        <w:spacing w:line="360" w:lineRule="auto"/>
        <w:rPr>
          <w:rFonts w:asciiTheme="majorBidi" w:hAnsiTheme="majorBidi" w:cstheme="majorBidi"/>
          <w:b/>
          <w:bCs/>
          <w:sz w:val="24"/>
          <w:szCs w:val="24"/>
        </w:rPr>
      </w:pPr>
      <w:bookmarkStart w:id="3" w:name="_Toc197707663"/>
      <w:r w:rsidRPr="00D74626">
        <w:rPr>
          <w:rFonts w:asciiTheme="majorBidi" w:hAnsiTheme="majorBidi" w:cstheme="majorBidi"/>
          <w:b/>
          <w:bCs/>
          <w:sz w:val="24"/>
          <w:szCs w:val="24"/>
        </w:rPr>
        <w:t xml:space="preserve">Research Methodology </w:t>
      </w:r>
    </w:p>
    <w:p w14:paraId="61C86329" w14:textId="24BAAE7F" w:rsidR="004C723E" w:rsidRPr="00D74626" w:rsidRDefault="001769B8" w:rsidP="00D74626">
      <w:pPr>
        <w:spacing w:line="360" w:lineRule="auto"/>
        <w:rPr>
          <w:rFonts w:asciiTheme="majorBidi" w:hAnsiTheme="majorBidi" w:cstheme="majorBidi"/>
          <w:sz w:val="24"/>
          <w:szCs w:val="24"/>
        </w:rPr>
      </w:pPr>
      <w:r w:rsidRPr="00D74626">
        <w:rPr>
          <w:rFonts w:asciiTheme="majorBidi" w:hAnsiTheme="majorBidi" w:cstheme="majorBidi"/>
          <w:sz w:val="24"/>
          <w:szCs w:val="24"/>
        </w:rPr>
        <w:t xml:space="preserve">This study follows a quantitative research design to analyze the impact of Green Human Resource Management practices on </w:t>
      </w:r>
      <w:r w:rsidR="0060253D" w:rsidRPr="00D74626">
        <w:rPr>
          <w:rFonts w:asciiTheme="majorBidi" w:hAnsiTheme="majorBidi" w:cstheme="majorBidi"/>
          <w:sz w:val="24"/>
          <w:szCs w:val="24"/>
        </w:rPr>
        <w:t>Talent Retention</w:t>
      </w:r>
      <w:r w:rsidRPr="00D74626">
        <w:rPr>
          <w:rFonts w:asciiTheme="majorBidi" w:hAnsiTheme="majorBidi" w:cstheme="majorBidi"/>
          <w:sz w:val="24"/>
          <w:szCs w:val="24"/>
        </w:rPr>
        <w:t xml:space="preserve"> in higher education institutions in Karachi. The research adopts a post-positivist approach, recognizing that while absolute truth may not always be achievable, systematic investigation can reveal meaningful patterns and relationships. Using a deductive approach, the study examines existing theories through hypotheses that will be either supported or rejected based on empirical evidence. Data collection occurs through structured surveys distributed to faculty and staff members, employing a single-method quantitative strategy for efficient data gathering. The study uses a cross-sectional approach, collecting all data at one specific time point.</w:t>
      </w:r>
      <w:r w:rsidR="004C723E" w:rsidRPr="00D74626">
        <w:rPr>
          <w:rFonts w:asciiTheme="majorBidi" w:hAnsiTheme="majorBidi" w:cstheme="majorBidi"/>
          <w:sz w:val="24"/>
          <w:szCs w:val="24"/>
        </w:rPr>
        <w:t xml:space="preserve"> </w:t>
      </w:r>
      <w:r w:rsidRPr="00D74626">
        <w:rPr>
          <w:rFonts w:asciiTheme="majorBidi" w:hAnsiTheme="majorBidi" w:cstheme="majorBidi"/>
          <w:sz w:val="24"/>
          <w:szCs w:val="24"/>
        </w:rPr>
        <w:t xml:space="preserve">For sampling, the study implements a multistage random selection process to ensure reliable results while exploring connections between environmentally sustainable workplace practices and </w:t>
      </w:r>
      <w:r w:rsidR="0060253D" w:rsidRPr="00D74626">
        <w:rPr>
          <w:rFonts w:asciiTheme="majorBidi" w:hAnsiTheme="majorBidi" w:cstheme="majorBidi"/>
          <w:sz w:val="24"/>
          <w:szCs w:val="24"/>
        </w:rPr>
        <w:t>Talent Retention</w:t>
      </w:r>
      <w:r w:rsidRPr="00D74626">
        <w:rPr>
          <w:rFonts w:asciiTheme="majorBidi" w:hAnsiTheme="majorBidi" w:cstheme="majorBidi"/>
          <w:sz w:val="24"/>
          <w:szCs w:val="24"/>
        </w:rPr>
        <w:t xml:space="preserve">, with self-efficacy acting as a moderating factor. Surveys serve as the primary data collection tool due to their effectiveness in gathering large amounts of information efficiently. The research focuses on faculty and administrative staff working in Karachi's universities, with an estimated total population of 20,466 individuals after accounting for annual growth. With a 95 percent confidence level and 5 percent margin of error, the required sample size calculates to 378 completed questionnaires. </w:t>
      </w:r>
      <w:r w:rsidR="004C723E" w:rsidRPr="00D74626">
        <w:rPr>
          <w:rFonts w:asciiTheme="majorBidi" w:hAnsiTheme="majorBidi" w:cstheme="majorBidi"/>
          <w:sz w:val="24"/>
          <w:szCs w:val="24"/>
        </w:rPr>
        <w:t xml:space="preserve"> </w:t>
      </w:r>
      <w:r w:rsidRPr="00D74626">
        <w:rPr>
          <w:rFonts w:asciiTheme="majorBidi" w:hAnsiTheme="majorBidi" w:cstheme="majorBidi"/>
          <w:sz w:val="24"/>
          <w:szCs w:val="24"/>
        </w:rPr>
        <w:t xml:space="preserve">Eight higher education institutions were selected through systematic random sampling from the 30 functioning universities listed on the Sindh Higher Education Commission website. The selection process began with a randomly chosen starting point, then selected every fourth institution thereafter to ensure unbiased representation. Each participating university contributed approximately 48 completed surveys, distributed proportionally among their various academic departments based on department size. </w:t>
      </w:r>
      <w:r w:rsidR="004C723E" w:rsidRPr="00D74626">
        <w:rPr>
          <w:rFonts w:asciiTheme="majorBidi" w:hAnsiTheme="majorBidi" w:cstheme="majorBidi"/>
          <w:sz w:val="24"/>
          <w:szCs w:val="24"/>
        </w:rPr>
        <w:t xml:space="preserve"> </w:t>
      </w:r>
      <w:r w:rsidRPr="00D74626">
        <w:rPr>
          <w:rFonts w:asciiTheme="majorBidi" w:hAnsiTheme="majorBidi" w:cstheme="majorBidi"/>
          <w:sz w:val="24"/>
          <w:szCs w:val="24"/>
        </w:rPr>
        <w:t xml:space="preserve">Data collection occurred through electronic messaging platforms, with designated contacts at each institution helping distribute surveys to potential respondents. This approach provided convenient access to the target population. For data analysis, the study employed Partial Least Squares Structural Equation </w:t>
      </w:r>
      <w:r w:rsidRPr="00D74626">
        <w:rPr>
          <w:rFonts w:asciiTheme="majorBidi" w:hAnsiTheme="majorBidi" w:cstheme="majorBidi"/>
          <w:sz w:val="24"/>
          <w:szCs w:val="24"/>
        </w:rPr>
        <w:lastRenderedPageBreak/>
        <w:t xml:space="preserve">Modeling, a statistical method particularly suitable for studies with smaller sample sizes that examines complex relationships between multiple variables. This analytical approach assessed both direct relationships between sustainable hiring/learning practices and </w:t>
      </w:r>
      <w:r w:rsidR="0060253D" w:rsidRPr="00D74626">
        <w:rPr>
          <w:rFonts w:asciiTheme="majorBidi" w:hAnsiTheme="majorBidi" w:cstheme="majorBidi"/>
          <w:sz w:val="24"/>
          <w:szCs w:val="24"/>
        </w:rPr>
        <w:t>Talent Retention</w:t>
      </w:r>
      <w:r w:rsidRPr="00D74626">
        <w:rPr>
          <w:rFonts w:asciiTheme="majorBidi" w:hAnsiTheme="majorBidi" w:cstheme="majorBidi"/>
          <w:sz w:val="24"/>
          <w:szCs w:val="24"/>
        </w:rPr>
        <w:t>, along with the moderating influence of self-efficacy.</w:t>
      </w:r>
    </w:p>
    <w:p w14:paraId="442732C2" w14:textId="2785D33C" w:rsidR="001C1979" w:rsidRPr="00D74626" w:rsidRDefault="001769B8" w:rsidP="00D74626">
      <w:pPr>
        <w:spacing w:line="360" w:lineRule="auto"/>
        <w:rPr>
          <w:rFonts w:asciiTheme="majorBidi" w:hAnsiTheme="majorBidi" w:cstheme="majorBidi"/>
          <w:b/>
          <w:bCs/>
          <w:sz w:val="24"/>
          <w:szCs w:val="24"/>
        </w:rPr>
      </w:pPr>
      <w:r w:rsidRPr="00D74626">
        <w:rPr>
          <w:rFonts w:asciiTheme="majorBidi" w:hAnsiTheme="majorBidi" w:cstheme="majorBidi"/>
          <w:b/>
          <w:bCs/>
          <w:sz w:val="24"/>
          <w:szCs w:val="24"/>
        </w:rPr>
        <w:t xml:space="preserve">Ethical Consideration </w:t>
      </w:r>
    </w:p>
    <w:p w14:paraId="3584E5A4" w14:textId="5291E763" w:rsidR="001769B8" w:rsidRPr="00D74626" w:rsidRDefault="001769B8" w:rsidP="00D74626">
      <w:pPr>
        <w:spacing w:line="360" w:lineRule="auto"/>
        <w:rPr>
          <w:rFonts w:asciiTheme="majorBidi" w:hAnsiTheme="majorBidi" w:cstheme="majorBidi"/>
          <w:sz w:val="24"/>
          <w:szCs w:val="24"/>
        </w:rPr>
      </w:pPr>
      <w:r w:rsidRPr="00D74626">
        <w:rPr>
          <w:rFonts w:asciiTheme="majorBidi" w:hAnsiTheme="majorBidi" w:cstheme="majorBidi"/>
          <w:sz w:val="24"/>
          <w:szCs w:val="24"/>
        </w:rPr>
        <w:t>All participants received clear information about the study's purpose and their rights through an informed consent statement included at the survey's beginning. Researchers emphasized that involvement was completely voluntary, with no negative consequences for choosing not to participate, and participants could withdraw at any time before submitting their responses. The study implemented strict confidentiality measures through data anonymization, ensuring no individual responses could be linked to specific participants. Careful review of all survey items by language experts helped prevent any potential psychological, social, or emotional discomfort, guaranteeing the research posed no risks to participants. Researchers maintained transparency throughout the process while respecting participants' autonomy and privacy.</w:t>
      </w:r>
    </w:p>
    <w:p w14:paraId="53CF8173" w14:textId="30D65DF5" w:rsidR="00B643F8" w:rsidRPr="00D74626" w:rsidRDefault="00B643F8" w:rsidP="00D74626">
      <w:pPr>
        <w:pStyle w:val="Heading2"/>
        <w:spacing w:line="360" w:lineRule="auto"/>
        <w:rPr>
          <w:rFonts w:asciiTheme="majorBidi" w:hAnsiTheme="majorBidi"/>
          <w:b/>
          <w:bCs/>
          <w:color w:val="auto"/>
          <w:sz w:val="28"/>
          <w:szCs w:val="28"/>
        </w:rPr>
      </w:pPr>
      <w:r w:rsidRPr="00D74626">
        <w:rPr>
          <w:rFonts w:asciiTheme="majorBidi" w:hAnsiTheme="majorBidi"/>
          <w:b/>
          <w:bCs/>
          <w:color w:val="auto"/>
          <w:sz w:val="28"/>
          <w:szCs w:val="28"/>
        </w:rPr>
        <w:t xml:space="preserve">Data </w:t>
      </w:r>
      <w:r w:rsidR="009E3FE1" w:rsidRPr="00D74626">
        <w:rPr>
          <w:rFonts w:asciiTheme="majorBidi" w:hAnsiTheme="majorBidi"/>
          <w:b/>
          <w:bCs/>
          <w:color w:val="auto"/>
          <w:sz w:val="28"/>
          <w:szCs w:val="28"/>
        </w:rPr>
        <w:t>A</w:t>
      </w:r>
      <w:r w:rsidRPr="00D74626">
        <w:rPr>
          <w:rFonts w:asciiTheme="majorBidi" w:hAnsiTheme="majorBidi"/>
          <w:b/>
          <w:bCs/>
          <w:color w:val="auto"/>
          <w:sz w:val="28"/>
          <w:szCs w:val="28"/>
        </w:rPr>
        <w:t>nalyses</w:t>
      </w:r>
      <w:bookmarkEnd w:id="3"/>
    </w:p>
    <w:p w14:paraId="154F37EA" w14:textId="77777777" w:rsidR="00D63DCA" w:rsidRPr="00D74626" w:rsidRDefault="00D63DCA" w:rsidP="00D74626">
      <w:pPr>
        <w:spacing w:line="360" w:lineRule="auto"/>
        <w:rPr>
          <w:rFonts w:asciiTheme="majorBidi" w:hAnsiTheme="majorBidi" w:cstheme="majorBidi"/>
          <w:sz w:val="24"/>
          <w:szCs w:val="24"/>
        </w:rPr>
      </w:pPr>
      <w:r w:rsidRPr="00D74626">
        <w:rPr>
          <w:rFonts w:asciiTheme="majorBidi" w:hAnsiTheme="majorBidi" w:cstheme="majorBidi"/>
          <w:sz w:val="24"/>
          <w:szCs w:val="24"/>
        </w:rPr>
        <w:t xml:space="preserve">4.1 Descriptive Analyses </w:t>
      </w:r>
    </w:p>
    <w:p w14:paraId="56471CB6" w14:textId="77777777" w:rsidR="00D63DCA" w:rsidRPr="00D74626" w:rsidRDefault="00D63DCA" w:rsidP="00D74626">
      <w:pPr>
        <w:autoSpaceDE w:val="0"/>
        <w:autoSpaceDN w:val="0"/>
        <w:adjustRightInd w:val="0"/>
        <w:spacing w:after="0" w:line="360" w:lineRule="auto"/>
        <w:rPr>
          <w:rFonts w:asciiTheme="majorBidi" w:hAnsiTheme="majorBidi" w:cstheme="majorBidi"/>
          <w:sz w:val="24"/>
          <w:szCs w:val="24"/>
        </w:rPr>
      </w:pPr>
      <w:r w:rsidRPr="00D74626">
        <w:rPr>
          <w:rFonts w:asciiTheme="majorBidi" w:hAnsiTheme="majorBidi" w:cstheme="majorBidi"/>
          <w:sz w:val="24"/>
          <w:szCs w:val="24"/>
        </w:rPr>
        <w:t>1.</w:t>
      </w:r>
    </w:p>
    <w:p w14:paraId="01256330" w14:textId="77777777" w:rsidR="00D63DCA" w:rsidRPr="00D74626" w:rsidRDefault="00D63DCA" w:rsidP="00D74626">
      <w:pPr>
        <w:autoSpaceDE w:val="0"/>
        <w:autoSpaceDN w:val="0"/>
        <w:adjustRightInd w:val="0"/>
        <w:spacing w:after="0" w:line="360" w:lineRule="auto"/>
        <w:rPr>
          <w:rFonts w:asciiTheme="majorBidi" w:hAnsiTheme="majorBidi" w:cstheme="majorBidi"/>
          <w:sz w:val="24"/>
          <w:szCs w:val="24"/>
        </w:rPr>
      </w:pPr>
    </w:p>
    <w:tbl>
      <w:tblPr>
        <w:tblW w:w="4757"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3"/>
        <w:gridCol w:w="949"/>
        <w:gridCol w:w="1025"/>
        <w:gridCol w:w="1025"/>
        <w:gridCol w:w="1025"/>
      </w:tblGrid>
      <w:tr w:rsidR="00D63DCA" w:rsidRPr="00D74626" w14:paraId="43404B58" w14:textId="77777777" w:rsidTr="00C25062">
        <w:trPr>
          <w:cantSplit/>
        </w:trPr>
        <w:tc>
          <w:tcPr>
            <w:tcW w:w="4754" w:type="dxa"/>
            <w:gridSpan w:val="5"/>
            <w:shd w:val="clear" w:color="auto" w:fill="auto"/>
            <w:vAlign w:val="center"/>
          </w:tcPr>
          <w:p w14:paraId="125ADF96" w14:textId="77777777" w:rsidR="00D63DCA" w:rsidRPr="00D74626" w:rsidRDefault="00D63DCA" w:rsidP="00D74626">
            <w:pPr>
              <w:autoSpaceDE w:val="0"/>
              <w:autoSpaceDN w:val="0"/>
              <w:adjustRightInd w:val="0"/>
              <w:spacing w:after="0" w:line="360" w:lineRule="auto"/>
              <w:ind w:left="60" w:right="60"/>
              <w:jc w:val="center"/>
              <w:rPr>
                <w:rFonts w:asciiTheme="majorBidi" w:hAnsiTheme="majorBidi" w:cstheme="majorBidi"/>
                <w:color w:val="010205"/>
              </w:rPr>
            </w:pPr>
            <w:r w:rsidRPr="00D74626">
              <w:rPr>
                <w:rFonts w:asciiTheme="majorBidi" w:hAnsiTheme="majorBidi" w:cstheme="majorBidi"/>
                <w:b/>
                <w:bCs/>
                <w:color w:val="010205"/>
              </w:rPr>
              <w:t>Statistics</w:t>
            </w:r>
          </w:p>
        </w:tc>
      </w:tr>
      <w:tr w:rsidR="00D63DCA" w:rsidRPr="00D74626" w14:paraId="48B664DB" w14:textId="77777777" w:rsidTr="00C25062">
        <w:trPr>
          <w:cantSplit/>
        </w:trPr>
        <w:tc>
          <w:tcPr>
            <w:tcW w:w="1682" w:type="dxa"/>
            <w:gridSpan w:val="2"/>
            <w:shd w:val="clear" w:color="auto" w:fill="auto"/>
            <w:vAlign w:val="bottom"/>
          </w:tcPr>
          <w:p w14:paraId="149749BF" w14:textId="77777777" w:rsidR="00D63DCA" w:rsidRPr="00D74626" w:rsidRDefault="00D63DCA" w:rsidP="00D74626">
            <w:pPr>
              <w:autoSpaceDE w:val="0"/>
              <w:autoSpaceDN w:val="0"/>
              <w:adjustRightInd w:val="0"/>
              <w:spacing w:after="0" w:line="360" w:lineRule="auto"/>
              <w:rPr>
                <w:rFonts w:asciiTheme="majorBidi" w:hAnsiTheme="majorBidi" w:cstheme="majorBidi"/>
                <w:sz w:val="24"/>
                <w:szCs w:val="24"/>
              </w:rPr>
            </w:pPr>
          </w:p>
        </w:tc>
        <w:tc>
          <w:tcPr>
            <w:tcW w:w="1024" w:type="dxa"/>
            <w:shd w:val="clear" w:color="auto" w:fill="auto"/>
            <w:vAlign w:val="bottom"/>
          </w:tcPr>
          <w:p w14:paraId="0AF4ED38" w14:textId="77777777" w:rsidR="00D63DCA" w:rsidRPr="00D74626" w:rsidRDefault="00D63DCA" w:rsidP="00D74626">
            <w:pPr>
              <w:autoSpaceDE w:val="0"/>
              <w:autoSpaceDN w:val="0"/>
              <w:adjustRightInd w:val="0"/>
              <w:spacing w:after="0" w:line="360" w:lineRule="auto"/>
              <w:ind w:left="60" w:right="60"/>
              <w:jc w:val="center"/>
              <w:rPr>
                <w:rFonts w:asciiTheme="majorBidi" w:hAnsiTheme="majorBidi" w:cstheme="majorBidi"/>
                <w:color w:val="264A60"/>
                <w:sz w:val="18"/>
                <w:szCs w:val="18"/>
              </w:rPr>
            </w:pPr>
            <w:r w:rsidRPr="00D74626">
              <w:rPr>
                <w:rFonts w:asciiTheme="majorBidi" w:hAnsiTheme="majorBidi" w:cstheme="majorBidi"/>
                <w:color w:val="264A60"/>
                <w:sz w:val="18"/>
                <w:szCs w:val="18"/>
              </w:rPr>
              <w:t>Gender</w:t>
            </w:r>
          </w:p>
        </w:tc>
        <w:tc>
          <w:tcPr>
            <w:tcW w:w="1024" w:type="dxa"/>
            <w:shd w:val="clear" w:color="auto" w:fill="auto"/>
            <w:vAlign w:val="bottom"/>
          </w:tcPr>
          <w:p w14:paraId="713D4619" w14:textId="77777777" w:rsidR="00D63DCA" w:rsidRPr="00D74626" w:rsidRDefault="00D63DCA" w:rsidP="00D74626">
            <w:pPr>
              <w:autoSpaceDE w:val="0"/>
              <w:autoSpaceDN w:val="0"/>
              <w:adjustRightInd w:val="0"/>
              <w:spacing w:after="0" w:line="360" w:lineRule="auto"/>
              <w:ind w:left="60" w:right="60"/>
              <w:jc w:val="center"/>
              <w:rPr>
                <w:rFonts w:asciiTheme="majorBidi" w:hAnsiTheme="majorBidi" w:cstheme="majorBidi"/>
                <w:color w:val="264A60"/>
                <w:sz w:val="18"/>
                <w:szCs w:val="18"/>
              </w:rPr>
            </w:pPr>
            <w:r w:rsidRPr="00D74626">
              <w:rPr>
                <w:rFonts w:asciiTheme="majorBidi" w:hAnsiTheme="majorBidi" w:cstheme="majorBidi"/>
                <w:color w:val="264A60"/>
                <w:sz w:val="18"/>
                <w:szCs w:val="18"/>
              </w:rPr>
              <w:t>Age</w:t>
            </w:r>
          </w:p>
        </w:tc>
        <w:tc>
          <w:tcPr>
            <w:tcW w:w="1024" w:type="dxa"/>
            <w:shd w:val="clear" w:color="auto" w:fill="auto"/>
            <w:vAlign w:val="bottom"/>
          </w:tcPr>
          <w:p w14:paraId="56B7153B" w14:textId="77777777" w:rsidR="00D63DCA" w:rsidRPr="00D74626" w:rsidRDefault="00D63DCA" w:rsidP="00D74626">
            <w:pPr>
              <w:autoSpaceDE w:val="0"/>
              <w:autoSpaceDN w:val="0"/>
              <w:adjustRightInd w:val="0"/>
              <w:spacing w:after="0" w:line="360" w:lineRule="auto"/>
              <w:ind w:left="60" w:right="60"/>
              <w:jc w:val="center"/>
              <w:rPr>
                <w:rFonts w:asciiTheme="majorBidi" w:hAnsiTheme="majorBidi" w:cstheme="majorBidi"/>
                <w:color w:val="264A60"/>
                <w:sz w:val="18"/>
                <w:szCs w:val="18"/>
              </w:rPr>
            </w:pPr>
            <w:r w:rsidRPr="00D74626">
              <w:rPr>
                <w:rFonts w:asciiTheme="majorBidi" w:hAnsiTheme="majorBidi" w:cstheme="majorBidi"/>
                <w:color w:val="264A60"/>
                <w:sz w:val="18"/>
                <w:szCs w:val="18"/>
              </w:rPr>
              <w:t>Cadre</w:t>
            </w:r>
          </w:p>
        </w:tc>
      </w:tr>
      <w:tr w:rsidR="00D63DCA" w:rsidRPr="00D74626" w14:paraId="2AF4F742" w14:textId="77777777" w:rsidTr="00C25062">
        <w:trPr>
          <w:cantSplit/>
        </w:trPr>
        <w:tc>
          <w:tcPr>
            <w:tcW w:w="734" w:type="dxa"/>
            <w:vMerge w:val="restart"/>
            <w:shd w:val="clear" w:color="auto" w:fill="auto"/>
          </w:tcPr>
          <w:p w14:paraId="1847F908" w14:textId="77777777" w:rsidR="00D63DCA" w:rsidRPr="00D74626" w:rsidRDefault="00D63DCA" w:rsidP="00D74626">
            <w:pPr>
              <w:autoSpaceDE w:val="0"/>
              <w:autoSpaceDN w:val="0"/>
              <w:adjustRightInd w:val="0"/>
              <w:spacing w:after="0" w:line="360" w:lineRule="auto"/>
              <w:ind w:left="60" w:right="60"/>
              <w:rPr>
                <w:rFonts w:asciiTheme="majorBidi" w:hAnsiTheme="majorBidi" w:cstheme="majorBidi"/>
                <w:color w:val="264A60"/>
                <w:sz w:val="18"/>
                <w:szCs w:val="18"/>
              </w:rPr>
            </w:pPr>
            <w:r w:rsidRPr="00D74626">
              <w:rPr>
                <w:rFonts w:asciiTheme="majorBidi" w:hAnsiTheme="majorBidi" w:cstheme="majorBidi"/>
                <w:color w:val="264A60"/>
                <w:sz w:val="18"/>
                <w:szCs w:val="18"/>
              </w:rPr>
              <w:t>N</w:t>
            </w:r>
          </w:p>
        </w:tc>
        <w:tc>
          <w:tcPr>
            <w:tcW w:w="948" w:type="dxa"/>
            <w:shd w:val="clear" w:color="auto" w:fill="auto"/>
          </w:tcPr>
          <w:p w14:paraId="1C2968B9" w14:textId="77777777" w:rsidR="00D63DCA" w:rsidRPr="00D74626" w:rsidRDefault="00D63DCA" w:rsidP="00D74626">
            <w:pPr>
              <w:autoSpaceDE w:val="0"/>
              <w:autoSpaceDN w:val="0"/>
              <w:adjustRightInd w:val="0"/>
              <w:spacing w:after="0" w:line="360" w:lineRule="auto"/>
              <w:ind w:left="60" w:right="60"/>
              <w:rPr>
                <w:rFonts w:asciiTheme="majorBidi" w:hAnsiTheme="majorBidi" w:cstheme="majorBidi"/>
                <w:color w:val="264A60"/>
                <w:sz w:val="18"/>
                <w:szCs w:val="18"/>
              </w:rPr>
            </w:pPr>
            <w:r w:rsidRPr="00D74626">
              <w:rPr>
                <w:rFonts w:asciiTheme="majorBidi" w:hAnsiTheme="majorBidi" w:cstheme="majorBidi"/>
                <w:color w:val="264A60"/>
                <w:sz w:val="18"/>
                <w:szCs w:val="18"/>
              </w:rPr>
              <w:t>Valid</w:t>
            </w:r>
          </w:p>
        </w:tc>
        <w:tc>
          <w:tcPr>
            <w:tcW w:w="1024" w:type="dxa"/>
            <w:shd w:val="clear" w:color="auto" w:fill="auto"/>
          </w:tcPr>
          <w:p w14:paraId="7BA33940"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color w:val="010205"/>
                <w:sz w:val="18"/>
                <w:szCs w:val="18"/>
              </w:rPr>
            </w:pPr>
            <w:r w:rsidRPr="00D74626">
              <w:rPr>
                <w:rFonts w:asciiTheme="majorBidi" w:hAnsiTheme="majorBidi" w:cstheme="majorBidi"/>
                <w:color w:val="010205"/>
                <w:sz w:val="18"/>
                <w:szCs w:val="18"/>
              </w:rPr>
              <w:t>339</w:t>
            </w:r>
          </w:p>
        </w:tc>
        <w:tc>
          <w:tcPr>
            <w:tcW w:w="1024" w:type="dxa"/>
            <w:shd w:val="clear" w:color="auto" w:fill="auto"/>
          </w:tcPr>
          <w:p w14:paraId="3FD8475C"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color w:val="010205"/>
                <w:sz w:val="18"/>
                <w:szCs w:val="18"/>
              </w:rPr>
            </w:pPr>
            <w:r w:rsidRPr="00D74626">
              <w:rPr>
                <w:rFonts w:asciiTheme="majorBidi" w:hAnsiTheme="majorBidi" w:cstheme="majorBidi"/>
                <w:color w:val="010205"/>
                <w:sz w:val="18"/>
                <w:szCs w:val="18"/>
              </w:rPr>
              <w:t>339</w:t>
            </w:r>
          </w:p>
        </w:tc>
        <w:tc>
          <w:tcPr>
            <w:tcW w:w="1024" w:type="dxa"/>
            <w:shd w:val="clear" w:color="auto" w:fill="auto"/>
          </w:tcPr>
          <w:p w14:paraId="673658AE"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color w:val="010205"/>
                <w:sz w:val="18"/>
                <w:szCs w:val="18"/>
              </w:rPr>
            </w:pPr>
            <w:r w:rsidRPr="00D74626">
              <w:rPr>
                <w:rFonts w:asciiTheme="majorBidi" w:hAnsiTheme="majorBidi" w:cstheme="majorBidi"/>
                <w:color w:val="010205"/>
                <w:sz w:val="18"/>
                <w:szCs w:val="18"/>
              </w:rPr>
              <w:t>339</w:t>
            </w:r>
          </w:p>
        </w:tc>
      </w:tr>
      <w:tr w:rsidR="00D63DCA" w:rsidRPr="00D74626" w14:paraId="084B5C0D" w14:textId="77777777" w:rsidTr="00C25062">
        <w:trPr>
          <w:cantSplit/>
        </w:trPr>
        <w:tc>
          <w:tcPr>
            <w:tcW w:w="734" w:type="dxa"/>
            <w:vMerge/>
            <w:shd w:val="clear" w:color="auto" w:fill="auto"/>
          </w:tcPr>
          <w:p w14:paraId="12BE75F9" w14:textId="77777777" w:rsidR="00D63DCA" w:rsidRPr="00D74626" w:rsidRDefault="00D63DCA" w:rsidP="00D74626">
            <w:pPr>
              <w:autoSpaceDE w:val="0"/>
              <w:autoSpaceDN w:val="0"/>
              <w:adjustRightInd w:val="0"/>
              <w:spacing w:after="0" w:line="360" w:lineRule="auto"/>
              <w:rPr>
                <w:rFonts w:asciiTheme="majorBidi" w:hAnsiTheme="majorBidi" w:cstheme="majorBidi"/>
                <w:color w:val="010205"/>
                <w:sz w:val="18"/>
                <w:szCs w:val="18"/>
              </w:rPr>
            </w:pPr>
          </w:p>
        </w:tc>
        <w:tc>
          <w:tcPr>
            <w:tcW w:w="948" w:type="dxa"/>
            <w:shd w:val="clear" w:color="auto" w:fill="auto"/>
          </w:tcPr>
          <w:p w14:paraId="2FC08083" w14:textId="77777777" w:rsidR="00D63DCA" w:rsidRPr="00D74626" w:rsidRDefault="00D63DCA" w:rsidP="00D74626">
            <w:pPr>
              <w:autoSpaceDE w:val="0"/>
              <w:autoSpaceDN w:val="0"/>
              <w:adjustRightInd w:val="0"/>
              <w:spacing w:after="0" w:line="360" w:lineRule="auto"/>
              <w:ind w:left="60" w:right="60"/>
              <w:rPr>
                <w:rFonts w:asciiTheme="majorBidi" w:hAnsiTheme="majorBidi" w:cstheme="majorBidi"/>
                <w:color w:val="264A60"/>
                <w:sz w:val="18"/>
                <w:szCs w:val="18"/>
              </w:rPr>
            </w:pPr>
            <w:r w:rsidRPr="00D74626">
              <w:rPr>
                <w:rFonts w:asciiTheme="majorBidi" w:hAnsiTheme="majorBidi" w:cstheme="majorBidi"/>
                <w:color w:val="264A60"/>
                <w:sz w:val="18"/>
                <w:szCs w:val="18"/>
              </w:rPr>
              <w:t>Missing</w:t>
            </w:r>
          </w:p>
        </w:tc>
        <w:tc>
          <w:tcPr>
            <w:tcW w:w="1024" w:type="dxa"/>
            <w:shd w:val="clear" w:color="auto" w:fill="auto"/>
          </w:tcPr>
          <w:p w14:paraId="070EFE21"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color w:val="010205"/>
                <w:sz w:val="18"/>
                <w:szCs w:val="18"/>
              </w:rPr>
            </w:pPr>
            <w:r w:rsidRPr="00D74626">
              <w:rPr>
                <w:rFonts w:asciiTheme="majorBidi" w:hAnsiTheme="majorBidi" w:cstheme="majorBidi"/>
                <w:color w:val="010205"/>
                <w:sz w:val="18"/>
                <w:szCs w:val="18"/>
              </w:rPr>
              <w:t>0</w:t>
            </w:r>
          </w:p>
        </w:tc>
        <w:tc>
          <w:tcPr>
            <w:tcW w:w="1024" w:type="dxa"/>
            <w:shd w:val="clear" w:color="auto" w:fill="auto"/>
          </w:tcPr>
          <w:p w14:paraId="6537F7FA"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color w:val="010205"/>
                <w:sz w:val="18"/>
                <w:szCs w:val="18"/>
              </w:rPr>
            </w:pPr>
            <w:r w:rsidRPr="00D74626">
              <w:rPr>
                <w:rFonts w:asciiTheme="majorBidi" w:hAnsiTheme="majorBidi" w:cstheme="majorBidi"/>
                <w:color w:val="010205"/>
                <w:sz w:val="18"/>
                <w:szCs w:val="18"/>
              </w:rPr>
              <w:t>0</w:t>
            </w:r>
          </w:p>
        </w:tc>
        <w:tc>
          <w:tcPr>
            <w:tcW w:w="1024" w:type="dxa"/>
            <w:shd w:val="clear" w:color="auto" w:fill="auto"/>
          </w:tcPr>
          <w:p w14:paraId="2F31104E"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color w:val="010205"/>
                <w:sz w:val="18"/>
                <w:szCs w:val="18"/>
              </w:rPr>
            </w:pPr>
            <w:r w:rsidRPr="00D74626">
              <w:rPr>
                <w:rFonts w:asciiTheme="majorBidi" w:hAnsiTheme="majorBidi" w:cstheme="majorBidi"/>
                <w:color w:val="010205"/>
                <w:sz w:val="18"/>
                <w:szCs w:val="18"/>
              </w:rPr>
              <w:t>0</w:t>
            </w:r>
          </w:p>
        </w:tc>
      </w:tr>
    </w:tbl>
    <w:p w14:paraId="4E171EC9" w14:textId="77777777" w:rsidR="00D63DCA" w:rsidRPr="00D74626" w:rsidRDefault="00D63DCA" w:rsidP="00D74626">
      <w:pPr>
        <w:autoSpaceDE w:val="0"/>
        <w:autoSpaceDN w:val="0"/>
        <w:adjustRightInd w:val="0"/>
        <w:spacing w:after="0" w:line="360" w:lineRule="auto"/>
        <w:rPr>
          <w:rFonts w:asciiTheme="majorBidi" w:hAnsiTheme="majorBidi" w:cstheme="majorBidi"/>
          <w:sz w:val="24"/>
          <w:szCs w:val="24"/>
        </w:rPr>
      </w:pPr>
    </w:p>
    <w:p w14:paraId="6804EA78" w14:textId="13A911A6" w:rsidR="00D63DCA" w:rsidRPr="00D74626" w:rsidRDefault="00D63DCA" w:rsidP="00D74626">
      <w:pPr>
        <w:spacing w:line="360" w:lineRule="auto"/>
        <w:rPr>
          <w:rFonts w:asciiTheme="majorBidi" w:hAnsiTheme="majorBidi" w:cstheme="majorBidi"/>
          <w:b/>
          <w:bCs/>
        </w:rPr>
      </w:pPr>
      <w:r w:rsidRPr="00D74626">
        <w:rPr>
          <w:rFonts w:asciiTheme="majorBidi" w:hAnsiTheme="majorBidi" w:cstheme="majorBidi"/>
          <w:b/>
          <w:bCs/>
        </w:rPr>
        <w:t>2. Gender</w:t>
      </w:r>
      <w:r w:rsidR="00837028" w:rsidRPr="00D74626">
        <w:rPr>
          <w:rFonts w:asciiTheme="majorBidi" w:hAnsiTheme="majorBidi" w:cstheme="majorBidi"/>
          <w:b/>
          <w:bCs/>
        </w:rPr>
        <w:t xml:space="preserve"> wise distribution of respondents. </w:t>
      </w:r>
    </w:p>
    <w:p w14:paraId="1FA3FB8D" w14:textId="77777777" w:rsidR="00D63DCA" w:rsidRPr="00D74626" w:rsidRDefault="00D63DCA" w:rsidP="00D74626">
      <w:pPr>
        <w:pBdr>
          <w:between w:val="single" w:sz="4" w:space="1" w:color="auto"/>
        </w:pBdr>
        <w:autoSpaceDE w:val="0"/>
        <w:autoSpaceDN w:val="0"/>
        <w:adjustRightInd w:val="0"/>
        <w:spacing w:after="0" w:line="360" w:lineRule="auto"/>
        <w:rPr>
          <w:rFonts w:asciiTheme="majorBidi" w:hAnsiTheme="majorBidi" w:cstheme="majorBidi"/>
          <w:sz w:val="24"/>
          <w:szCs w:val="24"/>
        </w:rPr>
      </w:pPr>
    </w:p>
    <w:tbl>
      <w:tblPr>
        <w:tblW w:w="7419"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4"/>
        <w:gridCol w:w="1637"/>
        <w:gridCol w:w="1162"/>
        <w:gridCol w:w="1024"/>
        <w:gridCol w:w="1393"/>
        <w:gridCol w:w="1469"/>
      </w:tblGrid>
      <w:tr w:rsidR="00D63DCA" w:rsidRPr="00D74626" w14:paraId="02EC1C7B" w14:textId="77777777" w:rsidTr="00C25062">
        <w:trPr>
          <w:cantSplit/>
        </w:trPr>
        <w:tc>
          <w:tcPr>
            <w:tcW w:w="2371" w:type="dxa"/>
            <w:gridSpan w:val="2"/>
            <w:shd w:val="clear" w:color="auto" w:fill="auto"/>
            <w:vAlign w:val="bottom"/>
          </w:tcPr>
          <w:p w14:paraId="70F610A9" w14:textId="77777777" w:rsidR="00D63DCA" w:rsidRPr="00D74626" w:rsidRDefault="00D63DCA" w:rsidP="00D74626">
            <w:pPr>
              <w:pBdr>
                <w:between w:val="single" w:sz="4" w:space="1" w:color="auto"/>
              </w:pBdr>
              <w:autoSpaceDE w:val="0"/>
              <w:autoSpaceDN w:val="0"/>
              <w:adjustRightInd w:val="0"/>
              <w:spacing w:after="0" w:line="360" w:lineRule="auto"/>
              <w:rPr>
                <w:rFonts w:asciiTheme="majorBidi" w:hAnsiTheme="majorBidi" w:cstheme="majorBidi"/>
                <w:b/>
                <w:bCs/>
                <w:sz w:val="24"/>
                <w:szCs w:val="24"/>
              </w:rPr>
            </w:pPr>
          </w:p>
        </w:tc>
        <w:tc>
          <w:tcPr>
            <w:tcW w:w="1162" w:type="dxa"/>
            <w:shd w:val="clear" w:color="auto" w:fill="auto"/>
            <w:vAlign w:val="bottom"/>
          </w:tcPr>
          <w:p w14:paraId="2AEA0554" w14:textId="77777777" w:rsidR="00D63DCA" w:rsidRPr="00D74626" w:rsidRDefault="00D63DCA" w:rsidP="00D74626">
            <w:pPr>
              <w:pBdr>
                <w:between w:val="single" w:sz="4" w:space="1" w:color="auto"/>
              </w:pBdr>
              <w:autoSpaceDE w:val="0"/>
              <w:autoSpaceDN w:val="0"/>
              <w:adjustRightInd w:val="0"/>
              <w:spacing w:after="0" w:line="360" w:lineRule="auto"/>
              <w:ind w:left="60" w:right="60"/>
              <w:jc w:val="center"/>
              <w:rPr>
                <w:rFonts w:asciiTheme="majorBidi" w:hAnsiTheme="majorBidi" w:cstheme="majorBidi"/>
                <w:b/>
                <w:bCs/>
                <w:sz w:val="18"/>
                <w:szCs w:val="18"/>
              </w:rPr>
            </w:pPr>
            <w:r w:rsidRPr="00D74626">
              <w:rPr>
                <w:rFonts w:asciiTheme="majorBidi" w:hAnsiTheme="majorBidi" w:cstheme="majorBidi"/>
                <w:b/>
                <w:bCs/>
                <w:sz w:val="18"/>
                <w:szCs w:val="18"/>
              </w:rPr>
              <w:t>Frequency</w:t>
            </w:r>
          </w:p>
        </w:tc>
        <w:tc>
          <w:tcPr>
            <w:tcW w:w="1024" w:type="dxa"/>
            <w:shd w:val="clear" w:color="auto" w:fill="auto"/>
            <w:vAlign w:val="bottom"/>
          </w:tcPr>
          <w:p w14:paraId="6EDB2A93" w14:textId="77777777" w:rsidR="00D63DCA" w:rsidRPr="00D74626" w:rsidRDefault="00D63DCA" w:rsidP="00D74626">
            <w:pPr>
              <w:pBdr>
                <w:between w:val="single" w:sz="4" w:space="1" w:color="auto"/>
              </w:pBdr>
              <w:autoSpaceDE w:val="0"/>
              <w:autoSpaceDN w:val="0"/>
              <w:adjustRightInd w:val="0"/>
              <w:spacing w:after="0" w:line="360" w:lineRule="auto"/>
              <w:ind w:left="60" w:right="60"/>
              <w:jc w:val="center"/>
              <w:rPr>
                <w:rFonts w:asciiTheme="majorBidi" w:hAnsiTheme="majorBidi" w:cstheme="majorBidi"/>
                <w:b/>
                <w:bCs/>
                <w:sz w:val="18"/>
                <w:szCs w:val="18"/>
              </w:rPr>
            </w:pPr>
            <w:r w:rsidRPr="00D74626">
              <w:rPr>
                <w:rFonts w:asciiTheme="majorBidi" w:hAnsiTheme="majorBidi" w:cstheme="majorBidi"/>
                <w:b/>
                <w:bCs/>
                <w:sz w:val="18"/>
                <w:szCs w:val="18"/>
              </w:rPr>
              <w:t>Percent</w:t>
            </w:r>
          </w:p>
        </w:tc>
        <w:tc>
          <w:tcPr>
            <w:tcW w:w="1393" w:type="dxa"/>
            <w:shd w:val="clear" w:color="auto" w:fill="auto"/>
            <w:vAlign w:val="bottom"/>
          </w:tcPr>
          <w:p w14:paraId="68FD390B" w14:textId="77777777" w:rsidR="00D63DCA" w:rsidRPr="00D74626" w:rsidRDefault="00D63DCA" w:rsidP="00D74626">
            <w:pPr>
              <w:pBdr>
                <w:between w:val="single" w:sz="4" w:space="1" w:color="auto"/>
              </w:pBdr>
              <w:autoSpaceDE w:val="0"/>
              <w:autoSpaceDN w:val="0"/>
              <w:adjustRightInd w:val="0"/>
              <w:spacing w:after="0" w:line="360" w:lineRule="auto"/>
              <w:ind w:left="60" w:right="60"/>
              <w:jc w:val="center"/>
              <w:rPr>
                <w:rFonts w:asciiTheme="majorBidi" w:hAnsiTheme="majorBidi" w:cstheme="majorBidi"/>
                <w:b/>
                <w:bCs/>
                <w:sz w:val="18"/>
                <w:szCs w:val="18"/>
              </w:rPr>
            </w:pPr>
            <w:r w:rsidRPr="00D74626">
              <w:rPr>
                <w:rFonts w:asciiTheme="majorBidi" w:hAnsiTheme="majorBidi" w:cstheme="majorBidi"/>
                <w:b/>
                <w:bCs/>
                <w:sz w:val="18"/>
                <w:szCs w:val="18"/>
              </w:rPr>
              <w:t>Valid Percent</w:t>
            </w:r>
          </w:p>
        </w:tc>
        <w:tc>
          <w:tcPr>
            <w:tcW w:w="1469" w:type="dxa"/>
            <w:shd w:val="clear" w:color="auto" w:fill="auto"/>
            <w:vAlign w:val="bottom"/>
          </w:tcPr>
          <w:p w14:paraId="55824DB6" w14:textId="77777777" w:rsidR="00D63DCA" w:rsidRPr="00D74626" w:rsidRDefault="00D63DCA" w:rsidP="00D74626">
            <w:pPr>
              <w:pBdr>
                <w:between w:val="single" w:sz="4" w:space="1" w:color="auto"/>
              </w:pBdr>
              <w:autoSpaceDE w:val="0"/>
              <w:autoSpaceDN w:val="0"/>
              <w:adjustRightInd w:val="0"/>
              <w:spacing w:after="0" w:line="360" w:lineRule="auto"/>
              <w:ind w:left="60" w:right="60"/>
              <w:jc w:val="center"/>
              <w:rPr>
                <w:rFonts w:asciiTheme="majorBidi" w:hAnsiTheme="majorBidi" w:cstheme="majorBidi"/>
                <w:b/>
                <w:bCs/>
                <w:sz w:val="18"/>
                <w:szCs w:val="18"/>
              </w:rPr>
            </w:pPr>
            <w:r w:rsidRPr="00D74626">
              <w:rPr>
                <w:rFonts w:asciiTheme="majorBidi" w:hAnsiTheme="majorBidi" w:cstheme="majorBidi"/>
                <w:b/>
                <w:bCs/>
                <w:sz w:val="18"/>
                <w:szCs w:val="18"/>
              </w:rPr>
              <w:t>Cumulative Percent</w:t>
            </w:r>
          </w:p>
        </w:tc>
      </w:tr>
      <w:tr w:rsidR="00D63DCA" w:rsidRPr="00D74626" w14:paraId="66FCA662" w14:textId="77777777" w:rsidTr="00C25062">
        <w:trPr>
          <w:cantSplit/>
        </w:trPr>
        <w:tc>
          <w:tcPr>
            <w:tcW w:w="734" w:type="dxa"/>
            <w:vMerge w:val="restart"/>
            <w:shd w:val="clear" w:color="auto" w:fill="auto"/>
          </w:tcPr>
          <w:p w14:paraId="370D5A99" w14:textId="77777777" w:rsidR="00D63DCA" w:rsidRPr="00D74626" w:rsidRDefault="00D63DCA" w:rsidP="00D74626">
            <w:pPr>
              <w:pBdr>
                <w:between w:val="single" w:sz="4" w:space="1" w:color="auto"/>
              </w:pBdr>
              <w:autoSpaceDE w:val="0"/>
              <w:autoSpaceDN w:val="0"/>
              <w:adjustRightInd w:val="0"/>
              <w:spacing w:after="0" w:line="360" w:lineRule="auto"/>
              <w:ind w:left="60" w:right="60"/>
              <w:rPr>
                <w:rFonts w:asciiTheme="majorBidi" w:hAnsiTheme="majorBidi" w:cstheme="majorBidi"/>
                <w:sz w:val="18"/>
                <w:szCs w:val="18"/>
              </w:rPr>
            </w:pPr>
            <w:r w:rsidRPr="00D74626">
              <w:rPr>
                <w:rFonts w:asciiTheme="majorBidi" w:hAnsiTheme="majorBidi" w:cstheme="majorBidi"/>
                <w:sz w:val="18"/>
                <w:szCs w:val="18"/>
              </w:rPr>
              <w:t>Valid</w:t>
            </w:r>
          </w:p>
        </w:tc>
        <w:tc>
          <w:tcPr>
            <w:tcW w:w="1637" w:type="dxa"/>
            <w:shd w:val="clear" w:color="auto" w:fill="auto"/>
          </w:tcPr>
          <w:p w14:paraId="1659771A" w14:textId="77777777" w:rsidR="00D63DCA" w:rsidRPr="00D74626" w:rsidRDefault="00D63DCA" w:rsidP="00D74626">
            <w:pPr>
              <w:pBdr>
                <w:between w:val="single" w:sz="4" w:space="1" w:color="auto"/>
              </w:pBdr>
              <w:autoSpaceDE w:val="0"/>
              <w:autoSpaceDN w:val="0"/>
              <w:adjustRightInd w:val="0"/>
              <w:spacing w:after="0" w:line="360" w:lineRule="auto"/>
              <w:ind w:left="60" w:right="60"/>
              <w:rPr>
                <w:rFonts w:asciiTheme="majorBidi" w:hAnsiTheme="majorBidi" w:cstheme="majorBidi"/>
                <w:sz w:val="18"/>
                <w:szCs w:val="18"/>
              </w:rPr>
            </w:pPr>
            <w:r w:rsidRPr="00D74626">
              <w:rPr>
                <w:rFonts w:asciiTheme="majorBidi" w:hAnsiTheme="majorBidi" w:cstheme="majorBidi"/>
                <w:sz w:val="18"/>
                <w:szCs w:val="18"/>
              </w:rPr>
              <w:t>Female</w:t>
            </w:r>
          </w:p>
        </w:tc>
        <w:tc>
          <w:tcPr>
            <w:tcW w:w="1162" w:type="dxa"/>
            <w:shd w:val="clear" w:color="auto" w:fill="auto"/>
          </w:tcPr>
          <w:p w14:paraId="013AF0EC" w14:textId="77777777" w:rsidR="00D63DCA" w:rsidRPr="00D74626" w:rsidRDefault="00D63DCA" w:rsidP="00D74626">
            <w:pPr>
              <w:pBdr>
                <w:between w:val="single" w:sz="4" w:space="1" w:color="auto"/>
              </w:pBd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147</w:t>
            </w:r>
          </w:p>
        </w:tc>
        <w:tc>
          <w:tcPr>
            <w:tcW w:w="1024" w:type="dxa"/>
            <w:shd w:val="clear" w:color="auto" w:fill="auto"/>
          </w:tcPr>
          <w:p w14:paraId="4D39445B" w14:textId="77777777" w:rsidR="00D63DCA" w:rsidRPr="00D74626" w:rsidRDefault="00D63DCA" w:rsidP="00D74626">
            <w:pPr>
              <w:pBdr>
                <w:between w:val="single" w:sz="4" w:space="1" w:color="auto"/>
              </w:pBd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43.4</w:t>
            </w:r>
          </w:p>
        </w:tc>
        <w:tc>
          <w:tcPr>
            <w:tcW w:w="1393" w:type="dxa"/>
            <w:shd w:val="clear" w:color="auto" w:fill="auto"/>
          </w:tcPr>
          <w:p w14:paraId="290040DC" w14:textId="77777777" w:rsidR="00D63DCA" w:rsidRPr="00D74626" w:rsidRDefault="00D63DCA" w:rsidP="00D74626">
            <w:pPr>
              <w:pBdr>
                <w:between w:val="single" w:sz="4" w:space="1" w:color="auto"/>
              </w:pBd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43.4</w:t>
            </w:r>
          </w:p>
        </w:tc>
        <w:tc>
          <w:tcPr>
            <w:tcW w:w="1469" w:type="dxa"/>
            <w:shd w:val="clear" w:color="auto" w:fill="auto"/>
          </w:tcPr>
          <w:p w14:paraId="09C50926" w14:textId="77777777" w:rsidR="00D63DCA" w:rsidRPr="00D74626" w:rsidRDefault="00D63DCA" w:rsidP="00D74626">
            <w:pPr>
              <w:pBdr>
                <w:between w:val="single" w:sz="4" w:space="1" w:color="auto"/>
              </w:pBd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43.4</w:t>
            </w:r>
          </w:p>
        </w:tc>
      </w:tr>
      <w:tr w:rsidR="00D63DCA" w:rsidRPr="00D74626" w14:paraId="32073D50" w14:textId="77777777" w:rsidTr="00C25062">
        <w:trPr>
          <w:cantSplit/>
        </w:trPr>
        <w:tc>
          <w:tcPr>
            <w:tcW w:w="734" w:type="dxa"/>
            <w:vMerge/>
            <w:shd w:val="clear" w:color="auto" w:fill="auto"/>
          </w:tcPr>
          <w:p w14:paraId="0587E48F" w14:textId="77777777" w:rsidR="00D63DCA" w:rsidRPr="00D74626" w:rsidRDefault="00D63DCA" w:rsidP="00D74626">
            <w:pPr>
              <w:pBdr>
                <w:between w:val="single" w:sz="4" w:space="1" w:color="auto"/>
              </w:pBdr>
              <w:autoSpaceDE w:val="0"/>
              <w:autoSpaceDN w:val="0"/>
              <w:adjustRightInd w:val="0"/>
              <w:spacing w:after="0" w:line="360" w:lineRule="auto"/>
              <w:rPr>
                <w:rFonts w:asciiTheme="majorBidi" w:hAnsiTheme="majorBidi" w:cstheme="majorBidi"/>
                <w:sz w:val="18"/>
                <w:szCs w:val="18"/>
              </w:rPr>
            </w:pPr>
          </w:p>
        </w:tc>
        <w:tc>
          <w:tcPr>
            <w:tcW w:w="1637" w:type="dxa"/>
            <w:shd w:val="clear" w:color="auto" w:fill="auto"/>
          </w:tcPr>
          <w:p w14:paraId="4957E517" w14:textId="77777777" w:rsidR="00D63DCA" w:rsidRPr="00D74626" w:rsidRDefault="00D63DCA" w:rsidP="00D74626">
            <w:pPr>
              <w:pBdr>
                <w:between w:val="single" w:sz="4" w:space="1" w:color="auto"/>
              </w:pBdr>
              <w:autoSpaceDE w:val="0"/>
              <w:autoSpaceDN w:val="0"/>
              <w:adjustRightInd w:val="0"/>
              <w:spacing w:after="0" w:line="360" w:lineRule="auto"/>
              <w:ind w:left="60" w:right="60"/>
              <w:rPr>
                <w:rFonts w:asciiTheme="majorBidi" w:hAnsiTheme="majorBidi" w:cstheme="majorBidi"/>
                <w:sz w:val="18"/>
                <w:szCs w:val="18"/>
              </w:rPr>
            </w:pPr>
            <w:r w:rsidRPr="00D74626">
              <w:rPr>
                <w:rFonts w:asciiTheme="majorBidi" w:hAnsiTheme="majorBidi" w:cstheme="majorBidi"/>
                <w:sz w:val="18"/>
                <w:szCs w:val="18"/>
              </w:rPr>
              <w:t>Male</w:t>
            </w:r>
          </w:p>
        </w:tc>
        <w:tc>
          <w:tcPr>
            <w:tcW w:w="1162" w:type="dxa"/>
            <w:shd w:val="clear" w:color="auto" w:fill="auto"/>
          </w:tcPr>
          <w:p w14:paraId="4BFC8476" w14:textId="77777777" w:rsidR="00D63DCA" w:rsidRPr="00D74626" w:rsidRDefault="00D63DCA" w:rsidP="00D74626">
            <w:pPr>
              <w:pBdr>
                <w:between w:val="single" w:sz="4" w:space="1" w:color="auto"/>
              </w:pBd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190</w:t>
            </w:r>
          </w:p>
        </w:tc>
        <w:tc>
          <w:tcPr>
            <w:tcW w:w="1024" w:type="dxa"/>
            <w:shd w:val="clear" w:color="auto" w:fill="auto"/>
          </w:tcPr>
          <w:p w14:paraId="31728C4B" w14:textId="77777777" w:rsidR="00D63DCA" w:rsidRPr="00D74626" w:rsidRDefault="00D63DCA" w:rsidP="00D74626">
            <w:pPr>
              <w:pBdr>
                <w:between w:val="single" w:sz="4" w:space="1" w:color="auto"/>
              </w:pBd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56.0</w:t>
            </w:r>
          </w:p>
        </w:tc>
        <w:tc>
          <w:tcPr>
            <w:tcW w:w="1393" w:type="dxa"/>
            <w:shd w:val="clear" w:color="auto" w:fill="auto"/>
          </w:tcPr>
          <w:p w14:paraId="127CE287" w14:textId="77777777" w:rsidR="00D63DCA" w:rsidRPr="00D74626" w:rsidRDefault="00D63DCA" w:rsidP="00D74626">
            <w:pPr>
              <w:pBdr>
                <w:between w:val="single" w:sz="4" w:space="1" w:color="auto"/>
              </w:pBd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56.0</w:t>
            </w:r>
          </w:p>
        </w:tc>
        <w:tc>
          <w:tcPr>
            <w:tcW w:w="1469" w:type="dxa"/>
            <w:shd w:val="clear" w:color="auto" w:fill="auto"/>
          </w:tcPr>
          <w:p w14:paraId="5C0B213E" w14:textId="77777777" w:rsidR="00D63DCA" w:rsidRPr="00D74626" w:rsidRDefault="00D63DCA" w:rsidP="00D74626">
            <w:pPr>
              <w:pBdr>
                <w:between w:val="single" w:sz="4" w:space="1" w:color="auto"/>
              </w:pBd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99.4</w:t>
            </w:r>
          </w:p>
        </w:tc>
      </w:tr>
      <w:tr w:rsidR="00D63DCA" w:rsidRPr="00D74626" w14:paraId="1928915B" w14:textId="77777777" w:rsidTr="00C25062">
        <w:trPr>
          <w:cantSplit/>
        </w:trPr>
        <w:tc>
          <w:tcPr>
            <w:tcW w:w="734" w:type="dxa"/>
            <w:vMerge/>
            <w:shd w:val="clear" w:color="auto" w:fill="auto"/>
          </w:tcPr>
          <w:p w14:paraId="5AC7EE38" w14:textId="77777777" w:rsidR="00D63DCA" w:rsidRPr="00D74626" w:rsidRDefault="00D63DCA" w:rsidP="00D74626">
            <w:pPr>
              <w:pBdr>
                <w:between w:val="single" w:sz="4" w:space="1" w:color="auto"/>
              </w:pBdr>
              <w:autoSpaceDE w:val="0"/>
              <w:autoSpaceDN w:val="0"/>
              <w:adjustRightInd w:val="0"/>
              <w:spacing w:after="0" w:line="360" w:lineRule="auto"/>
              <w:rPr>
                <w:rFonts w:asciiTheme="majorBidi" w:hAnsiTheme="majorBidi" w:cstheme="majorBidi"/>
                <w:sz w:val="18"/>
                <w:szCs w:val="18"/>
              </w:rPr>
            </w:pPr>
          </w:p>
        </w:tc>
        <w:tc>
          <w:tcPr>
            <w:tcW w:w="1637" w:type="dxa"/>
            <w:shd w:val="clear" w:color="auto" w:fill="auto"/>
          </w:tcPr>
          <w:p w14:paraId="430AB11C" w14:textId="77777777" w:rsidR="00D63DCA" w:rsidRPr="00D74626" w:rsidRDefault="00D63DCA" w:rsidP="00D74626">
            <w:pPr>
              <w:pBdr>
                <w:between w:val="single" w:sz="4" w:space="1" w:color="auto"/>
              </w:pBdr>
              <w:autoSpaceDE w:val="0"/>
              <w:autoSpaceDN w:val="0"/>
              <w:adjustRightInd w:val="0"/>
              <w:spacing w:after="0" w:line="360" w:lineRule="auto"/>
              <w:ind w:left="60" w:right="60"/>
              <w:rPr>
                <w:rFonts w:asciiTheme="majorBidi" w:hAnsiTheme="majorBidi" w:cstheme="majorBidi"/>
                <w:sz w:val="18"/>
                <w:szCs w:val="18"/>
              </w:rPr>
            </w:pPr>
            <w:r w:rsidRPr="00D74626">
              <w:rPr>
                <w:rFonts w:asciiTheme="majorBidi" w:hAnsiTheme="majorBidi" w:cstheme="majorBidi"/>
                <w:sz w:val="18"/>
                <w:szCs w:val="18"/>
              </w:rPr>
              <w:t>Prefer not to say</w:t>
            </w:r>
          </w:p>
        </w:tc>
        <w:tc>
          <w:tcPr>
            <w:tcW w:w="1162" w:type="dxa"/>
            <w:shd w:val="clear" w:color="auto" w:fill="auto"/>
          </w:tcPr>
          <w:p w14:paraId="0C39660D" w14:textId="77777777" w:rsidR="00D63DCA" w:rsidRPr="00D74626" w:rsidRDefault="00D63DCA" w:rsidP="00D74626">
            <w:pPr>
              <w:pBdr>
                <w:between w:val="single" w:sz="4" w:space="1" w:color="auto"/>
              </w:pBd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2</w:t>
            </w:r>
          </w:p>
        </w:tc>
        <w:tc>
          <w:tcPr>
            <w:tcW w:w="1024" w:type="dxa"/>
            <w:shd w:val="clear" w:color="auto" w:fill="auto"/>
          </w:tcPr>
          <w:p w14:paraId="110CC343" w14:textId="77777777" w:rsidR="00D63DCA" w:rsidRPr="00D74626" w:rsidRDefault="00D63DCA" w:rsidP="00D74626">
            <w:pPr>
              <w:pBdr>
                <w:between w:val="single" w:sz="4" w:space="1" w:color="auto"/>
              </w:pBd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.6</w:t>
            </w:r>
          </w:p>
        </w:tc>
        <w:tc>
          <w:tcPr>
            <w:tcW w:w="1393" w:type="dxa"/>
            <w:shd w:val="clear" w:color="auto" w:fill="auto"/>
          </w:tcPr>
          <w:p w14:paraId="31ABA035" w14:textId="77777777" w:rsidR="00D63DCA" w:rsidRPr="00D74626" w:rsidRDefault="00D63DCA" w:rsidP="00D74626">
            <w:pPr>
              <w:pBdr>
                <w:between w:val="single" w:sz="4" w:space="1" w:color="auto"/>
              </w:pBd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.6</w:t>
            </w:r>
          </w:p>
        </w:tc>
        <w:tc>
          <w:tcPr>
            <w:tcW w:w="1469" w:type="dxa"/>
            <w:shd w:val="clear" w:color="auto" w:fill="auto"/>
          </w:tcPr>
          <w:p w14:paraId="202DD3F1" w14:textId="77777777" w:rsidR="00D63DCA" w:rsidRPr="00D74626" w:rsidRDefault="00D63DCA" w:rsidP="00D74626">
            <w:pPr>
              <w:pBdr>
                <w:between w:val="single" w:sz="4" w:space="1" w:color="auto"/>
              </w:pBd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100.0</w:t>
            </w:r>
          </w:p>
        </w:tc>
      </w:tr>
      <w:tr w:rsidR="00D63DCA" w:rsidRPr="00D74626" w14:paraId="247E7EFE" w14:textId="77777777" w:rsidTr="00C25062">
        <w:trPr>
          <w:cantSplit/>
        </w:trPr>
        <w:tc>
          <w:tcPr>
            <w:tcW w:w="734" w:type="dxa"/>
            <w:vMerge/>
            <w:shd w:val="clear" w:color="auto" w:fill="auto"/>
          </w:tcPr>
          <w:p w14:paraId="445D0A81" w14:textId="77777777" w:rsidR="00D63DCA" w:rsidRPr="00D74626" w:rsidRDefault="00D63DCA" w:rsidP="00D74626">
            <w:pPr>
              <w:pBdr>
                <w:between w:val="single" w:sz="4" w:space="1" w:color="auto"/>
              </w:pBdr>
              <w:autoSpaceDE w:val="0"/>
              <w:autoSpaceDN w:val="0"/>
              <w:adjustRightInd w:val="0"/>
              <w:spacing w:after="0" w:line="360" w:lineRule="auto"/>
              <w:rPr>
                <w:rFonts w:asciiTheme="majorBidi" w:hAnsiTheme="majorBidi" w:cstheme="majorBidi"/>
                <w:sz w:val="18"/>
                <w:szCs w:val="18"/>
              </w:rPr>
            </w:pPr>
          </w:p>
        </w:tc>
        <w:tc>
          <w:tcPr>
            <w:tcW w:w="1637" w:type="dxa"/>
            <w:shd w:val="clear" w:color="auto" w:fill="auto"/>
          </w:tcPr>
          <w:p w14:paraId="4068C46A" w14:textId="77777777" w:rsidR="00D63DCA" w:rsidRPr="00D74626" w:rsidRDefault="00D63DCA" w:rsidP="00D74626">
            <w:pPr>
              <w:pBdr>
                <w:between w:val="single" w:sz="4" w:space="1" w:color="auto"/>
              </w:pBdr>
              <w:autoSpaceDE w:val="0"/>
              <w:autoSpaceDN w:val="0"/>
              <w:adjustRightInd w:val="0"/>
              <w:spacing w:after="0" w:line="360" w:lineRule="auto"/>
              <w:ind w:left="60" w:right="60"/>
              <w:rPr>
                <w:rFonts w:asciiTheme="majorBidi" w:hAnsiTheme="majorBidi" w:cstheme="majorBidi"/>
                <w:sz w:val="18"/>
                <w:szCs w:val="18"/>
              </w:rPr>
            </w:pPr>
            <w:r w:rsidRPr="00D74626">
              <w:rPr>
                <w:rFonts w:asciiTheme="majorBidi" w:hAnsiTheme="majorBidi" w:cstheme="majorBidi"/>
                <w:sz w:val="18"/>
                <w:szCs w:val="18"/>
              </w:rPr>
              <w:t>Total</w:t>
            </w:r>
          </w:p>
        </w:tc>
        <w:tc>
          <w:tcPr>
            <w:tcW w:w="1162" w:type="dxa"/>
            <w:shd w:val="clear" w:color="auto" w:fill="auto"/>
          </w:tcPr>
          <w:p w14:paraId="0E43F046" w14:textId="77777777" w:rsidR="00D63DCA" w:rsidRPr="00D74626" w:rsidRDefault="00D63DCA" w:rsidP="00D74626">
            <w:pPr>
              <w:pBdr>
                <w:between w:val="single" w:sz="4" w:space="1" w:color="auto"/>
              </w:pBd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339</w:t>
            </w:r>
          </w:p>
        </w:tc>
        <w:tc>
          <w:tcPr>
            <w:tcW w:w="1024" w:type="dxa"/>
            <w:shd w:val="clear" w:color="auto" w:fill="auto"/>
          </w:tcPr>
          <w:p w14:paraId="5F657822" w14:textId="77777777" w:rsidR="00D63DCA" w:rsidRPr="00D74626" w:rsidRDefault="00D63DCA" w:rsidP="00D74626">
            <w:pPr>
              <w:pBdr>
                <w:between w:val="single" w:sz="4" w:space="1" w:color="auto"/>
              </w:pBd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100.0</w:t>
            </w:r>
          </w:p>
        </w:tc>
        <w:tc>
          <w:tcPr>
            <w:tcW w:w="1393" w:type="dxa"/>
            <w:shd w:val="clear" w:color="auto" w:fill="auto"/>
          </w:tcPr>
          <w:p w14:paraId="52BE8DDC" w14:textId="77777777" w:rsidR="00D63DCA" w:rsidRPr="00D74626" w:rsidRDefault="00D63DCA" w:rsidP="00D74626">
            <w:pPr>
              <w:pBdr>
                <w:between w:val="single" w:sz="4" w:space="1" w:color="auto"/>
              </w:pBd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100.0</w:t>
            </w:r>
          </w:p>
        </w:tc>
        <w:tc>
          <w:tcPr>
            <w:tcW w:w="1469" w:type="dxa"/>
            <w:shd w:val="clear" w:color="auto" w:fill="auto"/>
            <w:vAlign w:val="center"/>
          </w:tcPr>
          <w:p w14:paraId="73552522" w14:textId="77777777" w:rsidR="00D63DCA" w:rsidRPr="00D74626" w:rsidRDefault="00D63DCA" w:rsidP="00D74626">
            <w:pPr>
              <w:pBdr>
                <w:between w:val="single" w:sz="4" w:space="1" w:color="auto"/>
              </w:pBdr>
              <w:autoSpaceDE w:val="0"/>
              <w:autoSpaceDN w:val="0"/>
              <w:adjustRightInd w:val="0"/>
              <w:spacing w:after="0" w:line="360" w:lineRule="auto"/>
              <w:rPr>
                <w:rFonts w:asciiTheme="majorBidi" w:hAnsiTheme="majorBidi" w:cstheme="majorBidi"/>
                <w:sz w:val="24"/>
                <w:szCs w:val="24"/>
              </w:rPr>
            </w:pPr>
          </w:p>
        </w:tc>
      </w:tr>
    </w:tbl>
    <w:p w14:paraId="23DA90A5" w14:textId="77777777" w:rsidR="00D63DCA" w:rsidRPr="00D74626" w:rsidRDefault="00D63DCA" w:rsidP="00D74626">
      <w:pPr>
        <w:spacing w:line="360" w:lineRule="auto"/>
        <w:rPr>
          <w:rFonts w:asciiTheme="majorBidi" w:hAnsiTheme="majorBidi" w:cstheme="majorBidi"/>
        </w:rPr>
      </w:pPr>
    </w:p>
    <w:p w14:paraId="7BAB8290" w14:textId="67223D5F" w:rsidR="00D63DCA" w:rsidRPr="00D74626" w:rsidRDefault="00837028" w:rsidP="00D74626">
      <w:pPr>
        <w:spacing w:line="360" w:lineRule="auto"/>
        <w:rPr>
          <w:rFonts w:asciiTheme="majorBidi" w:hAnsiTheme="majorBidi" w:cstheme="majorBidi"/>
          <w:sz w:val="24"/>
          <w:szCs w:val="24"/>
        </w:rPr>
      </w:pPr>
      <w:r w:rsidRPr="00D74626">
        <w:rPr>
          <w:rFonts w:asciiTheme="majorBidi" w:hAnsiTheme="majorBidi" w:cstheme="majorBidi"/>
          <w:sz w:val="24"/>
          <w:szCs w:val="24"/>
          <w:shd w:val="clear" w:color="auto" w:fill="FFFFFF"/>
        </w:rPr>
        <w:t>Males represented the majority (56%), followed by females (43.4%), with minimal non-disclosure (0.6%) in the 339-participant sample.</w:t>
      </w:r>
    </w:p>
    <w:p w14:paraId="7DBCBF00" w14:textId="77777777" w:rsidR="00D63DCA" w:rsidRPr="00D74626" w:rsidRDefault="00D63DCA" w:rsidP="00D74626">
      <w:pPr>
        <w:pStyle w:val="NoSpacing"/>
        <w:spacing w:line="360" w:lineRule="auto"/>
        <w:rPr>
          <w:rFonts w:asciiTheme="majorBidi" w:hAnsiTheme="majorBidi" w:cstheme="majorBidi"/>
        </w:rPr>
      </w:pPr>
    </w:p>
    <w:p w14:paraId="4CF86A65" w14:textId="384DE133" w:rsidR="00D63DCA" w:rsidRPr="00D74626" w:rsidRDefault="00D63DCA" w:rsidP="00D74626">
      <w:pPr>
        <w:spacing w:line="360" w:lineRule="auto"/>
        <w:rPr>
          <w:rFonts w:asciiTheme="majorBidi" w:hAnsiTheme="majorBidi" w:cstheme="majorBidi"/>
          <w:b/>
          <w:bCs/>
        </w:rPr>
      </w:pPr>
      <w:r w:rsidRPr="00D74626">
        <w:rPr>
          <w:rFonts w:asciiTheme="majorBidi" w:hAnsiTheme="majorBidi" w:cstheme="majorBidi"/>
          <w:b/>
          <w:bCs/>
        </w:rPr>
        <w:t xml:space="preserve">3. Cadre </w:t>
      </w:r>
      <w:r w:rsidR="00A366E7" w:rsidRPr="00D74626">
        <w:rPr>
          <w:rFonts w:asciiTheme="majorBidi" w:hAnsiTheme="majorBidi" w:cstheme="majorBidi"/>
          <w:b/>
          <w:bCs/>
        </w:rPr>
        <w:t>wise distribution of respondents.</w:t>
      </w:r>
    </w:p>
    <w:tbl>
      <w:tblPr>
        <w:tblW w:w="82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48"/>
        <w:gridCol w:w="1162"/>
        <w:gridCol w:w="1024"/>
        <w:gridCol w:w="1392"/>
        <w:gridCol w:w="1469"/>
      </w:tblGrid>
      <w:tr w:rsidR="00D63DCA" w:rsidRPr="00D74626" w14:paraId="7179EA76" w14:textId="77777777" w:rsidTr="00C25062">
        <w:trPr>
          <w:cantSplit/>
        </w:trPr>
        <w:tc>
          <w:tcPr>
            <w:tcW w:w="3182" w:type="dxa"/>
            <w:gridSpan w:val="2"/>
            <w:tcBorders>
              <w:top w:val="single" w:sz="4" w:space="0" w:color="auto"/>
              <w:left w:val="nil"/>
              <w:bottom w:val="single" w:sz="4" w:space="0" w:color="auto"/>
              <w:right w:val="nil"/>
            </w:tcBorders>
            <w:shd w:val="clear" w:color="auto" w:fill="auto"/>
            <w:vAlign w:val="bottom"/>
          </w:tcPr>
          <w:p w14:paraId="71168738" w14:textId="77777777" w:rsidR="00D63DCA" w:rsidRPr="00D74626" w:rsidRDefault="00D63DCA" w:rsidP="00D74626">
            <w:pPr>
              <w:autoSpaceDE w:val="0"/>
              <w:autoSpaceDN w:val="0"/>
              <w:adjustRightInd w:val="0"/>
              <w:spacing w:after="0" w:line="360" w:lineRule="auto"/>
              <w:rPr>
                <w:rFonts w:asciiTheme="majorBidi" w:hAnsiTheme="majorBidi" w:cstheme="majorBidi"/>
                <w:b/>
                <w:bCs/>
                <w:sz w:val="24"/>
                <w:szCs w:val="24"/>
              </w:rPr>
            </w:pPr>
          </w:p>
        </w:tc>
        <w:tc>
          <w:tcPr>
            <w:tcW w:w="1162" w:type="dxa"/>
            <w:tcBorders>
              <w:top w:val="single" w:sz="4" w:space="0" w:color="auto"/>
              <w:left w:val="nil"/>
              <w:bottom w:val="single" w:sz="4" w:space="0" w:color="auto"/>
              <w:right w:val="nil"/>
            </w:tcBorders>
            <w:shd w:val="clear" w:color="auto" w:fill="auto"/>
            <w:vAlign w:val="bottom"/>
          </w:tcPr>
          <w:p w14:paraId="084E6A14" w14:textId="77777777" w:rsidR="00D63DCA" w:rsidRPr="00D74626" w:rsidRDefault="00D63DCA" w:rsidP="00D74626">
            <w:pPr>
              <w:autoSpaceDE w:val="0"/>
              <w:autoSpaceDN w:val="0"/>
              <w:adjustRightInd w:val="0"/>
              <w:spacing w:after="0" w:line="360" w:lineRule="auto"/>
              <w:ind w:left="60" w:right="60"/>
              <w:jc w:val="center"/>
              <w:rPr>
                <w:rFonts w:asciiTheme="majorBidi" w:hAnsiTheme="majorBidi" w:cstheme="majorBidi"/>
                <w:b/>
                <w:bCs/>
                <w:sz w:val="18"/>
                <w:szCs w:val="18"/>
              </w:rPr>
            </w:pPr>
            <w:r w:rsidRPr="00D74626">
              <w:rPr>
                <w:rFonts w:asciiTheme="majorBidi" w:hAnsiTheme="majorBidi" w:cstheme="majorBidi"/>
                <w:b/>
                <w:bCs/>
                <w:sz w:val="18"/>
                <w:szCs w:val="18"/>
              </w:rPr>
              <w:t>Frequency</w:t>
            </w:r>
          </w:p>
        </w:tc>
        <w:tc>
          <w:tcPr>
            <w:tcW w:w="1024" w:type="dxa"/>
            <w:tcBorders>
              <w:top w:val="single" w:sz="4" w:space="0" w:color="auto"/>
              <w:left w:val="nil"/>
              <w:bottom w:val="single" w:sz="4" w:space="0" w:color="auto"/>
              <w:right w:val="nil"/>
            </w:tcBorders>
            <w:shd w:val="clear" w:color="auto" w:fill="auto"/>
            <w:vAlign w:val="bottom"/>
          </w:tcPr>
          <w:p w14:paraId="4348491F" w14:textId="77777777" w:rsidR="00D63DCA" w:rsidRPr="00D74626" w:rsidRDefault="00D63DCA" w:rsidP="00D74626">
            <w:pPr>
              <w:autoSpaceDE w:val="0"/>
              <w:autoSpaceDN w:val="0"/>
              <w:adjustRightInd w:val="0"/>
              <w:spacing w:after="0" w:line="360" w:lineRule="auto"/>
              <w:ind w:left="60" w:right="60"/>
              <w:jc w:val="center"/>
              <w:rPr>
                <w:rFonts w:asciiTheme="majorBidi" w:hAnsiTheme="majorBidi" w:cstheme="majorBidi"/>
                <w:b/>
                <w:bCs/>
                <w:sz w:val="18"/>
                <w:szCs w:val="18"/>
              </w:rPr>
            </w:pPr>
            <w:r w:rsidRPr="00D74626">
              <w:rPr>
                <w:rFonts w:asciiTheme="majorBidi" w:hAnsiTheme="majorBidi" w:cstheme="majorBidi"/>
                <w:b/>
                <w:bCs/>
                <w:sz w:val="18"/>
                <w:szCs w:val="18"/>
              </w:rPr>
              <w:t>Percent</w:t>
            </w:r>
          </w:p>
        </w:tc>
        <w:tc>
          <w:tcPr>
            <w:tcW w:w="1392" w:type="dxa"/>
            <w:tcBorders>
              <w:top w:val="single" w:sz="4" w:space="0" w:color="auto"/>
              <w:left w:val="nil"/>
              <w:bottom w:val="single" w:sz="4" w:space="0" w:color="auto"/>
              <w:right w:val="nil"/>
            </w:tcBorders>
            <w:shd w:val="clear" w:color="auto" w:fill="auto"/>
            <w:vAlign w:val="bottom"/>
          </w:tcPr>
          <w:p w14:paraId="472A0B85" w14:textId="77777777" w:rsidR="00D63DCA" w:rsidRPr="00D74626" w:rsidRDefault="00D63DCA" w:rsidP="00D74626">
            <w:pPr>
              <w:autoSpaceDE w:val="0"/>
              <w:autoSpaceDN w:val="0"/>
              <w:adjustRightInd w:val="0"/>
              <w:spacing w:after="0" w:line="360" w:lineRule="auto"/>
              <w:ind w:left="60" w:right="60"/>
              <w:jc w:val="center"/>
              <w:rPr>
                <w:rFonts w:asciiTheme="majorBidi" w:hAnsiTheme="majorBidi" w:cstheme="majorBidi"/>
                <w:b/>
                <w:bCs/>
                <w:sz w:val="18"/>
                <w:szCs w:val="18"/>
              </w:rPr>
            </w:pPr>
            <w:r w:rsidRPr="00D74626">
              <w:rPr>
                <w:rFonts w:asciiTheme="majorBidi" w:hAnsiTheme="majorBidi" w:cstheme="majorBidi"/>
                <w:b/>
                <w:bCs/>
                <w:sz w:val="18"/>
                <w:szCs w:val="18"/>
              </w:rPr>
              <w:t>Valid Percent</w:t>
            </w:r>
          </w:p>
        </w:tc>
        <w:tc>
          <w:tcPr>
            <w:tcW w:w="1469" w:type="dxa"/>
            <w:tcBorders>
              <w:top w:val="single" w:sz="4" w:space="0" w:color="auto"/>
              <w:left w:val="nil"/>
              <w:bottom w:val="single" w:sz="4" w:space="0" w:color="auto"/>
              <w:right w:val="nil"/>
            </w:tcBorders>
            <w:shd w:val="clear" w:color="auto" w:fill="auto"/>
            <w:vAlign w:val="bottom"/>
          </w:tcPr>
          <w:p w14:paraId="3308BE51" w14:textId="77777777" w:rsidR="00D63DCA" w:rsidRPr="00D74626" w:rsidRDefault="00D63DCA" w:rsidP="00D74626">
            <w:pPr>
              <w:autoSpaceDE w:val="0"/>
              <w:autoSpaceDN w:val="0"/>
              <w:adjustRightInd w:val="0"/>
              <w:spacing w:after="0" w:line="360" w:lineRule="auto"/>
              <w:ind w:left="60" w:right="60"/>
              <w:jc w:val="center"/>
              <w:rPr>
                <w:rFonts w:asciiTheme="majorBidi" w:hAnsiTheme="majorBidi" w:cstheme="majorBidi"/>
                <w:b/>
                <w:bCs/>
                <w:sz w:val="18"/>
                <w:szCs w:val="18"/>
              </w:rPr>
            </w:pPr>
            <w:r w:rsidRPr="00D74626">
              <w:rPr>
                <w:rFonts w:asciiTheme="majorBidi" w:hAnsiTheme="majorBidi" w:cstheme="majorBidi"/>
                <w:b/>
                <w:bCs/>
                <w:sz w:val="18"/>
                <w:szCs w:val="18"/>
              </w:rPr>
              <w:t>Cumulative Percent</w:t>
            </w:r>
          </w:p>
        </w:tc>
      </w:tr>
      <w:tr w:rsidR="00D63DCA" w:rsidRPr="00D74626" w14:paraId="7443C67E" w14:textId="77777777" w:rsidTr="00C25062">
        <w:trPr>
          <w:cantSplit/>
        </w:trPr>
        <w:tc>
          <w:tcPr>
            <w:tcW w:w="734" w:type="dxa"/>
            <w:vMerge w:val="restart"/>
            <w:tcBorders>
              <w:top w:val="single" w:sz="4" w:space="0" w:color="auto"/>
              <w:left w:val="nil"/>
              <w:bottom w:val="single" w:sz="4" w:space="0" w:color="auto"/>
              <w:right w:val="nil"/>
            </w:tcBorders>
            <w:shd w:val="clear" w:color="auto" w:fill="auto"/>
          </w:tcPr>
          <w:p w14:paraId="6D24A42E" w14:textId="77777777" w:rsidR="00D63DCA" w:rsidRPr="00D74626" w:rsidRDefault="00D63DCA" w:rsidP="00D74626">
            <w:pPr>
              <w:autoSpaceDE w:val="0"/>
              <w:autoSpaceDN w:val="0"/>
              <w:adjustRightInd w:val="0"/>
              <w:spacing w:after="0" w:line="360" w:lineRule="auto"/>
              <w:ind w:left="60" w:right="60"/>
              <w:rPr>
                <w:rFonts w:asciiTheme="majorBidi" w:hAnsiTheme="majorBidi" w:cstheme="majorBidi"/>
                <w:sz w:val="18"/>
                <w:szCs w:val="18"/>
              </w:rPr>
            </w:pPr>
            <w:r w:rsidRPr="00D74626">
              <w:rPr>
                <w:rFonts w:asciiTheme="majorBidi" w:hAnsiTheme="majorBidi" w:cstheme="majorBidi"/>
                <w:sz w:val="18"/>
                <w:szCs w:val="18"/>
              </w:rPr>
              <w:t>Valid</w:t>
            </w:r>
          </w:p>
        </w:tc>
        <w:tc>
          <w:tcPr>
            <w:tcW w:w="2448" w:type="dxa"/>
            <w:tcBorders>
              <w:top w:val="single" w:sz="4" w:space="0" w:color="auto"/>
              <w:left w:val="nil"/>
              <w:bottom w:val="single" w:sz="4" w:space="0" w:color="auto"/>
              <w:right w:val="nil"/>
            </w:tcBorders>
            <w:shd w:val="clear" w:color="auto" w:fill="auto"/>
          </w:tcPr>
          <w:p w14:paraId="31BB6788" w14:textId="77777777" w:rsidR="00D63DCA" w:rsidRPr="00D74626" w:rsidRDefault="00D63DCA" w:rsidP="00D74626">
            <w:pPr>
              <w:autoSpaceDE w:val="0"/>
              <w:autoSpaceDN w:val="0"/>
              <w:adjustRightInd w:val="0"/>
              <w:spacing w:after="0" w:line="360" w:lineRule="auto"/>
              <w:ind w:left="60" w:right="60"/>
              <w:rPr>
                <w:rFonts w:asciiTheme="majorBidi" w:hAnsiTheme="majorBidi" w:cstheme="majorBidi"/>
                <w:sz w:val="18"/>
                <w:szCs w:val="18"/>
              </w:rPr>
            </w:pPr>
            <w:r w:rsidRPr="00D74626">
              <w:rPr>
                <w:rFonts w:asciiTheme="majorBidi" w:hAnsiTheme="majorBidi" w:cstheme="majorBidi"/>
                <w:sz w:val="18"/>
                <w:szCs w:val="18"/>
              </w:rPr>
              <w:t>Faculty Member</w:t>
            </w:r>
          </w:p>
        </w:tc>
        <w:tc>
          <w:tcPr>
            <w:tcW w:w="1162" w:type="dxa"/>
            <w:tcBorders>
              <w:top w:val="single" w:sz="4" w:space="0" w:color="auto"/>
              <w:left w:val="nil"/>
              <w:bottom w:val="single" w:sz="4" w:space="0" w:color="auto"/>
              <w:right w:val="nil"/>
            </w:tcBorders>
            <w:shd w:val="clear" w:color="auto" w:fill="auto"/>
          </w:tcPr>
          <w:p w14:paraId="7D7F98C1"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200</w:t>
            </w:r>
          </w:p>
        </w:tc>
        <w:tc>
          <w:tcPr>
            <w:tcW w:w="1024" w:type="dxa"/>
            <w:tcBorders>
              <w:top w:val="single" w:sz="4" w:space="0" w:color="auto"/>
              <w:left w:val="nil"/>
              <w:bottom w:val="single" w:sz="4" w:space="0" w:color="auto"/>
              <w:right w:val="nil"/>
            </w:tcBorders>
            <w:shd w:val="clear" w:color="auto" w:fill="auto"/>
          </w:tcPr>
          <w:p w14:paraId="231427D7"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59.0</w:t>
            </w:r>
          </w:p>
        </w:tc>
        <w:tc>
          <w:tcPr>
            <w:tcW w:w="1392" w:type="dxa"/>
            <w:tcBorders>
              <w:top w:val="single" w:sz="4" w:space="0" w:color="auto"/>
              <w:left w:val="nil"/>
              <w:bottom w:val="single" w:sz="4" w:space="0" w:color="auto"/>
              <w:right w:val="nil"/>
            </w:tcBorders>
            <w:shd w:val="clear" w:color="auto" w:fill="auto"/>
          </w:tcPr>
          <w:p w14:paraId="5749232B"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59.0</w:t>
            </w:r>
          </w:p>
        </w:tc>
        <w:tc>
          <w:tcPr>
            <w:tcW w:w="1469" w:type="dxa"/>
            <w:tcBorders>
              <w:top w:val="single" w:sz="4" w:space="0" w:color="auto"/>
              <w:left w:val="nil"/>
              <w:bottom w:val="single" w:sz="4" w:space="0" w:color="auto"/>
              <w:right w:val="nil"/>
            </w:tcBorders>
            <w:shd w:val="clear" w:color="auto" w:fill="auto"/>
          </w:tcPr>
          <w:p w14:paraId="2BD70E13"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59.0</w:t>
            </w:r>
          </w:p>
        </w:tc>
      </w:tr>
      <w:tr w:rsidR="00D63DCA" w:rsidRPr="00D74626" w14:paraId="4F9C035F" w14:textId="77777777" w:rsidTr="00C25062">
        <w:trPr>
          <w:cantSplit/>
        </w:trPr>
        <w:tc>
          <w:tcPr>
            <w:tcW w:w="734" w:type="dxa"/>
            <w:vMerge/>
            <w:tcBorders>
              <w:top w:val="single" w:sz="4" w:space="0" w:color="auto"/>
              <w:left w:val="nil"/>
              <w:bottom w:val="single" w:sz="4" w:space="0" w:color="auto"/>
              <w:right w:val="nil"/>
            </w:tcBorders>
            <w:shd w:val="clear" w:color="auto" w:fill="auto"/>
          </w:tcPr>
          <w:p w14:paraId="6722B693" w14:textId="77777777" w:rsidR="00D63DCA" w:rsidRPr="00D74626" w:rsidRDefault="00D63DCA" w:rsidP="00D74626">
            <w:pPr>
              <w:autoSpaceDE w:val="0"/>
              <w:autoSpaceDN w:val="0"/>
              <w:adjustRightInd w:val="0"/>
              <w:spacing w:after="0" w:line="360" w:lineRule="auto"/>
              <w:rPr>
                <w:rFonts w:asciiTheme="majorBidi" w:hAnsiTheme="majorBidi" w:cstheme="majorBidi"/>
                <w:sz w:val="18"/>
                <w:szCs w:val="18"/>
              </w:rPr>
            </w:pPr>
          </w:p>
        </w:tc>
        <w:tc>
          <w:tcPr>
            <w:tcW w:w="2448" w:type="dxa"/>
            <w:tcBorders>
              <w:top w:val="single" w:sz="4" w:space="0" w:color="auto"/>
              <w:left w:val="nil"/>
              <w:bottom w:val="single" w:sz="4" w:space="0" w:color="auto"/>
              <w:right w:val="nil"/>
            </w:tcBorders>
            <w:shd w:val="clear" w:color="auto" w:fill="auto"/>
          </w:tcPr>
          <w:p w14:paraId="39C30756" w14:textId="77777777" w:rsidR="00D63DCA" w:rsidRPr="00D74626" w:rsidRDefault="00D63DCA" w:rsidP="00D74626">
            <w:pPr>
              <w:autoSpaceDE w:val="0"/>
              <w:autoSpaceDN w:val="0"/>
              <w:adjustRightInd w:val="0"/>
              <w:spacing w:after="0" w:line="360" w:lineRule="auto"/>
              <w:ind w:left="60" w:right="60"/>
              <w:rPr>
                <w:rFonts w:asciiTheme="majorBidi" w:hAnsiTheme="majorBidi" w:cstheme="majorBidi"/>
                <w:sz w:val="18"/>
                <w:szCs w:val="18"/>
              </w:rPr>
            </w:pPr>
            <w:r w:rsidRPr="00D74626">
              <w:rPr>
                <w:rFonts w:asciiTheme="majorBidi" w:hAnsiTheme="majorBidi" w:cstheme="majorBidi"/>
                <w:sz w:val="18"/>
                <w:szCs w:val="18"/>
              </w:rPr>
              <w:t>Non-faculty Member / Admin Staff</w:t>
            </w:r>
          </w:p>
        </w:tc>
        <w:tc>
          <w:tcPr>
            <w:tcW w:w="1162" w:type="dxa"/>
            <w:tcBorders>
              <w:top w:val="single" w:sz="4" w:space="0" w:color="auto"/>
              <w:left w:val="nil"/>
              <w:bottom w:val="single" w:sz="4" w:space="0" w:color="auto"/>
              <w:right w:val="nil"/>
            </w:tcBorders>
            <w:shd w:val="clear" w:color="auto" w:fill="auto"/>
          </w:tcPr>
          <w:p w14:paraId="09FD313B"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139</w:t>
            </w:r>
          </w:p>
        </w:tc>
        <w:tc>
          <w:tcPr>
            <w:tcW w:w="1024" w:type="dxa"/>
            <w:tcBorders>
              <w:top w:val="single" w:sz="4" w:space="0" w:color="auto"/>
              <w:left w:val="nil"/>
              <w:bottom w:val="single" w:sz="4" w:space="0" w:color="auto"/>
              <w:right w:val="nil"/>
            </w:tcBorders>
            <w:shd w:val="clear" w:color="auto" w:fill="auto"/>
          </w:tcPr>
          <w:p w14:paraId="515666BF"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41.0</w:t>
            </w:r>
          </w:p>
        </w:tc>
        <w:tc>
          <w:tcPr>
            <w:tcW w:w="1392" w:type="dxa"/>
            <w:tcBorders>
              <w:top w:val="single" w:sz="4" w:space="0" w:color="auto"/>
              <w:left w:val="nil"/>
              <w:bottom w:val="single" w:sz="4" w:space="0" w:color="auto"/>
              <w:right w:val="nil"/>
            </w:tcBorders>
            <w:shd w:val="clear" w:color="auto" w:fill="auto"/>
          </w:tcPr>
          <w:p w14:paraId="7AB07DB5"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41.0</w:t>
            </w:r>
          </w:p>
        </w:tc>
        <w:tc>
          <w:tcPr>
            <w:tcW w:w="1469" w:type="dxa"/>
            <w:tcBorders>
              <w:top w:val="single" w:sz="4" w:space="0" w:color="auto"/>
              <w:left w:val="nil"/>
              <w:bottom w:val="single" w:sz="4" w:space="0" w:color="auto"/>
              <w:right w:val="nil"/>
            </w:tcBorders>
            <w:shd w:val="clear" w:color="auto" w:fill="auto"/>
          </w:tcPr>
          <w:p w14:paraId="5FD37E2A"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100.0</w:t>
            </w:r>
          </w:p>
        </w:tc>
      </w:tr>
      <w:tr w:rsidR="00D63DCA" w:rsidRPr="00D74626" w14:paraId="0C9E088C" w14:textId="77777777" w:rsidTr="00C25062">
        <w:trPr>
          <w:cantSplit/>
        </w:trPr>
        <w:tc>
          <w:tcPr>
            <w:tcW w:w="734" w:type="dxa"/>
            <w:vMerge/>
            <w:tcBorders>
              <w:top w:val="single" w:sz="4" w:space="0" w:color="auto"/>
              <w:left w:val="nil"/>
              <w:bottom w:val="single" w:sz="4" w:space="0" w:color="auto"/>
              <w:right w:val="nil"/>
            </w:tcBorders>
            <w:shd w:val="clear" w:color="auto" w:fill="auto"/>
          </w:tcPr>
          <w:p w14:paraId="2F3A45DB" w14:textId="77777777" w:rsidR="00D63DCA" w:rsidRPr="00D74626" w:rsidRDefault="00D63DCA" w:rsidP="00D74626">
            <w:pPr>
              <w:autoSpaceDE w:val="0"/>
              <w:autoSpaceDN w:val="0"/>
              <w:adjustRightInd w:val="0"/>
              <w:spacing w:after="0" w:line="360" w:lineRule="auto"/>
              <w:rPr>
                <w:rFonts w:asciiTheme="majorBidi" w:hAnsiTheme="majorBidi" w:cstheme="majorBidi"/>
                <w:sz w:val="18"/>
                <w:szCs w:val="18"/>
              </w:rPr>
            </w:pPr>
          </w:p>
        </w:tc>
        <w:tc>
          <w:tcPr>
            <w:tcW w:w="2448" w:type="dxa"/>
            <w:tcBorders>
              <w:top w:val="single" w:sz="4" w:space="0" w:color="auto"/>
              <w:left w:val="nil"/>
              <w:bottom w:val="single" w:sz="4" w:space="0" w:color="auto"/>
              <w:right w:val="nil"/>
            </w:tcBorders>
            <w:shd w:val="clear" w:color="auto" w:fill="auto"/>
          </w:tcPr>
          <w:p w14:paraId="69969D13" w14:textId="77777777" w:rsidR="00D63DCA" w:rsidRPr="00D74626" w:rsidRDefault="00D63DCA" w:rsidP="00D74626">
            <w:pPr>
              <w:autoSpaceDE w:val="0"/>
              <w:autoSpaceDN w:val="0"/>
              <w:adjustRightInd w:val="0"/>
              <w:spacing w:after="0" w:line="360" w:lineRule="auto"/>
              <w:ind w:left="60" w:right="60"/>
              <w:rPr>
                <w:rFonts w:asciiTheme="majorBidi" w:hAnsiTheme="majorBidi" w:cstheme="majorBidi"/>
                <w:sz w:val="18"/>
                <w:szCs w:val="18"/>
              </w:rPr>
            </w:pPr>
            <w:r w:rsidRPr="00D74626">
              <w:rPr>
                <w:rFonts w:asciiTheme="majorBidi" w:hAnsiTheme="majorBidi" w:cstheme="majorBidi"/>
                <w:sz w:val="18"/>
                <w:szCs w:val="18"/>
              </w:rPr>
              <w:t>Total</w:t>
            </w:r>
          </w:p>
        </w:tc>
        <w:tc>
          <w:tcPr>
            <w:tcW w:w="1162" w:type="dxa"/>
            <w:tcBorders>
              <w:top w:val="single" w:sz="4" w:space="0" w:color="auto"/>
              <w:left w:val="nil"/>
              <w:bottom w:val="single" w:sz="4" w:space="0" w:color="auto"/>
              <w:right w:val="nil"/>
            </w:tcBorders>
            <w:shd w:val="clear" w:color="auto" w:fill="auto"/>
          </w:tcPr>
          <w:p w14:paraId="5214DCC9"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339</w:t>
            </w:r>
          </w:p>
        </w:tc>
        <w:tc>
          <w:tcPr>
            <w:tcW w:w="1024" w:type="dxa"/>
            <w:tcBorders>
              <w:top w:val="single" w:sz="4" w:space="0" w:color="auto"/>
              <w:left w:val="nil"/>
              <w:bottom w:val="single" w:sz="4" w:space="0" w:color="auto"/>
              <w:right w:val="nil"/>
            </w:tcBorders>
            <w:shd w:val="clear" w:color="auto" w:fill="auto"/>
          </w:tcPr>
          <w:p w14:paraId="0566E0AB"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100.0</w:t>
            </w:r>
          </w:p>
        </w:tc>
        <w:tc>
          <w:tcPr>
            <w:tcW w:w="1392" w:type="dxa"/>
            <w:tcBorders>
              <w:top w:val="single" w:sz="4" w:space="0" w:color="auto"/>
              <w:left w:val="nil"/>
              <w:bottom w:val="single" w:sz="4" w:space="0" w:color="auto"/>
              <w:right w:val="nil"/>
            </w:tcBorders>
            <w:shd w:val="clear" w:color="auto" w:fill="auto"/>
          </w:tcPr>
          <w:p w14:paraId="56C5A4D6"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100.0</w:t>
            </w:r>
          </w:p>
        </w:tc>
        <w:tc>
          <w:tcPr>
            <w:tcW w:w="1469" w:type="dxa"/>
            <w:tcBorders>
              <w:top w:val="single" w:sz="4" w:space="0" w:color="auto"/>
              <w:left w:val="nil"/>
              <w:bottom w:val="single" w:sz="4" w:space="0" w:color="auto"/>
              <w:right w:val="nil"/>
            </w:tcBorders>
            <w:shd w:val="clear" w:color="auto" w:fill="auto"/>
            <w:vAlign w:val="center"/>
          </w:tcPr>
          <w:p w14:paraId="77517FBA" w14:textId="77777777" w:rsidR="00D63DCA" w:rsidRPr="00D74626" w:rsidRDefault="00D63DCA" w:rsidP="00D74626">
            <w:pPr>
              <w:autoSpaceDE w:val="0"/>
              <w:autoSpaceDN w:val="0"/>
              <w:adjustRightInd w:val="0"/>
              <w:spacing w:after="0" w:line="360" w:lineRule="auto"/>
              <w:rPr>
                <w:rFonts w:asciiTheme="majorBidi" w:hAnsiTheme="majorBidi" w:cstheme="majorBidi"/>
                <w:sz w:val="24"/>
                <w:szCs w:val="24"/>
              </w:rPr>
            </w:pPr>
          </w:p>
        </w:tc>
      </w:tr>
    </w:tbl>
    <w:p w14:paraId="25BA8DA5" w14:textId="77777777" w:rsidR="00D63DCA" w:rsidRPr="00D74626" w:rsidRDefault="00D63DCA" w:rsidP="00D74626">
      <w:pPr>
        <w:spacing w:line="360" w:lineRule="auto"/>
        <w:rPr>
          <w:rFonts w:asciiTheme="majorBidi" w:hAnsiTheme="majorBidi" w:cstheme="majorBidi"/>
          <w:sz w:val="24"/>
          <w:szCs w:val="24"/>
        </w:rPr>
      </w:pPr>
    </w:p>
    <w:p w14:paraId="0504199C" w14:textId="0FC5519B" w:rsidR="00D63DCA" w:rsidRPr="00D74626" w:rsidRDefault="00A366E7" w:rsidP="00D74626">
      <w:pPr>
        <w:pStyle w:val="NoSpacing"/>
        <w:spacing w:line="360" w:lineRule="auto"/>
        <w:rPr>
          <w:rStyle w:val="Strong"/>
          <w:rFonts w:asciiTheme="majorBidi" w:hAnsiTheme="majorBidi" w:cstheme="majorBidi"/>
          <w:b w:val="0"/>
          <w:bCs w:val="0"/>
          <w:sz w:val="24"/>
          <w:szCs w:val="24"/>
        </w:rPr>
      </w:pPr>
      <w:r w:rsidRPr="00D74626">
        <w:rPr>
          <w:rFonts w:asciiTheme="majorBidi" w:hAnsiTheme="majorBidi" w:cstheme="majorBidi"/>
          <w:sz w:val="24"/>
          <w:szCs w:val="24"/>
        </w:rPr>
        <w:t>The sample consisted of 59% faculty members (n=200) and 41% non-faculty/admin staff (n=139), representing a balanced institutional perspective from 339 respondents</w:t>
      </w:r>
      <w:r w:rsidRPr="00D74626">
        <w:rPr>
          <w:rFonts w:asciiTheme="majorBidi" w:hAnsiTheme="majorBidi" w:cstheme="majorBidi"/>
          <w:color w:val="404040"/>
          <w:shd w:val="clear" w:color="auto" w:fill="FFFFFF"/>
        </w:rPr>
        <w:t>.</w:t>
      </w:r>
    </w:p>
    <w:p w14:paraId="095735AA" w14:textId="77777777" w:rsidR="00D63DCA" w:rsidRPr="00D74626" w:rsidRDefault="00D63DCA" w:rsidP="00D74626">
      <w:pPr>
        <w:pStyle w:val="NoSpacing"/>
        <w:spacing w:line="360" w:lineRule="auto"/>
        <w:rPr>
          <w:rStyle w:val="Strong"/>
          <w:rFonts w:asciiTheme="majorBidi" w:hAnsiTheme="majorBidi" w:cstheme="majorBidi"/>
          <w:b w:val="0"/>
          <w:bCs w:val="0"/>
          <w:sz w:val="24"/>
          <w:szCs w:val="24"/>
        </w:rPr>
      </w:pPr>
    </w:p>
    <w:p w14:paraId="124745A9" w14:textId="77777777" w:rsidR="006B1A4C" w:rsidRPr="00D74626" w:rsidRDefault="006B1A4C" w:rsidP="00D74626">
      <w:pPr>
        <w:pStyle w:val="NoSpacing"/>
        <w:spacing w:line="360" w:lineRule="auto"/>
        <w:rPr>
          <w:rStyle w:val="Strong"/>
          <w:rFonts w:asciiTheme="majorBidi" w:hAnsiTheme="majorBidi" w:cstheme="majorBidi"/>
          <w:sz w:val="24"/>
          <w:szCs w:val="24"/>
        </w:rPr>
      </w:pPr>
    </w:p>
    <w:p w14:paraId="71B272E0" w14:textId="2192A817" w:rsidR="00D63DCA" w:rsidRPr="00D74626" w:rsidRDefault="00D63DCA" w:rsidP="00D74626">
      <w:pPr>
        <w:pStyle w:val="NoSpacing"/>
        <w:spacing w:line="360" w:lineRule="auto"/>
        <w:rPr>
          <w:rFonts w:asciiTheme="majorBidi" w:hAnsiTheme="majorBidi" w:cstheme="majorBidi"/>
          <w:b/>
          <w:bCs/>
        </w:rPr>
      </w:pPr>
      <w:r w:rsidRPr="00D74626">
        <w:rPr>
          <w:rStyle w:val="Strong"/>
          <w:rFonts w:asciiTheme="majorBidi" w:hAnsiTheme="majorBidi" w:cstheme="majorBidi"/>
          <w:sz w:val="24"/>
          <w:szCs w:val="24"/>
        </w:rPr>
        <w:t>4. Age</w:t>
      </w:r>
    </w:p>
    <w:p w14:paraId="65EDFD73" w14:textId="77777777" w:rsidR="00D63DCA" w:rsidRPr="00D74626" w:rsidRDefault="00D63DCA" w:rsidP="00D74626">
      <w:pPr>
        <w:autoSpaceDE w:val="0"/>
        <w:autoSpaceDN w:val="0"/>
        <w:adjustRightInd w:val="0"/>
        <w:spacing w:after="0" w:line="360" w:lineRule="auto"/>
        <w:rPr>
          <w:rFonts w:asciiTheme="majorBidi" w:hAnsiTheme="majorBidi" w:cstheme="majorBidi"/>
          <w:b/>
          <w:bCs/>
          <w:sz w:val="24"/>
          <w:szCs w:val="24"/>
        </w:rPr>
      </w:pPr>
    </w:p>
    <w:tbl>
      <w:tblPr>
        <w:tblW w:w="7159"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4"/>
        <w:gridCol w:w="1377"/>
        <w:gridCol w:w="1162"/>
        <w:gridCol w:w="1024"/>
        <w:gridCol w:w="1393"/>
        <w:gridCol w:w="1469"/>
      </w:tblGrid>
      <w:tr w:rsidR="00D63DCA" w:rsidRPr="00D74626" w14:paraId="1A42A7DC" w14:textId="77777777" w:rsidTr="00C25062">
        <w:trPr>
          <w:cantSplit/>
        </w:trPr>
        <w:tc>
          <w:tcPr>
            <w:tcW w:w="2111" w:type="dxa"/>
            <w:gridSpan w:val="2"/>
            <w:shd w:val="clear" w:color="auto" w:fill="auto"/>
            <w:vAlign w:val="bottom"/>
          </w:tcPr>
          <w:p w14:paraId="76210B34" w14:textId="77777777" w:rsidR="00D63DCA" w:rsidRPr="00D74626" w:rsidRDefault="00D63DCA" w:rsidP="00D74626">
            <w:pPr>
              <w:autoSpaceDE w:val="0"/>
              <w:autoSpaceDN w:val="0"/>
              <w:adjustRightInd w:val="0"/>
              <w:spacing w:after="0" w:line="360" w:lineRule="auto"/>
              <w:rPr>
                <w:rFonts w:asciiTheme="majorBidi" w:hAnsiTheme="majorBidi" w:cstheme="majorBidi"/>
                <w:b/>
                <w:bCs/>
                <w:sz w:val="24"/>
                <w:szCs w:val="24"/>
              </w:rPr>
            </w:pPr>
          </w:p>
        </w:tc>
        <w:tc>
          <w:tcPr>
            <w:tcW w:w="1162" w:type="dxa"/>
            <w:shd w:val="clear" w:color="auto" w:fill="auto"/>
            <w:vAlign w:val="bottom"/>
          </w:tcPr>
          <w:p w14:paraId="6CB7AF57" w14:textId="77777777" w:rsidR="00D63DCA" w:rsidRPr="00D74626" w:rsidRDefault="00D63DCA" w:rsidP="00D74626">
            <w:pPr>
              <w:autoSpaceDE w:val="0"/>
              <w:autoSpaceDN w:val="0"/>
              <w:adjustRightInd w:val="0"/>
              <w:spacing w:after="0" w:line="360" w:lineRule="auto"/>
              <w:ind w:left="60" w:right="60"/>
              <w:jc w:val="center"/>
              <w:rPr>
                <w:rFonts w:asciiTheme="majorBidi" w:hAnsiTheme="majorBidi" w:cstheme="majorBidi"/>
                <w:b/>
                <w:bCs/>
                <w:sz w:val="18"/>
                <w:szCs w:val="18"/>
              </w:rPr>
            </w:pPr>
            <w:r w:rsidRPr="00D74626">
              <w:rPr>
                <w:rFonts w:asciiTheme="majorBidi" w:hAnsiTheme="majorBidi" w:cstheme="majorBidi"/>
                <w:b/>
                <w:bCs/>
                <w:sz w:val="18"/>
                <w:szCs w:val="18"/>
              </w:rPr>
              <w:t>Frequency</w:t>
            </w:r>
          </w:p>
        </w:tc>
        <w:tc>
          <w:tcPr>
            <w:tcW w:w="1024" w:type="dxa"/>
            <w:shd w:val="clear" w:color="auto" w:fill="auto"/>
            <w:vAlign w:val="bottom"/>
          </w:tcPr>
          <w:p w14:paraId="5DCE9AB5" w14:textId="77777777" w:rsidR="00D63DCA" w:rsidRPr="00D74626" w:rsidRDefault="00D63DCA" w:rsidP="00D74626">
            <w:pPr>
              <w:autoSpaceDE w:val="0"/>
              <w:autoSpaceDN w:val="0"/>
              <w:adjustRightInd w:val="0"/>
              <w:spacing w:after="0" w:line="360" w:lineRule="auto"/>
              <w:ind w:left="60" w:right="60"/>
              <w:jc w:val="center"/>
              <w:rPr>
                <w:rFonts w:asciiTheme="majorBidi" w:hAnsiTheme="majorBidi" w:cstheme="majorBidi"/>
                <w:b/>
                <w:bCs/>
                <w:sz w:val="18"/>
                <w:szCs w:val="18"/>
              </w:rPr>
            </w:pPr>
            <w:r w:rsidRPr="00D74626">
              <w:rPr>
                <w:rFonts w:asciiTheme="majorBidi" w:hAnsiTheme="majorBidi" w:cstheme="majorBidi"/>
                <w:b/>
                <w:bCs/>
                <w:sz w:val="18"/>
                <w:szCs w:val="18"/>
              </w:rPr>
              <w:t>Percent</w:t>
            </w:r>
          </w:p>
        </w:tc>
        <w:tc>
          <w:tcPr>
            <w:tcW w:w="1393" w:type="dxa"/>
            <w:shd w:val="clear" w:color="auto" w:fill="auto"/>
            <w:vAlign w:val="bottom"/>
          </w:tcPr>
          <w:p w14:paraId="5A120691" w14:textId="77777777" w:rsidR="00D63DCA" w:rsidRPr="00D74626" w:rsidRDefault="00D63DCA" w:rsidP="00D74626">
            <w:pPr>
              <w:autoSpaceDE w:val="0"/>
              <w:autoSpaceDN w:val="0"/>
              <w:adjustRightInd w:val="0"/>
              <w:spacing w:after="0" w:line="360" w:lineRule="auto"/>
              <w:ind w:left="60" w:right="60"/>
              <w:jc w:val="center"/>
              <w:rPr>
                <w:rFonts w:asciiTheme="majorBidi" w:hAnsiTheme="majorBidi" w:cstheme="majorBidi"/>
                <w:b/>
                <w:bCs/>
                <w:sz w:val="18"/>
                <w:szCs w:val="18"/>
              </w:rPr>
            </w:pPr>
            <w:r w:rsidRPr="00D74626">
              <w:rPr>
                <w:rFonts w:asciiTheme="majorBidi" w:hAnsiTheme="majorBidi" w:cstheme="majorBidi"/>
                <w:b/>
                <w:bCs/>
                <w:sz w:val="18"/>
                <w:szCs w:val="18"/>
              </w:rPr>
              <w:t>Valid Percent</w:t>
            </w:r>
          </w:p>
        </w:tc>
        <w:tc>
          <w:tcPr>
            <w:tcW w:w="1469" w:type="dxa"/>
            <w:shd w:val="clear" w:color="auto" w:fill="auto"/>
            <w:vAlign w:val="bottom"/>
          </w:tcPr>
          <w:p w14:paraId="0092C956" w14:textId="77777777" w:rsidR="00D63DCA" w:rsidRPr="00D74626" w:rsidRDefault="00D63DCA" w:rsidP="00D74626">
            <w:pPr>
              <w:autoSpaceDE w:val="0"/>
              <w:autoSpaceDN w:val="0"/>
              <w:adjustRightInd w:val="0"/>
              <w:spacing w:after="0" w:line="360" w:lineRule="auto"/>
              <w:ind w:left="60" w:right="60"/>
              <w:jc w:val="center"/>
              <w:rPr>
                <w:rFonts w:asciiTheme="majorBidi" w:hAnsiTheme="majorBidi" w:cstheme="majorBidi"/>
                <w:b/>
                <w:bCs/>
                <w:sz w:val="18"/>
                <w:szCs w:val="18"/>
              </w:rPr>
            </w:pPr>
            <w:r w:rsidRPr="00D74626">
              <w:rPr>
                <w:rFonts w:asciiTheme="majorBidi" w:hAnsiTheme="majorBidi" w:cstheme="majorBidi"/>
                <w:b/>
                <w:bCs/>
                <w:sz w:val="18"/>
                <w:szCs w:val="18"/>
              </w:rPr>
              <w:t>Cumulative Percent</w:t>
            </w:r>
          </w:p>
        </w:tc>
      </w:tr>
      <w:tr w:rsidR="00D63DCA" w:rsidRPr="00D74626" w14:paraId="721AE604" w14:textId="77777777" w:rsidTr="00C25062">
        <w:trPr>
          <w:cantSplit/>
        </w:trPr>
        <w:tc>
          <w:tcPr>
            <w:tcW w:w="734" w:type="dxa"/>
            <w:vMerge w:val="restart"/>
            <w:shd w:val="clear" w:color="auto" w:fill="auto"/>
          </w:tcPr>
          <w:p w14:paraId="0A2E5E92" w14:textId="77777777" w:rsidR="00D63DCA" w:rsidRPr="00D74626" w:rsidRDefault="00D63DCA" w:rsidP="00D74626">
            <w:pPr>
              <w:autoSpaceDE w:val="0"/>
              <w:autoSpaceDN w:val="0"/>
              <w:adjustRightInd w:val="0"/>
              <w:spacing w:after="0" w:line="360" w:lineRule="auto"/>
              <w:ind w:left="60" w:right="60"/>
              <w:rPr>
                <w:rFonts w:asciiTheme="majorBidi" w:hAnsiTheme="majorBidi" w:cstheme="majorBidi"/>
                <w:sz w:val="18"/>
                <w:szCs w:val="18"/>
              </w:rPr>
            </w:pPr>
            <w:r w:rsidRPr="00D74626">
              <w:rPr>
                <w:rFonts w:asciiTheme="majorBidi" w:hAnsiTheme="majorBidi" w:cstheme="majorBidi"/>
                <w:sz w:val="18"/>
                <w:szCs w:val="18"/>
              </w:rPr>
              <w:t>Valid</w:t>
            </w:r>
          </w:p>
        </w:tc>
        <w:tc>
          <w:tcPr>
            <w:tcW w:w="1377" w:type="dxa"/>
            <w:shd w:val="clear" w:color="auto" w:fill="auto"/>
          </w:tcPr>
          <w:p w14:paraId="2FEEB622" w14:textId="77777777" w:rsidR="00D63DCA" w:rsidRPr="00D74626" w:rsidRDefault="00D63DCA" w:rsidP="00D74626">
            <w:pPr>
              <w:autoSpaceDE w:val="0"/>
              <w:autoSpaceDN w:val="0"/>
              <w:adjustRightInd w:val="0"/>
              <w:spacing w:after="0" w:line="360" w:lineRule="auto"/>
              <w:ind w:left="60" w:right="60"/>
              <w:rPr>
                <w:rFonts w:asciiTheme="majorBidi" w:hAnsiTheme="majorBidi" w:cstheme="majorBidi"/>
                <w:sz w:val="18"/>
                <w:szCs w:val="18"/>
              </w:rPr>
            </w:pPr>
            <w:r w:rsidRPr="00D74626">
              <w:rPr>
                <w:rFonts w:asciiTheme="majorBidi" w:hAnsiTheme="majorBidi" w:cstheme="majorBidi"/>
                <w:sz w:val="18"/>
                <w:szCs w:val="18"/>
              </w:rPr>
              <w:t>18 - 28 years</w:t>
            </w:r>
          </w:p>
        </w:tc>
        <w:tc>
          <w:tcPr>
            <w:tcW w:w="1162" w:type="dxa"/>
            <w:shd w:val="clear" w:color="auto" w:fill="auto"/>
          </w:tcPr>
          <w:p w14:paraId="73CE0330"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110</w:t>
            </w:r>
          </w:p>
        </w:tc>
        <w:tc>
          <w:tcPr>
            <w:tcW w:w="1024" w:type="dxa"/>
            <w:shd w:val="clear" w:color="auto" w:fill="auto"/>
          </w:tcPr>
          <w:p w14:paraId="415D3FE9"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32.4</w:t>
            </w:r>
          </w:p>
        </w:tc>
        <w:tc>
          <w:tcPr>
            <w:tcW w:w="1393" w:type="dxa"/>
            <w:shd w:val="clear" w:color="auto" w:fill="auto"/>
          </w:tcPr>
          <w:p w14:paraId="3169AC6E"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32.4</w:t>
            </w:r>
          </w:p>
        </w:tc>
        <w:tc>
          <w:tcPr>
            <w:tcW w:w="1469" w:type="dxa"/>
            <w:shd w:val="clear" w:color="auto" w:fill="auto"/>
          </w:tcPr>
          <w:p w14:paraId="3E08C92F"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32.4</w:t>
            </w:r>
          </w:p>
        </w:tc>
      </w:tr>
      <w:tr w:rsidR="00D63DCA" w:rsidRPr="00D74626" w14:paraId="4B8A99E5" w14:textId="77777777" w:rsidTr="00C25062">
        <w:trPr>
          <w:cantSplit/>
        </w:trPr>
        <w:tc>
          <w:tcPr>
            <w:tcW w:w="734" w:type="dxa"/>
            <w:vMerge/>
            <w:shd w:val="clear" w:color="auto" w:fill="auto"/>
          </w:tcPr>
          <w:p w14:paraId="0CF70E68" w14:textId="77777777" w:rsidR="00D63DCA" w:rsidRPr="00D74626" w:rsidRDefault="00D63DCA" w:rsidP="00D74626">
            <w:pPr>
              <w:autoSpaceDE w:val="0"/>
              <w:autoSpaceDN w:val="0"/>
              <w:adjustRightInd w:val="0"/>
              <w:spacing w:after="0" w:line="360" w:lineRule="auto"/>
              <w:rPr>
                <w:rFonts w:asciiTheme="majorBidi" w:hAnsiTheme="majorBidi" w:cstheme="majorBidi"/>
                <w:sz w:val="18"/>
                <w:szCs w:val="18"/>
              </w:rPr>
            </w:pPr>
          </w:p>
        </w:tc>
        <w:tc>
          <w:tcPr>
            <w:tcW w:w="1377" w:type="dxa"/>
            <w:shd w:val="clear" w:color="auto" w:fill="auto"/>
          </w:tcPr>
          <w:p w14:paraId="7CF0756F" w14:textId="77777777" w:rsidR="00D63DCA" w:rsidRPr="00D74626" w:rsidRDefault="00D63DCA" w:rsidP="00D74626">
            <w:pPr>
              <w:autoSpaceDE w:val="0"/>
              <w:autoSpaceDN w:val="0"/>
              <w:adjustRightInd w:val="0"/>
              <w:spacing w:after="0" w:line="360" w:lineRule="auto"/>
              <w:ind w:left="60" w:right="60"/>
              <w:rPr>
                <w:rFonts w:asciiTheme="majorBidi" w:hAnsiTheme="majorBidi" w:cstheme="majorBidi"/>
                <w:sz w:val="18"/>
                <w:szCs w:val="18"/>
              </w:rPr>
            </w:pPr>
            <w:r w:rsidRPr="00D74626">
              <w:rPr>
                <w:rFonts w:asciiTheme="majorBidi" w:hAnsiTheme="majorBidi" w:cstheme="majorBidi"/>
                <w:sz w:val="18"/>
                <w:szCs w:val="18"/>
              </w:rPr>
              <w:t>29 - 44 years</w:t>
            </w:r>
          </w:p>
        </w:tc>
        <w:tc>
          <w:tcPr>
            <w:tcW w:w="1162" w:type="dxa"/>
            <w:shd w:val="clear" w:color="auto" w:fill="auto"/>
          </w:tcPr>
          <w:p w14:paraId="2FD6125F"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152</w:t>
            </w:r>
          </w:p>
        </w:tc>
        <w:tc>
          <w:tcPr>
            <w:tcW w:w="1024" w:type="dxa"/>
            <w:shd w:val="clear" w:color="auto" w:fill="auto"/>
          </w:tcPr>
          <w:p w14:paraId="428B817B"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44.8</w:t>
            </w:r>
          </w:p>
        </w:tc>
        <w:tc>
          <w:tcPr>
            <w:tcW w:w="1393" w:type="dxa"/>
            <w:shd w:val="clear" w:color="auto" w:fill="auto"/>
          </w:tcPr>
          <w:p w14:paraId="7CF323A5"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44.8</w:t>
            </w:r>
          </w:p>
        </w:tc>
        <w:tc>
          <w:tcPr>
            <w:tcW w:w="1469" w:type="dxa"/>
            <w:shd w:val="clear" w:color="auto" w:fill="auto"/>
          </w:tcPr>
          <w:p w14:paraId="16AB7A96"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77.3</w:t>
            </w:r>
          </w:p>
        </w:tc>
      </w:tr>
      <w:tr w:rsidR="00D63DCA" w:rsidRPr="00D74626" w14:paraId="70F9EC24" w14:textId="77777777" w:rsidTr="00C25062">
        <w:trPr>
          <w:cantSplit/>
        </w:trPr>
        <w:tc>
          <w:tcPr>
            <w:tcW w:w="734" w:type="dxa"/>
            <w:vMerge/>
            <w:shd w:val="clear" w:color="auto" w:fill="auto"/>
          </w:tcPr>
          <w:p w14:paraId="1F3EB205" w14:textId="77777777" w:rsidR="00D63DCA" w:rsidRPr="00D74626" w:rsidRDefault="00D63DCA" w:rsidP="00D74626">
            <w:pPr>
              <w:autoSpaceDE w:val="0"/>
              <w:autoSpaceDN w:val="0"/>
              <w:adjustRightInd w:val="0"/>
              <w:spacing w:after="0" w:line="360" w:lineRule="auto"/>
              <w:rPr>
                <w:rFonts w:asciiTheme="majorBidi" w:hAnsiTheme="majorBidi" w:cstheme="majorBidi"/>
                <w:sz w:val="18"/>
                <w:szCs w:val="18"/>
              </w:rPr>
            </w:pPr>
          </w:p>
        </w:tc>
        <w:tc>
          <w:tcPr>
            <w:tcW w:w="1377" w:type="dxa"/>
            <w:shd w:val="clear" w:color="auto" w:fill="auto"/>
          </w:tcPr>
          <w:p w14:paraId="43403CC3" w14:textId="77777777" w:rsidR="00D63DCA" w:rsidRPr="00D74626" w:rsidRDefault="00D63DCA" w:rsidP="00D74626">
            <w:pPr>
              <w:autoSpaceDE w:val="0"/>
              <w:autoSpaceDN w:val="0"/>
              <w:adjustRightInd w:val="0"/>
              <w:spacing w:after="0" w:line="360" w:lineRule="auto"/>
              <w:ind w:left="60" w:right="60"/>
              <w:rPr>
                <w:rFonts w:asciiTheme="majorBidi" w:hAnsiTheme="majorBidi" w:cstheme="majorBidi"/>
                <w:sz w:val="18"/>
                <w:szCs w:val="18"/>
              </w:rPr>
            </w:pPr>
            <w:r w:rsidRPr="00D74626">
              <w:rPr>
                <w:rFonts w:asciiTheme="majorBidi" w:hAnsiTheme="majorBidi" w:cstheme="majorBidi"/>
                <w:sz w:val="18"/>
                <w:szCs w:val="18"/>
              </w:rPr>
              <w:t>45 - 60 years</w:t>
            </w:r>
          </w:p>
        </w:tc>
        <w:tc>
          <w:tcPr>
            <w:tcW w:w="1162" w:type="dxa"/>
            <w:shd w:val="clear" w:color="auto" w:fill="auto"/>
          </w:tcPr>
          <w:p w14:paraId="1267E19B"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77</w:t>
            </w:r>
          </w:p>
        </w:tc>
        <w:tc>
          <w:tcPr>
            <w:tcW w:w="1024" w:type="dxa"/>
            <w:shd w:val="clear" w:color="auto" w:fill="auto"/>
          </w:tcPr>
          <w:p w14:paraId="3646A5D7"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22.7</w:t>
            </w:r>
          </w:p>
        </w:tc>
        <w:tc>
          <w:tcPr>
            <w:tcW w:w="1393" w:type="dxa"/>
            <w:shd w:val="clear" w:color="auto" w:fill="auto"/>
          </w:tcPr>
          <w:p w14:paraId="4F54FB3A"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22.7</w:t>
            </w:r>
          </w:p>
        </w:tc>
        <w:tc>
          <w:tcPr>
            <w:tcW w:w="1469" w:type="dxa"/>
            <w:shd w:val="clear" w:color="auto" w:fill="auto"/>
          </w:tcPr>
          <w:p w14:paraId="0A36BCE9"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100.0</w:t>
            </w:r>
          </w:p>
        </w:tc>
      </w:tr>
      <w:tr w:rsidR="00D63DCA" w:rsidRPr="00D74626" w14:paraId="773D72C7" w14:textId="77777777" w:rsidTr="00C25062">
        <w:trPr>
          <w:cantSplit/>
        </w:trPr>
        <w:tc>
          <w:tcPr>
            <w:tcW w:w="734" w:type="dxa"/>
            <w:vMerge/>
            <w:shd w:val="clear" w:color="auto" w:fill="auto"/>
          </w:tcPr>
          <w:p w14:paraId="3EE51571" w14:textId="77777777" w:rsidR="00D63DCA" w:rsidRPr="00D74626" w:rsidRDefault="00D63DCA" w:rsidP="00D74626">
            <w:pPr>
              <w:autoSpaceDE w:val="0"/>
              <w:autoSpaceDN w:val="0"/>
              <w:adjustRightInd w:val="0"/>
              <w:spacing w:after="0" w:line="360" w:lineRule="auto"/>
              <w:rPr>
                <w:rFonts w:asciiTheme="majorBidi" w:hAnsiTheme="majorBidi" w:cstheme="majorBidi"/>
                <w:sz w:val="18"/>
                <w:szCs w:val="18"/>
              </w:rPr>
            </w:pPr>
          </w:p>
        </w:tc>
        <w:tc>
          <w:tcPr>
            <w:tcW w:w="1377" w:type="dxa"/>
            <w:shd w:val="clear" w:color="auto" w:fill="auto"/>
          </w:tcPr>
          <w:p w14:paraId="75746D55" w14:textId="77777777" w:rsidR="00D63DCA" w:rsidRPr="00D74626" w:rsidRDefault="00D63DCA" w:rsidP="00D74626">
            <w:pPr>
              <w:autoSpaceDE w:val="0"/>
              <w:autoSpaceDN w:val="0"/>
              <w:adjustRightInd w:val="0"/>
              <w:spacing w:after="0" w:line="360" w:lineRule="auto"/>
              <w:ind w:left="60" w:right="60"/>
              <w:rPr>
                <w:rFonts w:asciiTheme="majorBidi" w:hAnsiTheme="majorBidi" w:cstheme="majorBidi"/>
                <w:sz w:val="18"/>
                <w:szCs w:val="18"/>
              </w:rPr>
            </w:pPr>
            <w:r w:rsidRPr="00D74626">
              <w:rPr>
                <w:rFonts w:asciiTheme="majorBidi" w:hAnsiTheme="majorBidi" w:cstheme="majorBidi"/>
                <w:sz w:val="18"/>
                <w:szCs w:val="18"/>
              </w:rPr>
              <w:t>Total</w:t>
            </w:r>
          </w:p>
        </w:tc>
        <w:tc>
          <w:tcPr>
            <w:tcW w:w="1162" w:type="dxa"/>
            <w:shd w:val="clear" w:color="auto" w:fill="auto"/>
          </w:tcPr>
          <w:p w14:paraId="0E935B8E"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339</w:t>
            </w:r>
          </w:p>
        </w:tc>
        <w:tc>
          <w:tcPr>
            <w:tcW w:w="1024" w:type="dxa"/>
            <w:shd w:val="clear" w:color="auto" w:fill="auto"/>
          </w:tcPr>
          <w:p w14:paraId="462C0BDC"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100.0</w:t>
            </w:r>
          </w:p>
        </w:tc>
        <w:tc>
          <w:tcPr>
            <w:tcW w:w="1393" w:type="dxa"/>
            <w:shd w:val="clear" w:color="auto" w:fill="auto"/>
          </w:tcPr>
          <w:p w14:paraId="22CFD662" w14:textId="77777777" w:rsidR="00D63DCA" w:rsidRPr="00D74626" w:rsidRDefault="00D63DCA" w:rsidP="00D74626">
            <w:pPr>
              <w:autoSpaceDE w:val="0"/>
              <w:autoSpaceDN w:val="0"/>
              <w:adjustRightInd w:val="0"/>
              <w:spacing w:after="0" w:line="360" w:lineRule="auto"/>
              <w:ind w:left="60" w:right="60"/>
              <w:jc w:val="right"/>
              <w:rPr>
                <w:rFonts w:asciiTheme="majorBidi" w:hAnsiTheme="majorBidi" w:cstheme="majorBidi"/>
                <w:sz w:val="18"/>
                <w:szCs w:val="18"/>
              </w:rPr>
            </w:pPr>
            <w:r w:rsidRPr="00D74626">
              <w:rPr>
                <w:rFonts w:asciiTheme="majorBidi" w:hAnsiTheme="majorBidi" w:cstheme="majorBidi"/>
                <w:sz w:val="18"/>
                <w:szCs w:val="18"/>
              </w:rPr>
              <w:t>100.0</w:t>
            </w:r>
          </w:p>
        </w:tc>
        <w:tc>
          <w:tcPr>
            <w:tcW w:w="1469" w:type="dxa"/>
            <w:shd w:val="clear" w:color="auto" w:fill="auto"/>
            <w:vAlign w:val="center"/>
          </w:tcPr>
          <w:p w14:paraId="1A6030D1" w14:textId="77777777" w:rsidR="00D63DCA" w:rsidRPr="00D74626" w:rsidRDefault="00D63DCA" w:rsidP="00D74626">
            <w:pPr>
              <w:autoSpaceDE w:val="0"/>
              <w:autoSpaceDN w:val="0"/>
              <w:adjustRightInd w:val="0"/>
              <w:spacing w:after="0" w:line="360" w:lineRule="auto"/>
              <w:rPr>
                <w:rFonts w:asciiTheme="majorBidi" w:hAnsiTheme="majorBidi" w:cstheme="majorBidi"/>
                <w:sz w:val="24"/>
                <w:szCs w:val="24"/>
              </w:rPr>
            </w:pPr>
          </w:p>
        </w:tc>
      </w:tr>
    </w:tbl>
    <w:p w14:paraId="28610EE7" w14:textId="77777777" w:rsidR="006B1A4C" w:rsidRPr="00D74626" w:rsidRDefault="006B1A4C" w:rsidP="00D74626">
      <w:pPr>
        <w:spacing w:line="360" w:lineRule="auto"/>
        <w:rPr>
          <w:rFonts w:asciiTheme="majorBidi" w:hAnsiTheme="majorBidi" w:cstheme="majorBidi"/>
          <w:color w:val="404040"/>
          <w:shd w:val="clear" w:color="auto" w:fill="FFFFFF"/>
        </w:rPr>
      </w:pPr>
    </w:p>
    <w:p w14:paraId="36E1E936" w14:textId="3A27EAA2" w:rsidR="009D5071" w:rsidRPr="00D74626" w:rsidRDefault="006B1A4C" w:rsidP="00D74626">
      <w:pPr>
        <w:spacing w:line="360" w:lineRule="auto"/>
        <w:rPr>
          <w:rFonts w:asciiTheme="majorBidi" w:hAnsiTheme="majorBidi" w:cstheme="majorBidi"/>
          <w:sz w:val="24"/>
          <w:szCs w:val="24"/>
        </w:rPr>
      </w:pPr>
      <w:r w:rsidRPr="00D74626">
        <w:rPr>
          <w:rFonts w:asciiTheme="majorBidi" w:hAnsiTheme="majorBidi" w:cstheme="majorBidi"/>
          <w:sz w:val="24"/>
          <w:szCs w:val="24"/>
          <w:shd w:val="clear" w:color="auto" w:fill="FFFFFF"/>
        </w:rPr>
        <w:t>Most respondents were in their prime working years (29-44 years, 44.8%), with significant representation from younger (18-28 years, 32.4%) and older (45-60 years, 22.7%) cohorts, ensuring diverse age perspectives.</w:t>
      </w:r>
    </w:p>
    <w:p w14:paraId="25AFAEB8" w14:textId="4CD94880" w:rsidR="00B643F8" w:rsidRPr="00D74626" w:rsidRDefault="00B643F8" w:rsidP="00D74626">
      <w:pPr>
        <w:pStyle w:val="Heading2"/>
        <w:spacing w:line="360" w:lineRule="auto"/>
        <w:rPr>
          <w:rFonts w:asciiTheme="majorBidi" w:hAnsiTheme="majorBidi"/>
          <w:b/>
          <w:bCs/>
          <w:color w:val="auto"/>
          <w:sz w:val="24"/>
          <w:szCs w:val="24"/>
        </w:rPr>
      </w:pPr>
      <w:bookmarkStart w:id="4" w:name="_Toc197707666"/>
      <w:r w:rsidRPr="00D74626">
        <w:rPr>
          <w:rFonts w:asciiTheme="majorBidi" w:hAnsiTheme="majorBidi"/>
          <w:b/>
          <w:bCs/>
          <w:color w:val="auto"/>
          <w:sz w:val="24"/>
          <w:szCs w:val="24"/>
        </w:rPr>
        <w:lastRenderedPageBreak/>
        <w:t>4.3 Inferential Analyses</w:t>
      </w:r>
      <w:bookmarkEnd w:id="4"/>
    </w:p>
    <w:p w14:paraId="222B5BF3" w14:textId="28C28FB3" w:rsidR="009E3FE1" w:rsidRPr="00D74626" w:rsidRDefault="009E3FE1" w:rsidP="00D74626">
      <w:pPr>
        <w:spacing w:line="360" w:lineRule="auto"/>
        <w:ind w:firstLine="720"/>
        <w:rPr>
          <w:rFonts w:asciiTheme="majorBidi" w:hAnsiTheme="majorBidi" w:cstheme="majorBidi"/>
          <w:sz w:val="24"/>
          <w:szCs w:val="24"/>
        </w:rPr>
      </w:pPr>
      <w:r w:rsidRPr="00D74626">
        <w:rPr>
          <w:rFonts w:asciiTheme="majorBidi" w:hAnsiTheme="majorBidi" w:cstheme="majorBidi"/>
          <w:sz w:val="24"/>
          <w:szCs w:val="24"/>
        </w:rPr>
        <w:t xml:space="preserve">The interferential analyses are carried using PLS SEM. Following is the range of analyses which are divided into measurement model and structural model: </w:t>
      </w:r>
    </w:p>
    <w:p w14:paraId="38E1D606" w14:textId="4895DC81" w:rsidR="00B643F8" w:rsidRPr="00D74626" w:rsidRDefault="00B643F8" w:rsidP="00D74626">
      <w:pPr>
        <w:pStyle w:val="Heading3"/>
        <w:spacing w:line="360" w:lineRule="auto"/>
        <w:rPr>
          <w:rFonts w:asciiTheme="majorBidi" w:hAnsiTheme="majorBidi"/>
          <w:b/>
          <w:bCs/>
          <w:color w:val="auto"/>
        </w:rPr>
      </w:pPr>
      <w:bookmarkStart w:id="5" w:name="_Toc197707667"/>
      <w:r w:rsidRPr="00D74626">
        <w:rPr>
          <w:rFonts w:asciiTheme="majorBidi" w:hAnsiTheme="majorBidi"/>
          <w:b/>
          <w:bCs/>
          <w:color w:val="auto"/>
        </w:rPr>
        <w:t>4.3.1 Measurement Model</w:t>
      </w:r>
      <w:bookmarkEnd w:id="5"/>
    </w:p>
    <w:p w14:paraId="6795414E" w14:textId="77536A99" w:rsidR="00B643F8" w:rsidRPr="00D74626" w:rsidRDefault="007B2A62" w:rsidP="00D74626">
      <w:pPr>
        <w:spacing w:line="360" w:lineRule="auto"/>
        <w:rPr>
          <w:rFonts w:asciiTheme="majorBidi" w:hAnsiTheme="majorBidi" w:cstheme="majorBidi"/>
          <w:b/>
          <w:bCs/>
        </w:rPr>
      </w:pPr>
      <w:r w:rsidRPr="00D74626">
        <w:rPr>
          <w:rFonts w:asciiTheme="majorBidi" w:hAnsiTheme="majorBidi" w:cstheme="majorBidi"/>
          <w:b/>
          <w:bCs/>
        </w:rPr>
        <w:t>Reliability &amp;</w:t>
      </w:r>
      <w:r w:rsidR="00B643F8" w:rsidRPr="00D74626">
        <w:rPr>
          <w:rFonts w:asciiTheme="majorBidi" w:hAnsiTheme="majorBidi" w:cstheme="majorBidi"/>
          <w:b/>
          <w:bCs/>
        </w:rPr>
        <w:t xml:space="preserve"> Convergent Validity</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20"/>
        <w:gridCol w:w="1336"/>
        <w:gridCol w:w="1336"/>
        <w:gridCol w:w="1336"/>
        <w:gridCol w:w="1336"/>
        <w:gridCol w:w="1336"/>
      </w:tblGrid>
      <w:tr w:rsidR="006E3C46" w:rsidRPr="00D74626" w14:paraId="063824DE" w14:textId="77777777" w:rsidTr="009E3FE1">
        <w:tc>
          <w:tcPr>
            <w:tcW w:w="2520" w:type="dxa"/>
          </w:tcPr>
          <w:p w14:paraId="63F73E1A" w14:textId="77777777" w:rsidR="00B643F8" w:rsidRPr="00D74626" w:rsidRDefault="00B643F8" w:rsidP="00D74626">
            <w:pPr>
              <w:spacing w:line="360" w:lineRule="auto"/>
              <w:rPr>
                <w:rFonts w:asciiTheme="majorBidi" w:hAnsiTheme="majorBidi" w:cstheme="majorBidi"/>
                <w:b/>
                <w:bCs/>
                <w:szCs w:val="24"/>
              </w:rPr>
            </w:pPr>
            <w:r w:rsidRPr="00D74626">
              <w:rPr>
                <w:rFonts w:asciiTheme="majorBidi" w:hAnsiTheme="majorBidi" w:cstheme="majorBidi"/>
                <w:b/>
                <w:bCs/>
                <w:szCs w:val="24"/>
              </w:rPr>
              <w:t>Concept</w:t>
            </w:r>
          </w:p>
        </w:tc>
        <w:tc>
          <w:tcPr>
            <w:tcW w:w="1336" w:type="dxa"/>
          </w:tcPr>
          <w:p w14:paraId="1F165373" w14:textId="77777777" w:rsidR="00B643F8" w:rsidRPr="00D74626" w:rsidRDefault="00B643F8" w:rsidP="00D74626">
            <w:pPr>
              <w:spacing w:line="360" w:lineRule="auto"/>
              <w:rPr>
                <w:rFonts w:asciiTheme="majorBidi" w:hAnsiTheme="majorBidi" w:cstheme="majorBidi"/>
                <w:b/>
                <w:bCs/>
                <w:szCs w:val="24"/>
              </w:rPr>
            </w:pPr>
            <w:r w:rsidRPr="00D74626">
              <w:rPr>
                <w:rFonts w:asciiTheme="majorBidi" w:hAnsiTheme="majorBidi" w:cstheme="majorBidi"/>
                <w:b/>
                <w:bCs/>
                <w:szCs w:val="24"/>
              </w:rPr>
              <w:t>Outer Loading</w:t>
            </w:r>
          </w:p>
        </w:tc>
        <w:tc>
          <w:tcPr>
            <w:tcW w:w="1336" w:type="dxa"/>
          </w:tcPr>
          <w:p w14:paraId="368C1AC0" w14:textId="77777777" w:rsidR="00B643F8" w:rsidRPr="00D74626" w:rsidRDefault="00B643F8" w:rsidP="00D74626">
            <w:pPr>
              <w:spacing w:line="360" w:lineRule="auto"/>
              <w:rPr>
                <w:rFonts w:asciiTheme="majorBidi" w:hAnsiTheme="majorBidi" w:cstheme="majorBidi"/>
                <w:b/>
                <w:bCs/>
                <w:szCs w:val="24"/>
              </w:rPr>
            </w:pPr>
            <w:r w:rsidRPr="00D74626">
              <w:rPr>
                <w:rFonts w:asciiTheme="majorBidi" w:hAnsiTheme="majorBidi" w:cstheme="majorBidi"/>
                <w:b/>
                <w:bCs/>
                <w:szCs w:val="24"/>
              </w:rPr>
              <w:t>Alpha</w:t>
            </w:r>
          </w:p>
        </w:tc>
        <w:tc>
          <w:tcPr>
            <w:tcW w:w="1336" w:type="dxa"/>
          </w:tcPr>
          <w:p w14:paraId="37EB0587" w14:textId="77777777" w:rsidR="00B643F8" w:rsidRPr="00D74626" w:rsidRDefault="00B643F8" w:rsidP="00D74626">
            <w:pPr>
              <w:spacing w:line="360" w:lineRule="auto"/>
              <w:rPr>
                <w:rFonts w:asciiTheme="majorBidi" w:hAnsiTheme="majorBidi" w:cstheme="majorBidi"/>
                <w:b/>
                <w:bCs/>
                <w:szCs w:val="24"/>
              </w:rPr>
            </w:pPr>
            <w:r w:rsidRPr="00D74626">
              <w:rPr>
                <w:rFonts w:asciiTheme="majorBidi" w:hAnsiTheme="majorBidi" w:cstheme="majorBidi"/>
                <w:b/>
                <w:bCs/>
                <w:szCs w:val="24"/>
              </w:rPr>
              <w:t>Composite Reliability</w:t>
            </w:r>
          </w:p>
          <w:p w14:paraId="4E3FD459" w14:textId="77777777" w:rsidR="00B643F8" w:rsidRPr="00D74626" w:rsidRDefault="00B643F8" w:rsidP="00D74626">
            <w:pPr>
              <w:spacing w:line="360" w:lineRule="auto"/>
              <w:rPr>
                <w:rFonts w:asciiTheme="majorBidi" w:hAnsiTheme="majorBidi" w:cstheme="majorBidi"/>
                <w:b/>
                <w:bCs/>
                <w:szCs w:val="24"/>
              </w:rPr>
            </w:pPr>
            <w:proofErr w:type="spellStart"/>
            <w:r w:rsidRPr="00D74626">
              <w:rPr>
                <w:rFonts w:asciiTheme="majorBidi" w:hAnsiTheme="majorBidi" w:cstheme="majorBidi"/>
                <w:b/>
                <w:bCs/>
                <w:szCs w:val="24"/>
              </w:rPr>
              <w:t>Rho_a</w:t>
            </w:r>
            <w:proofErr w:type="spellEnd"/>
          </w:p>
        </w:tc>
        <w:tc>
          <w:tcPr>
            <w:tcW w:w="1336" w:type="dxa"/>
          </w:tcPr>
          <w:p w14:paraId="01C23F0A" w14:textId="77777777" w:rsidR="00B643F8" w:rsidRPr="00D74626" w:rsidRDefault="00B643F8" w:rsidP="00D74626">
            <w:pPr>
              <w:spacing w:line="360" w:lineRule="auto"/>
              <w:rPr>
                <w:rFonts w:asciiTheme="majorBidi" w:hAnsiTheme="majorBidi" w:cstheme="majorBidi"/>
                <w:b/>
                <w:bCs/>
                <w:szCs w:val="24"/>
              </w:rPr>
            </w:pPr>
            <w:r w:rsidRPr="00D74626">
              <w:rPr>
                <w:rFonts w:asciiTheme="majorBidi" w:hAnsiTheme="majorBidi" w:cstheme="majorBidi"/>
                <w:b/>
                <w:bCs/>
                <w:szCs w:val="24"/>
              </w:rPr>
              <w:t>Composite Reliability</w:t>
            </w:r>
          </w:p>
          <w:p w14:paraId="13F91AE8" w14:textId="77777777" w:rsidR="00B643F8" w:rsidRPr="00D74626" w:rsidRDefault="00B643F8" w:rsidP="00D74626">
            <w:pPr>
              <w:spacing w:line="360" w:lineRule="auto"/>
              <w:rPr>
                <w:rFonts w:asciiTheme="majorBidi" w:hAnsiTheme="majorBidi" w:cstheme="majorBidi"/>
                <w:b/>
                <w:bCs/>
                <w:szCs w:val="24"/>
              </w:rPr>
            </w:pPr>
            <w:proofErr w:type="spellStart"/>
            <w:r w:rsidRPr="00D74626">
              <w:rPr>
                <w:rFonts w:asciiTheme="majorBidi" w:hAnsiTheme="majorBidi" w:cstheme="majorBidi"/>
                <w:b/>
                <w:bCs/>
                <w:szCs w:val="24"/>
              </w:rPr>
              <w:t>Rho_c</w:t>
            </w:r>
            <w:proofErr w:type="spellEnd"/>
          </w:p>
        </w:tc>
        <w:tc>
          <w:tcPr>
            <w:tcW w:w="1336" w:type="dxa"/>
          </w:tcPr>
          <w:p w14:paraId="5689F991" w14:textId="77777777" w:rsidR="00B643F8" w:rsidRPr="00D74626" w:rsidRDefault="00B643F8" w:rsidP="00D74626">
            <w:pPr>
              <w:spacing w:line="360" w:lineRule="auto"/>
              <w:rPr>
                <w:rFonts w:asciiTheme="majorBidi" w:hAnsiTheme="majorBidi" w:cstheme="majorBidi"/>
                <w:b/>
                <w:bCs/>
                <w:szCs w:val="24"/>
              </w:rPr>
            </w:pPr>
            <w:r w:rsidRPr="00D74626">
              <w:rPr>
                <w:rFonts w:asciiTheme="majorBidi" w:hAnsiTheme="majorBidi" w:cstheme="majorBidi"/>
                <w:b/>
                <w:bCs/>
                <w:szCs w:val="24"/>
              </w:rPr>
              <w:t>AVE</w:t>
            </w:r>
          </w:p>
        </w:tc>
      </w:tr>
      <w:tr w:rsidR="006E3C46" w:rsidRPr="00D74626" w14:paraId="0464F844" w14:textId="77777777" w:rsidTr="009E3FE1">
        <w:tc>
          <w:tcPr>
            <w:tcW w:w="2520" w:type="dxa"/>
          </w:tcPr>
          <w:p w14:paraId="32EB0F6C"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Green Hiring</w:t>
            </w:r>
          </w:p>
        </w:tc>
        <w:tc>
          <w:tcPr>
            <w:tcW w:w="1336" w:type="dxa"/>
            <w:vAlign w:val="center"/>
          </w:tcPr>
          <w:p w14:paraId="7EBB739A" w14:textId="77777777" w:rsidR="00B643F8" w:rsidRPr="00D74626" w:rsidRDefault="00B643F8" w:rsidP="00D74626">
            <w:pPr>
              <w:spacing w:line="360" w:lineRule="auto"/>
              <w:rPr>
                <w:rFonts w:asciiTheme="majorBidi" w:hAnsiTheme="majorBidi" w:cstheme="majorBidi"/>
                <w:b/>
                <w:bCs/>
                <w:szCs w:val="24"/>
              </w:rPr>
            </w:pPr>
          </w:p>
        </w:tc>
        <w:tc>
          <w:tcPr>
            <w:tcW w:w="1336" w:type="dxa"/>
          </w:tcPr>
          <w:p w14:paraId="784EE52F"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0.888</w:t>
            </w:r>
          </w:p>
        </w:tc>
        <w:tc>
          <w:tcPr>
            <w:tcW w:w="1336" w:type="dxa"/>
          </w:tcPr>
          <w:p w14:paraId="05BB413A"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0.893</w:t>
            </w:r>
          </w:p>
        </w:tc>
        <w:tc>
          <w:tcPr>
            <w:tcW w:w="1336" w:type="dxa"/>
          </w:tcPr>
          <w:p w14:paraId="7BC1F900"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0.931</w:t>
            </w:r>
          </w:p>
        </w:tc>
        <w:tc>
          <w:tcPr>
            <w:tcW w:w="1336" w:type="dxa"/>
          </w:tcPr>
          <w:p w14:paraId="5B7A7846"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0.818</w:t>
            </w:r>
          </w:p>
        </w:tc>
      </w:tr>
      <w:tr w:rsidR="006E3C46" w:rsidRPr="00D74626" w14:paraId="3AECE795" w14:textId="77777777" w:rsidTr="009E3FE1">
        <w:tc>
          <w:tcPr>
            <w:tcW w:w="2520" w:type="dxa"/>
          </w:tcPr>
          <w:p w14:paraId="3094EC38"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GH1</w:t>
            </w:r>
          </w:p>
        </w:tc>
        <w:tc>
          <w:tcPr>
            <w:tcW w:w="1336" w:type="dxa"/>
            <w:vAlign w:val="center"/>
          </w:tcPr>
          <w:p w14:paraId="5C36FDEE"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 xml:space="preserve">0.911 </w:t>
            </w:r>
          </w:p>
        </w:tc>
        <w:tc>
          <w:tcPr>
            <w:tcW w:w="1336" w:type="dxa"/>
          </w:tcPr>
          <w:p w14:paraId="44B86848" w14:textId="77777777" w:rsidR="00B643F8" w:rsidRPr="00D74626" w:rsidRDefault="00B643F8" w:rsidP="00D74626">
            <w:pPr>
              <w:spacing w:line="360" w:lineRule="auto"/>
              <w:rPr>
                <w:rFonts w:asciiTheme="majorBidi" w:hAnsiTheme="majorBidi" w:cstheme="majorBidi"/>
                <w:szCs w:val="24"/>
              </w:rPr>
            </w:pPr>
          </w:p>
        </w:tc>
        <w:tc>
          <w:tcPr>
            <w:tcW w:w="1336" w:type="dxa"/>
          </w:tcPr>
          <w:p w14:paraId="71855D4E" w14:textId="77777777" w:rsidR="00B643F8" w:rsidRPr="00D74626" w:rsidRDefault="00B643F8" w:rsidP="00D74626">
            <w:pPr>
              <w:spacing w:line="360" w:lineRule="auto"/>
              <w:rPr>
                <w:rFonts w:asciiTheme="majorBidi" w:hAnsiTheme="majorBidi" w:cstheme="majorBidi"/>
                <w:szCs w:val="24"/>
              </w:rPr>
            </w:pPr>
          </w:p>
        </w:tc>
        <w:tc>
          <w:tcPr>
            <w:tcW w:w="1336" w:type="dxa"/>
          </w:tcPr>
          <w:p w14:paraId="245980A9" w14:textId="77777777" w:rsidR="00B643F8" w:rsidRPr="00D74626" w:rsidRDefault="00B643F8" w:rsidP="00D74626">
            <w:pPr>
              <w:spacing w:line="360" w:lineRule="auto"/>
              <w:rPr>
                <w:rFonts w:asciiTheme="majorBidi" w:hAnsiTheme="majorBidi" w:cstheme="majorBidi"/>
                <w:szCs w:val="24"/>
              </w:rPr>
            </w:pPr>
          </w:p>
        </w:tc>
        <w:tc>
          <w:tcPr>
            <w:tcW w:w="1336" w:type="dxa"/>
          </w:tcPr>
          <w:p w14:paraId="18A988AC" w14:textId="77777777" w:rsidR="00B643F8" w:rsidRPr="00D74626" w:rsidRDefault="00B643F8" w:rsidP="00D74626">
            <w:pPr>
              <w:spacing w:line="360" w:lineRule="auto"/>
              <w:rPr>
                <w:rFonts w:asciiTheme="majorBidi" w:hAnsiTheme="majorBidi" w:cstheme="majorBidi"/>
                <w:szCs w:val="24"/>
              </w:rPr>
            </w:pPr>
          </w:p>
        </w:tc>
      </w:tr>
      <w:tr w:rsidR="006E3C46" w:rsidRPr="00D74626" w14:paraId="27B149D2" w14:textId="77777777" w:rsidTr="009E3FE1">
        <w:tc>
          <w:tcPr>
            <w:tcW w:w="2520" w:type="dxa"/>
          </w:tcPr>
          <w:p w14:paraId="2D7D0257"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GH2</w:t>
            </w:r>
          </w:p>
        </w:tc>
        <w:tc>
          <w:tcPr>
            <w:tcW w:w="1336" w:type="dxa"/>
            <w:vAlign w:val="center"/>
          </w:tcPr>
          <w:p w14:paraId="2FCF9AD3"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 xml:space="preserve">0.893 </w:t>
            </w:r>
          </w:p>
        </w:tc>
        <w:tc>
          <w:tcPr>
            <w:tcW w:w="1336" w:type="dxa"/>
          </w:tcPr>
          <w:p w14:paraId="4A73549D" w14:textId="77777777" w:rsidR="00B643F8" w:rsidRPr="00D74626" w:rsidRDefault="00B643F8" w:rsidP="00D74626">
            <w:pPr>
              <w:spacing w:line="360" w:lineRule="auto"/>
              <w:rPr>
                <w:rFonts w:asciiTheme="majorBidi" w:hAnsiTheme="majorBidi" w:cstheme="majorBidi"/>
                <w:szCs w:val="24"/>
              </w:rPr>
            </w:pPr>
          </w:p>
        </w:tc>
        <w:tc>
          <w:tcPr>
            <w:tcW w:w="1336" w:type="dxa"/>
          </w:tcPr>
          <w:p w14:paraId="4581DB35" w14:textId="77777777" w:rsidR="00B643F8" w:rsidRPr="00D74626" w:rsidRDefault="00B643F8" w:rsidP="00D74626">
            <w:pPr>
              <w:spacing w:line="360" w:lineRule="auto"/>
              <w:rPr>
                <w:rFonts w:asciiTheme="majorBidi" w:hAnsiTheme="majorBidi" w:cstheme="majorBidi"/>
                <w:szCs w:val="24"/>
              </w:rPr>
            </w:pPr>
          </w:p>
        </w:tc>
        <w:tc>
          <w:tcPr>
            <w:tcW w:w="1336" w:type="dxa"/>
          </w:tcPr>
          <w:p w14:paraId="21C367BB" w14:textId="77777777" w:rsidR="00B643F8" w:rsidRPr="00D74626" w:rsidRDefault="00B643F8" w:rsidP="00D74626">
            <w:pPr>
              <w:spacing w:line="360" w:lineRule="auto"/>
              <w:rPr>
                <w:rFonts w:asciiTheme="majorBidi" w:hAnsiTheme="majorBidi" w:cstheme="majorBidi"/>
                <w:szCs w:val="24"/>
              </w:rPr>
            </w:pPr>
          </w:p>
        </w:tc>
        <w:tc>
          <w:tcPr>
            <w:tcW w:w="1336" w:type="dxa"/>
          </w:tcPr>
          <w:p w14:paraId="606F44DA" w14:textId="77777777" w:rsidR="00B643F8" w:rsidRPr="00D74626" w:rsidRDefault="00B643F8" w:rsidP="00D74626">
            <w:pPr>
              <w:spacing w:line="360" w:lineRule="auto"/>
              <w:rPr>
                <w:rFonts w:asciiTheme="majorBidi" w:hAnsiTheme="majorBidi" w:cstheme="majorBidi"/>
                <w:szCs w:val="24"/>
              </w:rPr>
            </w:pPr>
          </w:p>
        </w:tc>
      </w:tr>
      <w:tr w:rsidR="006E3C46" w:rsidRPr="00D74626" w14:paraId="6F4AF0EB" w14:textId="77777777" w:rsidTr="009E3FE1">
        <w:tc>
          <w:tcPr>
            <w:tcW w:w="2520" w:type="dxa"/>
          </w:tcPr>
          <w:p w14:paraId="5769C2F9"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GH3</w:t>
            </w:r>
          </w:p>
        </w:tc>
        <w:tc>
          <w:tcPr>
            <w:tcW w:w="1336" w:type="dxa"/>
            <w:vAlign w:val="center"/>
          </w:tcPr>
          <w:p w14:paraId="0F69A174"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 xml:space="preserve">0.908 </w:t>
            </w:r>
          </w:p>
        </w:tc>
        <w:tc>
          <w:tcPr>
            <w:tcW w:w="1336" w:type="dxa"/>
          </w:tcPr>
          <w:p w14:paraId="62638E32" w14:textId="77777777" w:rsidR="00B643F8" w:rsidRPr="00D74626" w:rsidRDefault="00B643F8" w:rsidP="00D74626">
            <w:pPr>
              <w:spacing w:line="360" w:lineRule="auto"/>
              <w:rPr>
                <w:rFonts w:asciiTheme="majorBidi" w:hAnsiTheme="majorBidi" w:cstheme="majorBidi"/>
                <w:szCs w:val="24"/>
              </w:rPr>
            </w:pPr>
          </w:p>
        </w:tc>
        <w:tc>
          <w:tcPr>
            <w:tcW w:w="1336" w:type="dxa"/>
          </w:tcPr>
          <w:p w14:paraId="2052F0B4" w14:textId="77777777" w:rsidR="00B643F8" w:rsidRPr="00D74626" w:rsidRDefault="00B643F8" w:rsidP="00D74626">
            <w:pPr>
              <w:spacing w:line="360" w:lineRule="auto"/>
              <w:rPr>
                <w:rFonts w:asciiTheme="majorBidi" w:hAnsiTheme="majorBidi" w:cstheme="majorBidi"/>
                <w:szCs w:val="24"/>
              </w:rPr>
            </w:pPr>
          </w:p>
        </w:tc>
        <w:tc>
          <w:tcPr>
            <w:tcW w:w="1336" w:type="dxa"/>
          </w:tcPr>
          <w:p w14:paraId="28E8E962" w14:textId="77777777" w:rsidR="00B643F8" w:rsidRPr="00D74626" w:rsidRDefault="00B643F8" w:rsidP="00D74626">
            <w:pPr>
              <w:spacing w:line="360" w:lineRule="auto"/>
              <w:rPr>
                <w:rFonts w:asciiTheme="majorBidi" w:hAnsiTheme="majorBidi" w:cstheme="majorBidi"/>
                <w:szCs w:val="24"/>
              </w:rPr>
            </w:pPr>
          </w:p>
        </w:tc>
        <w:tc>
          <w:tcPr>
            <w:tcW w:w="1336" w:type="dxa"/>
          </w:tcPr>
          <w:p w14:paraId="0A4E0CBA" w14:textId="77777777" w:rsidR="00B643F8" w:rsidRPr="00D74626" w:rsidRDefault="00B643F8" w:rsidP="00D74626">
            <w:pPr>
              <w:spacing w:line="360" w:lineRule="auto"/>
              <w:rPr>
                <w:rFonts w:asciiTheme="majorBidi" w:hAnsiTheme="majorBidi" w:cstheme="majorBidi"/>
                <w:szCs w:val="24"/>
              </w:rPr>
            </w:pPr>
          </w:p>
        </w:tc>
      </w:tr>
      <w:tr w:rsidR="006E3C46" w:rsidRPr="00D74626" w14:paraId="147CBC47" w14:textId="77777777" w:rsidTr="009E3FE1">
        <w:tc>
          <w:tcPr>
            <w:tcW w:w="2520" w:type="dxa"/>
          </w:tcPr>
          <w:p w14:paraId="64FA70A3" w14:textId="756615E2"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Green Learning</w:t>
            </w:r>
          </w:p>
        </w:tc>
        <w:tc>
          <w:tcPr>
            <w:tcW w:w="1336" w:type="dxa"/>
            <w:vAlign w:val="center"/>
          </w:tcPr>
          <w:p w14:paraId="76BFFBC5" w14:textId="77777777" w:rsidR="00B643F8" w:rsidRPr="00D74626" w:rsidRDefault="00B643F8" w:rsidP="00D74626">
            <w:pPr>
              <w:spacing w:line="360" w:lineRule="auto"/>
              <w:rPr>
                <w:rFonts w:asciiTheme="majorBidi" w:hAnsiTheme="majorBidi" w:cstheme="majorBidi"/>
                <w:szCs w:val="24"/>
              </w:rPr>
            </w:pPr>
          </w:p>
        </w:tc>
        <w:tc>
          <w:tcPr>
            <w:tcW w:w="1336" w:type="dxa"/>
          </w:tcPr>
          <w:p w14:paraId="3E2ABD9C"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0.939</w:t>
            </w:r>
          </w:p>
        </w:tc>
        <w:tc>
          <w:tcPr>
            <w:tcW w:w="1336" w:type="dxa"/>
          </w:tcPr>
          <w:p w14:paraId="08B8EC0E"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0.940</w:t>
            </w:r>
          </w:p>
        </w:tc>
        <w:tc>
          <w:tcPr>
            <w:tcW w:w="1336" w:type="dxa"/>
          </w:tcPr>
          <w:p w14:paraId="39449B85"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0.961</w:t>
            </w:r>
          </w:p>
        </w:tc>
        <w:tc>
          <w:tcPr>
            <w:tcW w:w="1336" w:type="dxa"/>
          </w:tcPr>
          <w:p w14:paraId="180F0D45"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0.891</w:t>
            </w:r>
          </w:p>
        </w:tc>
      </w:tr>
      <w:tr w:rsidR="006E3C46" w:rsidRPr="00D74626" w14:paraId="20139745" w14:textId="77777777" w:rsidTr="009E3FE1">
        <w:tc>
          <w:tcPr>
            <w:tcW w:w="2520" w:type="dxa"/>
          </w:tcPr>
          <w:p w14:paraId="104FA9B7"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GL1</w:t>
            </w:r>
          </w:p>
        </w:tc>
        <w:tc>
          <w:tcPr>
            <w:tcW w:w="1336" w:type="dxa"/>
            <w:vAlign w:val="center"/>
          </w:tcPr>
          <w:p w14:paraId="5B2E949D"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 xml:space="preserve">0.943 </w:t>
            </w:r>
          </w:p>
        </w:tc>
        <w:tc>
          <w:tcPr>
            <w:tcW w:w="1336" w:type="dxa"/>
          </w:tcPr>
          <w:p w14:paraId="250841A6" w14:textId="77777777" w:rsidR="00B643F8" w:rsidRPr="00D74626" w:rsidRDefault="00B643F8" w:rsidP="00D74626">
            <w:pPr>
              <w:spacing w:line="360" w:lineRule="auto"/>
              <w:rPr>
                <w:rFonts w:asciiTheme="majorBidi" w:hAnsiTheme="majorBidi" w:cstheme="majorBidi"/>
                <w:szCs w:val="24"/>
              </w:rPr>
            </w:pPr>
          </w:p>
        </w:tc>
        <w:tc>
          <w:tcPr>
            <w:tcW w:w="1336" w:type="dxa"/>
          </w:tcPr>
          <w:p w14:paraId="48CB4563" w14:textId="77777777" w:rsidR="00B643F8" w:rsidRPr="00D74626" w:rsidRDefault="00B643F8" w:rsidP="00D74626">
            <w:pPr>
              <w:spacing w:line="360" w:lineRule="auto"/>
              <w:rPr>
                <w:rFonts w:asciiTheme="majorBidi" w:hAnsiTheme="majorBidi" w:cstheme="majorBidi"/>
                <w:szCs w:val="24"/>
              </w:rPr>
            </w:pPr>
          </w:p>
        </w:tc>
        <w:tc>
          <w:tcPr>
            <w:tcW w:w="1336" w:type="dxa"/>
          </w:tcPr>
          <w:p w14:paraId="3931B6C4" w14:textId="77777777" w:rsidR="00B643F8" w:rsidRPr="00D74626" w:rsidRDefault="00B643F8" w:rsidP="00D74626">
            <w:pPr>
              <w:spacing w:line="360" w:lineRule="auto"/>
              <w:rPr>
                <w:rFonts w:asciiTheme="majorBidi" w:hAnsiTheme="majorBidi" w:cstheme="majorBidi"/>
                <w:szCs w:val="24"/>
              </w:rPr>
            </w:pPr>
          </w:p>
        </w:tc>
        <w:tc>
          <w:tcPr>
            <w:tcW w:w="1336" w:type="dxa"/>
          </w:tcPr>
          <w:p w14:paraId="433D41D6" w14:textId="77777777" w:rsidR="00B643F8" w:rsidRPr="00D74626" w:rsidRDefault="00B643F8" w:rsidP="00D74626">
            <w:pPr>
              <w:spacing w:line="360" w:lineRule="auto"/>
              <w:rPr>
                <w:rFonts w:asciiTheme="majorBidi" w:hAnsiTheme="majorBidi" w:cstheme="majorBidi"/>
                <w:szCs w:val="24"/>
              </w:rPr>
            </w:pPr>
          </w:p>
        </w:tc>
      </w:tr>
      <w:tr w:rsidR="006E3C46" w:rsidRPr="00D74626" w14:paraId="2230C18F" w14:textId="77777777" w:rsidTr="009E3FE1">
        <w:tc>
          <w:tcPr>
            <w:tcW w:w="2520" w:type="dxa"/>
          </w:tcPr>
          <w:p w14:paraId="2A9EF474"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GL2</w:t>
            </w:r>
          </w:p>
        </w:tc>
        <w:tc>
          <w:tcPr>
            <w:tcW w:w="1336" w:type="dxa"/>
            <w:vAlign w:val="center"/>
          </w:tcPr>
          <w:p w14:paraId="2F14DD6F"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 xml:space="preserve">0.947 </w:t>
            </w:r>
          </w:p>
        </w:tc>
        <w:tc>
          <w:tcPr>
            <w:tcW w:w="1336" w:type="dxa"/>
          </w:tcPr>
          <w:p w14:paraId="4E7FB641" w14:textId="77777777" w:rsidR="00B643F8" w:rsidRPr="00D74626" w:rsidRDefault="00B643F8" w:rsidP="00D74626">
            <w:pPr>
              <w:spacing w:line="360" w:lineRule="auto"/>
              <w:rPr>
                <w:rFonts w:asciiTheme="majorBidi" w:hAnsiTheme="majorBidi" w:cstheme="majorBidi"/>
                <w:szCs w:val="24"/>
              </w:rPr>
            </w:pPr>
          </w:p>
        </w:tc>
        <w:tc>
          <w:tcPr>
            <w:tcW w:w="1336" w:type="dxa"/>
          </w:tcPr>
          <w:p w14:paraId="147FA7AB" w14:textId="77777777" w:rsidR="00B643F8" w:rsidRPr="00D74626" w:rsidRDefault="00B643F8" w:rsidP="00D74626">
            <w:pPr>
              <w:spacing w:line="360" w:lineRule="auto"/>
              <w:rPr>
                <w:rFonts w:asciiTheme="majorBidi" w:hAnsiTheme="majorBidi" w:cstheme="majorBidi"/>
                <w:szCs w:val="24"/>
              </w:rPr>
            </w:pPr>
          </w:p>
        </w:tc>
        <w:tc>
          <w:tcPr>
            <w:tcW w:w="1336" w:type="dxa"/>
          </w:tcPr>
          <w:p w14:paraId="00500C9D" w14:textId="77777777" w:rsidR="00B643F8" w:rsidRPr="00D74626" w:rsidRDefault="00B643F8" w:rsidP="00D74626">
            <w:pPr>
              <w:spacing w:line="360" w:lineRule="auto"/>
              <w:rPr>
                <w:rFonts w:asciiTheme="majorBidi" w:hAnsiTheme="majorBidi" w:cstheme="majorBidi"/>
                <w:szCs w:val="24"/>
              </w:rPr>
            </w:pPr>
          </w:p>
        </w:tc>
        <w:tc>
          <w:tcPr>
            <w:tcW w:w="1336" w:type="dxa"/>
          </w:tcPr>
          <w:p w14:paraId="1A008D13" w14:textId="77777777" w:rsidR="00B643F8" w:rsidRPr="00D74626" w:rsidRDefault="00B643F8" w:rsidP="00D74626">
            <w:pPr>
              <w:spacing w:line="360" w:lineRule="auto"/>
              <w:rPr>
                <w:rFonts w:asciiTheme="majorBidi" w:hAnsiTheme="majorBidi" w:cstheme="majorBidi"/>
                <w:szCs w:val="24"/>
              </w:rPr>
            </w:pPr>
          </w:p>
        </w:tc>
      </w:tr>
      <w:tr w:rsidR="006E3C46" w:rsidRPr="00D74626" w14:paraId="7D1E58A0" w14:textId="77777777" w:rsidTr="009E3FE1">
        <w:tc>
          <w:tcPr>
            <w:tcW w:w="2520" w:type="dxa"/>
          </w:tcPr>
          <w:p w14:paraId="437E60E0"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GL3</w:t>
            </w:r>
          </w:p>
        </w:tc>
        <w:tc>
          <w:tcPr>
            <w:tcW w:w="1336" w:type="dxa"/>
            <w:vAlign w:val="center"/>
          </w:tcPr>
          <w:p w14:paraId="625739D4"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 xml:space="preserve">0.942 </w:t>
            </w:r>
          </w:p>
        </w:tc>
        <w:tc>
          <w:tcPr>
            <w:tcW w:w="1336" w:type="dxa"/>
          </w:tcPr>
          <w:p w14:paraId="47526CA8" w14:textId="77777777" w:rsidR="00B643F8" w:rsidRPr="00D74626" w:rsidRDefault="00B643F8" w:rsidP="00D74626">
            <w:pPr>
              <w:spacing w:line="360" w:lineRule="auto"/>
              <w:rPr>
                <w:rFonts w:asciiTheme="majorBidi" w:hAnsiTheme="majorBidi" w:cstheme="majorBidi"/>
                <w:szCs w:val="24"/>
              </w:rPr>
            </w:pPr>
          </w:p>
        </w:tc>
        <w:tc>
          <w:tcPr>
            <w:tcW w:w="1336" w:type="dxa"/>
          </w:tcPr>
          <w:p w14:paraId="401F3F6D" w14:textId="77777777" w:rsidR="00B643F8" w:rsidRPr="00D74626" w:rsidRDefault="00B643F8" w:rsidP="00D74626">
            <w:pPr>
              <w:spacing w:line="360" w:lineRule="auto"/>
              <w:rPr>
                <w:rFonts w:asciiTheme="majorBidi" w:hAnsiTheme="majorBidi" w:cstheme="majorBidi"/>
                <w:szCs w:val="24"/>
              </w:rPr>
            </w:pPr>
          </w:p>
        </w:tc>
        <w:tc>
          <w:tcPr>
            <w:tcW w:w="1336" w:type="dxa"/>
          </w:tcPr>
          <w:p w14:paraId="09D0FCA3" w14:textId="77777777" w:rsidR="00B643F8" w:rsidRPr="00D74626" w:rsidRDefault="00B643F8" w:rsidP="00D74626">
            <w:pPr>
              <w:spacing w:line="360" w:lineRule="auto"/>
              <w:rPr>
                <w:rFonts w:asciiTheme="majorBidi" w:hAnsiTheme="majorBidi" w:cstheme="majorBidi"/>
                <w:szCs w:val="24"/>
              </w:rPr>
            </w:pPr>
          </w:p>
        </w:tc>
        <w:tc>
          <w:tcPr>
            <w:tcW w:w="1336" w:type="dxa"/>
          </w:tcPr>
          <w:p w14:paraId="3178A9FF" w14:textId="77777777" w:rsidR="00B643F8" w:rsidRPr="00D74626" w:rsidRDefault="00B643F8" w:rsidP="00D74626">
            <w:pPr>
              <w:spacing w:line="360" w:lineRule="auto"/>
              <w:rPr>
                <w:rFonts w:asciiTheme="majorBidi" w:hAnsiTheme="majorBidi" w:cstheme="majorBidi"/>
                <w:szCs w:val="24"/>
              </w:rPr>
            </w:pPr>
          </w:p>
        </w:tc>
      </w:tr>
      <w:tr w:rsidR="006E3C46" w:rsidRPr="00D74626" w14:paraId="3083A9ED" w14:textId="77777777" w:rsidTr="009E3FE1">
        <w:tc>
          <w:tcPr>
            <w:tcW w:w="2520" w:type="dxa"/>
          </w:tcPr>
          <w:p w14:paraId="103AECC9"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 xml:space="preserve">Self-Efficacy </w:t>
            </w:r>
          </w:p>
        </w:tc>
        <w:tc>
          <w:tcPr>
            <w:tcW w:w="1336" w:type="dxa"/>
            <w:vAlign w:val="center"/>
          </w:tcPr>
          <w:p w14:paraId="3F9A9BD5" w14:textId="77777777" w:rsidR="00B643F8" w:rsidRPr="00D74626" w:rsidRDefault="00B643F8" w:rsidP="00D74626">
            <w:pPr>
              <w:spacing w:line="360" w:lineRule="auto"/>
              <w:rPr>
                <w:rFonts w:asciiTheme="majorBidi" w:hAnsiTheme="majorBidi" w:cstheme="majorBidi"/>
                <w:szCs w:val="24"/>
              </w:rPr>
            </w:pPr>
          </w:p>
        </w:tc>
        <w:tc>
          <w:tcPr>
            <w:tcW w:w="1336" w:type="dxa"/>
          </w:tcPr>
          <w:p w14:paraId="295918CA"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0.821</w:t>
            </w:r>
          </w:p>
        </w:tc>
        <w:tc>
          <w:tcPr>
            <w:tcW w:w="1336" w:type="dxa"/>
          </w:tcPr>
          <w:p w14:paraId="5A18D220"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0.830</w:t>
            </w:r>
          </w:p>
        </w:tc>
        <w:tc>
          <w:tcPr>
            <w:tcW w:w="1336" w:type="dxa"/>
          </w:tcPr>
          <w:p w14:paraId="0542002D"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0.882</w:t>
            </w:r>
          </w:p>
        </w:tc>
        <w:tc>
          <w:tcPr>
            <w:tcW w:w="1336" w:type="dxa"/>
          </w:tcPr>
          <w:p w14:paraId="500D7D10"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0.652</w:t>
            </w:r>
          </w:p>
        </w:tc>
      </w:tr>
      <w:tr w:rsidR="006E3C46" w:rsidRPr="00D74626" w14:paraId="045307CD" w14:textId="77777777" w:rsidTr="009E3FE1">
        <w:tc>
          <w:tcPr>
            <w:tcW w:w="2520" w:type="dxa"/>
          </w:tcPr>
          <w:p w14:paraId="461ABE24"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SE1</w:t>
            </w:r>
          </w:p>
        </w:tc>
        <w:tc>
          <w:tcPr>
            <w:tcW w:w="1336" w:type="dxa"/>
            <w:vAlign w:val="center"/>
          </w:tcPr>
          <w:p w14:paraId="0AFD4B24"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 xml:space="preserve">0.747 </w:t>
            </w:r>
          </w:p>
        </w:tc>
        <w:tc>
          <w:tcPr>
            <w:tcW w:w="1336" w:type="dxa"/>
          </w:tcPr>
          <w:p w14:paraId="3238524F" w14:textId="77777777" w:rsidR="00B643F8" w:rsidRPr="00D74626" w:rsidRDefault="00B643F8" w:rsidP="00D74626">
            <w:pPr>
              <w:spacing w:line="360" w:lineRule="auto"/>
              <w:rPr>
                <w:rFonts w:asciiTheme="majorBidi" w:hAnsiTheme="majorBidi" w:cstheme="majorBidi"/>
                <w:szCs w:val="24"/>
              </w:rPr>
            </w:pPr>
          </w:p>
        </w:tc>
        <w:tc>
          <w:tcPr>
            <w:tcW w:w="1336" w:type="dxa"/>
          </w:tcPr>
          <w:p w14:paraId="35BA7D50" w14:textId="77777777" w:rsidR="00B643F8" w:rsidRPr="00D74626" w:rsidRDefault="00B643F8" w:rsidP="00D74626">
            <w:pPr>
              <w:spacing w:line="360" w:lineRule="auto"/>
              <w:rPr>
                <w:rFonts w:asciiTheme="majorBidi" w:hAnsiTheme="majorBidi" w:cstheme="majorBidi"/>
                <w:szCs w:val="24"/>
              </w:rPr>
            </w:pPr>
          </w:p>
        </w:tc>
        <w:tc>
          <w:tcPr>
            <w:tcW w:w="1336" w:type="dxa"/>
          </w:tcPr>
          <w:p w14:paraId="4E662D05" w14:textId="77777777" w:rsidR="00B643F8" w:rsidRPr="00D74626" w:rsidRDefault="00B643F8" w:rsidP="00D74626">
            <w:pPr>
              <w:spacing w:line="360" w:lineRule="auto"/>
              <w:rPr>
                <w:rFonts w:asciiTheme="majorBidi" w:hAnsiTheme="majorBidi" w:cstheme="majorBidi"/>
                <w:szCs w:val="24"/>
              </w:rPr>
            </w:pPr>
          </w:p>
        </w:tc>
        <w:tc>
          <w:tcPr>
            <w:tcW w:w="1336" w:type="dxa"/>
          </w:tcPr>
          <w:p w14:paraId="40D9F32E" w14:textId="77777777" w:rsidR="00B643F8" w:rsidRPr="00D74626" w:rsidRDefault="00B643F8" w:rsidP="00D74626">
            <w:pPr>
              <w:spacing w:line="360" w:lineRule="auto"/>
              <w:rPr>
                <w:rFonts w:asciiTheme="majorBidi" w:hAnsiTheme="majorBidi" w:cstheme="majorBidi"/>
                <w:szCs w:val="24"/>
              </w:rPr>
            </w:pPr>
          </w:p>
        </w:tc>
      </w:tr>
      <w:tr w:rsidR="006E3C46" w:rsidRPr="00D74626" w14:paraId="74088F98" w14:textId="77777777" w:rsidTr="009E3FE1">
        <w:tc>
          <w:tcPr>
            <w:tcW w:w="2520" w:type="dxa"/>
          </w:tcPr>
          <w:p w14:paraId="005F0005"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SE2</w:t>
            </w:r>
          </w:p>
        </w:tc>
        <w:tc>
          <w:tcPr>
            <w:tcW w:w="1336" w:type="dxa"/>
            <w:vAlign w:val="center"/>
          </w:tcPr>
          <w:p w14:paraId="57906A4D"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 xml:space="preserve">0.843 </w:t>
            </w:r>
          </w:p>
        </w:tc>
        <w:tc>
          <w:tcPr>
            <w:tcW w:w="1336" w:type="dxa"/>
          </w:tcPr>
          <w:p w14:paraId="5A4AE570" w14:textId="77777777" w:rsidR="00B643F8" w:rsidRPr="00D74626" w:rsidRDefault="00B643F8" w:rsidP="00D74626">
            <w:pPr>
              <w:spacing w:line="360" w:lineRule="auto"/>
              <w:rPr>
                <w:rFonts w:asciiTheme="majorBidi" w:hAnsiTheme="majorBidi" w:cstheme="majorBidi"/>
                <w:szCs w:val="24"/>
              </w:rPr>
            </w:pPr>
          </w:p>
        </w:tc>
        <w:tc>
          <w:tcPr>
            <w:tcW w:w="1336" w:type="dxa"/>
          </w:tcPr>
          <w:p w14:paraId="0650DD45" w14:textId="77777777" w:rsidR="00B643F8" w:rsidRPr="00D74626" w:rsidRDefault="00B643F8" w:rsidP="00D74626">
            <w:pPr>
              <w:spacing w:line="360" w:lineRule="auto"/>
              <w:rPr>
                <w:rFonts w:asciiTheme="majorBidi" w:hAnsiTheme="majorBidi" w:cstheme="majorBidi"/>
                <w:szCs w:val="24"/>
              </w:rPr>
            </w:pPr>
          </w:p>
        </w:tc>
        <w:tc>
          <w:tcPr>
            <w:tcW w:w="1336" w:type="dxa"/>
          </w:tcPr>
          <w:p w14:paraId="674562E6" w14:textId="77777777" w:rsidR="00B643F8" w:rsidRPr="00D74626" w:rsidRDefault="00B643F8" w:rsidP="00D74626">
            <w:pPr>
              <w:spacing w:line="360" w:lineRule="auto"/>
              <w:rPr>
                <w:rFonts w:asciiTheme="majorBidi" w:hAnsiTheme="majorBidi" w:cstheme="majorBidi"/>
                <w:szCs w:val="24"/>
              </w:rPr>
            </w:pPr>
          </w:p>
        </w:tc>
        <w:tc>
          <w:tcPr>
            <w:tcW w:w="1336" w:type="dxa"/>
          </w:tcPr>
          <w:p w14:paraId="6BF012A7" w14:textId="77777777" w:rsidR="00B643F8" w:rsidRPr="00D74626" w:rsidRDefault="00B643F8" w:rsidP="00D74626">
            <w:pPr>
              <w:spacing w:line="360" w:lineRule="auto"/>
              <w:rPr>
                <w:rFonts w:asciiTheme="majorBidi" w:hAnsiTheme="majorBidi" w:cstheme="majorBidi"/>
                <w:szCs w:val="24"/>
              </w:rPr>
            </w:pPr>
          </w:p>
        </w:tc>
      </w:tr>
      <w:tr w:rsidR="006E3C46" w:rsidRPr="00D74626" w14:paraId="6C5E284B" w14:textId="77777777" w:rsidTr="009E3FE1">
        <w:tc>
          <w:tcPr>
            <w:tcW w:w="2520" w:type="dxa"/>
          </w:tcPr>
          <w:p w14:paraId="0779AF09"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SE3</w:t>
            </w:r>
          </w:p>
        </w:tc>
        <w:tc>
          <w:tcPr>
            <w:tcW w:w="1336" w:type="dxa"/>
            <w:vAlign w:val="center"/>
          </w:tcPr>
          <w:p w14:paraId="623CA6A3"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 xml:space="preserve">0.849 </w:t>
            </w:r>
          </w:p>
        </w:tc>
        <w:tc>
          <w:tcPr>
            <w:tcW w:w="1336" w:type="dxa"/>
          </w:tcPr>
          <w:p w14:paraId="4BD1A829" w14:textId="77777777" w:rsidR="00B643F8" w:rsidRPr="00D74626" w:rsidRDefault="00B643F8" w:rsidP="00D74626">
            <w:pPr>
              <w:spacing w:line="360" w:lineRule="auto"/>
              <w:rPr>
                <w:rFonts w:asciiTheme="majorBidi" w:hAnsiTheme="majorBidi" w:cstheme="majorBidi"/>
                <w:szCs w:val="24"/>
              </w:rPr>
            </w:pPr>
          </w:p>
        </w:tc>
        <w:tc>
          <w:tcPr>
            <w:tcW w:w="1336" w:type="dxa"/>
          </w:tcPr>
          <w:p w14:paraId="452D0AC8" w14:textId="77777777" w:rsidR="00B643F8" w:rsidRPr="00D74626" w:rsidRDefault="00B643F8" w:rsidP="00D74626">
            <w:pPr>
              <w:spacing w:line="360" w:lineRule="auto"/>
              <w:rPr>
                <w:rFonts w:asciiTheme="majorBidi" w:hAnsiTheme="majorBidi" w:cstheme="majorBidi"/>
                <w:szCs w:val="24"/>
              </w:rPr>
            </w:pPr>
          </w:p>
        </w:tc>
        <w:tc>
          <w:tcPr>
            <w:tcW w:w="1336" w:type="dxa"/>
          </w:tcPr>
          <w:p w14:paraId="6C0364FC" w14:textId="77777777" w:rsidR="00B643F8" w:rsidRPr="00D74626" w:rsidRDefault="00B643F8" w:rsidP="00D74626">
            <w:pPr>
              <w:spacing w:line="360" w:lineRule="auto"/>
              <w:rPr>
                <w:rFonts w:asciiTheme="majorBidi" w:hAnsiTheme="majorBidi" w:cstheme="majorBidi"/>
                <w:szCs w:val="24"/>
              </w:rPr>
            </w:pPr>
          </w:p>
        </w:tc>
        <w:tc>
          <w:tcPr>
            <w:tcW w:w="1336" w:type="dxa"/>
          </w:tcPr>
          <w:p w14:paraId="5945F894" w14:textId="77777777" w:rsidR="00B643F8" w:rsidRPr="00D74626" w:rsidRDefault="00B643F8" w:rsidP="00D74626">
            <w:pPr>
              <w:spacing w:line="360" w:lineRule="auto"/>
              <w:rPr>
                <w:rFonts w:asciiTheme="majorBidi" w:hAnsiTheme="majorBidi" w:cstheme="majorBidi"/>
                <w:szCs w:val="24"/>
              </w:rPr>
            </w:pPr>
          </w:p>
        </w:tc>
      </w:tr>
      <w:tr w:rsidR="006E3C46" w:rsidRPr="00D74626" w14:paraId="07BDA297" w14:textId="77777777" w:rsidTr="009E3FE1">
        <w:tc>
          <w:tcPr>
            <w:tcW w:w="2520" w:type="dxa"/>
          </w:tcPr>
          <w:p w14:paraId="733CBFFA"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SE4</w:t>
            </w:r>
          </w:p>
        </w:tc>
        <w:tc>
          <w:tcPr>
            <w:tcW w:w="1336" w:type="dxa"/>
            <w:vAlign w:val="center"/>
          </w:tcPr>
          <w:p w14:paraId="7C9DC809"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 xml:space="preserve">0.784 </w:t>
            </w:r>
          </w:p>
        </w:tc>
        <w:tc>
          <w:tcPr>
            <w:tcW w:w="1336" w:type="dxa"/>
          </w:tcPr>
          <w:p w14:paraId="4C1008F7" w14:textId="77777777" w:rsidR="00B643F8" w:rsidRPr="00D74626" w:rsidRDefault="00B643F8" w:rsidP="00D74626">
            <w:pPr>
              <w:spacing w:line="360" w:lineRule="auto"/>
              <w:rPr>
                <w:rFonts w:asciiTheme="majorBidi" w:hAnsiTheme="majorBidi" w:cstheme="majorBidi"/>
                <w:szCs w:val="24"/>
              </w:rPr>
            </w:pPr>
          </w:p>
        </w:tc>
        <w:tc>
          <w:tcPr>
            <w:tcW w:w="1336" w:type="dxa"/>
          </w:tcPr>
          <w:p w14:paraId="1E34C3C6" w14:textId="77777777" w:rsidR="00B643F8" w:rsidRPr="00D74626" w:rsidRDefault="00B643F8" w:rsidP="00D74626">
            <w:pPr>
              <w:spacing w:line="360" w:lineRule="auto"/>
              <w:rPr>
                <w:rFonts w:asciiTheme="majorBidi" w:hAnsiTheme="majorBidi" w:cstheme="majorBidi"/>
                <w:szCs w:val="24"/>
              </w:rPr>
            </w:pPr>
          </w:p>
        </w:tc>
        <w:tc>
          <w:tcPr>
            <w:tcW w:w="1336" w:type="dxa"/>
          </w:tcPr>
          <w:p w14:paraId="694746D0" w14:textId="77777777" w:rsidR="00B643F8" w:rsidRPr="00D74626" w:rsidRDefault="00B643F8" w:rsidP="00D74626">
            <w:pPr>
              <w:spacing w:line="360" w:lineRule="auto"/>
              <w:rPr>
                <w:rFonts w:asciiTheme="majorBidi" w:hAnsiTheme="majorBidi" w:cstheme="majorBidi"/>
                <w:szCs w:val="24"/>
              </w:rPr>
            </w:pPr>
          </w:p>
        </w:tc>
        <w:tc>
          <w:tcPr>
            <w:tcW w:w="1336" w:type="dxa"/>
          </w:tcPr>
          <w:p w14:paraId="6E748921" w14:textId="77777777" w:rsidR="00B643F8" w:rsidRPr="00D74626" w:rsidRDefault="00B643F8" w:rsidP="00D74626">
            <w:pPr>
              <w:spacing w:line="360" w:lineRule="auto"/>
              <w:rPr>
                <w:rFonts w:asciiTheme="majorBidi" w:hAnsiTheme="majorBidi" w:cstheme="majorBidi"/>
                <w:szCs w:val="24"/>
              </w:rPr>
            </w:pPr>
          </w:p>
        </w:tc>
      </w:tr>
      <w:tr w:rsidR="006E3C46" w:rsidRPr="00D74626" w14:paraId="57B19192" w14:textId="77777777" w:rsidTr="009E3FE1">
        <w:tc>
          <w:tcPr>
            <w:tcW w:w="2520" w:type="dxa"/>
          </w:tcPr>
          <w:p w14:paraId="1113280A"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Talent Retention</w:t>
            </w:r>
          </w:p>
        </w:tc>
        <w:tc>
          <w:tcPr>
            <w:tcW w:w="1336" w:type="dxa"/>
            <w:vAlign w:val="center"/>
          </w:tcPr>
          <w:p w14:paraId="26F3CF6A" w14:textId="77777777" w:rsidR="00B643F8" w:rsidRPr="00D74626" w:rsidRDefault="00B643F8" w:rsidP="00D74626">
            <w:pPr>
              <w:spacing w:line="360" w:lineRule="auto"/>
              <w:rPr>
                <w:rFonts w:asciiTheme="majorBidi" w:hAnsiTheme="majorBidi" w:cstheme="majorBidi"/>
                <w:szCs w:val="24"/>
              </w:rPr>
            </w:pPr>
          </w:p>
        </w:tc>
        <w:tc>
          <w:tcPr>
            <w:tcW w:w="1336" w:type="dxa"/>
          </w:tcPr>
          <w:p w14:paraId="7268EFCB"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0.854</w:t>
            </w:r>
          </w:p>
        </w:tc>
        <w:tc>
          <w:tcPr>
            <w:tcW w:w="1336" w:type="dxa"/>
          </w:tcPr>
          <w:p w14:paraId="3EC43A3A"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0.890</w:t>
            </w:r>
          </w:p>
        </w:tc>
        <w:tc>
          <w:tcPr>
            <w:tcW w:w="1336" w:type="dxa"/>
          </w:tcPr>
          <w:p w14:paraId="08FAAA1A"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0.900</w:t>
            </w:r>
          </w:p>
        </w:tc>
        <w:tc>
          <w:tcPr>
            <w:tcW w:w="1336" w:type="dxa"/>
          </w:tcPr>
          <w:p w14:paraId="135C518F"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0.693</w:t>
            </w:r>
          </w:p>
        </w:tc>
      </w:tr>
      <w:tr w:rsidR="006E3C46" w:rsidRPr="00D74626" w14:paraId="5286DE1E" w14:textId="77777777" w:rsidTr="009E3FE1">
        <w:tc>
          <w:tcPr>
            <w:tcW w:w="2520" w:type="dxa"/>
          </w:tcPr>
          <w:p w14:paraId="522A77D6"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TR1</w:t>
            </w:r>
          </w:p>
        </w:tc>
        <w:tc>
          <w:tcPr>
            <w:tcW w:w="1336" w:type="dxa"/>
            <w:vAlign w:val="center"/>
          </w:tcPr>
          <w:p w14:paraId="424438DD"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 xml:space="preserve">0.844 </w:t>
            </w:r>
          </w:p>
        </w:tc>
        <w:tc>
          <w:tcPr>
            <w:tcW w:w="1336" w:type="dxa"/>
          </w:tcPr>
          <w:p w14:paraId="4E46543F" w14:textId="77777777" w:rsidR="00B643F8" w:rsidRPr="00D74626" w:rsidRDefault="00B643F8" w:rsidP="00D74626">
            <w:pPr>
              <w:spacing w:line="360" w:lineRule="auto"/>
              <w:rPr>
                <w:rFonts w:asciiTheme="majorBidi" w:hAnsiTheme="majorBidi" w:cstheme="majorBidi"/>
                <w:szCs w:val="24"/>
              </w:rPr>
            </w:pPr>
          </w:p>
        </w:tc>
        <w:tc>
          <w:tcPr>
            <w:tcW w:w="1336" w:type="dxa"/>
          </w:tcPr>
          <w:p w14:paraId="7B1AC62E" w14:textId="77777777" w:rsidR="00B643F8" w:rsidRPr="00D74626" w:rsidRDefault="00B643F8" w:rsidP="00D74626">
            <w:pPr>
              <w:spacing w:line="360" w:lineRule="auto"/>
              <w:rPr>
                <w:rFonts w:asciiTheme="majorBidi" w:hAnsiTheme="majorBidi" w:cstheme="majorBidi"/>
                <w:szCs w:val="24"/>
              </w:rPr>
            </w:pPr>
          </w:p>
        </w:tc>
        <w:tc>
          <w:tcPr>
            <w:tcW w:w="1336" w:type="dxa"/>
          </w:tcPr>
          <w:p w14:paraId="4D31D5FC" w14:textId="77777777" w:rsidR="00B643F8" w:rsidRPr="00D74626" w:rsidRDefault="00B643F8" w:rsidP="00D74626">
            <w:pPr>
              <w:spacing w:line="360" w:lineRule="auto"/>
              <w:rPr>
                <w:rFonts w:asciiTheme="majorBidi" w:hAnsiTheme="majorBidi" w:cstheme="majorBidi"/>
                <w:szCs w:val="24"/>
              </w:rPr>
            </w:pPr>
          </w:p>
        </w:tc>
        <w:tc>
          <w:tcPr>
            <w:tcW w:w="1336" w:type="dxa"/>
          </w:tcPr>
          <w:p w14:paraId="0BEB0761" w14:textId="77777777" w:rsidR="00B643F8" w:rsidRPr="00D74626" w:rsidRDefault="00B643F8" w:rsidP="00D74626">
            <w:pPr>
              <w:spacing w:line="360" w:lineRule="auto"/>
              <w:rPr>
                <w:rFonts w:asciiTheme="majorBidi" w:hAnsiTheme="majorBidi" w:cstheme="majorBidi"/>
                <w:szCs w:val="24"/>
              </w:rPr>
            </w:pPr>
          </w:p>
        </w:tc>
      </w:tr>
      <w:tr w:rsidR="006E3C46" w:rsidRPr="00D74626" w14:paraId="0C71E04D" w14:textId="77777777" w:rsidTr="009E3FE1">
        <w:tc>
          <w:tcPr>
            <w:tcW w:w="2520" w:type="dxa"/>
          </w:tcPr>
          <w:p w14:paraId="1B04027D"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TR2</w:t>
            </w:r>
          </w:p>
        </w:tc>
        <w:tc>
          <w:tcPr>
            <w:tcW w:w="1336" w:type="dxa"/>
            <w:vAlign w:val="center"/>
          </w:tcPr>
          <w:p w14:paraId="03E023DF"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 xml:space="preserve">0.790 </w:t>
            </w:r>
          </w:p>
        </w:tc>
        <w:tc>
          <w:tcPr>
            <w:tcW w:w="1336" w:type="dxa"/>
          </w:tcPr>
          <w:p w14:paraId="48CCC6CD" w14:textId="77777777" w:rsidR="00B643F8" w:rsidRPr="00D74626" w:rsidRDefault="00B643F8" w:rsidP="00D74626">
            <w:pPr>
              <w:spacing w:line="360" w:lineRule="auto"/>
              <w:rPr>
                <w:rFonts w:asciiTheme="majorBidi" w:hAnsiTheme="majorBidi" w:cstheme="majorBidi"/>
                <w:szCs w:val="24"/>
              </w:rPr>
            </w:pPr>
          </w:p>
        </w:tc>
        <w:tc>
          <w:tcPr>
            <w:tcW w:w="1336" w:type="dxa"/>
          </w:tcPr>
          <w:p w14:paraId="72F3876D" w14:textId="77777777" w:rsidR="00B643F8" w:rsidRPr="00D74626" w:rsidRDefault="00B643F8" w:rsidP="00D74626">
            <w:pPr>
              <w:spacing w:line="360" w:lineRule="auto"/>
              <w:rPr>
                <w:rFonts w:asciiTheme="majorBidi" w:hAnsiTheme="majorBidi" w:cstheme="majorBidi"/>
                <w:szCs w:val="24"/>
              </w:rPr>
            </w:pPr>
          </w:p>
        </w:tc>
        <w:tc>
          <w:tcPr>
            <w:tcW w:w="1336" w:type="dxa"/>
          </w:tcPr>
          <w:p w14:paraId="039F6274" w14:textId="77777777" w:rsidR="00B643F8" w:rsidRPr="00D74626" w:rsidRDefault="00B643F8" w:rsidP="00D74626">
            <w:pPr>
              <w:spacing w:line="360" w:lineRule="auto"/>
              <w:rPr>
                <w:rFonts w:asciiTheme="majorBidi" w:hAnsiTheme="majorBidi" w:cstheme="majorBidi"/>
                <w:szCs w:val="24"/>
              </w:rPr>
            </w:pPr>
          </w:p>
        </w:tc>
        <w:tc>
          <w:tcPr>
            <w:tcW w:w="1336" w:type="dxa"/>
          </w:tcPr>
          <w:p w14:paraId="1490A761" w14:textId="77777777" w:rsidR="00B643F8" w:rsidRPr="00D74626" w:rsidRDefault="00B643F8" w:rsidP="00D74626">
            <w:pPr>
              <w:spacing w:line="360" w:lineRule="auto"/>
              <w:rPr>
                <w:rFonts w:asciiTheme="majorBidi" w:hAnsiTheme="majorBidi" w:cstheme="majorBidi"/>
                <w:szCs w:val="24"/>
              </w:rPr>
            </w:pPr>
          </w:p>
        </w:tc>
      </w:tr>
      <w:tr w:rsidR="006E3C46" w:rsidRPr="00D74626" w14:paraId="67AAC589" w14:textId="77777777" w:rsidTr="009E3FE1">
        <w:tc>
          <w:tcPr>
            <w:tcW w:w="2520" w:type="dxa"/>
          </w:tcPr>
          <w:p w14:paraId="07B695F6"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TR3</w:t>
            </w:r>
          </w:p>
        </w:tc>
        <w:tc>
          <w:tcPr>
            <w:tcW w:w="1336" w:type="dxa"/>
            <w:vAlign w:val="center"/>
          </w:tcPr>
          <w:p w14:paraId="02A3A363"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 xml:space="preserve">0.794 </w:t>
            </w:r>
          </w:p>
        </w:tc>
        <w:tc>
          <w:tcPr>
            <w:tcW w:w="1336" w:type="dxa"/>
          </w:tcPr>
          <w:p w14:paraId="5ABFB619" w14:textId="77777777" w:rsidR="00B643F8" w:rsidRPr="00D74626" w:rsidRDefault="00B643F8" w:rsidP="00D74626">
            <w:pPr>
              <w:spacing w:line="360" w:lineRule="auto"/>
              <w:rPr>
                <w:rFonts w:asciiTheme="majorBidi" w:hAnsiTheme="majorBidi" w:cstheme="majorBidi"/>
                <w:szCs w:val="24"/>
              </w:rPr>
            </w:pPr>
          </w:p>
        </w:tc>
        <w:tc>
          <w:tcPr>
            <w:tcW w:w="1336" w:type="dxa"/>
          </w:tcPr>
          <w:p w14:paraId="07B9D293" w14:textId="77777777" w:rsidR="00B643F8" w:rsidRPr="00D74626" w:rsidRDefault="00B643F8" w:rsidP="00D74626">
            <w:pPr>
              <w:spacing w:line="360" w:lineRule="auto"/>
              <w:rPr>
                <w:rFonts w:asciiTheme="majorBidi" w:hAnsiTheme="majorBidi" w:cstheme="majorBidi"/>
                <w:szCs w:val="24"/>
              </w:rPr>
            </w:pPr>
          </w:p>
        </w:tc>
        <w:tc>
          <w:tcPr>
            <w:tcW w:w="1336" w:type="dxa"/>
          </w:tcPr>
          <w:p w14:paraId="7ED014AF" w14:textId="77777777" w:rsidR="00B643F8" w:rsidRPr="00D74626" w:rsidRDefault="00B643F8" w:rsidP="00D74626">
            <w:pPr>
              <w:spacing w:line="360" w:lineRule="auto"/>
              <w:rPr>
                <w:rFonts w:asciiTheme="majorBidi" w:hAnsiTheme="majorBidi" w:cstheme="majorBidi"/>
                <w:szCs w:val="24"/>
              </w:rPr>
            </w:pPr>
          </w:p>
        </w:tc>
        <w:tc>
          <w:tcPr>
            <w:tcW w:w="1336" w:type="dxa"/>
          </w:tcPr>
          <w:p w14:paraId="0FB68220" w14:textId="77777777" w:rsidR="00B643F8" w:rsidRPr="00D74626" w:rsidRDefault="00B643F8" w:rsidP="00D74626">
            <w:pPr>
              <w:spacing w:line="360" w:lineRule="auto"/>
              <w:rPr>
                <w:rFonts w:asciiTheme="majorBidi" w:hAnsiTheme="majorBidi" w:cstheme="majorBidi"/>
                <w:szCs w:val="24"/>
              </w:rPr>
            </w:pPr>
          </w:p>
        </w:tc>
      </w:tr>
      <w:tr w:rsidR="00B643F8" w:rsidRPr="00D74626" w14:paraId="6D3A83C5" w14:textId="77777777" w:rsidTr="009E3FE1">
        <w:tc>
          <w:tcPr>
            <w:tcW w:w="2520" w:type="dxa"/>
          </w:tcPr>
          <w:p w14:paraId="1D6916A7"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TR4</w:t>
            </w:r>
          </w:p>
        </w:tc>
        <w:tc>
          <w:tcPr>
            <w:tcW w:w="1336" w:type="dxa"/>
            <w:vAlign w:val="center"/>
          </w:tcPr>
          <w:p w14:paraId="6396BE23" w14:textId="77777777" w:rsidR="00B643F8" w:rsidRPr="00D74626" w:rsidRDefault="00B643F8" w:rsidP="00D74626">
            <w:pPr>
              <w:spacing w:line="360" w:lineRule="auto"/>
              <w:rPr>
                <w:rFonts w:asciiTheme="majorBidi" w:hAnsiTheme="majorBidi" w:cstheme="majorBidi"/>
                <w:szCs w:val="24"/>
              </w:rPr>
            </w:pPr>
            <w:r w:rsidRPr="00D74626">
              <w:rPr>
                <w:rFonts w:asciiTheme="majorBidi" w:hAnsiTheme="majorBidi" w:cstheme="majorBidi"/>
                <w:szCs w:val="24"/>
              </w:rPr>
              <w:t xml:space="preserve">0.896 </w:t>
            </w:r>
          </w:p>
        </w:tc>
        <w:tc>
          <w:tcPr>
            <w:tcW w:w="1336" w:type="dxa"/>
          </w:tcPr>
          <w:p w14:paraId="29092AC5" w14:textId="77777777" w:rsidR="00B643F8" w:rsidRPr="00D74626" w:rsidRDefault="00B643F8" w:rsidP="00D74626">
            <w:pPr>
              <w:spacing w:line="360" w:lineRule="auto"/>
              <w:rPr>
                <w:rFonts w:asciiTheme="majorBidi" w:hAnsiTheme="majorBidi" w:cstheme="majorBidi"/>
                <w:szCs w:val="24"/>
              </w:rPr>
            </w:pPr>
          </w:p>
        </w:tc>
        <w:tc>
          <w:tcPr>
            <w:tcW w:w="1336" w:type="dxa"/>
          </w:tcPr>
          <w:p w14:paraId="5FBA8A2D" w14:textId="77777777" w:rsidR="00B643F8" w:rsidRPr="00D74626" w:rsidRDefault="00B643F8" w:rsidP="00D74626">
            <w:pPr>
              <w:spacing w:line="360" w:lineRule="auto"/>
              <w:rPr>
                <w:rFonts w:asciiTheme="majorBidi" w:hAnsiTheme="majorBidi" w:cstheme="majorBidi"/>
                <w:szCs w:val="24"/>
              </w:rPr>
            </w:pPr>
          </w:p>
        </w:tc>
        <w:tc>
          <w:tcPr>
            <w:tcW w:w="1336" w:type="dxa"/>
          </w:tcPr>
          <w:p w14:paraId="1253CC8C" w14:textId="77777777" w:rsidR="00B643F8" w:rsidRPr="00D74626" w:rsidRDefault="00B643F8" w:rsidP="00D74626">
            <w:pPr>
              <w:spacing w:line="360" w:lineRule="auto"/>
              <w:rPr>
                <w:rFonts w:asciiTheme="majorBidi" w:hAnsiTheme="majorBidi" w:cstheme="majorBidi"/>
                <w:szCs w:val="24"/>
              </w:rPr>
            </w:pPr>
          </w:p>
        </w:tc>
        <w:tc>
          <w:tcPr>
            <w:tcW w:w="1336" w:type="dxa"/>
          </w:tcPr>
          <w:p w14:paraId="33DAD56D" w14:textId="77777777" w:rsidR="00B643F8" w:rsidRPr="00D74626" w:rsidRDefault="00B643F8" w:rsidP="00D74626">
            <w:pPr>
              <w:spacing w:line="360" w:lineRule="auto"/>
              <w:rPr>
                <w:rFonts w:asciiTheme="majorBidi" w:hAnsiTheme="majorBidi" w:cstheme="majorBidi"/>
                <w:szCs w:val="24"/>
              </w:rPr>
            </w:pPr>
          </w:p>
        </w:tc>
      </w:tr>
    </w:tbl>
    <w:p w14:paraId="6F8D5F98" w14:textId="77777777" w:rsidR="00AF2F3C" w:rsidRPr="00D74626" w:rsidRDefault="00AF2F3C" w:rsidP="00D74626">
      <w:pPr>
        <w:spacing w:line="360" w:lineRule="auto"/>
        <w:rPr>
          <w:rFonts w:asciiTheme="majorBidi" w:hAnsiTheme="majorBidi" w:cstheme="majorBidi"/>
          <w:sz w:val="24"/>
          <w:szCs w:val="24"/>
          <w:shd w:val="clear" w:color="auto" w:fill="FFFFFF"/>
        </w:rPr>
      </w:pPr>
    </w:p>
    <w:p w14:paraId="6C6E60CB" w14:textId="77777777" w:rsidR="00117945" w:rsidRPr="00D74626" w:rsidRDefault="00117945" w:rsidP="00D74626">
      <w:pPr>
        <w:spacing w:line="360" w:lineRule="auto"/>
        <w:rPr>
          <w:rFonts w:asciiTheme="majorBidi" w:hAnsiTheme="majorBidi" w:cstheme="majorBidi"/>
          <w:sz w:val="24"/>
          <w:szCs w:val="24"/>
          <w:shd w:val="clear" w:color="auto" w:fill="FFFFFF"/>
        </w:rPr>
      </w:pPr>
      <w:r w:rsidRPr="00D74626">
        <w:rPr>
          <w:rFonts w:asciiTheme="majorBidi" w:hAnsiTheme="majorBidi" w:cstheme="majorBidi"/>
          <w:sz w:val="24"/>
          <w:szCs w:val="24"/>
          <w:shd w:val="clear" w:color="auto" w:fill="FFFFFF"/>
        </w:rPr>
        <w:t xml:space="preserve">The results confirm strong reliability and convergent validity for all constructs. Green Hiring (α=0.888, CR=0.931, AVE=0.818) and Green Learning (α=0.939, CR=0.961, AVE=0.891) show </w:t>
      </w:r>
      <w:r w:rsidRPr="00D74626">
        <w:rPr>
          <w:rFonts w:asciiTheme="majorBidi" w:hAnsiTheme="majorBidi" w:cstheme="majorBidi"/>
          <w:sz w:val="24"/>
          <w:szCs w:val="24"/>
          <w:shd w:val="clear" w:color="auto" w:fill="FFFFFF"/>
        </w:rPr>
        <w:lastRenderedPageBreak/>
        <w:t>excellent consistency, with outer loadings &gt;0.89. Self-Efficacy (α=0.821, CR=0.882, AVE=0.652) and Talent Retention (α=0.854, CR=0.900, AVE=0.693) also meet thresholds, though Self-Efficacy’s slightly lower AVE suggests minor cross-loading concerns. All items load strongly (&gt;0.74) on their respective constructs.</w:t>
      </w:r>
    </w:p>
    <w:p w14:paraId="010D22FB" w14:textId="77777777" w:rsidR="00117945" w:rsidRPr="00D74626" w:rsidRDefault="00117945" w:rsidP="00D74626">
      <w:pPr>
        <w:spacing w:line="360" w:lineRule="auto"/>
        <w:rPr>
          <w:rFonts w:asciiTheme="majorBidi" w:hAnsiTheme="majorBidi" w:cstheme="majorBidi"/>
          <w:sz w:val="24"/>
          <w:szCs w:val="24"/>
        </w:rPr>
      </w:pPr>
    </w:p>
    <w:p w14:paraId="315C669D" w14:textId="548AE559" w:rsidR="00B643F8" w:rsidRPr="00D74626" w:rsidRDefault="00B643F8" w:rsidP="00D74626">
      <w:pPr>
        <w:spacing w:line="360" w:lineRule="auto"/>
        <w:rPr>
          <w:rFonts w:asciiTheme="majorBidi" w:hAnsiTheme="majorBidi" w:cstheme="majorBidi"/>
          <w:b/>
          <w:bCs/>
          <w:sz w:val="24"/>
          <w:szCs w:val="24"/>
        </w:rPr>
      </w:pPr>
      <w:r w:rsidRPr="00D74626">
        <w:rPr>
          <w:rFonts w:asciiTheme="majorBidi" w:hAnsiTheme="majorBidi" w:cstheme="majorBidi"/>
          <w:b/>
          <w:bCs/>
          <w:sz w:val="24"/>
          <w:szCs w:val="24"/>
        </w:rPr>
        <w:t>HTMT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337"/>
        <w:gridCol w:w="2337"/>
        <w:gridCol w:w="2338"/>
        <w:gridCol w:w="2338"/>
      </w:tblGrid>
      <w:tr w:rsidR="006E3C46" w:rsidRPr="00D74626" w14:paraId="24BFCEBF" w14:textId="77777777" w:rsidTr="001B674A">
        <w:tc>
          <w:tcPr>
            <w:tcW w:w="2337" w:type="dxa"/>
          </w:tcPr>
          <w:p w14:paraId="40D95B78" w14:textId="77777777" w:rsidR="00B643F8" w:rsidRPr="00D74626" w:rsidRDefault="00B643F8" w:rsidP="00D74626">
            <w:pPr>
              <w:spacing w:line="360" w:lineRule="auto"/>
              <w:rPr>
                <w:rFonts w:asciiTheme="majorBidi" w:hAnsiTheme="majorBidi" w:cstheme="majorBidi"/>
                <w:b/>
                <w:bCs/>
              </w:rPr>
            </w:pPr>
          </w:p>
        </w:tc>
        <w:tc>
          <w:tcPr>
            <w:tcW w:w="2337" w:type="dxa"/>
          </w:tcPr>
          <w:p w14:paraId="6D96DA8A"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Green Learning</w:t>
            </w:r>
          </w:p>
        </w:tc>
        <w:tc>
          <w:tcPr>
            <w:tcW w:w="2338" w:type="dxa"/>
          </w:tcPr>
          <w:p w14:paraId="4F4AD911"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Self-Efficacy</w:t>
            </w:r>
          </w:p>
        </w:tc>
        <w:tc>
          <w:tcPr>
            <w:tcW w:w="2338" w:type="dxa"/>
          </w:tcPr>
          <w:p w14:paraId="0576419D"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Talent Retention</w:t>
            </w:r>
          </w:p>
        </w:tc>
      </w:tr>
      <w:tr w:rsidR="006E3C46" w:rsidRPr="00D74626" w14:paraId="6C88193A" w14:textId="77777777" w:rsidTr="001B674A">
        <w:tc>
          <w:tcPr>
            <w:tcW w:w="2337" w:type="dxa"/>
          </w:tcPr>
          <w:p w14:paraId="6D6B3D64"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Green Hiring</w:t>
            </w:r>
          </w:p>
        </w:tc>
        <w:tc>
          <w:tcPr>
            <w:tcW w:w="2337" w:type="dxa"/>
          </w:tcPr>
          <w:p w14:paraId="461F1486"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0.862</w:t>
            </w:r>
          </w:p>
        </w:tc>
        <w:tc>
          <w:tcPr>
            <w:tcW w:w="2338" w:type="dxa"/>
          </w:tcPr>
          <w:p w14:paraId="31632170"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0.308</w:t>
            </w:r>
          </w:p>
        </w:tc>
        <w:tc>
          <w:tcPr>
            <w:tcW w:w="2338" w:type="dxa"/>
          </w:tcPr>
          <w:p w14:paraId="4306877A"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0.597</w:t>
            </w:r>
          </w:p>
        </w:tc>
      </w:tr>
      <w:tr w:rsidR="006E3C46" w:rsidRPr="00D74626" w14:paraId="393A1A97" w14:textId="77777777" w:rsidTr="001B674A">
        <w:tc>
          <w:tcPr>
            <w:tcW w:w="2337" w:type="dxa"/>
          </w:tcPr>
          <w:p w14:paraId="3C3CB1F8"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Green Learning</w:t>
            </w:r>
          </w:p>
        </w:tc>
        <w:tc>
          <w:tcPr>
            <w:tcW w:w="2337" w:type="dxa"/>
          </w:tcPr>
          <w:p w14:paraId="7F844025" w14:textId="77777777" w:rsidR="00B643F8" w:rsidRPr="00D74626" w:rsidRDefault="00B643F8" w:rsidP="00D74626">
            <w:pPr>
              <w:spacing w:line="360" w:lineRule="auto"/>
              <w:rPr>
                <w:rFonts w:asciiTheme="majorBidi" w:hAnsiTheme="majorBidi" w:cstheme="majorBidi"/>
              </w:rPr>
            </w:pPr>
          </w:p>
        </w:tc>
        <w:tc>
          <w:tcPr>
            <w:tcW w:w="2338" w:type="dxa"/>
          </w:tcPr>
          <w:p w14:paraId="0F9DCF78"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0.359</w:t>
            </w:r>
          </w:p>
        </w:tc>
        <w:tc>
          <w:tcPr>
            <w:tcW w:w="2338" w:type="dxa"/>
          </w:tcPr>
          <w:p w14:paraId="342CE42B"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0.652</w:t>
            </w:r>
          </w:p>
        </w:tc>
      </w:tr>
      <w:tr w:rsidR="00B643F8" w:rsidRPr="00D74626" w14:paraId="7D85A045" w14:textId="77777777" w:rsidTr="001B674A">
        <w:tc>
          <w:tcPr>
            <w:tcW w:w="2337" w:type="dxa"/>
          </w:tcPr>
          <w:p w14:paraId="051AEBF3"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Self-Efficacy</w:t>
            </w:r>
          </w:p>
        </w:tc>
        <w:tc>
          <w:tcPr>
            <w:tcW w:w="2337" w:type="dxa"/>
          </w:tcPr>
          <w:p w14:paraId="74DA7BA0" w14:textId="77777777" w:rsidR="00B643F8" w:rsidRPr="00D74626" w:rsidRDefault="00B643F8" w:rsidP="00D74626">
            <w:pPr>
              <w:spacing w:line="360" w:lineRule="auto"/>
              <w:rPr>
                <w:rFonts w:asciiTheme="majorBidi" w:hAnsiTheme="majorBidi" w:cstheme="majorBidi"/>
              </w:rPr>
            </w:pPr>
          </w:p>
        </w:tc>
        <w:tc>
          <w:tcPr>
            <w:tcW w:w="2338" w:type="dxa"/>
          </w:tcPr>
          <w:p w14:paraId="7CC5ABB9" w14:textId="77777777" w:rsidR="00B643F8" w:rsidRPr="00D74626" w:rsidRDefault="00B643F8" w:rsidP="00D74626">
            <w:pPr>
              <w:spacing w:line="360" w:lineRule="auto"/>
              <w:rPr>
                <w:rFonts w:asciiTheme="majorBidi" w:hAnsiTheme="majorBidi" w:cstheme="majorBidi"/>
              </w:rPr>
            </w:pPr>
          </w:p>
        </w:tc>
        <w:tc>
          <w:tcPr>
            <w:tcW w:w="2338" w:type="dxa"/>
          </w:tcPr>
          <w:p w14:paraId="4659C920"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0.387</w:t>
            </w:r>
          </w:p>
        </w:tc>
      </w:tr>
    </w:tbl>
    <w:p w14:paraId="4A98386A" w14:textId="77777777" w:rsidR="00997569" w:rsidRPr="00D74626" w:rsidRDefault="000A0C22" w:rsidP="00D74626">
      <w:pPr>
        <w:spacing w:line="360" w:lineRule="auto"/>
        <w:rPr>
          <w:rFonts w:asciiTheme="majorBidi" w:hAnsiTheme="majorBidi" w:cstheme="majorBidi"/>
        </w:rPr>
      </w:pPr>
      <w:r w:rsidRPr="00D74626">
        <w:rPr>
          <w:rFonts w:asciiTheme="majorBidi" w:hAnsiTheme="majorBidi" w:cstheme="majorBidi"/>
        </w:rPr>
        <w:t xml:space="preserve">All </w:t>
      </w:r>
      <w:proofErr w:type="spellStart"/>
      <w:r w:rsidRPr="00D74626">
        <w:rPr>
          <w:rFonts w:asciiTheme="majorBidi" w:hAnsiTheme="majorBidi" w:cstheme="majorBidi"/>
        </w:rPr>
        <w:t>Heterotrait-Monotrait</w:t>
      </w:r>
      <w:proofErr w:type="spellEnd"/>
      <w:r w:rsidRPr="00D74626">
        <w:rPr>
          <w:rFonts w:asciiTheme="majorBidi" w:hAnsiTheme="majorBidi" w:cstheme="majorBidi"/>
        </w:rPr>
        <w:t xml:space="preserve"> (HTMT) ratios are below 0.90, confirming sufficient discriminant validity among the research constructs.</w:t>
      </w:r>
    </w:p>
    <w:p w14:paraId="6B84C498" w14:textId="0E04009D"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Outer Model Variance Inflation Factor (VIF)</w:t>
      </w:r>
    </w:p>
    <w:tbl>
      <w:tblPr>
        <w:tblW w:w="2065" w:type="pct"/>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027"/>
        <w:gridCol w:w="2839"/>
      </w:tblGrid>
      <w:tr w:rsidR="006E3C46" w:rsidRPr="00D74626" w14:paraId="6718EA95" w14:textId="77777777" w:rsidTr="001B674A">
        <w:tc>
          <w:tcPr>
            <w:tcW w:w="0" w:type="auto"/>
            <w:tcMar>
              <w:top w:w="0" w:type="dxa"/>
              <w:left w:w="120" w:type="dxa"/>
              <w:bottom w:w="0" w:type="dxa"/>
              <w:right w:w="120" w:type="dxa"/>
            </w:tcMar>
            <w:vAlign w:val="center"/>
            <w:hideMark/>
          </w:tcPr>
          <w:p w14:paraId="5F76FE0B" w14:textId="77777777" w:rsidR="00B643F8" w:rsidRPr="00D74626" w:rsidRDefault="00B643F8" w:rsidP="00D74626">
            <w:pPr>
              <w:spacing w:line="360" w:lineRule="auto"/>
              <w:rPr>
                <w:rFonts w:asciiTheme="majorBidi" w:hAnsiTheme="majorBidi" w:cstheme="majorBidi"/>
              </w:rPr>
            </w:pPr>
          </w:p>
        </w:tc>
        <w:tc>
          <w:tcPr>
            <w:tcW w:w="0" w:type="auto"/>
            <w:tcMar>
              <w:top w:w="0" w:type="dxa"/>
              <w:left w:w="120" w:type="dxa"/>
              <w:bottom w:w="0" w:type="dxa"/>
              <w:right w:w="120" w:type="dxa"/>
            </w:tcMar>
            <w:vAlign w:val="center"/>
            <w:hideMark/>
          </w:tcPr>
          <w:p w14:paraId="72FCCB87"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Sample mean (M) </w:t>
            </w:r>
          </w:p>
        </w:tc>
      </w:tr>
      <w:tr w:rsidR="006E3C46" w:rsidRPr="00D74626" w14:paraId="3E57B03C" w14:textId="77777777" w:rsidTr="001B674A">
        <w:tc>
          <w:tcPr>
            <w:tcW w:w="0" w:type="auto"/>
            <w:tcMar>
              <w:top w:w="0" w:type="dxa"/>
              <w:left w:w="120" w:type="dxa"/>
              <w:bottom w:w="0" w:type="dxa"/>
              <w:right w:w="120" w:type="dxa"/>
            </w:tcMar>
            <w:vAlign w:val="center"/>
            <w:hideMark/>
          </w:tcPr>
          <w:p w14:paraId="41EC4FBD"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GH1 </w:t>
            </w:r>
          </w:p>
        </w:tc>
        <w:tc>
          <w:tcPr>
            <w:tcW w:w="0" w:type="auto"/>
            <w:tcMar>
              <w:top w:w="0" w:type="dxa"/>
              <w:left w:w="120" w:type="dxa"/>
              <w:bottom w:w="0" w:type="dxa"/>
              <w:right w:w="120" w:type="dxa"/>
            </w:tcMar>
            <w:vAlign w:val="center"/>
            <w:hideMark/>
          </w:tcPr>
          <w:p w14:paraId="21BBD7EF"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3.006 </w:t>
            </w:r>
          </w:p>
        </w:tc>
      </w:tr>
      <w:tr w:rsidR="006E3C46" w:rsidRPr="00D74626" w14:paraId="542D4DEE" w14:textId="77777777" w:rsidTr="001B674A">
        <w:tc>
          <w:tcPr>
            <w:tcW w:w="0" w:type="auto"/>
            <w:tcMar>
              <w:top w:w="0" w:type="dxa"/>
              <w:left w:w="120" w:type="dxa"/>
              <w:bottom w:w="0" w:type="dxa"/>
              <w:right w:w="120" w:type="dxa"/>
            </w:tcMar>
            <w:vAlign w:val="center"/>
            <w:hideMark/>
          </w:tcPr>
          <w:p w14:paraId="4510C16B"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GH2 </w:t>
            </w:r>
          </w:p>
        </w:tc>
        <w:tc>
          <w:tcPr>
            <w:tcW w:w="0" w:type="auto"/>
            <w:tcMar>
              <w:top w:w="0" w:type="dxa"/>
              <w:left w:w="120" w:type="dxa"/>
              <w:bottom w:w="0" w:type="dxa"/>
              <w:right w:w="120" w:type="dxa"/>
            </w:tcMar>
            <w:vAlign w:val="center"/>
            <w:hideMark/>
          </w:tcPr>
          <w:p w14:paraId="2ED8F49F"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2.264 </w:t>
            </w:r>
          </w:p>
        </w:tc>
      </w:tr>
      <w:tr w:rsidR="006E3C46" w:rsidRPr="00D74626" w14:paraId="3B22C9AC" w14:textId="77777777" w:rsidTr="001B674A">
        <w:tc>
          <w:tcPr>
            <w:tcW w:w="0" w:type="auto"/>
            <w:tcMar>
              <w:top w:w="0" w:type="dxa"/>
              <w:left w:w="120" w:type="dxa"/>
              <w:bottom w:w="0" w:type="dxa"/>
              <w:right w:w="120" w:type="dxa"/>
            </w:tcMar>
            <w:vAlign w:val="center"/>
            <w:hideMark/>
          </w:tcPr>
          <w:p w14:paraId="691378F4"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GH3 </w:t>
            </w:r>
          </w:p>
        </w:tc>
        <w:tc>
          <w:tcPr>
            <w:tcW w:w="0" w:type="auto"/>
            <w:tcMar>
              <w:top w:w="0" w:type="dxa"/>
              <w:left w:w="120" w:type="dxa"/>
              <w:bottom w:w="0" w:type="dxa"/>
              <w:right w:w="120" w:type="dxa"/>
            </w:tcMar>
            <w:vAlign w:val="center"/>
            <w:hideMark/>
          </w:tcPr>
          <w:p w14:paraId="2B140C26"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2.956 </w:t>
            </w:r>
          </w:p>
        </w:tc>
      </w:tr>
      <w:tr w:rsidR="006E3C46" w:rsidRPr="00D74626" w14:paraId="449658B7" w14:textId="77777777" w:rsidTr="001B674A">
        <w:tc>
          <w:tcPr>
            <w:tcW w:w="0" w:type="auto"/>
            <w:tcMar>
              <w:top w:w="0" w:type="dxa"/>
              <w:left w:w="120" w:type="dxa"/>
              <w:bottom w:w="0" w:type="dxa"/>
              <w:right w:w="120" w:type="dxa"/>
            </w:tcMar>
            <w:vAlign w:val="center"/>
            <w:hideMark/>
          </w:tcPr>
          <w:p w14:paraId="409FAA58"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GL1 </w:t>
            </w:r>
          </w:p>
        </w:tc>
        <w:tc>
          <w:tcPr>
            <w:tcW w:w="0" w:type="auto"/>
            <w:tcMar>
              <w:top w:w="0" w:type="dxa"/>
              <w:left w:w="120" w:type="dxa"/>
              <w:bottom w:w="0" w:type="dxa"/>
              <w:right w:w="120" w:type="dxa"/>
            </w:tcMar>
            <w:vAlign w:val="center"/>
            <w:hideMark/>
          </w:tcPr>
          <w:p w14:paraId="4856CA29"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4.299 </w:t>
            </w:r>
          </w:p>
        </w:tc>
      </w:tr>
      <w:tr w:rsidR="006E3C46" w:rsidRPr="00D74626" w14:paraId="52BE7993" w14:textId="77777777" w:rsidTr="001B674A">
        <w:tc>
          <w:tcPr>
            <w:tcW w:w="0" w:type="auto"/>
            <w:tcMar>
              <w:top w:w="0" w:type="dxa"/>
              <w:left w:w="120" w:type="dxa"/>
              <w:bottom w:w="0" w:type="dxa"/>
              <w:right w:w="120" w:type="dxa"/>
            </w:tcMar>
            <w:vAlign w:val="center"/>
            <w:hideMark/>
          </w:tcPr>
          <w:p w14:paraId="56D64BCE"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GL2 </w:t>
            </w:r>
          </w:p>
        </w:tc>
        <w:tc>
          <w:tcPr>
            <w:tcW w:w="0" w:type="auto"/>
            <w:tcMar>
              <w:top w:w="0" w:type="dxa"/>
              <w:left w:w="120" w:type="dxa"/>
              <w:bottom w:w="0" w:type="dxa"/>
              <w:right w:w="120" w:type="dxa"/>
            </w:tcMar>
            <w:vAlign w:val="center"/>
            <w:hideMark/>
          </w:tcPr>
          <w:p w14:paraId="76270A2E"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4.577 </w:t>
            </w:r>
          </w:p>
        </w:tc>
      </w:tr>
      <w:tr w:rsidR="006E3C46" w:rsidRPr="00D74626" w14:paraId="1B6153F9" w14:textId="77777777" w:rsidTr="001B674A">
        <w:tc>
          <w:tcPr>
            <w:tcW w:w="0" w:type="auto"/>
            <w:tcMar>
              <w:top w:w="0" w:type="dxa"/>
              <w:left w:w="120" w:type="dxa"/>
              <w:bottom w:w="0" w:type="dxa"/>
              <w:right w:w="120" w:type="dxa"/>
            </w:tcMar>
            <w:vAlign w:val="center"/>
            <w:hideMark/>
          </w:tcPr>
          <w:p w14:paraId="704AE7C6"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GL3 </w:t>
            </w:r>
          </w:p>
        </w:tc>
        <w:tc>
          <w:tcPr>
            <w:tcW w:w="0" w:type="auto"/>
            <w:tcMar>
              <w:top w:w="0" w:type="dxa"/>
              <w:left w:w="120" w:type="dxa"/>
              <w:bottom w:w="0" w:type="dxa"/>
              <w:right w:w="120" w:type="dxa"/>
            </w:tcMar>
            <w:vAlign w:val="center"/>
            <w:hideMark/>
          </w:tcPr>
          <w:p w14:paraId="04AA7BF0"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4.108 </w:t>
            </w:r>
          </w:p>
        </w:tc>
      </w:tr>
      <w:tr w:rsidR="006E3C46" w:rsidRPr="00D74626" w14:paraId="5196FC96" w14:textId="77777777" w:rsidTr="001B674A">
        <w:tc>
          <w:tcPr>
            <w:tcW w:w="0" w:type="auto"/>
            <w:tcMar>
              <w:top w:w="0" w:type="dxa"/>
              <w:left w:w="120" w:type="dxa"/>
              <w:bottom w:w="0" w:type="dxa"/>
              <w:right w:w="120" w:type="dxa"/>
            </w:tcMar>
            <w:vAlign w:val="center"/>
            <w:hideMark/>
          </w:tcPr>
          <w:p w14:paraId="7FDF2A41"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SE1 </w:t>
            </w:r>
          </w:p>
        </w:tc>
        <w:tc>
          <w:tcPr>
            <w:tcW w:w="0" w:type="auto"/>
            <w:tcMar>
              <w:top w:w="0" w:type="dxa"/>
              <w:left w:w="120" w:type="dxa"/>
              <w:bottom w:w="0" w:type="dxa"/>
              <w:right w:w="120" w:type="dxa"/>
            </w:tcMar>
            <w:vAlign w:val="center"/>
            <w:hideMark/>
          </w:tcPr>
          <w:p w14:paraId="2F6505A9"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1.505 </w:t>
            </w:r>
          </w:p>
        </w:tc>
      </w:tr>
      <w:tr w:rsidR="006E3C46" w:rsidRPr="00D74626" w14:paraId="77A42E4F" w14:textId="77777777" w:rsidTr="001B674A">
        <w:tc>
          <w:tcPr>
            <w:tcW w:w="0" w:type="auto"/>
            <w:tcMar>
              <w:top w:w="0" w:type="dxa"/>
              <w:left w:w="120" w:type="dxa"/>
              <w:bottom w:w="0" w:type="dxa"/>
              <w:right w:w="120" w:type="dxa"/>
            </w:tcMar>
            <w:vAlign w:val="center"/>
            <w:hideMark/>
          </w:tcPr>
          <w:p w14:paraId="2864D851"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SE2 </w:t>
            </w:r>
          </w:p>
        </w:tc>
        <w:tc>
          <w:tcPr>
            <w:tcW w:w="0" w:type="auto"/>
            <w:tcMar>
              <w:top w:w="0" w:type="dxa"/>
              <w:left w:w="120" w:type="dxa"/>
              <w:bottom w:w="0" w:type="dxa"/>
              <w:right w:w="120" w:type="dxa"/>
            </w:tcMar>
            <w:vAlign w:val="center"/>
            <w:hideMark/>
          </w:tcPr>
          <w:p w14:paraId="3FCB5C64"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2.133 </w:t>
            </w:r>
          </w:p>
        </w:tc>
      </w:tr>
      <w:tr w:rsidR="006E3C46" w:rsidRPr="00D74626" w14:paraId="2388F8A8" w14:textId="77777777" w:rsidTr="001B674A">
        <w:tc>
          <w:tcPr>
            <w:tcW w:w="0" w:type="auto"/>
            <w:tcMar>
              <w:top w:w="0" w:type="dxa"/>
              <w:left w:w="120" w:type="dxa"/>
              <w:bottom w:w="0" w:type="dxa"/>
              <w:right w:w="120" w:type="dxa"/>
            </w:tcMar>
            <w:vAlign w:val="center"/>
            <w:hideMark/>
          </w:tcPr>
          <w:p w14:paraId="70917F90"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SE3 </w:t>
            </w:r>
          </w:p>
        </w:tc>
        <w:tc>
          <w:tcPr>
            <w:tcW w:w="0" w:type="auto"/>
            <w:tcMar>
              <w:top w:w="0" w:type="dxa"/>
              <w:left w:w="120" w:type="dxa"/>
              <w:bottom w:w="0" w:type="dxa"/>
              <w:right w:w="120" w:type="dxa"/>
            </w:tcMar>
            <w:vAlign w:val="center"/>
            <w:hideMark/>
          </w:tcPr>
          <w:p w14:paraId="18D7A2B0"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2.158 </w:t>
            </w:r>
          </w:p>
        </w:tc>
      </w:tr>
      <w:tr w:rsidR="006E3C46" w:rsidRPr="00D74626" w14:paraId="1669AD17" w14:textId="77777777" w:rsidTr="001B674A">
        <w:tc>
          <w:tcPr>
            <w:tcW w:w="0" w:type="auto"/>
            <w:tcMar>
              <w:top w:w="0" w:type="dxa"/>
              <w:left w:w="120" w:type="dxa"/>
              <w:bottom w:w="0" w:type="dxa"/>
              <w:right w:w="120" w:type="dxa"/>
            </w:tcMar>
            <w:vAlign w:val="center"/>
            <w:hideMark/>
          </w:tcPr>
          <w:p w14:paraId="58B7F9C8"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SE4 </w:t>
            </w:r>
          </w:p>
        </w:tc>
        <w:tc>
          <w:tcPr>
            <w:tcW w:w="0" w:type="auto"/>
            <w:tcMar>
              <w:top w:w="0" w:type="dxa"/>
              <w:left w:w="120" w:type="dxa"/>
              <w:bottom w:w="0" w:type="dxa"/>
              <w:right w:w="120" w:type="dxa"/>
            </w:tcMar>
            <w:vAlign w:val="center"/>
            <w:hideMark/>
          </w:tcPr>
          <w:p w14:paraId="24F642B4"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1.695 </w:t>
            </w:r>
          </w:p>
        </w:tc>
      </w:tr>
      <w:tr w:rsidR="006E3C46" w:rsidRPr="00D74626" w14:paraId="5352EEC4" w14:textId="77777777" w:rsidTr="001B674A">
        <w:tc>
          <w:tcPr>
            <w:tcW w:w="0" w:type="auto"/>
            <w:tcMar>
              <w:top w:w="0" w:type="dxa"/>
              <w:left w:w="120" w:type="dxa"/>
              <w:bottom w:w="0" w:type="dxa"/>
              <w:right w:w="120" w:type="dxa"/>
            </w:tcMar>
            <w:vAlign w:val="center"/>
            <w:hideMark/>
          </w:tcPr>
          <w:p w14:paraId="6F21F995"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lastRenderedPageBreak/>
              <w:t xml:space="preserve">TR1 </w:t>
            </w:r>
          </w:p>
        </w:tc>
        <w:tc>
          <w:tcPr>
            <w:tcW w:w="0" w:type="auto"/>
            <w:tcMar>
              <w:top w:w="0" w:type="dxa"/>
              <w:left w:w="120" w:type="dxa"/>
              <w:bottom w:w="0" w:type="dxa"/>
              <w:right w:w="120" w:type="dxa"/>
            </w:tcMar>
            <w:vAlign w:val="center"/>
            <w:hideMark/>
          </w:tcPr>
          <w:p w14:paraId="0570CC1C"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2.674 </w:t>
            </w:r>
          </w:p>
        </w:tc>
      </w:tr>
      <w:tr w:rsidR="006E3C46" w:rsidRPr="00D74626" w14:paraId="34C900BF" w14:textId="77777777" w:rsidTr="001B674A">
        <w:tc>
          <w:tcPr>
            <w:tcW w:w="0" w:type="auto"/>
            <w:tcMar>
              <w:top w:w="0" w:type="dxa"/>
              <w:left w:w="120" w:type="dxa"/>
              <w:bottom w:w="0" w:type="dxa"/>
              <w:right w:w="120" w:type="dxa"/>
            </w:tcMar>
            <w:vAlign w:val="center"/>
            <w:hideMark/>
          </w:tcPr>
          <w:p w14:paraId="2F9EAF91"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TR2 </w:t>
            </w:r>
          </w:p>
        </w:tc>
        <w:tc>
          <w:tcPr>
            <w:tcW w:w="0" w:type="auto"/>
            <w:tcMar>
              <w:top w:w="0" w:type="dxa"/>
              <w:left w:w="120" w:type="dxa"/>
              <w:bottom w:w="0" w:type="dxa"/>
              <w:right w:w="120" w:type="dxa"/>
            </w:tcMar>
            <w:vAlign w:val="center"/>
            <w:hideMark/>
          </w:tcPr>
          <w:p w14:paraId="75C229C2"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1.697 </w:t>
            </w:r>
          </w:p>
        </w:tc>
      </w:tr>
      <w:tr w:rsidR="006E3C46" w:rsidRPr="00D74626" w14:paraId="3B15EA89" w14:textId="77777777" w:rsidTr="001B674A">
        <w:tc>
          <w:tcPr>
            <w:tcW w:w="0" w:type="auto"/>
            <w:tcMar>
              <w:top w:w="0" w:type="dxa"/>
              <w:left w:w="120" w:type="dxa"/>
              <w:bottom w:w="0" w:type="dxa"/>
              <w:right w:w="120" w:type="dxa"/>
            </w:tcMar>
            <w:vAlign w:val="center"/>
            <w:hideMark/>
          </w:tcPr>
          <w:p w14:paraId="1E2E703D"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TR3 </w:t>
            </w:r>
          </w:p>
        </w:tc>
        <w:tc>
          <w:tcPr>
            <w:tcW w:w="0" w:type="auto"/>
            <w:tcMar>
              <w:top w:w="0" w:type="dxa"/>
              <w:left w:w="120" w:type="dxa"/>
              <w:bottom w:w="0" w:type="dxa"/>
              <w:right w:w="120" w:type="dxa"/>
            </w:tcMar>
            <w:vAlign w:val="center"/>
            <w:hideMark/>
          </w:tcPr>
          <w:p w14:paraId="76948742"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2.274 </w:t>
            </w:r>
          </w:p>
        </w:tc>
      </w:tr>
      <w:tr w:rsidR="00B643F8" w:rsidRPr="00D74626" w14:paraId="0D2BD4D2" w14:textId="77777777" w:rsidTr="001B674A">
        <w:tc>
          <w:tcPr>
            <w:tcW w:w="0" w:type="auto"/>
            <w:tcMar>
              <w:top w:w="0" w:type="dxa"/>
              <w:left w:w="120" w:type="dxa"/>
              <w:bottom w:w="0" w:type="dxa"/>
              <w:right w:w="120" w:type="dxa"/>
            </w:tcMar>
            <w:vAlign w:val="center"/>
            <w:hideMark/>
          </w:tcPr>
          <w:p w14:paraId="52D3517A"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TR4 </w:t>
            </w:r>
          </w:p>
        </w:tc>
        <w:tc>
          <w:tcPr>
            <w:tcW w:w="0" w:type="auto"/>
            <w:tcMar>
              <w:top w:w="0" w:type="dxa"/>
              <w:left w:w="120" w:type="dxa"/>
              <w:bottom w:w="0" w:type="dxa"/>
              <w:right w:w="120" w:type="dxa"/>
            </w:tcMar>
            <w:vAlign w:val="center"/>
            <w:hideMark/>
          </w:tcPr>
          <w:p w14:paraId="0FE988A5"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2.348 </w:t>
            </w:r>
          </w:p>
        </w:tc>
      </w:tr>
    </w:tbl>
    <w:p w14:paraId="65903C93" w14:textId="77777777" w:rsidR="00B643F8" w:rsidRPr="00D74626" w:rsidRDefault="00B643F8" w:rsidP="00D74626">
      <w:pPr>
        <w:spacing w:line="360" w:lineRule="auto"/>
        <w:rPr>
          <w:rFonts w:asciiTheme="majorBidi" w:hAnsiTheme="majorBidi" w:cstheme="majorBidi"/>
        </w:rPr>
      </w:pPr>
    </w:p>
    <w:p w14:paraId="39140F57" w14:textId="1262A42E" w:rsidR="009C09FF" w:rsidRPr="00D74626" w:rsidRDefault="009C09FF" w:rsidP="00D74626">
      <w:pPr>
        <w:spacing w:line="360" w:lineRule="auto"/>
        <w:rPr>
          <w:rFonts w:asciiTheme="majorBidi" w:hAnsiTheme="majorBidi" w:cstheme="majorBidi"/>
        </w:rPr>
      </w:pPr>
      <w:r w:rsidRPr="00D74626">
        <w:rPr>
          <w:rFonts w:asciiTheme="majorBidi" w:hAnsiTheme="majorBidi" w:cstheme="majorBidi"/>
        </w:rPr>
        <w:t>The Variance Inflation Factor (VIF) values for all indicator variables are below the common threshold of 5, indicating the absence of multicollinearity issues within the measurement model. This suggests that the indicator variables for each construct are not excessively correlated with each other. Therefore, the independence of the indicators is confirmed, ensuring the stability and reliability of the subsequent path analysis.</w:t>
      </w:r>
    </w:p>
    <w:p w14:paraId="6D412870" w14:textId="77B94593" w:rsidR="00E673DC" w:rsidRPr="00D74626" w:rsidRDefault="00E673DC" w:rsidP="00D74626">
      <w:pPr>
        <w:spacing w:line="360" w:lineRule="auto"/>
        <w:rPr>
          <w:rFonts w:asciiTheme="majorBidi" w:hAnsiTheme="majorBidi" w:cstheme="majorBidi"/>
        </w:rPr>
      </w:pPr>
    </w:p>
    <w:p w14:paraId="39D4DD1A" w14:textId="61028779"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Inner Model Variance Inflation Factor (VIF)</w:t>
      </w:r>
    </w:p>
    <w:tbl>
      <w:tblPr>
        <w:tblW w:w="3124" w:type="pct"/>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864"/>
        <w:gridCol w:w="2984"/>
      </w:tblGrid>
      <w:tr w:rsidR="006E3C46" w:rsidRPr="00D74626" w14:paraId="75674CCC" w14:textId="77777777" w:rsidTr="001B674A">
        <w:tc>
          <w:tcPr>
            <w:tcW w:w="0" w:type="auto"/>
            <w:tcMar>
              <w:top w:w="0" w:type="dxa"/>
              <w:left w:w="120" w:type="dxa"/>
              <w:bottom w:w="0" w:type="dxa"/>
              <w:right w:w="120" w:type="dxa"/>
            </w:tcMar>
            <w:vAlign w:val="center"/>
            <w:hideMark/>
          </w:tcPr>
          <w:p w14:paraId="363305D0" w14:textId="77777777" w:rsidR="00B643F8" w:rsidRPr="00D74626" w:rsidRDefault="00B643F8" w:rsidP="00D74626">
            <w:pPr>
              <w:spacing w:line="360" w:lineRule="auto"/>
              <w:rPr>
                <w:rFonts w:asciiTheme="majorBidi" w:hAnsiTheme="majorBidi" w:cstheme="majorBidi"/>
              </w:rPr>
            </w:pPr>
          </w:p>
        </w:tc>
        <w:tc>
          <w:tcPr>
            <w:tcW w:w="0" w:type="auto"/>
            <w:tcMar>
              <w:top w:w="0" w:type="dxa"/>
              <w:left w:w="120" w:type="dxa"/>
              <w:bottom w:w="0" w:type="dxa"/>
              <w:right w:w="120" w:type="dxa"/>
            </w:tcMar>
            <w:vAlign w:val="center"/>
            <w:hideMark/>
          </w:tcPr>
          <w:p w14:paraId="5E72CE75" w14:textId="76089853" w:rsidR="00B643F8" w:rsidRPr="00D74626" w:rsidRDefault="00B643F8" w:rsidP="00D74626">
            <w:pPr>
              <w:spacing w:line="360" w:lineRule="auto"/>
              <w:jc w:val="center"/>
              <w:rPr>
                <w:rFonts w:asciiTheme="majorBidi" w:hAnsiTheme="majorBidi" w:cstheme="majorBidi"/>
                <w:b/>
                <w:bCs/>
              </w:rPr>
            </w:pPr>
            <w:r w:rsidRPr="00D74626">
              <w:rPr>
                <w:rFonts w:asciiTheme="majorBidi" w:hAnsiTheme="majorBidi" w:cstheme="majorBidi"/>
                <w:b/>
                <w:bCs/>
              </w:rPr>
              <w:t>Talent Retention</w:t>
            </w:r>
          </w:p>
        </w:tc>
      </w:tr>
      <w:tr w:rsidR="006E3C46" w:rsidRPr="00D74626" w14:paraId="5A227C8B" w14:textId="77777777" w:rsidTr="001B674A">
        <w:tc>
          <w:tcPr>
            <w:tcW w:w="0" w:type="auto"/>
            <w:tcMar>
              <w:top w:w="0" w:type="dxa"/>
              <w:left w:w="120" w:type="dxa"/>
              <w:bottom w:w="0" w:type="dxa"/>
              <w:right w:w="120" w:type="dxa"/>
            </w:tcMar>
            <w:vAlign w:val="center"/>
            <w:hideMark/>
          </w:tcPr>
          <w:p w14:paraId="16FA1656"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Green Hiring</w:t>
            </w:r>
          </w:p>
        </w:tc>
        <w:tc>
          <w:tcPr>
            <w:tcW w:w="0" w:type="auto"/>
            <w:tcMar>
              <w:top w:w="0" w:type="dxa"/>
              <w:left w:w="120" w:type="dxa"/>
              <w:bottom w:w="0" w:type="dxa"/>
              <w:right w:w="120" w:type="dxa"/>
            </w:tcMar>
            <w:vAlign w:val="center"/>
            <w:hideMark/>
          </w:tcPr>
          <w:p w14:paraId="1337AE32" w14:textId="42C8ADD3" w:rsidR="00B643F8" w:rsidRPr="00D74626" w:rsidRDefault="00B643F8" w:rsidP="00D74626">
            <w:pPr>
              <w:spacing w:line="360" w:lineRule="auto"/>
              <w:jc w:val="center"/>
              <w:rPr>
                <w:rFonts w:asciiTheme="majorBidi" w:hAnsiTheme="majorBidi" w:cstheme="majorBidi"/>
              </w:rPr>
            </w:pPr>
            <w:r w:rsidRPr="00D74626">
              <w:rPr>
                <w:rFonts w:asciiTheme="majorBidi" w:hAnsiTheme="majorBidi" w:cstheme="majorBidi"/>
              </w:rPr>
              <w:t>3.028</w:t>
            </w:r>
          </w:p>
        </w:tc>
      </w:tr>
      <w:tr w:rsidR="006E3C46" w:rsidRPr="00D74626" w14:paraId="2E28CA60" w14:textId="77777777" w:rsidTr="001B674A">
        <w:tc>
          <w:tcPr>
            <w:tcW w:w="0" w:type="auto"/>
            <w:tcMar>
              <w:top w:w="0" w:type="dxa"/>
              <w:left w:w="120" w:type="dxa"/>
              <w:bottom w:w="0" w:type="dxa"/>
              <w:right w:w="120" w:type="dxa"/>
            </w:tcMar>
            <w:vAlign w:val="center"/>
            <w:hideMark/>
          </w:tcPr>
          <w:p w14:paraId="7810CC2A"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Green Learning</w:t>
            </w:r>
          </w:p>
        </w:tc>
        <w:tc>
          <w:tcPr>
            <w:tcW w:w="0" w:type="auto"/>
            <w:tcMar>
              <w:top w:w="0" w:type="dxa"/>
              <w:left w:w="120" w:type="dxa"/>
              <w:bottom w:w="0" w:type="dxa"/>
              <w:right w:w="120" w:type="dxa"/>
            </w:tcMar>
            <w:vAlign w:val="center"/>
            <w:hideMark/>
          </w:tcPr>
          <w:p w14:paraId="37756823" w14:textId="27C1534B" w:rsidR="00B643F8" w:rsidRPr="00D74626" w:rsidRDefault="00B643F8" w:rsidP="00D74626">
            <w:pPr>
              <w:spacing w:line="360" w:lineRule="auto"/>
              <w:jc w:val="center"/>
              <w:rPr>
                <w:rFonts w:asciiTheme="majorBidi" w:hAnsiTheme="majorBidi" w:cstheme="majorBidi"/>
              </w:rPr>
            </w:pPr>
            <w:r w:rsidRPr="00D74626">
              <w:rPr>
                <w:rFonts w:asciiTheme="majorBidi" w:hAnsiTheme="majorBidi" w:cstheme="majorBidi"/>
              </w:rPr>
              <w:t>3.134</w:t>
            </w:r>
          </w:p>
        </w:tc>
      </w:tr>
      <w:tr w:rsidR="00B643F8" w:rsidRPr="00D74626" w14:paraId="1935D26F" w14:textId="77777777" w:rsidTr="001B674A">
        <w:tc>
          <w:tcPr>
            <w:tcW w:w="0" w:type="auto"/>
            <w:tcMar>
              <w:top w:w="0" w:type="dxa"/>
              <w:left w:w="120" w:type="dxa"/>
              <w:bottom w:w="0" w:type="dxa"/>
              <w:right w:w="120" w:type="dxa"/>
            </w:tcMar>
            <w:vAlign w:val="center"/>
            <w:hideMark/>
          </w:tcPr>
          <w:p w14:paraId="6DE89F89"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Self-Efficacy </w:t>
            </w:r>
          </w:p>
        </w:tc>
        <w:tc>
          <w:tcPr>
            <w:tcW w:w="0" w:type="auto"/>
            <w:tcMar>
              <w:top w:w="0" w:type="dxa"/>
              <w:left w:w="120" w:type="dxa"/>
              <w:bottom w:w="0" w:type="dxa"/>
              <w:right w:w="120" w:type="dxa"/>
            </w:tcMar>
            <w:vAlign w:val="center"/>
            <w:hideMark/>
          </w:tcPr>
          <w:p w14:paraId="103D42BC" w14:textId="3EA51D58" w:rsidR="00B643F8" w:rsidRPr="00D74626" w:rsidRDefault="00B643F8" w:rsidP="00D74626">
            <w:pPr>
              <w:spacing w:line="360" w:lineRule="auto"/>
              <w:jc w:val="center"/>
              <w:rPr>
                <w:rFonts w:asciiTheme="majorBidi" w:hAnsiTheme="majorBidi" w:cstheme="majorBidi"/>
              </w:rPr>
            </w:pPr>
            <w:r w:rsidRPr="00D74626">
              <w:rPr>
                <w:rFonts w:asciiTheme="majorBidi" w:hAnsiTheme="majorBidi" w:cstheme="majorBidi"/>
              </w:rPr>
              <w:t>1.308</w:t>
            </w:r>
          </w:p>
        </w:tc>
      </w:tr>
    </w:tbl>
    <w:p w14:paraId="40D69F47" w14:textId="77777777" w:rsidR="00B643F8" w:rsidRPr="00D74626" w:rsidRDefault="00B643F8" w:rsidP="00D74626">
      <w:pPr>
        <w:spacing w:line="360" w:lineRule="auto"/>
        <w:rPr>
          <w:rFonts w:asciiTheme="majorBidi" w:hAnsiTheme="majorBidi" w:cstheme="majorBidi"/>
          <w:sz w:val="24"/>
          <w:szCs w:val="24"/>
        </w:rPr>
      </w:pPr>
    </w:p>
    <w:p w14:paraId="2FA0FDE7" w14:textId="7385BA73" w:rsidR="00FF1B89" w:rsidRPr="00D74626" w:rsidRDefault="00FF1B89" w:rsidP="00D74626">
      <w:pPr>
        <w:spacing w:line="360" w:lineRule="auto"/>
        <w:rPr>
          <w:rFonts w:asciiTheme="majorBidi" w:hAnsiTheme="majorBidi" w:cstheme="majorBidi"/>
          <w:sz w:val="24"/>
          <w:szCs w:val="24"/>
        </w:rPr>
      </w:pPr>
      <w:bookmarkStart w:id="6" w:name="_Toc197707668"/>
      <w:r w:rsidRPr="00D74626">
        <w:rPr>
          <w:rFonts w:asciiTheme="majorBidi" w:hAnsiTheme="majorBidi" w:cstheme="majorBidi"/>
          <w:sz w:val="24"/>
          <w:szCs w:val="24"/>
        </w:rPr>
        <w:t xml:space="preserve">The inner model VIF values for all predictor constructs (Green Hiring, Green Learning, and Self-Efficacy) on Talent Retention are below the threshold of 5. This indicates that multicollinearity is not a concern among the independent variables in predicting </w:t>
      </w:r>
      <w:r w:rsidR="0060253D" w:rsidRPr="00D74626">
        <w:rPr>
          <w:rFonts w:asciiTheme="majorBidi" w:hAnsiTheme="majorBidi" w:cstheme="majorBidi"/>
          <w:sz w:val="24"/>
          <w:szCs w:val="24"/>
        </w:rPr>
        <w:t>Talent Retention</w:t>
      </w:r>
    </w:p>
    <w:p w14:paraId="53925C7A" w14:textId="5B4A96EA" w:rsidR="00B643F8" w:rsidRPr="00D74626" w:rsidRDefault="00B643F8" w:rsidP="00D74626">
      <w:pPr>
        <w:pStyle w:val="Heading3"/>
        <w:spacing w:line="360" w:lineRule="auto"/>
        <w:rPr>
          <w:rFonts w:asciiTheme="majorBidi" w:hAnsiTheme="majorBidi"/>
          <w:b/>
          <w:bCs/>
          <w:color w:val="auto"/>
        </w:rPr>
      </w:pPr>
      <w:r w:rsidRPr="00D74626">
        <w:rPr>
          <w:rFonts w:asciiTheme="majorBidi" w:hAnsiTheme="majorBidi"/>
          <w:b/>
          <w:bCs/>
          <w:color w:val="auto"/>
        </w:rPr>
        <w:t>Structural Model</w:t>
      </w:r>
      <w:bookmarkEnd w:id="6"/>
    </w:p>
    <w:p w14:paraId="668F092F"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Coefficient of Direct Paths (Direct Paths)</w:t>
      </w:r>
    </w:p>
    <w:tbl>
      <w:tblPr>
        <w:tblW w:w="5276" w:type="pct"/>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5221"/>
        <w:gridCol w:w="1893"/>
        <w:gridCol w:w="1750"/>
        <w:gridCol w:w="1013"/>
      </w:tblGrid>
      <w:tr w:rsidR="006E3C46" w:rsidRPr="00D74626" w14:paraId="757C9608" w14:textId="77777777" w:rsidTr="001B674A">
        <w:trPr>
          <w:trHeight w:val="20"/>
        </w:trPr>
        <w:tc>
          <w:tcPr>
            <w:tcW w:w="2643" w:type="pct"/>
            <w:tcMar>
              <w:top w:w="0" w:type="dxa"/>
              <w:left w:w="120" w:type="dxa"/>
              <w:bottom w:w="0" w:type="dxa"/>
              <w:right w:w="120" w:type="dxa"/>
            </w:tcMar>
            <w:vAlign w:val="center"/>
            <w:hideMark/>
          </w:tcPr>
          <w:p w14:paraId="18604A0F" w14:textId="77777777" w:rsidR="00B643F8" w:rsidRPr="00D74626" w:rsidRDefault="00B643F8" w:rsidP="00D74626">
            <w:pPr>
              <w:spacing w:line="360" w:lineRule="auto"/>
              <w:rPr>
                <w:rFonts w:asciiTheme="majorBidi" w:hAnsiTheme="majorBidi" w:cstheme="majorBidi"/>
              </w:rPr>
            </w:pPr>
          </w:p>
        </w:tc>
        <w:tc>
          <w:tcPr>
            <w:tcW w:w="0" w:type="auto"/>
            <w:tcMar>
              <w:top w:w="0" w:type="dxa"/>
              <w:left w:w="120" w:type="dxa"/>
              <w:bottom w:w="0" w:type="dxa"/>
              <w:right w:w="120" w:type="dxa"/>
            </w:tcMar>
            <w:vAlign w:val="center"/>
            <w:hideMark/>
          </w:tcPr>
          <w:p w14:paraId="4105F033"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Sample mean (M) </w:t>
            </w:r>
          </w:p>
        </w:tc>
        <w:tc>
          <w:tcPr>
            <w:tcW w:w="886" w:type="pct"/>
            <w:tcMar>
              <w:top w:w="0" w:type="dxa"/>
              <w:left w:w="120" w:type="dxa"/>
              <w:bottom w:w="0" w:type="dxa"/>
              <w:right w:w="120" w:type="dxa"/>
            </w:tcMar>
            <w:vAlign w:val="center"/>
            <w:hideMark/>
          </w:tcPr>
          <w:p w14:paraId="1BDCAAB3"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T statistics (|O/STDEV|) </w:t>
            </w:r>
          </w:p>
        </w:tc>
        <w:tc>
          <w:tcPr>
            <w:tcW w:w="0" w:type="auto"/>
            <w:tcMar>
              <w:top w:w="0" w:type="dxa"/>
              <w:left w:w="120" w:type="dxa"/>
              <w:bottom w:w="0" w:type="dxa"/>
              <w:right w:w="120" w:type="dxa"/>
            </w:tcMar>
            <w:vAlign w:val="center"/>
            <w:hideMark/>
          </w:tcPr>
          <w:p w14:paraId="7B8D4427"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P values </w:t>
            </w:r>
          </w:p>
        </w:tc>
      </w:tr>
      <w:tr w:rsidR="006E3C46" w:rsidRPr="00D74626" w14:paraId="1F25B417" w14:textId="77777777" w:rsidTr="001B674A">
        <w:trPr>
          <w:trHeight w:val="20"/>
        </w:trPr>
        <w:tc>
          <w:tcPr>
            <w:tcW w:w="2643" w:type="pct"/>
            <w:tcMar>
              <w:top w:w="0" w:type="dxa"/>
              <w:left w:w="120" w:type="dxa"/>
              <w:bottom w:w="0" w:type="dxa"/>
              <w:right w:w="120" w:type="dxa"/>
            </w:tcMar>
            <w:vAlign w:val="center"/>
            <w:hideMark/>
          </w:tcPr>
          <w:p w14:paraId="4794B980"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Green Hiring -&gt; Talent Retention </w:t>
            </w:r>
          </w:p>
        </w:tc>
        <w:tc>
          <w:tcPr>
            <w:tcW w:w="0" w:type="auto"/>
            <w:tcMar>
              <w:top w:w="0" w:type="dxa"/>
              <w:left w:w="120" w:type="dxa"/>
              <w:bottom w:w="0" w:type="dxa"/>
              <w:right w:w="120" w:type="dxa"/>
            </w:tcMar>
            <w:vAlign w:val="center"/>
            <w:hideMark/>
          </w:tcPr>
          <w:p w14:paraId="2F9D426F"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0.105 </w:t>
            </w:r>
          </w:p>
        </w:tc>
        <w:tc>
          <w:tcPr>
            <w:tcW w:w="886" w:type="pct"/>
            <w:tcMar>
              <w:top w:w="0" w:type="dxa"/>
              <w:left w:w="120" w:type="dxa"/>
              <w:bottom w:w="0" w:type="dxa"/>
              <w:right w:w="120" w:type="dxa"/>
            </w:tcMar>
            <w:vAlign w:val="center"/>
            <w:hideMark/>
          </w:tcPr>
          <w:p w14:paraId="3F0A7B7C"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1.610 </w:t>
            </w:r>
          </w:p>
        </w:tc>
        <w:tc>
          <w:tcPr>
            <w:tcW w:w="0" w:type="auto"/>
            <w:tcMar>
              <w:top w:w="0" w:type="dxa"/>
              <w:left w:w="120" w:type="dxa"/>
              <w:bottom w:w="0" w:type="dxa"/>
              <w:right w:w="120" w:type="dxa"/>
            </w:tcMar>
            <w:vAlign w:val="center"/>
            <w:hideMark/>
          </w:tcPr>
          <w:p w14:paraId="103011C0"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0.054 </w:t>
            </w:r>
          </w:p>
        </w:tc>
      </w:tr>
      <w:tr w:rsidR="006E3C46" w:rsidRPr="00D74626" w14:paraId="609EAA56" w14:textId="77777777" w:rsidTr="001B674A">
        <w:trPr>
          <w:trHeight w:val="20"/>
        </w:trPr>
        <w:tc>
          <w:tcPr>
            <w:tcW w:w="2643" w:type="pct"/>
            <w:tcMar>
              <w:top w:w="0" w:type="dxa"/>
              <w:left w:w="120" w:type="dxa"/>
              <w:bottom w:w="0" w:type="dxa"/>
              <w:right w:w="120" w:type="dxa"/>
            </w:tcMar>
            <w:vAlign w:val="center"/>
            <w:hideMark/>
          </w:tcPr>
          <w:p w14:paraId="047A98D2"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lastRenderedPageBreak/>
              <w:t xml:space="preserve">Green Learning -&gt; Talent Retention </w:t>
            </w:r>
          </w:p>
        </w:tc>
        <w:tc>
          <w:tcPr>
            <w:tcW w:w="0" w:type="auto"/>
            <w:tcMar>
              <w:top w:w="0" w:type="dxa"/>
              <w:left w:w="120" w:type="dxa"/>
              <w:bottom w:w="0" w:type="dxa"/>
              <w:right w:w="120" w:type="dxa"/>
            </w:tcMar>
            <w:vAlign w:val="center"/>
            <w:hideMark/>
          </w:tcPr>
          <w:p w14:paraId="6E45682F"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0.446 </w:t>
            </w:r>
          </w:p>
        </w:tc>
        <w:tc>
          <w:tcPr>
            <w:tcW w:w="886" w:type="pct"/>
            <w:tcMar>
              <w:top w:w="0" w:type="dxa"/>
              <w:left w:w="120" w:type="dxa"/>
              <w:bottom w:w="0" w:type="dxa"/>
              <w:right w:w="120" w:type="dxa"/>
            </w:tcMar>
            <w:vAlign w:val="center"/>
            <w:hideMark/>
          </w:tcPr>
          <w:p w14:paraId="77BAC03E"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6.804 </w:t>
            </w:r>
          </w:p>
        </w:tc>
        <w:tc>
          <w:tcPr>
            <w:tcW w:w="0" w:type="auto"/>
            <w:tcMar>
              <w:top w:w="0" w:type="dxa"/>
              <w:left w:w="120" w:type="dxa"/>
              <w:bottom w:w="0" w:type="dxa"/>
              <w:right w:w="120" w:type="dxa"/>
            </w:tcMar>
            <w:vAlign w:val="center"/>
            <w:hideMark/>
          </w:tcPr>
          <w:p w14:paraId="526DFD63"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0.000 </w:t>
            </w:r>
          </w:p>
        </w:tc>
      </w:tr>
      <w:tr w:rsidR="006E3C46" w:rsidRPr="00D74626" w14:paraId="1FE3DBD3" w14:textId="77777777" w:rsidTr="001B674A">
        <w:trPr>
          <w:trHeight w:val="20"/>
        </w:trPr>
        <w:tc>
          <w:tcPr>
            <w:tcW w:w="2643" w:type="pct"/>
            <w:tcMar>
              <w:top w:w="0" w:type="dxa"/>
              <w:left w:w="120" w:type="dxa"/>
              <w:bottom w:w="0" w:type="dxa"/>
              <w:right w:w="120" w:type="dxa"/>
            </w:tcMar>
            <w:vAlign w:val="center"/>
            <w:hideMark/>
          </w:tcPr>
          <w:p w14:paraId="41F98A3F"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Self-efficacy -&gt; Talent Retention </w:t>
            </w:r>
          </w:p>
        </w:tc>
        <w:tc>
          <w:tcPr>
            <w:tcW w:w="0" w:type="auto"/>
            <w:tcMar>
              <w:top w:w="0" w:type="dxa"/>
              <w:left w:w="120" w:type="dxa"/>
              <w:bottom w:w="0" w:type="dxa"/>
              <w:right w:w="120" w:type="dxa"/>
            </w:tcMar>
            <w:vAlign w:val="center"/>
            <w:hideMark/>
          </w:tcPr>
          <w:p w14:paraId="1D396709"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0.216 </w:t>
            </w:r>
          </w:p>
        </w:tc>
        <w:tc>
          <w:tcPr>
            <w:tcW w:w="886" w:type="pct"/>
            <w:tcMar>
              <w:top w:w="0" w:type="dxa"/>
              <w:left w:w="120" w:type="dxa"/>
              <w:bottom w:w="0" w:type="dxa"/>
              <w:right w:w="120" w:type="dxa"/>
            </w:tcMar>
            <w:vAlign w:val="center"/>
            <w:hideMark/>
          </w:tcPr>
          <w:p w14:paraId="3E327712"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3.827 </w:t>
            </w:r>
          </w:p>
        </w:tc>
        <w:tc>
          <w:tcPr>
            <w:tcW w:w="0" w:type="auto"/>
            <w:tcMar>
              <w:top w:w="0" w:type="dxa"/>
              <w:left w:w="120" w:type="dxa"/>
              <w:bottom w:w="0" w:type="dxa"/>
              <w:right w:w="120" w:type="dxa"/>
            </w:tcMar>
            <w:vAlign w:val="center"/>
            <w:hideMark/>
          </w:tcPr>
          <w:p w14:paraId="310ECD39"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0.000 </w:t>
            </w:r>
          </w:p>
        </w:tc>
      </w:tr>
      <w:tr w:rsidR="006E3C46" w:rsidRPr="00D74626" w14:paraId="59FADCC4" w14:textId="77777777" w:rsidTr="001B674A">
        <w:trPr>
          <w:trHeight w:val="20"/>
        </w:trPr>
        <w:tc>
          <w:tcPr>
            <w:tcW w:w="2643" w:type="pct"/>
            <w:tcMar>
              <w:top w:w="0" w:type="dxa"/>
              <w:left w:w="120" w:type="dxa"/>
              <w:bottom w:w="0" w:type="dxa"/>
              <w:right w:w="120" w:type="dxa"/>
            </w:tcMar>
            <w:vAlign w:val="center"/>
            <w:hideMark/>
          </w:tcPr>
          <w:p w14:paraId="0374F882" w14:textId="77777777" w:rsidR="00B643F8" w:rsidRPr="00D74626" w:rsidRDefault="00B643F8" w:rsidP="00D74626">
            <w:pPr>
              <w:spacing w:line="360" w:lineRule="auto"/>
              <w:rPr>
                <w:rFonts w:asciiTheme="majorBidi" w:hAnsiTheme="majorBidi" w:cstheme="majorBidi"/>
                <w:b/>
                <w:bCs/>
              </w:rPr>
            </w:pPr>
            <w:proofErr w:type="spellStart"/>
            <w:r w:rsidRPr="00D74626">
              <w:rPr>
                <w:rFonts w:asciiTheme="majorBidi" w:hAnsiTheme="majorBidi" w:cstheme="majorBidi"/>
                <w:b/>
                <w:bCs/>
              </w:rPr>
              <w:t>Self Efficacy</w:t>
            </w:r>
            <w:proofErr w:type="spellEnd"/>
            <w:r w:rsidRPr="00D74626">
              <w:rPr>
                <w:rFonts w:asciiTheme="majorBidi" w:hAnsiTheme="majorBidi" w:cstheme="majorBidi"/>
                <w:b/>
                <w:bCs/>
              </w:rPr>
              <w:t xml:space="preserve"> x Green Hiring -&gt; Talent Retention </w:t>
            </w:r>
          </w:p>
        </w:tc>
        <w:tc>
          <w:tcPr>
            <w:tcW w:w="0" w:type="auto"/>
            <w:tcMar>
              <w:top w:w="0" w:type="dxa"/>
              <w:left w:w="120" w:type="dxa"/>
              <w:bottom w:w="0" w:type="dxa"/>
              <w:right w:w="120" w:type="dxa"/>
            </w:tcMar>
            <w:vAlign w:val="center"/>
            <w:hideMark/>
          </w:tcPr>
          <w:p w14:paraId="396E5850"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-0.030 </w:t>
            </w:r>
          </w:p>
        </w:tc>
        <w:tc>
          <w:tcPr>
            <w:tcW w:w="886" w:type="pct"/>
            <w:tcMar>
              <w:top w:w="0" w:type="dxa"/>
              <w:left w:w="120" w:type="dxa"/>
              <w:bottom w:w="0" w:type="dxa"/>
              <w:right w:w="120" w:type="dxa"/>
            </w:tcMar>
            <w:vAlign w:val="center"/>
            <w:hideMark/>
          </w:tcPr>
          <w:p w14:paraId="593EBAAB"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0.348 </w:t>
            </w:r>
          </w:p>
        </w:tc>
        <w:tc>
          <w:tcPr>
            <w:tcW w:w="0" w:type="auto"/>
            <w:tcMar>
              <w:top w:w="0" w:type="dxa"/>
              <w:left w:w="120" w:type="dxa"/>
              <w:bottom w:w="0" w:type="dxa"/>
              <w:right w:w="120" w:type="dxa"/>
            </w:tcMar>
            <w:vAlign w:val="center"/>
            <w:hideMark/>
          </w:tcPr>
          <w:p w14:paraId="568C2882"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0.364 </w:t>
            </w:r>
          </w:p>
        </w:tc>
      </w:tr>
      <w:tr w:rsidR="006E3C46" w:rsidRPr="00D74626" w14:paraId="55E80E1E" w14:textId="77777777" w:rsidTr="001B674A">
        <w:trPr>
          <w:trHeight w:val="20"/>
        </w:trPr>
        <w:tc>
          <w:tcPr>
            <w:tcW w:w="2643" w:type="pct"/>
            <w:tcMar>
              <w:top w:w="0" w:type="dxa"/>
              <w:left w:w="120" w:type="dxa"/>
              <w:bottom w:w="0" w:type="dxa"/>
              <w:right w:w="120" w:type="dxa"/>
            </w:tcMar>
            <w:vAlign w:val="center"/>
            <w:hideMark/>
          </w:tcPr>
          <w:p w14:paraId="07F4275E" w14:textId="77777777" w:rsidR="00B643F8" w:rsidRPr="00D74626" w:rsidRDefault="00B643F8" w:rsidP="00D74626">
            <w:pPr>
              <w:spacing w:line="360" w:lineRule="auto"/>
              <w:rPr>
                <w:rFonts w:asciiTheme="majorBidi" w:hAnsiTheme="majorBidi" w:cstheme="majorBidi"/>
                <w:b/>
                <w:bCs/>
              </w:rPr>
            </w:pPr>
            <w:proofErr w:type="spellStart"/>
            <w:r w:rsidRPr="00D74626">
              <w:rPr>
                <w:rFonts w:asciiTheme="majorBidi" w:hAnsiTheme="majorBidi" w:cstheme="majorBidi"/>
                <w:b/>
                <w:bCs/>
              </w:rPr>
              <w:t>Self Efficacy</w:t>
            </w:r>
            <w:proofErr w:type="spellEnd"/>
            <w:r w:rsidRPr="00D74626">
              <w:rPr>
                <w:rFonts w:asciiTheme="majorBidi" w:hAnsiTheme="majorBidi" w:cstheme="majorBidi"/>
                <w:b/>
                <w:bCs/>
              </w:rPr>
              <w:t xml:space="preserve"> x Green Learning -&gt; Talent Retention </w:t>
            </w:r>
          </w:p>
        </w:tc>
        <w:tc>
          <w:tcPr>
            <w:tcW w:w="0" w:type="auto"/>
            <w:tcMar>
              <w:top w:w="0" w:type="dxa"/>
              <w:left w:w="120" w:type="dxa"/>
              <w:bottom w:w="0" w:type="dxa"/>
              <w:right w:w="120" w:type="dxa"/>
            </w:tcMar>
            <w:vAlign w:val="center"/>
            <w:hideMark/>
          </w:tcPr>
          <w:p w14:paraId="3C9704A9"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0.163 </w:t>
            </w:r>
          </w:p>
        </w:tc>
        <w:tc>
          <w:tcPr>
            <w:tcW w:w="886" w:type="pct"/>
            <w:tcMar>
              <w:top w:w="0" w:type="dxa"/>
              <w:left w:w="120" w:type="dxa"/>
              <w:bottom w:w="0" w:type="dxa"/>
              <w:right w:w="120" w:type="dxa"/>
            </w:tcMar>
            <w:vAlign w:val="center"/>
            <w:hideMark/>
          </w:tcPr>
          <w:p w14:paraId="089A9420"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2.339 </w:t>
            </w:r>
          </w:p>
        </w:tc>
        <w:tc>
          <w:tcPr>
            <w:tcW w:w="0" w:type="auto"/>
            <w:tcMar>
              <w:top w:w="0" w:type="dxa"/>
              <w:left w:w="120" w:type="dxa"/>
              <w:bottom w:w="0" w:type="dxa"/>
              <w:right w:w="120" w:type="dxa"/>
            </w:tcMar>
            <w:vAlign w:val="center"/>
            <w:hideMark/>
          </w:tcPr>
          <w:p w14:paraId="2D31431A"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0.010 </w:t>
            </w:r>
          </w:p>
        </w:tc>
      </w:tr>
    </w:tbl>
    <w:p w14:paraId="53028FC2" w14:textId="77777777" w:rsidR="00573F4C" w:rsidRPr="00D74626" w:rsidRDefault="00573F4C" w:rsidP="00D74626">
      <w:pPr>
        <w:spacing w:line="360" w:lineRule="auto"/>
        <w:rPr>
          <w:rFonts w:asciiTheme="majorBidi" w:hAnsiTheme="majorBidi" w:cstheme="majorBidi"/>
        </w:rPr>
      </w:pPr>
    </w:p>
    <w:p w14:paraId="61BFA27E" w14:textId="790ADE6B" w:rsidR="00292E8B" w:rsidRPr="00D74626" w:rsidRDefault="00B3472F" w:rsidP="00D74626">
      <w:pPr>
        <w:spacing w:line="360" w:lineRule="auto"/>
        <w:rPr>
          <w:rFonts w:asciiTheme="majorBidi" w:hAnsiTheme="majorBidi" w:cstheme="majorBidi"/>
          <w:sz w:val="24"/>
          <w:szCs w:val="24"/>
        </w:rPr>
      </w:pPr>
      <w:r w:rsidRPr="00D74626">
        <w:rPr>
          <w:rFonts w:asciiTheme="majorBidi" w:hAnsiTheme="majorBidi" w:cstheme="majorBidi"/>
          <w:sz w:val="24"/>
          <w:szCs w:val="24"/>
          <w:shd w:val="clear" w:color="auto" w:fill="FFFFFF"/>
        </w:rPr>
        <w:t xml:space="preserve">Green Learning shows the strongest direct impact on Talent Retention (β=0.446, p&lt;0.001), followed by Self-Efficacy (β=0.216, p&lt;0.001). Green Hiring's effect is marginally insignificant (β=0.105, p=0.054). While the interaction of </w:t>
      </w:r>
      <w:proofErr w:type="spellStart"/>
      <w:r w:rsidRPr="00D74626">
        <w:rPr>
          <w:rFonts w:asciiTheme="majorBidi" w:hAnsiTheme="majorBidi" w:cstheme="majorBidi"/>
          <w:sz w:val="24"/>
          <w:szCs w:val="24"/>
          <w:shd w:val="clear" w:color="auto" w:fill="FFFFFF"/>
        </w:rPr>
        <w:t>Self-Efficacy×Green</w:t>
      </w:r>
      <w:proofErr w:type="spellEnd"/>
      <w:r w:rsidRPr="00D74626">
        <w:rPr>
          <w:rFonts w:asciiTheme="majorBidi" w:hAnsiTheme="majorBidi" w:cstheme="majorBidi"/>
          <w:sz w:val="24"/>
          <w:szCs w:val="24"/>
          <w:shd w:val="clear" w:color="auto" w:fill="FFFFFF"/>
        </w:rPr>
        <w:t xml:space="preserve"> Learning significantly enhances retention (β=0.163, p=0.01), the Green Hiring moderation effect is non-significant (β=-0.030, p=0.364). The model explains substantial variance in retention outcomes.</w:t>
      </w:r>
    </w:p>
    <w:p w14:paraId="30061744" w14:textId="6A94990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Model Fitness</w:t>
      </w:r>
    </w:p>
    <w:tbl>
      <w:tblPr>
        <w:tblW w:w="5000" w:type="pct"/>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348"/>
        <w:gridCol w:w="2466"/>
        <w:gridCol w:w="3236"/>
        <w:gridCol w:w="1310"/>
      </w:tblGrid>
      <w:tr w:rsidR="006E3C46" w:rsidRPr="00D74626" w14:paraId="610B10BD" w14:textId="77777777" w:rsidTr="007F5288">
        <w:trPr>
          <w:trHeight w:val="633"/>
        </w:trPr>
        <w:tc>
          <w:tcPr>
            <w:tcW w:w="0" w:type="auto"/>
            <w:tcMar>
              <w:top w:w="0" w:type="dxa"/>
              <w:left w:w="120" w:type="dxa"/>
              <w:bottom w:w="0" w:type="dxa"/>
              <w:right w:w="120" w:type="dxa"/>
            </w:tcMar>
            <w:vAlign w:val="center"/>
            <w:hideMark/>
          </w:tcPr>
          <w:p w14:paraId="74B74EE9" w14:textId="77777777" w:rsidR="00B643F8" w:rsidRPr="00D74626" w:rsidRDefault="00B643F8" w:rsidP="00D74626">
            <w:pPr>
              <w:spacing w:line="360" w:lineRule="auto"/>
              <w:rPr>
                <w:rFonts w:asciiTheme="majorBidi" w:hAnsiTheme="majorBidi" w:cstheme="majorBidi"/>
              </w:rPr>
            </w:pPr>
          </w:p>
        </w:tc>
        <w:tc>
          <w:tcPr>
            <w:tcW w:w="0" w:type="auto"/>
            <w:tcMar>
              <w:top w:w="0" w:type="dxa"/>
              <w:left w:w="120" w:type="dxa"/>
              <w:bottom w:w="0" w:type="dxa"/>
              <w:right w:w="120" w:type="dxa"/>
            </w:tcMar>
            <w:vAlign w:val="center"/>
            <w:hideMark/>
          </w:tcPr>
          <w:p w14:paraId="375B3E3A"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Sample mean (M) </w:t>
            </w:r>
          </w:p>
        </w:tc>
        <w:tc>
          <w:tcPr>
            <w:tcW w:w="0" w:type="auto"/>
            <w:tcMar>
              <w:top w:w="0" w:type="dxa"/>
              <w:left w:w="120" w:type="dxa"/>
              <w:bottom w:w="0" w:type="dxa"/>
              <w:right w:w="120" w:type="dxa"/>
            </w:tcMar>
            <w:vAlign w:val="center"/>
            <w:hideMark/>
          </w:tcPr>
          <w:p w14:paraId="426EFB08"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T statistics (|O/STDEV|) </w:t>
            </w:r>
          </w:p>
        </w:tc>
        <w:tc>
          <w:tcPr>
            <w:tcW w:w="0" w:type="auto"/>
            <w:tcMar>
              <w:top w:w="0" w:type="dxa"/>
              <w:left w:w="120" w:type="dxa"/>
              <w:bottom w:w="0" w:type="dxa"/>
              <w:right w:w="120" w:type="dxa"/>
            </w:tcMar>
            <w:vAlign w:val="center"/>
            <w:hideMark/>
          </w:tcPr>
          <w:p w14:paraId="36A13215"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P values </w:t>
            </w:r>
          </w:p>
        </w:tc>
      </w:tr>
      <w:tr w:rsidR="00B643F8" w:rsidRPr="00D74626" w14:paraId="3C9B0630" w14:textId="77777777" w:rsidTr="007F5288">
        <w:trPr>
          <w:trHeight w:val="633"/>
        </w:trPr>
        <w:tc>
          <w:tcPr>
            <w:tcW w:w="0" w:type="auto"/>
            <w:tcMar>
              <w:top w:w="0" w:type="dxa"/>
              <w:left w:w="120" w:type="dxa"/>
              <w:bottom w:w="0" w:type="dxa"/>
              <w:right w:w="120" w:type="dxa"/>
            </w:tcMar>
            <w:vAlign w:val="center"/>
            <w:hideMark/>
          </w:tcPr>
          <w:p w14:paraId="008E1CF3"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Talent Retention </w:t>
            </w:r>
          </w:p>
        </w:tc>
        <w:tc>
          <w:tcPr>
            <w:tcW w:w="0" w:type="auto"/>
            <w:tcMar>
              <w:top w:w="0" w:type="dxa"/>
              <w:left w:w="120" w:type="dxa"/>
              <w:bottom w:w="0" w:type="dxa"/>
              <w:right w:w="120" w:type="dxa"/>
            </w:tcMar>
            <w:vAlign w:val="center"/>
            <w:hideMark/>
          </w:tcPr>
          <w:p w14:paraId="66F9342C"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0.428 </w:t>
            </w:r>
          </w:p>
        </w:tc>
        <w:tc>
          <w:tcPr>
            <w:tcW w:w="0" w:type="auto"/>
            <w:tcMar>
              <w:top w:w="0" w:type="dxa"/>
              <w:left w:w="120" w:type="dxa"/>
              <w:bottom w:w="0" w:type="dxa"/>
              <w:right w:w="120" w:type="dxa"/>
            </w:tcMar>
            <w:vAlign w:val="center"/>
            <w:hideMark/>
          </w:tcPr>
          <w:p w14:paraId="01536809"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9.465 </w:t>
            </w:r>
          </w:p>
        </w:tc>
        <w:tc>
          <w:tcPr>
            <w:tcW w:w="0" w:type="auto"/>
            <w:tcMar>
              <w:top w:w="0" w:type="dxa"/>
              <w:left w:w="120" w:type="dxa"/>
              <w:bottom w:w="0" w:type="dxa"/>
              <w:right w:w="120" w:type="dxa"/>
            </w:tcMar>
            <w:vAlign w:val="center"/>
            <w:hideMark/>
          </w:tcPr>
          <w:p w14:paraId="77CADD5C"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0.000 </w:t>
            </w:r>
          </w:p>
        </w:tc>
      </w:tr>
    </w:tbl>
    <w:p w14:paraId="06751E59" w14:textId="77777777" w:rsidR="007F5288" w:rsidRPr="00D74626" w:rsidRDefault="007F5288" w:rsidP="00D74626">
      <w:pPr>
        <w:spacing w:line="360" w:lineRule="auto"/>
        <w:rPr>
          <w:rFonts w:asciiTheme="majorBidi" w:hAnsiTheme="majorBidi" w:cstheme="majorBidi"/>
        </w:rPr>
      </w:pPr>
    </w:p>
    <w:p w14:paraId="5CCA549A" w14:textId="77777777" w:rsidR="00600B02" w:rsidRPr="00D74626" w:rsidRDefault="006D1627" w:rsidP="00D74626">
      <w:pPr>
        <w:pStyle w:val="NoSpacing"/>
        <w:spacing w:line="360" w:lineRule="auto"/>
        <w:rPr>
          <w:rFonts w:asciiTheme="majorBidi" w:hAnsiTheme="majorBidi" w:cstheme="majorBidi"/>
          <w:color w:val="404040"/>
          <w:shd w:val="clear" w:color="auto" w:fill="FFFFFF"/>
        </w:rPr>
      </w:pPr>
      <w:r w:rsidRPr="00D74626">
        <w:rPr>
          <w:rFonts w:asciiTheme="majorBidi" w:hAnsiTheme="majorBidi" w:cstheme="majorBidi"/>
          <w:sz w:val="24"/>
          <w:szCs w:val="24"/>
        </w:rPr>
        <w:t>The model shows weak to moderate explanatory power for Talent Retention (R² = 0.428), indicating it accounts for 42.8% of variance. While statistically significant (p &lt; 0.001), this suggests other unmeasured factors may also influence retention outcomes</w:t>
      </w:r>
      <w:r w:rsidRPr="00D74626">
        <w:rPr>
          <w:rFonts w:asciiTheme="majorBidi" w:hAnsiTheme="majorBidi" w:cstheme="majorBidi"/>
          <w:color w:val="404040"/>
          <w:shd w:val="clear" w:color="auto" w:fill="FFFFFF"/>
        </w:rPr>
        <w:t>.</w:t>
      </w:r>
    </w:p>
    <w:p w14:paraId="26C7B41F" w14:textId="198B69ED" w:rsidR="00B643F8" w:rsidRPr="00D74626" w:rsidRDefault="00B643F8" w:rsidP="00D74626">
      <w:pPr>
        <w:spacing w:before="240" w:line="360" w:lineRule="auto"/>
        <w:rPr>
          <w:rFonts w:asciiTheme="majorBidi" w:hAnsiTheme="majorBidi" w:cstheme="majorBidi"/>
          <w:b/>
          <w:bCs/>
        </w:rPr>
      </w:pPr>
      <w:r w:rsidRPr="00D74626">
        <w:rPr>
          <w:rFonts w:asciiTheme="majorBidi" w:hAnsiTheme="majorBidi" w:cstheme="majorBidi"/>
          <w:b/>
          <w:bCs/>
        </w:rPr>
        <w:t>Effect size</w:t>
      </w:r>
    </w:p>
    <w:tbl>
      <w:tblPr>
        <w:tblW w:w="3321" w:type="pct"/>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197"/>
        <w:gridCol w:w="1220"/>
        <w:gridCol w:w="1894"/>
        <w:gridCol w:w="906"/>
      </w:tblGrid>
      <w:tr w:rsidR="006E3C46" w:rsidRPr="00D74626" w14:paraId="69CA030F" w14:textId="77777777" w:rsidTr="000771D2">
        <w:tc>
          <w:tcPr>
            <w:tcW w:w="1767" w:type="pct"/>
            <w:tcMar>
              <w:top w:w="0" w:type="dxa"/>
              <w:left w:w="120" w:type="dxa"/>
              <w:bottom w:w="0" w:type="dxa"/>
              <w:right w:w="120" w:type="dxa"/>
            </w:tcMar>
            <w:vAlign w:val="center"/>
            <w:hideMark/>
          </w:tcPr>
          <w:p w14:paraId="5655CB92" w14:textId="77777777" w:rsidR="00B643F8" w:rsidRPr="00D74626" w:rsidRDefault="00B643F8" w:rsidP="00D74626">
            <w:pPr>
              <w:spacing w:line="360" w:lineRule="auto"/>
              <w:rPr>
                <w:rFonts w:asciiTheme="majorBidi" w:hAnsiTheme="majorBidi" w:cstheme="majorBidi"/>
              </w:rPr>
            </w:pPr>
          </w:p>
        </w:tc>
        <w:tc>
          <w:tcPr>
            <w:tcW w:w="981" w:type="pct"/>
            <w:tcMar>
              <w:top w:w="0" w:type="dxa"/>
              <w:left w:w="120" w:type="dxa"/>
              <w:bottom w:w="0" w:type="dxa"/>
              <w:right w:w="120" w:type="dxa"/>
            </w:tcMar>
            <w:vAlign w:val="center"/>
            <w:hideMark/>
          </w:tcPr>
          <w:p w14:paraId="346F96BA"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Telent Retention </w:t>
            </w:r>
          </w:p>
        </w:tc>
        <w:tc>
          <w:tcPr>
            <w:tcW w:w="0" w:type="auto"/>
            <w:tcMar>
              <w:top w:w="0" w:type="dxa"/>
              <w:left w:w="120" w:type="dxa"/>
              <w:bottom w:w="0" w:type="dxa"/>
              <w:right w:w="120" w:type="dxa"/>
            </w:tcMar>
            <w:vAlign w:val="center"/>
            <w:hideMark/>
          </w:tcPr>
          <w:p w14:paraId="37F62C9F"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T statistics (|O/STDEV|) </w:t>
            </w:r>
          </w:p>
        </w:tc>
        <w:tc>
          <w:tcPr>
            <w:tcW w:w="0" w:type="auto"/>
            <w:tcMar>
              <w:top w:w="0" w:type="dxa"/>
              <w:left w:w="120" w:type="dxa"/>
              <w:bottom w:w="0" w:type="dxa"/>
              <w:right w:w="120" w:type="dxa"/>
            </w:tcMar>
            <w:vAlign w:val="center"/>
            <w:hideMark/>
          </w:tcPr>
          <w:p w14:paraId="7A1A9B70"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P values </w:t>
            </w:r>
          </w:p>
        </w:tc>
      </w:tr>
      <w:tr w:rsidR="006E3C46" w:rsidRPr="00D74626" w14:paraId="3F8BB276" w14:textId="77777777" w:rsidTr="000771D2">
        <w:tc>
          <w:tcPr>
            <w:tcW w:w="1767" w:type="pct"/>
            <w:tcMar>
              <w:top w:w="0" w:type="dxa"/>
              <w:left w:w="120" w:type="dxa"/>
              <w:bottom w:w="0" w:type="dxa"/>
              <w:right w:w="120" w:type="dxa"/>
            </w:tcMar>
            <w:vAlign w:val="center"/>
            <w:hideMark/>
          </w:tcPr>
          <w:p w14:paraId="05E43B88"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 xml:space="preserve">Green Hiring </w:t>
            </w:r>
          </w:p>
        </w:tc>
        <w:tc>
          <w:tcPr>
            <w:tcW w:w="981" w:type="pct"/>
            <w:tcMar>
              <w:top w:w="0" w:type="dxa"/>
              <w:left w:w="120" w:type="dxa"/>
              <w:bottom w:w="0" w:type="dxa"/>
              <w:right w:w="120" w:type="dxa"/>
            </w:tcMar>
            <w:vAlign w:val="center"/>
            <w:hideMark/>
          </w:tcPr>
          <w:p w14:paraId="1FCC8528"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0.009 </w:t>
            </w:r>
          </w:p>
        </w:tc>
        <w:tc>
          <w:tcPr>
            <w:tcW w:w="0" w:type="auto"/>
            <w:tcMar>
              <w:top w:w="0" w:type="dxa"/>
              <w:left w:w="120" w:type="dxa"/>
              <w:bottom w:w="0" w:type="dxa"/>
              <w:right w:w="120" w:type="dxa"/>
            </w:tcMar>
            <w:vAlign w:val="center"/>
            <w:hideMark/>
          </w:tcPr>
          <w:p w14:paraId="041D2494"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0.721 </w:t>
            </w:r>
          </w:p>
        </w:tc>
        <w:tc>
          <w:tcPr>
            <w:tcW w:w="0" w:type="auto"/>
            <w:tcMar>
              <w:top w:w="0" w:type="dxa"/>
              <w:left w:w="120" w:type="dxa"/>
              <w:bottom w:w="0" w:type="dxa"/>
              <w:right w:w="120" w:type="dxa"/>
            </w:tcMar>
            <w:vAlign w:val="center"/>
            <w:hideMark/>
          </w:tcPr>
          <w:p w14:paraId="6D10FB75"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0.236 </w:t>
            </w:r>
          </w:p>
        </w:tc>
      </w:tr>
      <w:tr w:rsidR="006E3C46" w:rsidRPr="00D74626" w14:paraId="594E7F7D" w14:textId="77777777" w:rsidTr="000771D2">
        <w:tc>
          <w:tcPr>
            <w:tcW w:w="1767" w:type="pct"/>
            <w:tcMar>
              <w:top w:w="0" w:type="dxa"/>
              <w:left w:w="120" w:type="dxa"/>
              <w:bottom w:w="0" w:type="dxa"/>
              <w:right w:w="120" w:type="dxa"/>
            </w:tcMar>
            <w:vAlign w:val="center"/>
            <w:hideMark/>
          </w:tcPr>
          <w:p w14:paraId="6D4A358D" w14:textId="77777777" w:rsidR="00B643F8" w:rsidRPr="00D74626" w:rsidRDefault="00B643F8" w:rsidP="00D74626">
            <w:pPr>
              <w:spacing w:line="360" w:lineRule="auto"/>
              <w:rPr>
                <w:rFonts w:asciiTheme="majorBidi" w:hAnsiTheme="majorBidi" w:cstheme="majorBidi"/>
                <w:b/>
                <w:bCs/>
              </w:rPr>
            </w:pPr>
            <w:r w:rsidRPr="00D74626">
              <w:rPr>
                <w:rFonts w:asciiTheme="majorBidi" w:hAnsiTheme="majorBidi" w:cstheme="majorBidi"/>
                <w:b/>
                <w:bCs/>
              </w:rPr>
              <w:t>Green Learning</w:t>
            </w:r>
          </w:p>
        </w:tc>
        <w:tc>
          <w:tcPr>
            <w:tcW w:w="981" w:type="pct"/>
            <w:tcMar>
              <w:top w:w="0" w:type="dxa"/>
              <w:left w:w="120" w:type="dxa"/>
              <w:bottom w:w="0" w:type="dxa"/>
              <w:right w:w="120" w:type="dxa"/>
            </w:tcMar>
            <w:vAlign w:val="center"/>
            <w:hideMark/>
          </w:tcPr>
          <w:p w14:paraId="52F55683"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0.118 </w:t>
            </w:r>
          </w:p>
        </w:tc>
        <w:tc>
          <w:tcPr>
            <w:tcW w:w="0" w:type="auto"/>
            <w:tcMar>
              <w:top w:w="0" w:type="dxa"/>
              <w:left w:w="120" w:type="dxa"/>
              <w:bottom w:w="0" w:type="dxa"/>
              <w:right w:w="120" w:type="dxa"/>
            </w:tcMar>
            <w:vAlign w:val="center"/>
            <w:hideMark/>
          </w:tcPr>
          <w:p w14:paraId="2904B5D6"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2.847 </w:t>
            </w:r>
          </w:p>
        </w:tc>
        <w:tc>
          <w:tcPr>
            <w:tcW w:w="0" w:type="auto"/>
            <w:tcMar>
              <w:top w:w="0" w:type="dxa"/>
              <w:left w:w="120" w:type="dxa"/>
              <w:bottom w:w="0" w:type="dxa"/>
              <w:right w:w="120" w:type="dxa"/>
            </w:tcMar>
            <w:vAlign w:val="center"/>
            <w:hideMark/>
          </w:tcPr>
          <w:p w14:paraId="34C088D7"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0.002 </w:t>
            </w:r>
          </w:p>
        </w:tc>
      </w:tr>
      <w:tr w:rsidR="00B643F8" w:rsidRPr="00D74626" w14:paraId="6EA1A8DC" w14:textId="77777777" w:rsidTr="000771D2">
        <w:tc>
          <w:tcPr>
            <w:tcW w:w="1767" w:type="pct"/>
            <w:tcMar>
              <w:top w:w="0" w:type="dxa"/>
              <w:left w:w="120" w:type="dxa"/>
              <w:bottom w:w="0" w:type="dxa"/>
              <w:right w:w="120" w:type="dxa"/>
            </w:tcMar>
            <w:vAlign w:val="center"/>
            <w:hideMark/>
          </w:tcPr>
          <w:p w14:paraId="337DC104" w14:textId="77777777" w:rsidR="00B643F8" w:rsidRPr="00D74626" w:rsidRDefault="00B643F8" w:rsidP="00D74626">
            <w:pPr>
              <w:spacing w:line="360" w:lineRule="auto"/>
              <w:rPr>
                <w:rFonts w:asciiTheme="majorBidi" w:hAnsiTheme="majorBidi" w:cstheme="majorBidi"/>
                <w:b/>
                <w:bCs/>
              </w:rPr>
            </w:pPr>
            <w:proofErr w:type="spellStart"/>
            <w:r w:rsidRPr="00D74626">
              <w:rPr>
                <w:rFonts w:asciiTheme="majorBidi" w:hAnsiTheme="majorBidi" w:cstheme="majorBidi"/>
                <w:b/>
                <w:bCs/>
              </w:rPr>
              <w:t>Self Efficacy</w:t>
            </w:r>
            <w:proofErr w:type="spellEnd"/>
            <w:r w:rsidRPr="00D74626">
              <w:rPr>
                <w:rFonts w:asciiTheme="majorBidi" w:hAnsiTheme="majorBidi" w:cstheme="majorBidi"/>
                <w:b/>
                <w:bCs/>
              </w:rPr>
              <w:t xml:space="preserve"> </w:t>
            </w:r>
          </w:p>
        </w:tc>
        <w:tc>
          <w:tcPr>
            <w:tcW w:w="981" w:type="pct"/>
            <w:tcMar>
              <w:top w:w="0" w:type="dxa"/>
              <w:left w:w="120" w:type="dxa"/>
              <w:bottom w:w="0" w:type="dxa"/>
              <w:right w:w="120" w:type="dxa"/>
            </w:tcMar>
            <w:vAlign w:val="center"/>
            <w:hideMark/>
          </w:tcPr>
          <w:p w14:paraId="7A6291CA"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0.068 </w:t>
            </w:r>
          </w:p>
        </w:tc>
        <w:tc>
          <w:tcPr>
            <w:tcW w:w="0" w:type="auto"/>
            <w:tcMar>
              <w:top w:w="0" w:type="dxa"/>
              <w:left w:w="120" w:type="dxa"/>
              <w:bottom w:w="0" w:type="dxa"/>
              <w:right w:w="120" w:type="dxa"/>
            </w:tcMar>
            <w:vAlign w:val="center"/>
            <w:hideMark/>
          </w:tcPr>
          <w:p w14:paraId="327FDC55"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1.752 </w:t>
            </w:r>
          </w:p>
        </w:tc>
        <w:tc>
          <w:tcPr>
            <w:tcW w:w="0" w:type="auto"/>
            <w:tcMar>
              <w:top w:w="0" w:type="dxa"/>
              <w:left w:w="120" w:type="dxa"/>
              <w:bottom w:w="0" w:type="dxa"/>
              <w:right w:w="120" w:type="dxa"/>
            </w:tcMar>
            <w:vAlign w:val="center"/>
            <w:hideMark/>
          </w:tcPr>
          <w:p w14:paraId="6E347CB9" w14:textId="77777777" w:rsidR="00B643F8" w:rsidRPr="00D74626" w:rsidRDefault="00B643F8" w:rsidP="00D74626">
            <w:pPr>
              <w:spacing w:line="360" w:lineRule="auto"/>
              <w:rPr>
                <w:rFonts w:asciiTheme="majorBidi" w:hAnsiTheme="majorBidi" w:cstheme="majorBidi"/>
              </w:rPr>
            </w:pPr>
            <w:r w:rsidRPr="00D74626">
              <w:rPr>
                <w:rFonts w:asciiTheme="majorBidi" w:hAnsiTheme="majorBidi" w:cstheme="majorBidi"/>
              </w:rPr>
              <w:t xml:space="preserve">0.040 </w:t>
            </w:r>
          </w:p>
        </w:tc>
      </w:tr>
    </w:tbl>
    <w:p w14:paraId="7717750C" w14:textId="092AA623" w:rsidR="00B643F8" w:rsidRPr="00D74626" w:rsidRDefault="000909E7" w:rsidP="00D74626">
      <w:pPr>
        <w:spacing w:before="240" w:line="360" w:lineRule="auto"/>
        <w:rPr>
          <w:rFonts w:asciiTheme="majorBidi" w:hAnsiTheme="majorBidi" w:cstheme="majorBidi"/>
          <w:sz w:val="24"/>
          <w:szCs w:val="24"/>
        </w:rPr>
      </w:pPr>
      <w:r w:rsidRPr="00D74626">
        <w:rPr>
          <w:rStyle w:val="Strong"/>
          <w:rFonts w:asciiTheme="majorBidi" w:hAnsiTheme="majorBidi" w:cstheme="majorBidi"/>
          <w:b w:val="0"/>
          <w:bCs w:val="0"/>
          <w:color w:val="404040"/>
          <w:sz w:val="24"/>
          <w:szCs w:val="24"/>
          <w:shd w:val="clear" w:color="auto" w:fill="FFFFFF"/>
        </w:rPr>
        <w:lastRenderedPageBreak/>
        <w:t>Green Learning</w:t>
      </w:r>
      <w:r w:rsidRPr="00D74626">
        <w:rPr>
          <w:rFonts w:asciiTheme="majorBidi" w:hAnsiTheme="majorBidi" w:cstheme="majorBidi"/>
          <w:b/>
          <w:bCs/>
          <w:sz w:val="24"/>
          <w:szCs w:val="24"/>
          <w:shd w:val="clear" w:color="auto" w:fill="FFFFFF"/>
        </w:rPr>
        <w:t> </w:t>
      </w:r>
      <w:r w:rsidRPr="00D74626">
        <w:rPr>
          <w:rFonts w:asciiTheme="majorBidi" w:hAnsiTheme="majorBidi" w:cstheme="majorBidi"/>
          <w:sz w:val="24"/>
          <w:szCs w:val="24"/>
          <w:shd w:val="clear" w:color="auto" w:fill="FFFFFF"/>
        </w:rPr>
        <w:t>demonstrates a</w:t>
      </w:r>
      <w:r w:rsidRPr="00D74626">
        <w:rPr>
          <w:rFonts w:asciiTheme="majorBidi" w:hAnsiTheme="majorBidi" w:cstheme="majorBidi"/>
          <w:b/>
          <w:bCs/>
          <w:sz w:val="24"/>
          <w:szCs w:val="24"/>
          <w:shd w:val="clear" w:color="auto" w:fill="FFFFFF"/>
        </w:rPr>
        <w:t> </w:t>
      </w:r>
      <w:r w:rsidRPr="00D74626">
        <w:rPr>
          <w:rStyle w:val="Strong"/>
          <w:rFonts w:asciiTheme="majorBidi" w:hAnsiTheme="majorBidi" w:cstheme="majorBidi"/>
          <w:b w:val="0"/>
          <w:bCs w:val="0"/>
          <w:color w:val="404040"/>
          <w:sz w:val="24"/>
          <w:szCs w:val="24"/>
          <w:shd w:val="clear" w:color="auto" w:fill="FFFFFF"/>
        </w:rPr>
        <w:t>moderate effect</w:t>
      </w:r>
      <w:r w:rsidRPr="00D74626">
        <w:rPr>
          <w:rFonts w:asciiTheme="majorBidi" w:hAnsiTheme="majorBidi" w:cstheme="majorBidi"/>
          <w:b/>
          <w:bCs/>
          <w:sz w:val="24"/>
          <w:szCs w:val="24"/>
          <w:shd w:val="clear" w:color="auto" w:fill="FFFFFF"/>
        </w:rPr>
        <w:t> </w:t>
      </w:r>
      <w:r w:rsidRPr="00D74626">
        <w:rPr>
          <w:rFonts w:asciiTheme="majorBidi" w:hAnsiTheme="majorBidi" w:cstheme="majorBidi"/>
          <w:sz w:val="24"/>
          <w:szCs w:val="24"/>
          <w:shd w:val="clear" w:color="auto" w:fill="FFFFFF"/>
        </w:rPr>
        <w:t>(f²=0.118, p&lt;0.01) on Talent Retention, while</w:t>
      </w:r>
      <w:r w:rsidRPr="00D74626">
        <w:rPr>
          <w:rFonts w:asciiTheme="majorBidi" w:hAnsiTheme="majorBidi" w:cstheme="majorBidi"/>
          <w:b/>
          <w:bCs/>
          <w:sz w:val="24"/>
          <w:szCs w:val="24"/>
          <w:shd w:val="clear" w:color="auto" w:fill="FFFFFF"/>
        </w:rPr>
        <w:t> </w:t>
      </w:r>
      <w:r w:rsidRPr="00D74626">
        <w:rPr>
          <w:rStyle w:val="Strong"/>
          <w:rFonts w:asciiTheme="majorBidi" w:hAnsiTheme="majorBidi" w:cstheme="majorBidi"/>
          <w:b w:val="0"/>
          <w:bCs w:val="0"/>
          <w:color w:val="404040"/>
          <w:sz w:val="24"/>
          <w:szCs w:val="24"/>
          <w:shd w:val="clear" w:color="auto" w:fill="FFFFFF"/>
        </w:rPr>
        <w:t>Green Hiring</w:t>
      </w:r>
      <w:r w:rsidRPr="00D74626">
        <w:rPr>
          <w:rFonts w:asciiTheme="majorBidi" w:hAnsiTheme="majorBidi" w:cstheme="majorBidi"/>
          <w:b/>
          <w:bCs/>
          <w:sz w:val="24"/>
          <w:szCs w:val="24"/>
          <w:shd w:val="clear" w:color="auto" w:fill="FFFFFF"/>
        </w:rPr>
        <w:t> </w:t>
      </w:r>
      <w:r w:rsidRPr="00D74626">
        <w:rPr>
          <w:rFonts w:asciiTheme="majorBidi" w:hAnsiTheme="majorBidi" w:cstheme="majorBidi"/>
          <w:sz w:val="24"/>
          <w:szCs w:val="24"/>
          <w:shd w:val="clear" w:color="auto" w:fill="FFFFFF"/>
        </w:rPr>
        <w:t>shows a</w:t>
      </w:r>
      <w:r w:rsidRPr="00D74626">
        <w:rPr>
          <w:rFonts w:asciiTheme="majorBidi" w:hAnsiTheme="majorBidi" w:cstheme="majorBidi"/>
          <w:b/>
          <w:bCs/>
          <w:sz w:val="24"/>
          <w:szCs w:val="24"/>
          <w:shd w:val="clear" w:color="auto" w:fill="FFFFFF"/>
        </w:rPr>
        <w:t> </w:t>
      </w:r>
      <w:r w:rsidRPr="00D74626">
        <w:rPr>
          <w:rStyle w:val="Strong"/>
          <w:rFonts w:asciiTheme="majorBidi" w:hAnsiTheme="majorBidi" w:cstheme="majorBidi"/>
          <w:b w:val="0"/>
          <w:bCs w:val="0"/>
          <w:color w:val="404040"/>
          <w:sz w:val="24"/>
          <w:szCs w:val="24"/>
          <w:shd w:val="clear" w:color="auto" w:fill="FFFFFF"/>
        </w:rPr>
        <w:t>negligible/weak effect</w:t>
      </w:r>
      <w:r w:rsidRPr="00D74626">
        <w:rPr>
          <w:rFonts w:asciiTheme="majorBidi" w:hAnsiTheme="majorBidi" w:cstheme="majorBidi"/>
          <w:b/>
          <w:bCs/>
          <w:sz w:val="24"/>
          <w:szCs w:val="24"/>
          <w:shd w:val="clear" w:color="auto" w:fill="FFFFFF"/>
        </w:rPr>
        <w:t> </w:t>
      </w:r>
      <w:r w:rsidRPr="00D74626">
        <w:rPr>
          <w:rFonts w:asciiTheme="majorBidi" w:hAnsiTheme="majorBidi" w:cstheme="majorBidi"/>
          <w:sz w:val="24"/>
          <w:szCs w:val="24"/>
          <w:shd w:val="clear" w:color="auto" w:fill="FFFFFF"/>
        </w:rPr>
        <w:t>(f²=0.009, p=0.236).</w:t>
      </w:r>
      <w:r w:rsidRPr="00D74626">
        <w:rPr>
          <w:rFonts w:asciiTheme="majorBidi" w:hAnsiTheme="majorBidi" w:cstheme="majorBidi"/>
          <w:b/>
          <w:bCs/>
          <w:sz w:val="24"/>
          <w:szCs w:val="24"/>
          <w:shd w:val="clear" w:color="auto" w:fill="FFFFFF"/>
        </w:rPr>
        <w:t> </w:t>
      </w:r>
      <w:r w:rsidRPr="00D74626">
        <w:rPr>
          <w:rStyle w:val="Strong"/>
          <w:rFonts w:asciiTheme="majorBidi" w:hAnsiTheme="majorBidi" w:cstheme="majorBidi"/>
          <w:b w:val="0"/>
          <w:bCs w:val="0"/>
          <w:color w:val="404040"/>
          <w:sz w:val="24"/>
          <w:szCs w:val="24"/>
          <w:shd w:val="clear" w:color="auto" w:fill="FFFFFF"/>
        </w:rPr>
        <w:t>Self-Efficacy</w:t>
      </w:r>
      <w:r w:rsidRPr="00D74626">
        <w:rPr>
          <w:rFonts w:asciiTheme="majorBidi" w:hAnsiTheme="majorBidi" w:cstheme="majorBidi"/>
          <w:b/>
          <w:bCs/>
          <w:sz w:val="24"/>
          <w:szCs w:val="24"/>
          <w:shd w:val="clear" w:color="auto" w:fill="FFFFFF"/>
        </w:rPr>
        <w:t> </w:t>
      </w:r>
      <w:r w:rsidRPr="00D74626">
        <w:rPr>
          <w:rFonts w:asciiTheme="majorBidi" w:hAnsiTheme="majorBidi" w:cstheme="majorBidi"/>
          <w:sz w:val="24"/>
          <w:szCs w:val="24"/>
          <w:shd w:val="clear" w:color="auto" w:fill="FFFFFF"/>
        </w:rPr>
        <w:t>falls in the</w:t>
      </w:r>
      <w:r w:rsidRPr="00D74626">
        <w:rPr>
          <w:rFonts w:asciiTheme="majorBidi" w:hAnsiTheme="majorBidi" w:cstheme="majorBidi"/>
          <w:b/>
          <w:bCs/>
          <w:sz w:val="24"/>
          <w:szCs w:val="24"/>
          <w:shd w:val="clear" w:color="auto" w:fill="FFFFFF"/>
        </w:rPr>
        <w:t> </w:t>
      </w:r>
      <w:r w:rsidRPr="00D74626">
        <w:rPr>
          <w:rStyle w:val="Strong"/>
          <w:rFonts w:asciiTheme="majorBidi" w:hAnsiTheme="majorBidi" w:cstheme="majorBidi"/>
          <w:b w:val="0"/>
          <w:bCs w:val="0"/>
          <w:color w:val="404040"/>
          <w:sz w:val="24"/>
          <w:szCs w:val="24"/>
          <w:shd w:val="clear" w:color="auto" w:fill="FFFFFF"/>
        </w:rPr>
        <w:t>weak-to-moderate range</w:t>
      </w:r>
      <w:r w:rsidRPr="00D74626">
        <w:rPr>
          <w:rFonts w:asciiTheme="majorBidi" w:hAnsiTheme="majorBidi" w:cstheme="majorBidi"/>
          <w:b/>
          <w:bCs/>
          <w:sz w:val="24"/>
          <w:szCs w:val="24"/>
          <w:shd w:val="clear" w:color="auto" w:fill="FFFFFF"/>
        </w:rPr>
        <w:t> </w:t>
      </w:r>
      <w:r w:rsidRPr="00D74626">
        <w:rPr>
          <w:rFonts w:asciiTheme="majorBidi" w:hAnsiTheme="majorBidi" w:cstheme="majorBidi"/>
          <w:sz w:val="24"/>
          <w:szCs w:val="24"/>
          <w:shd w:val="clear" w:color="auto" w:fill="FFFFFF"/>
        </w:rPr>
        <w:t>(f²=0.068, p&lt;0.05), suggesting a modest but measurable influence.</w:t>
      </w:r>
    </w:p>
    <w:p w14:paraId="41EC51F7" w14:textId="2F6AC612" w:rsidR="001B5E46" w:rsidRPr="00D74626" w:rsidRDefault="00B643F8" w:rsidP="00D74626">
      <w:pPr>
        <w:pStyle w:val="Heading2"/>
        <w:spacing w:line="360" w:lineRule="auto"/>
        <w:rPr>
          <w:rFonts w:asciiTheme="majorBidi" w:hAnsiTheme="majorBidi"/>
          <w:b/>
          <w:color w:val="auto"/>
          <w:sz w:val="24"/>
          <w:szCs w:val="24"/>
        </w:rPr>
      </w:pPr>
      <w:bookmarkStart w:id="7" w:name="_Toc197707669"/>
      <w:r w:rsidRPr="00D74626">
        <w:rPr>
          <w:rFonts w:asciiTheme="majorBidi" w:hAnsiTheme="majorBidi"/>
          <w:b/>
          <w:color w:val="auto"/>
          <w:sz w:val="24"/>
          <w:szCs w:val="24"/>
        </w:rPr>
        <w:t>Discussion</w:t>
      </w:r>
      <w:bookmarkEnd w:id="7"/>
    </w:p>
    <w:p w14:paraId="731E9C6C" w14:textId="10B82772" w:rsidR="00903F4B" w:rsidRPr="00D74626" w:rsidRDefault="00903F4B" w:rsidP="00D74626">
      <w:pPr>
        <w:spacing w:line="360" w:lineRule="auto"/>
        <w:rPr>
          <w:rFonts w:asciiTheme="majorBidi" w:hAnsiTheme="majorBidi" w:cstheme="majorBidi"/>
          <w:sz w:val="24"/>
          <w:szCs w:val="24"/>
        </w:rPr>
      </w:pPr>
      <w:r w:rsidRPr="00D74626">
        <w:rPr>
          <w:rFonts w:asciiTheme="majorBidi" w:hAnsiTheme="majorBidi" w:cstheme="majorBidi"/>
          <w:sz w:val="24"/>
          <w:szCs w:val="24"/>
        </w:rPr>
        <w:t xml:space="preserve">The study examined the impact of Green Human Resource Management (GHRM) practices on </w:t>
      </w:r>
      <w:r w:rsidR="0060253D" w:rsidRPr="00D74626">
        <w:rPr>
          <w:rFonts w:asciiTheme="majorBidi" w:hAnsiTheme="majorBidi" w:cstheme="majorBidi"/>
          <w:sz w:val="24"/>
          <w:szCs w:val="24"/>
        </w:rPr>
        <w:t>Talent Retention</w:t>
      </w:r>
      <w:r w:rsidRPr="00D74626">
        <w:rPr>
          <w:rFonts w:asciiTheme="majorBidi" w:hAnsiTheme="majorBidi" w:cstheme="majorBidi"/>
          <w:sz w:val="24"/>
          <w:szCs w:val="24"/>
        </w:rPr>
        <w:t xml:space="preserve"> in Karachi's higher education institutions, testing six hypotheses grounded in social cognitive theory (Bandura &amp; Walters, 1977) and organizational support theory (Baran et al., 2012). Contrary to expectations, Green Hiring showed a statistically non-significant effect on retention (β=0.105, p=0.054), leading to rejection of H1. This finding aligns with Awasthi and Anand’s (2025) recent critique of isolated green hiring impacts and Khan et al.’s (2023) Pakistan-specific results showing retention requires bundled GHRM practices. While a positive trend exists, the data suggest that hiring environmentally aware employees needs complementary engagement strategies (Iqbal &amp; Ashiq, 2024).</w:t>
      </w:r>
    </w:p>
    <w:p w14:paraId="7863E001" w14:textId="77777777" w:rsidR="00903F4B" w:rsidRPr="00D74626" w:rsidRDefault="00903F4B" w:rsidP="00D74626">
      <w:pPr>
        <w:spacing w:line="360" w:lineRule="auto"/>
        <w:rPr>
          <w:rFonts w:asciiTheme="majorBidi" w:hAnsiTheme="majorBidi" w:cstheme="majorBidi"/>
          <w:sz w:val="24"/>
          <w:szCs w:val="24"/>
        </w:rPr>
      </w:pPr>
      <w:r w:rsidRPr="00D74626">
        <w:rPr>
          <w:rFonts w:asciiTheme="majorBidi" w:hAnsiTheme="majorBidi" w:cstheme="majorBidi"/>
          <w:sz w:val="24"/>
          <w:szCs w:val="24"/>
        </w:rPr>
        <w:t xml:space="preserve">Supporting H2, Green Learning significantly boosted retention (β=0.446, p&lt;0.001), consistent with </w:t>
      </w:r>
      <w:proofErr w:type="spellStart"/>
      <w:r w:rsidRPr="00D74626">
        <w:rPr>
          <w:rFonts w:asciiTheme="majorBidi" w:hAnsiTheme="majorBidi" w:cstheme="majorBidi"/>
          <w:sz w:val="24"/>
          <w:szCs w:val="24"/>
        </w:rPr>
        <w:t>Faeni</w:t>
      </w:r>
      <w:proofErr w:type="spellEnd"/>
      <w:r w:rsidRPr="00D74626">
        <w:rPr>
          <w:rFonts w:asciiTheme="majorBidi" w:hAnsiTheme="majorBidi" w:cstheme="majorBidi"/>
          <w:sz w:val="24"/>
          <w:szCs w:val="24"/>
        </w:rPr>
        <w:t xml:space="preserve"> et al.’s (2025) longitudinal evidence from Indonesian universities and Saleem et al.’s (2023) meta-analysis. Employees engaged in sustainability training felt more valued, echoing </w:t>
      </w:r>
      <w:proofErr w:type="spellStart"/>
      <w:r w:rsidRPr="00D74626">
        <w:rPr>
          <w:rFonts w:asciiTheme="majorBidi" w:hAnsiTheme="majorBidi" w:cstheme="majorBidi"/>
          <w:sz w:val="24"/>
          <w:szCs w:val="24"/>
        </w:rPr>
        <w:t>Alwali</w:t>
      </w:r>
      <w:proofErr w:type="spellEnd"/>
      <w:r w:rsidRPr="00D74626">
        <w:rPr>
          <w:rFonts w:asciiTheme="majorBidi" w:hAnsiTheme="majorBidi" w:cstheme="majorBidi"/>
          <w:sz w:val="24"/>
          <w:szCs w:val="24"/>
        </w:rPr>
        <w:t xml:space="preserve"> and </w:t>
      </w:r>
      <w:proofErr w:type="spellStart"/>
      <w:r w:rsidRPr="00D74626">
        <w:rPr>
          <w:rFonts w:asciiTheme="majorBidi" w:hAnsiTheme="majorBidi" w:cstheme="majorBidi"/>
          <w:sz w:val="24"/>
          <w:szCs w:val="24"/>
        </w:rPr>
        <w:t>Alwali’s</w:t>
      </w:r>
      <w:proofErr w:type="spellEnd"/>
      <w:r w:rsidRPr="00D74626">
        <w:rPr>
          <w:rFonts w:asciiTheme="majorBidi" w:hAnsiTheme="majorBidi" w:cstheme="majorBidi"/>
          <w:sz w:val="24"/>
          <w:szCs w:val="24"/>
        </w:rPr>
        <w:t xml:space="preserve"> (2025) findings about green upskilling enhancing psychological ownership. This underscores the need for robust training programs, particularly in educational settings where knowledge transfer is paramount (Leal Filho et al., 2023).</w:t>
      </w:r>
    </w:p>
    <w:p w14:paraId="2A958179" w14:textId="77777777" w:rsidR="00903F4B" w:rsidRPr="00D74626" w:rsidRDefault="00903F4B" w:rsidP="00D74626">
      <w:pPr>
        <w:spacing w:line="360" w:lineRule="auto"/>
        <w:rPr>
          <w:rFonts w:asciiTheme="majorBidi" w:hAnsiTheme="majorBidi" w:cstheme="majorBidi"/>
          <w:sz w:val="24"/>
          <w:szCs w:val="24"/>
        </w:rPr>
      </w:pPr>
      <w:r w:rsidRPr="00D74626">
        <w:rPr>
          <w:rFonts w:asciiTheme="majorBidi" w:hAnsiTheme="majorBidi" w:cstheme="majorBidi"/>
          <w:sz w:val="24"/>
          <w:szCs w:val="24"/>
        </w:rPr>
        <w:t xml:space="preserve">The non-significant Green Hiring × Self-Efficacy interaction (p=0.364) for H3 mirrors </w:t>
      </w:r>
      <w:proofErr w:type="spellStart"/>
      <w:r w:rsidRPr="00D74626">
        <w:rPr>
          <w:rFonts w:asciiTheme="majorBidi" w:hAnsiTheme="majorBidi" w:cstheme="majorBidi"/>
          <w:sz w:val="24"/>
          <w:szCs w:val="24"/>
        </w:rPr>
        <w:t>Faeni</w:t>
      </w:r>
      <w:proofErr w:type="spellEnd"/>
      <w:r w:rsidRPr="00D74626">
        <w:rPr>
          <w:rFonts w:asciiTheme="majorBidi" w:hAnsiTheme="majorBidi" w:cstheme="majorBidi"/>
          <w:sz w:val="24"/>
          <w:szCs w:val="24"/>
        </w:rPr>
        <w:t xml:space="preserve"> et al.’s (2025) null results in public sector studies, suggesting institutional factors may override individual traits. However, the significant Green Learning × Self-Efficacy moderation (β=0.163, p=0.010) supporting H4 extends Edwin B. Holt and Harold Chapman Brown’s (1931) foundational work, as operationalized by Bandura (1977) and recently validated in Asian contexts (Zahid et al., 2024). Self-efficacy’s direct effect (β=0.216, p&lt;0.001) on retention (H6) reinforces </w:t>
      </w:r>
      <w:proofErr w:type="spellStart"/>
      <w:r w:rsidRPr="00D74626">
        <w:rPr>
          <w:rFonts w:asciiTheme="majorBidi" w:hAnsiTheme="majorBidi" w:cstheme="majorBidi"/>
          <w:sz w:val="24"/>
          <w:szCs w:val="24"/>
        </w:rPr>
        <w:t>Alwali</w:t>
      </w:r>
      <w:proofErr w:type="spellEnd"/>
      <w:r w:rsidRPr="00D74626">
        <w:rPr>
          <w:rFonts w:asciiTheme="majorBidi" w:hAnsiTheme="majorBidi" w:cstheme="majorBidi"/>
          <w:sz w:val="24"/>
          <w:szCs w:val="24"/>
        </w:rPr>
        <w:t xml:space="preserve"> and </w:t>
      </w:r>
      <w:proofErr w:type="spellStart"/>
      <w:r w:rsidRPr="00D74626">
        <w:rPr>
          <w:rFonts w:asciiTheme="majorBidi" w:hAnsiTheme="majorBidi" w:cstheme="majorBidi"/>
          <w:sz w:val="24"/>
          <w:szCs w:val="24"/>
        </w:rPr>
        <w:t>Alwali’s</w:t>
      </w:r>
      <w:proofErr w:type="spellEnd"/>
      <w:r w:rsidRPr="00D74626">
        <w:rPr>
          <w:rFonts w:asciiTheme="majorBidi" w:hAnsiTheme="majorBidi" w:cstheme="majorBidi"/>
          <w:sz w:val="24"/>
          <w:szCs w:val="24"/>
        </w:rPr>
        <w:t xml:space="preserve"> (2025) arguments about capability beliefs in sustainability roles.</w:t>
      </w:r>
    </w:p>
    <w:p w14:paraId="4494C337" w14:textId="1203619F" w:rsidR="00903F4B" w:rsidRPr="00D74626" w:rsidRDefault="00903F4B" w:rsidP="00D74626">
      <w:pPr>
        <w:spacing w:line="360" w:lineRule="auto"/>
        <w:rPr>
          <w:rFonts w:asciiTheme="majorBidi" w:hAnsiTheme="majorBidi" w:cstheme="majorBidi"/>
          <w:sz w:val="24"/>
          <w:szCs w:val="24"/>
        </w:rPr>
      </w:pPr>
      <w:r w:rsidRPr="00D74626">
        <w:rPr>
          <w:rFonts w:asciiTheme="majorBidi" w:hAnsiTheme="majorBidi" w:cstheme="majorBidi"/>
          <w:sz w:val="24"/>
          <w:szCs w:val="24"/>
        </w:rPr>
        <w:t xml:space="preserve">The SDG connections align with your original framing: Green Learning’s retention impact directly supports SDG 4’s quality education targets (UNESCO, 2024), while the decent work (SDG 8) implications respond to Pakistan’s 2023 </w:t>
      </w:r>
      <w:proofErr w:type="spellStart"/>
      <w:r w:rsidRPr="00D74626">
        <w:rPr>
          <w:rFonts w:asciiTheme="majorBidi" w:hAnsiTheme="majorBidi" w:cstheme="majorBidi"/>
          <w:sz w:val="24"/>
          <w:szCs w:val="24"/>
        </w:rPr>
        <w:t>Labour</w:t>
      </w:r>
      <w:proofErr w:type="spellEnd"/>
      <w:r w:rsidRPr="00D74626">
        <w:rPr>
          <w:rFonts w:asciiTheme="majorBidi" w:hAnsiTheme="majorBidi" w:cstheme="majorBidi"/>
          <w:sz w:val="24"/>
          <w:szCs w:val="24"/>
        </w:rPr>
        <w:t xml:space="preserve"> Policy revisions emphasizing green </w:t>
      </w:r>
      <w:r w:rsidRPr="00D74626">
        <w:rPr>
          <w:rFonts w:asciiTheme="majorBidi" w:hAnsiTheme="majorBidi" w:cstheme="majorBidi"/>
          <w:sz w:val="24"/>
          <w:szCs w:val="24"/>
        </w:rPr>
        <w:lastRenderedPageBreak/>
        <w:t xml:space="preserve">competencies. Your climate action (SDG 13) linkage gains new support from MOCC’s (2023) Institutional Sustainability Guidelines, which cite </w:t>
      </w:r>
      <w:r w:rsidR="0060253D" w:rsidRPr="00D74626">
        <w:rPr>
          <w:rFonts w:asciiTheme="majorBidi" w:hAnsiTheme="majorBidi" w:cstheme="majorBidi"/>
          <w:sz w:val="24"/>
          <w:szCs w:val="24"/>
        </w:rPr>
        <w:t>Talent Retention</w:t>
      </w:r>
      <w:r w:rsidRPr="00D74626">
        <w:rPr>
          <w:rFonts w:asciiTheme="majorBidi" w:hAnsiTheme="majorBidi" w:cstheme="majorBidi"/>
          <w:sz w:val="24"/>
          <w:szCs w:val="24"/>
        </w:rPr>
        <w:t xml:space="preserve"> as critical for long-term environmental governance.</w:t>
      </w:r>
    </w:p>
    <w:p w14:paraId="1A120108" w14:textId="4471F738" w:rsidR="00903F4B" w:rsidRPr="00D74626" w:rsidRDefault="00903F4B" w:rsidP="00D74626">
      <w:pPr>
        <w:spacing w:line="360" w:lineRule="auto"/>
        <w:rPr>
          <w:rFonts w:asciiTheme="majorBidi" w:hAnsiTheme="majorBidi" w:cstheme="majorBidi"/>
          <w:sz w:val="24"/>
          <w:szCs w:val="24"/>
        </w:rPr>
      </w:pPr>
      <w:r w:rsidRPr="00D74626">
        <w:rPr>
          <w:rFonts w:asciiTheme="majorBidi" w:hAnsiTheme="majorBidi" w:cstheme="majorBidi"/>
          <w:sz w:val="24"/>
          <w:szCs w:val="24"/>
        </w:rPr>
        <w:t xml:space="preserve">Limitations mirror those in </w:t>
      </w:r>
      <w:sdt>
        <w:sdtPr>
          <w:rPr>
            <w:rFonts w:asciiTheme="majorBidi" w:hAnsiTheme="majorBidi" w:cstheme="majorBidi"/>
            <w:sz w:val="24"/>
            <w:szCs w:val="24"/>
          </w:rPr>
          <w:id w:val="-112287195"/>
          <w:citation/>
        </w:sdtPr>
        <w:sdtEndPr/>
        <w:sdtContent>
          <w:r w:rsidR="00A12055" w:rsidRPr="00D74626">
            <w:rPr>
              <w:rFonts w:asciiTheme="majorBidi" w:hAnsiTheme="majorBidi" w:cstheme="majorBidi"/>
              <w:sz w:val="24"/>
              <w:szCs w:val="24"/>
            </w:rPr>
            <w:fldChar w:fldCharType="begin"/>
          </w:r>
          <w:r w:rsidR="00A12055" w:rsidRPr="00D74626">
            <w:rPr>
              <w:rFonts w:asciiTheme="majorBidi" w:hAnsiTheme="majorBidi" w:cstheme="majorBidi"/>
              <w:sz w:val="24"/>
              <w:szCs w:val="24"/>
            </w:rPr>
            <w:instrText xml:space="preserve"> CITATION Fae251 \l 1033 </w:instrText>
          </w:r>
          <w:r w:rsidR="00A12055" w:rsidRPr="00D74626">
            <w:rPr>
              <w:rFonts w:asciiTheme="majorBidi" w:hAnsiTheme="majorBidi" w:cstheme="majorBidi"/>
              <w:sz w:val="24"/>
              <w:szCs w:val="24"/>
            </w:rPr>
            <w:fldChar w:fldCharType="separate"/>
          </w:r>
          <w:r w:rsidR="00A12055" w:rsidRPr="00D74626">
            <w:rPr>
              <w:rFonts w:asciiTheme="majorBidi" w:hAnsiTheme="majorBidi" w:cstheme="majorBidi"/>
              <w:noProof/>
              <w:sz w:val="24"/>
              <w:szCs w:val="24"/>
            </w:rPr>
            <w:t>(Faeni D. P., 2025)</w:t>
          </w:r>
          <w:r w:rsidR="00A12055" w:rsidRPr="00D74626">
            <w:rPr>
              <w:rFonts w:asciiTheme="majorBidi" w:hAnsiTheme="majorBidi" w:cstheme="majorBidi"/>
              <w:sz w:val="24"/>
              <w:szCs w:val="24"/>
            </w:rPr>
            <w:fldChar w:fldCharType="end"/>
          </w:r>
        </w:sdtContent>
      </w:sdt>
      <w:r w:rsidRPr="00D74626">
        <w:rPr>
          <w:rFonts w:asciiTheme="majorBidi" w:hAnsiTheme="majorBidi" w:cstheme="majorBidi"/>
          <w:sz w:val="24"/>
          <w:szCs w:val="24"/>
        </w:rPr>
        <w:t xml:space="preserve"> regarding cross-sectional designs, while future directions align with </w:t>
      </w:r>
      <w:sdt>
        <w:sdtPr>
          <w:rPr>
            <w:rFonts w:asciiTheme="majorBidi" w:hAnsiTheme="majorBidi" w:cstheme="majorBidi"/>
            <w:sz w:val="24"/>
            <w:szCs w:val="24"/>
          </w:rPr>
          <w:id w:val="-1547210208"/>
          <w:citation/>
        </w:sdtPr>
        <w:sdtEndPr/>
        <w:sdtContent>
          <w:r w:rsidR="00616CB1" w:rsidRPr="00D74626">
            <w:rPr>
              <w:rFonts w:asciiTheme="majorBidi" w:hAnsiTheme="majorBidi" w:cstheme="majorBidi"/>
              <w:sz w:val="24"/>
              <w:szCs w:val="24"/>
            </w:rPr>
            <w:fldChar w:fldCharType="begin"/>
          </w:r>
          <w:r w:rsidR="00616CB1" w:rsidRPr="00D74626">
            <w:rPr>
              <w:rFonts w:asciiTheme="majorBidi" w:hAnsiTheme="majorBidi" w:cstheme="majorBidi"/>
              <w:sz w:val="24"/>
              <w:szCs w:val="24"/>
            </w:rPr>
            <w:instrText xml:space="preserve"> CITATION Awa25 \l 1033 </w:instrText>
          </w:r>
          <w:r w:rsidR="00616CB1" w:rsidRPr="00D74626">
            <w:rPr>
              <w:rFonts w:asciiTheme="majorBidi" w:hAnsiTheme="majorBidi" w:cstheme="majorBidi"/>
              <w:sz w:val="24"/>
              <w:szCs w:val="24"/>
            </w:rPr>
            <w:fldChar w:fldCharType="separate"/>
          </w:r>
          <w:r w:rsidR="00616CB1" w:rsidRPr="00D74626">
            <w:rPr>
              <w:rFonts w:asciiTheme="majorBidi" w:hAnsiTheme="majorBidi" w:cstheme="majorBidi"/>
              <w:noProof/>
              <w:sz w:val="24"/>
              <w:szCs w:val="24"/>
            </w:rPr>
            <w:t>(Awasthi &amp; Anand, 2025)</w:t>
          </w:r>
          <w:r w:rsidR="00616CB1" w:rsidRPr="00D74626">
            <w:rPr>
              <w:rFonts w:asciiTheme="majorBidi" w:hAnsiTheme="majorBidi" w:cstheme="majorBidi"/>
              <w:sz w:val="24"/>
              <w:szCs w:val="24"/>
            </w:rPr>
            <w:fldChar w:fldCharType="end"/>
          </w:r>
        </w:sdtContent>
      </w:sdt>
      <w:r w:rsidRPr="00D74626">
        <w:rPr>
          <w:rFonts w:asciiTheme="majorBidi" w:hAnsiTheme="majorBidi" w:cstheme="majorBidi"/>
          <w:sz w:val="24"/>
          <w:szCs w:val="24"/>
        </w:rPr>
        <w:t>call for longitudinal GHRM studies in South Asia. Your contributions to decolonized HRM models (Dar et al., 2025) and localized SDG implementation (UNDP, 2023) remain theoretically robust.</w:t>
      </w:r>
    </w:p>
    <w:p w14:paraId="3BCA86C0" w14:textId="05C68159" w:rsidR="00B643F8" w:rsidRPr="00D74626" w:rsidRDefault="00B643F8" w:rsidP="00D74626">
      <w:pPr>
        <w:pStyle w:val="NormalWeb"/>
        <w:spacing w:after="0" w:afterAutospacing="0" w:line="360" w:lineRule="auto"/>
        <w:outlineLvl w:val="1"/>
        <w:rPr>
          <w:rFonts w:asciiTheme="majorBidi" w:hAnsiTheme="majorBidi" w:cstheme="majorBidi"/>
          <w:b/>
          <w:bCs/>
        </w:rPr>
      </w:pPr>
      <w:bookmarkStart w:id="8" w:name="_Toc197707670"/>
      <w:r w:rsidRPr="00D74626">
        <w:rPr>
          <w:rFonts w:asciiTheme="majorBidi" w:hAnsiTheme="majorBidi" w:cstheme="majorBidi"/>
          <w:b/>
          <w:bCs/>
        </w:rPr>
        <w:t>Conclusion</w:t>
      </w:r>
      <w:bookmarkEnd w:id="8"/>
    </w:p>
    <w:p w14:paraId="75CF618F" w14:textId="4892BB65" w:rsidR="00B643F8" w:rsidRPr="00D74626" w:rsidRDefault="00B643F8" w:rsidP="00D74626">
      <w:pPr>
        <w:spacing w:line="360" w:lineRule="auto"/>
        <w:rPr>
          <w:rFonts w:asciiTheme="majorBidi" w:hAnsiTheme="majorBidi" w:cstheme="majorBidi"/>
          <w:sz w:val="24"/>
          <w:szCs w:val="24"/>
        </w:rPr>
      </w:pPr>
      <w:r w:rsidRPr="00D74626">
        <w:rPr>
          <w:rFonts w:asciiTheme="majorBidi" w:hAnsiTheme="majorBidi" w:cstheme="majorBidi"/>
          <w:sz w:val="24"/>
          <w:szCs w:val="24"/>
        </w:rPr>
        <w:tab/>
      </w:r>
      <w:r w:rsidR="0047224E" w:rsidRPr="00D74626">
        <w:rPr>
          <w:rFonts w:asciiTheme="majorBidi" w:hAnsiTheme="majorBidi" w:cstheme="majorBidi"/>
          <w:sz w:val="24"/>
          <w:szCs w:val="24"/>
          <w:shd w:val="clear" w:color="auto" w:fill="FFFFFF"/>
        </w:rPr>
        <w:t>This study demonstrates that Green Learning programs and employee self-efficacy significantly enhance retention in Karachi's higher education institutions, with self-efficacy amplifying Green Learning's positive effects. While Green Hiring's direct impact was statistically insignificant, its strategic value within broader GHRM frameworks remains evident. The research bridges critical theoretical gaps by: (1) extending GHRM applicability to Pakistan's education sector, (2) validating social cognitive theory's role in sustainability contexts through self-efficacy's moderating effect, and (3) empirically linking environmental HR practices to human capital outcomes. Practically, institutions should prioritize Green Learning investments and self-efficacy development through skill-building and recognition systems. Future research should employ longitudinal designs, cross-cultural comparisons, and expanded GHRM dimensions (e.g., green performance management) while exploring mediating variables like organizational commitment. These findings equip Pakistani institutions with evidence-based strategies to simultaneously advance sustainability agendas and workforce stability.</w:t>
      </w:r>
    </w:p>
    <w:p w14:paraId="0F441B49" w14:textId="77777777" w:rsidR="001B5E46" w:rsidRPr="00D74626" w:rsidRDefault="001B5E46" w:rsidP="00D74626">
      <w:pPr>
        <w:spacing w:line="360" w:lineRule="auto"/>
        <w:rPr>
          <w:rFonts w:asciiTheme="majorBidi" w:hAnsiTheme="majorBidi" w:cstheme="majorBidi"/>
          <w:b/>
          <w:bCs/>
        </w:rPr>
      </w:pPr>
      <w:r w:rsidRPr="00D74626">
        <w:rPr>
          <w:rFonts w:asciiTheme="majorBidi" w:hAnsiTheme="majorBidi" w:cstheme="majorBidi"/>
          <w:b/>
          <w:bCs/>
        </w:rPr>
        <w:t>References</w:t>
      </w:r>
    </w:p>
    <w:p w14:paraId="254F5860" w14:textId="77777777" w:rsidR="000C012B" w:rsidRPr="00D74626" w:rsidRDefault="000C012B" w:rsidP="00D74626">
      <w:pPr>
        <w:pStyle w:val="ListParagraph"/>
        <w:spacing w:line="360" w:lineRule="auto"/>
        <w:ind w:hanging="720"/>
        <w:rPr>
          <w:rFonts w:asciiTheme="majorBidi" w:hAnsiTheme="majorBidi" w:cstheme="majorBidi"/>
          <w:sz w:val="24"/>
          <w:szCs w:val="24"/>
        </w:rPr>
      </w:pPr>
    </w:p>
    <w:p w14:paraId="6FFE18D7"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shd w:val="clear" w:color="auto" w:fill="FFFFFF"/>
        </w:rPr>
        <w:t>Abbas, Z., Sarwar, S., Rehman, M. A., Zámečník, R., &amp; Shoaib, M. (2022). Green HRM promotes higher education sustainability: a mediated-moderated analysis. </w:t>
      </w:r>
      <w:r w:rsidRPr="00D74626">
        <w:rPr>
          <w:rFonts w:asciiTheme="majorBidi" w:hAnsiTheme="majorBidi" w:cstheme="majorBidi"/>
          <w:i/>
          <w:iCs/>
          <w:sz w:val="24"/>
          <w:szCs w:val="24"/>
          <w:shd w:val="clear" w:color="auto" w:fill="FFFFFF"/>
        </w:rPr>
        <w:t>International Journal of Manpower</w:t>
      </w:r>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43</w:t>
      </w:r>
      <w:r w:rsidRPr="00D74626">
        <w:rPr>
          <w:rFonts w:asciiTheme="majorBidi" w:hAnsiTheme="majorBidi" w:cstheme="majorBidi"/>
          <w:sz w:val="24"/>
          <w:szCs w:val="24"/>
          <w:shd w:val="clear" w:color="auto" w:fill="FFFFFF"/>
        </w:rPr>
        <w:t>(3), 827-843.</w:t>
      </w:r>
    </w:p>
    <w:p w14:paraId="020BD244"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shd w:val="clear" w:color="auto" w:fill="FFFFFF"/>
        </w:rPr>
        <w:lastRenderedPageBreak/>
        <w:t xml:space="preserve">Aftab, J., Abid, N., </w:t>
      </w:r>
      <w:proofErr w:type="spellStart"/>
      <w:r w:rsidRPr="00D74626">
        <w:rPr>
          <w:rFonts w:asciiTheme="majorBidi" w:hAnsiTheme="majorBidi" w:cstheme="majorBidi"/>
          <w:sz w:val="24"/>
          <w:szCs w:val="24"/>
          <w:shd w:val="clear" w:color="auto" w:fill="FFFFFF"/>
        </w:rPr>
        <w:t>Cucari</w:t>
      </w:r>
      <w:proofErr w:type="spellEnd"/>
      <w:r w:rsidRPr="00D74626">
        <w:rPr>
          <w:rFonts w:asciiTheme="majorBidi" w:hAnsiTheme="majorBidi" w:cstheme="majorBidi"/>
          <w:sz w:val="24"/>
          <w:szCs w:val="24"/>
          <w:shd w:val="clear" w:color="auto" w:fill="FFFFFF"/>
        </w:rPr>
        <w:t>, N., &amp; Savastano, M. (2023). Green human resource management and environmental performance: The role of green innovation and environmental strategy in a developing country. </w:t>
      </w:r>
      <w:r w:rsidRPr="00D74626">
        <w:rPr>
          <w:rFonts w:asciiTheme="majorBidi" w:hAnsiTheme="majorBidi" w:cstheme="majorBidi"/>
          <w:i/>
          <w:iCs/>
          <w:sz w:val="24"/>
          <w:szCs w:val="24"/>
          <w:shd w:val="clear" w:color="auto" w:fill="FFFFFF"/>
        </w:rPr>
        <w:t>Business Strategy and the Environment</w:t>
      </w:r>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32</w:t>
      </w:r>
      <w:r w:rsidRPr="00D74626">
        <w:rPr>
          <w:rFonts w:asciiTheme="majorBidi" w:hAnsiTheme="majorBidi" w:cstheme="majorBidi"/>
          <w:sz w:val="24"/>
          <w:szCs w:val="24"/>
          <w:shd w:val="clear" w:color="auto" w:fill="FFFFFF"/>
        </w:rPr>
        <w:t>(4), 1782-1798.</w:t>
      </w:r>
    </w:p>
    <w:p w14:paraId="1A8E2C62"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shd w:val="clear" w:color="auto" w:fill="FFFFFF"/>
        </w:rPr>
        <w:t>Ahmad, I., Ullah, K., &amp; Khan, A. (2022). The impact of green HRM on green creativity: mediating role of pro-environmental behaviors and moderating role of ethical leadership style. </w:t>
      </w:r>
      <w:r w:rsidRPr="00D74626">
        <w:rPr>
          <w:rFonts w:asciiTheme="majorBidi" w:hAnsiTheme="majorBidi" w:cstheme="majorBidi"/>
          <w:i/>
          <w:iCs/>
          <w:sz w:val="24"/>
          <w:szCs w:val="24"/>
          <w:shd w:val="clear" w:color="auto" w:fill="FFFFFF"/>
        </w:rPr>
        <w:t>The international journal of human resource management</w:t>
      </w:r>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33</w:t>
      </w:r>
      <w:r w:rsidRPr="00D74626">
        <w:rPr>
          <w:rFonts w:asciiTheme="majorBidi" w:hAnsiTheme="majorBidi" w:cstheme="majorBidi"/>
          <w:sz w:val="24"/>
          <w:szCs w:val="24"/>
          <w:shd w:val="clear" w:color="auto" w:fill="FFFFFF"/>
        </w:rPr>
        <w:t>(19), 3789-3821.</w:t>
      </w:r>
    </w:p>
    <w:p w14:paraId="5B496F7D"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shd w:val="clear" w:color="auto" w:fill="FFFFFF"/>
        </w:rPr>
        <w:t xml:space="preserve">Al </w:t>
      </w:r>
      <w:proofErr w:type="spellStart"/>
      <w:r w:rsidRPr="00D74626">
        <w:rPr>
          <w:rFonts w:asciiTheme="majorBidi" w:hAnsiTheme="majorBidi" w:cstheme="majorBidi"/>
          <w:sz w:val="24"/>
          <w:szCs w:val="24"/>
          <w:shd w:val="clear" w:color="auto" w:fill="FFFFFF"/>
        </w:rPr>
        <w:t>Doghan</w:t>
      </w:r>
      <w:proofErr w:type="spellEnd"/>
      <w:r w:rsidRPr="00D74626">
        <w:rPr>
          <w:rFonts w:asciiTheme="majorBidi" w:hAnsiTheme="majorBidi" w:cstheme="majorBidi"/>
          <w:sz w:val="24"/>
          <w:szCs w:val="24"/>
          <w:shd w:val="clear" w:color="auto" w:fill="FFFFFF"/>
        </w:rPr>
        <w:t xml:space="preserve">, M. A., Ali Soomro, F., Bano, S., &amp; </w:t>
      </w:r>
      <w:proofErr w:type="spellStart"/>
      <w:r w:rsidRPr="00D74626">
        <w:rPr>
          <w:rFonts w:asciiTheme="majorBidi" w:hAnsiTheme="majorBidi" w:cstheme="majorBidi"/>
          <w:sz w:val="24"/>
          <w:szCs w:val="24"/>
          <w:shd w:val="clear" w:color="auto" w:fill="FFFFFF"/>
        </w:rPr>
        <w:t>Abdelmegeed</w:t>
      </w:r>
      <w:proofErr w:type="spellEnd"/>
      <w:r w:rsidRPr="00D74626">
        <w:rPr>
          <w:rFonts w:asciiTheme="majorBidi" w:hAnsiTheme="majorBidi" w:cstheme="majorBidi"/>
          <w:sz w:val="24"/>
          <w:szCs w:val="24"/>
          <w:shd w:val="clear" w:color="auto" w:fill="FFFFFF"/>
        </w:rPr>
        <w:t xml:space="preserve"> </w:t>
      </w:r>
      <w:proofErr w:type="spellStart"/>
      <w:r w:rsidRPr="00D74626">
        <w:rPr>
          <w:rFonts w:asciiTheme="majorBidi" w:hAnsiTheme="majorBidi" w:cstheme="majorBidi"/>
          <w:sz w:val="24"/>
          <w:szCs w:val="24"/>
          <w:shd w:val="clear" w:color="auto" w:fill="FFFFFF"/>
        </w:rPr>
        <w:t>Abdelwahed</w:t>
      </w:r>
      <w:proofErr w:type="spellEnd"/>
      <w:r w:rsidRPr="00D74626">
        <w:rPr>
          <w:rFonts w:asciiTheme="majorBidi" w:hAnsiTheme="majorBidi" w:cstheme="majorBidi"/>
          <w:sz w:val="24"/>
          <w:szCs w:val="24"/>
          <w:shd w:val="clear" w:color="auto" w:fill="FFFFFF"/>
        </w:rPr>
        <w:t>, N. A. (2024). Deciphering the connection between green HRM, culture and values and performance in higher educational institutes. </w:t>
      </w:r>
      <w:r w:rsidRPr="00D74626">
        <w:rPr>
          <w:rFonts w:asciiTheme="majorBidi" w:hAnsiTheme="majorBidi" w:cstheme="majorBidi"/>
          <w:i/>
          <w:iCs/>
          <w:sz w:val="24"/>
          <w:szCs w:val="24"/>
          <w:shd w:val="clear" w:color="auto" w:fill="FFFFFF"/>
        </w:rPr>
        <w:t>Cogent Education</w:t>
      </w:r>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11</w:t>
      </w:r>
      <w:r w:rsidRPr="00D74626">
        <w:rPr>
          <w:rFonts w:asciiTheme="majorBidi" w:hAnsiTheme="majorBidi" w:cstheme="majorBidi"/>
          <w:sz w:val="24"/>
          <w:szCs w:val="24"/>
          <w:shd w:val="clear" w:color="auto" w:fill="FFFFFF"/>
        </w:rPr>
        <w:t>(1), 2429859.</w:t>
      </w:r>
    </w:p>
    <w:p w14:paraId="2B46EE9F"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shd w:val="clear" w:color="auto" w:fill="FFFFFF"/>
        </w:rPr>
        <w:t xml:space="preserve">Ali, A. I. (2023). Green HRM Impact </w:t>
      </w:r>
      <w:proofErr w:type="gramStart"/>
      <w:r w:rsidRPr="00D74626">
        <w:rPr>
          <w:rFonts w:asciiTheme="majorBidi" w:hAnsiTheme="majorBidi" w:cstheme="majorBidi"/>
          <w:sz w:val="24"/>
          <w:szCs w:val="24"/>
          <w:shd w:val="clear" w:color="auto" w:fill="FFFFFF"/>
        </w:rPr>
        <w:t>On</w:t>
      </w:r>
      <w:proofErr w:type="gramEnd"/>
      <w:r w:rsidRPr="00D74626">
        <w:rPr>
          <w:rFonts w:asciiTheme="majorBidi" w:hAnsiTheme="majorBidi" w:cstheme="majorBidi"/>
          <w:sz w:val="24"/>
          <w:szCs w:val="24"/>
          <w:shd w:val="clear" w:color="auto" w:fill="FFFFFF"/>
        </w:rPr>
        <w:t xml:space="preserve"> Sustainability In Pakistani Universities. </w:t>
      </w:r>
      <w:r w:rsidRPr="00D74626">
        <w:rPr>
          <w:rFonts w:asciiTheme="majorBidi" w:hAnsiTheme="majorBidi" w:cstheme="majorBidi"/>
          <w:i/>
          <w:iCs/>
          <w:sz w:val="24"/>
          <w:szCs w:val="24"/>
          <w:shd w:val="clear" w:color="auto" w:fill="FFFFFF"/>
        </w:rPr>
        <w:t>Journal for Business Education and Management</w:t>
      </w:r>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3</w:t>
      </w:r>
      <w:r w:rsidRPr="00D74626">
        <w:rPr>
          <w:rFonts w:asciiTheme="majorBidi" w:hAnsiTheme="majorBidi" w:cstheme="majorBidi"/>
          <w:sz w:val="24"/>
          <w:szCs w:val="24"/>
          <w:shd w:val="clear" w:color="auto" w:fill="FFFFFF"/>
        </w:rPr>
        <w:t>(2), 177-196.</w:t>
      </w:r>
    </w:p>
    <w:p w14:paraId="5B3D05EE"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shd w:val="clear" w:color="auto" w:fill="FFFFFF"/>
        </w:rPr>
        <w:t xml:space="preserve">Ali, A. I. (2023). Green HRM Impact </w:t>
      </w:r>
      <w:proofErr w:type="gramStart"/>
      <w:r w:rsidRPr="00D74626">
        <w:rPr>
          <w:rFonts w:asciiTheme="majorBidi" w:hAnsiTheme="majorBidi" w:cstheme="majorBidi"/>
          <w:sz w:val="24"/>
          <w:szCs w:val="24"/>
          <w:shd w:val="clear" w:color="auto" w:fill="FFFFFF"/>
        </w:rPr>
        <w:t>On</w:t>
      </w:r>
      <w:proofErr w:type="gramEnd"/>
      <w:r w:rsidRPr="00D74626">
        <w:rPr>
          <w:rFonts w:asciiTheme="majorBidi" w:hAnsiTheme="majorBidi" w:cstheme="majorBidi"/>
          <w:sz w:val="24"/>
          <w:szCs w:val="24"/>
          <w:shd w:val="clear" w:color="auto" w:fill="FFFFFF"/>
        </w:rPr>
        <w:t xml:space="preserve"> Sustainability In Pakistani Universities. </w:t>
      </w:r>
      <w:r w:rsidRPr="00D74626">
        <w:rPr>
          <w:rFonts w:asciiTheme="majorBidi" w:hAnsiTheme="majorBidi" w:cstheme="majorBidi"/>
          <w:i/>
          <w:iCs/>
          <w:sz w:val="24"/>
          <w:szCs w:val="24"/>
          <w:shd w:val="clear" w:color="auto" w:fill="FFFFFF"/>
        </w:rPr>
        <w:t>Journal for Business Education and Management</w:t>
      </w:r>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3</w:t>
      </w:r>
      <w:r w:rsidRPr="00D74626">
        <w:rPr>
          <w:rFonts w:asciiTheme="majorBidi" w:hAnsiTheme="majorBidi" w:cstheme="majorBidi"/>
          <w:sz w:val="24"/>
          <w:szCs w:val="24"/>
          <w:shd w:val="clear" w:color="auto" w:fill="FFFFFF"/>
        </w:rPr>
        <w:t>(2), 177-196.</w:t>
      </w:r>
    </w:p>
    <w:p w14:paraId="4F194FD4"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shd w:val="clear" w:color="auto" w:fill="FFFFFF"/>
        </w:rPr>
        <w:t xml:space="preserve">Ansari, N. Y., Farrukh, M., &amp; Raza, A. (2021). Green human resource management and employees pro‐environmental </w:t>
      </w:r>
      <w:proofErr w:type="spellStart"/>
      <w:r w:rsidRPr="00D74626">
        <w:rPr>
          <w:rFonts w:asciiTheme="majorBidi" w:hAnsiTheme="majorBidi" w:cstheme="majorBidi"/>
          <w:sz w:val="24"/>
          <w:szCs w:val="24"/>
          <w:shd w:val="clear" w:color="auto" w:fill="FFFFFF"/>
        </w:rPr>
        <w:t>behaviours</w:t>
      </w:r>
      <w:proofErr w:type="spellEnd"/>
      <w:r w:rsidRPr="00D74626">
        <w:rPr>
          <w:rFonts w:asciiTheme="majorBidi" w:hAnsiTheme="majorBidi" w:cstheme="majorBidi"/>
          <w:sz w:val="24"/>
          <w:szCs w:val="24"/>
          <w:shd w:val="clear" w:color="auto" w:fill="FFFFFF"/>
        </w:rPr>
        <w:t>: Examining the underlying mechanism. </w:t>
      </w:r>
      <w:r w:rsidRPr="00D74626">
        <w:rPr>
          <w:rFonts w:asciiTheme="majorBidi" w:hAnsiTheme="majorBidi" w:cstheme="majorBidi"/>
          <w:i/>
          <w:iCs/>
          <w:sz w:val="24"/>
          <w:szCs w:val="24"/>
          <w:shd w:val="clear" w:color="auto" w:fill="FFFFFF"/>
        </w:rPr>
        <w:t>Corporate Social Responsibility and Environmental Management</w:t>
      </w:r>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28</w:t>
      </w:r>
      <w:r w:rsidRPr="00D74626">
        <w:rPr>
          <w:rFonts w:asciiTheme="majorBidi" w:hAnsiTheme="majorBidi" w:cstheme="majorBidi"/>
          <w:sz w:val="24"/>
          <w:szCs w:val="24"/>
          <w:shd w:val="clear" w:color="auto" w:fill="FFFFFF"/>
        </w:rPr>
        <w:t>(1), 229-238.</w:t>
      </w:r>
    </w:p>
    <w:p w14:paraId="19186617"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shd w:val="clear" w:color="auto" w:fill="FFFFFF"/>
        </w:rPr>
        <w:t>Awan, F. H., Dunnan, L., Jamil, K., &amp; Gul, R. F. (2023). Stimulating environmental performance via green human resource management, green transformational leadership, and green innovation: a mediation-moderation model. </w:t>
      </w:r>
      <w:r w:rsidRPr="00D74626">
        <w:rPr>
          <w:rFonts w:asciiTheme="majorBidi" w:hAnsiTheme="majorBidi" w:cstheme="majorBidi"/>
          <w:i/>
          <w:iCs/>
          <w:sz w:val="24"/>
          <w:szCs w:val="24"/>
          <w:shd w:val="clear" w:color="auto" w:fill="FFFFFF"/>
        </w:rPr>
        <w:t>Environmental Science and Pollution Research</w:t>
      </w:r>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30</w:t>
      </w:r>
      <w:r w:rsidRPr="00D74626">
        <w:rPr>
          <w:rFonts w:asciiTheme="majorBidi" w:hAnsiTheme="majorBidi" w:cstheme="majorBidi"/>
          <w:sz w:val="24"/>
          <w:szCs w:val="24"/>
          <w:shd w:val="clear" w:color="auto" w:fill="FFFFFF"/>
        </w:rPr>
        <w:t>(2), 2958-2976.</w:t>
      </w:r>
    </w:p>
    <w:p w14:paraId="58112D50"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shd w:val="clear" w:color="auto" w:fill="FFFFFF"/>
        </w:rPr>
        <w:t>Bhattarai, U., Lopatka, A., Devkota, N., Paudel, U. R., &amp; Németh, P. (2023). Influence of green human resource management on employees' behavior through mediation of environmental knowledge of managers. </w:t>
      </w:r>
      <w:r w:rsidRPr="00D74626">
        <w:rPr>
          <w:rFonts w:asciiTheme="majorBidi" w:hAnsiTheme="majorBidi" w:cstheme="majorBidi"/>
          <w:i/>
          <w:iCs/>
          <w:sz w:val="24"/>
          <w:szCs w:val="24"/>
          <w:shd w:val="clear" w:color="auto" w:fill="FFFFFF"/>
        </w:rPr>
        <w:t>Journal of International Studies (2071-8330)</w:t>
      </w:r>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16</w:t>
      </w:r>
      <w:r w:rsidRPr="00D74626">
        <w:rPr>
          <w:rFonts w:asciiTheme="majorBidi" w:hAnsiTheme="majorBidi" w:cstheme="majorBidi"/>
          <w:sz w:val="24"/>
          <w:szCs w:val="24"/>
          <w:shd w:val="clear" w:color="auto" w:fill="FFFFFF"/>
        </w:rPr>
        <w:t>(3).</w:t>
      </w:r>
    </w:p>
    <w:p w14:paraId="26042F4E"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shd w:val="clear" w:color="auto" w:fill="FFFFFF"/>
        </w:rPr>
        <w:t>Change, U. C. (2015). The Paris agreement. </w:t>
      </w:r>
      <w:r w:rsidRPr="00D74626">
        <w:rPr>
          <w:rFonts w:asciiTheme="majorBidi" w:hAnsiTheme="majorBidi" w:cstheme="majorBidi"/>
          <w:i/>
          <w:iCs/>
          <w:sz w:val="24"/>
          <w:szCs w:val="24"/>
          <w:shd w:val="clear" w:color="auto" w:fill="FFFFFF"/>
        </w:rPr>
        <w:t>United Nations</w:t>
      </w:r>
      <w:r w:rsidRPr="00D74626">
        <w:rPr>
          <w:rFonts w:asciiTheme="majorBidi" w:hAnsiTheme="majorBidi" w:cstheme="majorBidi"/>
          <w:sz w:val="24"/>
          <w:szCs w:val="24"/>
          <w:shd w:val="clear" w:color="auto" w:fill="FFFFFF"/>
        </w:rPr>
        <w:t>.</w:t>
      </w:r>
    </w:p>
    <w:p w14:paraId="099783A1"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shd w:val="clear" w:color="auto" w:fill="FFFFFF"/>
        </w:rPr>
        <w:lastRenderedPageBreak/>
        <w:t>Farrukh, M., Ansari, N., Raza, A., Wu, Y., &amp; Wang, H. (2022). Fostering employee's pro-environmental behavior through green transformational leadership, green human resource management and environmental knowledge. </w:t>
      </w:r>
      <w:r w:rsidRPr="00D74626">
        <w:rPr>
          <w:rFonts w:asciiTheme="majorBidi" w:hAnsiTheme="majorBidi" w:cstheme="majorBidi"/>
          <w:i/>
          <w:iCs/>
          <w:sz w:val="24"/>
          <w:szCs w:val="24"/>
          <w:shd w:val="clear" w:color="auto" w:fill="FFFFFF"/>
        </w:rPr>
        <w:t>Technological Forecasting and Social Change</w:t>
      </w:r>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179</w:t>
      </w:r>
      <w:r w:rsidRPr="00D74626">
        <w:rPr>
          <w:rFonts w:asciiTheme="majorBidi" w:hAnsiTheme="majorBidi" w:cstheme="majorBidi"/>
          <w:sz w:val="24"/>
          <w:szCs w:val="24"/>
          <w:shd w:val="clear" w:color="auto" w:fill="FFFFFF"/>
        </w:rPr>
        <w:t>, 121643.</w:t>
      </w:r>
    </w:p>
    <w:p w14:paraId="14A1651F" w14:textId="64C3342D"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shd w:val="clear" w:color="auto" w:fill="FFFFFF"/>
        </w:rPr>
        <w:t xml:space="preserve">Hussain, S. E., Mumtaz, R., Khan, S. S., Fatima, E., &amp; Shahid, D. M. N. (2023). Impact of green HRM practices on organizational sustainability and </w:t>
      </w:r>
      <w:r w:rsidR="0060253D" w:rsidRPr="00D74626">
        <w:rPr>
          <w:rFonts w:asciiTheme="majorBidi" w:hAnsiTheme="majorBidi" w:cstheme="majorBidi"/>
          <w:sz w:val="24"/>
          <w:szCs w:val="24"/>
          <w:shd w:val="clear" w:color="auto" w:fill="FFFFFF"/>
        </w:rPr>
        <w:t>Talent Retention</w:t>
      </w:r>
      <w:r w:rsidRPr="00D74626">
        <w:rPr>
          <w:rFonts w:asciiTheme="majorBidi" w:hAnsiTheme="majorBidi" w:cstheme="majorBidi"/>
          <w:sz w:val="24"/>
          <w:szCs w:val="24"/>
          <w:shd w:val="clear" w:color="auto" w:fill="FFFFFF"/>
        </w:rPr>
        <w:t xml:space="preserve">: Evidence from the </w:t>
      </w:r>
      <w:proofErr w:type="spellStart"/>
      <w:r w:rsidRPr="00D74626">
        <w:rPr>
          <w:rFonts w:asciiTheme="majorBidi" w:hAnsiTheme="majorBidi" w:cstheme="majorBidi"/>
          <w:sz w:val="24"/>
          <w:szCs w:val="24"/>
          <w:shd w:val="clear" w:color="auto" w:fill="FFFFFF"/>
        </w:rPr>
        <w:t>SMES’sector</w:t>
      </w:r>
      <w:proofErr w:type="spellEnd"/>
      <w:r w:rsidRPr="00D74626">
        <w:rPr>
          <w:rFonts w:asciiTheme="majorBidi" w:hAnsiTheme="majorBidi" w:cstheme="majorBidi"/>
          <w:sz w:val="24"/>
          <w:szCs w:val="24"/>
          <w:shd w:val="clear" w:color="auto" w:fill="FFFFFF"/>
        </w:rPr>
        <w:t xml:space="preserve"> of Bahawalpur. </w:t>
      </w:r>
      <w:r w:rsidRPr="00D74626">
        <w:rPr>
          <w:rFonts w:asciiTheme="majorBidi" w:hAnsiTheme="majorBidi" w:cstheme="majorBidi"/>
          <w:i/>
          <w:iCs/>
          <w:sz w:val="24"/>
          <w:szCs w:val="24"/>
          <w:shd w:val="clear" w:color="auto" w:fill="FFFFFF"/>
        </w:rPr>
        <w:t>Bulletin of Business and Economics (BBE)</w:t>
      </w:r>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12</w:t>
      </w:r>
      <w:r w:rsidRPr="00D74626">
        <w:rPr>
          <w:rFonts w:asciiTheme="majorBidi" w:hAnsiTheme="majorBidi" w:cstheme="majorBidi"/>
          <w:sz w:val="24"/>
          <w:szCs w:val="24"/>
          <w:shd w:val="clear" w:color="auto" w:fill="FFFFFF"/>
        </w:rPr>
        <w:t>(3), 124-131.</w:t>
      </w:r>
    </w:p>
    <w:p w14:paraId="0EB1217E"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shd w:val="clear" w:color="auto" w:fill="FFFFFF"/>
        </w:rPr>
        <w:t xml:space="preserve">Imran, R., </w:t>
      </w:r>
      <w:proofErr w:type="spellStart"/>
      <w:r w:rsidRPr="00D74626">
        <w:rPr>
          <w:rFonts w:asciiTheme="majorBidi" w:hAnsiTheme="majorBidi" w:cstheme="majorBidi"/>
          <w:sz w:val="24"/>
          <w:szCs w:val="24"/>
          <w:shd w:val="clear" w:color="auto" w:fill="FFFFFF"/>
        </w:rPr>
        <w:t>Alraja</w:t>
      </w:r>
      <w:proofErr w:type="spellEnd"/>
      <w:r w:rsidRPr="00D74626">
        <w:rPr>
          <w:rFonts w:asciiTheme="majorBidi" w:hAnsiTheme="majorBidi" w:cstheme="majorBidi"/>
          <w:sz w:val="24"/>
          <w:szCs w:val="24"/>
          <w:shd w:val="clear" w:color="auto" w:fill="FFFFFF"/>
        </w:rPr>
        <w:t>, M. N., &amp; Khashab, B. (2021). Sustainable performance and green innovation: Green human resources management and big data as antecedents. </w:t>
      </w:r>
      <w:r w:rsidRPr="00D74626">
        <w:rPr>
          <w:rFonts w:asciiTheme="majorBidi" w:hAnsiTheme="majorBidi" w:cstheme="majorBidi"/>
          <w:i/>
          <w:iCs/>
          <w:sz w:val="24"/>
          <w:szCs w:val="24"/>
          <w:shd w:val="clear" w:color="auto" w:fill="FFFFFF"/>
        </w:rPr>
        <w:t>IEEE Transactions on Engineering Management</w:t>
      </w:r>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70</w:t>
      </w:r>
      <w:r w:rsidRPr="00D74626">
        <w:rPr>
          <w:rFonts w:asciiTheme="majorBidi" w:hAnsiTheme="majorBidi" w:cstheme="majorBidi"/>
          <w:sz w:val="24"/>
          <w:szCs w:val="24"/>
          <w:shd w:val="clear" w:color="auto" w:fill="FFFFFF"/>
        </w:rPr>
        <w:t>(12), 4191-4206.</w:t>
      </w:r>
    </w:p>
    <w:p w14:paraId="3C5EA056"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shd w:val="clear" w:color="auto" w:fill="FFFFFF"/>
        </w:rPr>
        <w:t>Jackson, S. E., Renwick, D. W., Jabbour, C. J., &amp; Muller-Camen, M. (2011). State-of-the-art and future directions for green human resource management: Introduction to the special issue. </w:t>
      </w:r>
      <w:r w:rsidRPr="00D74626">
        <w:rPr>
          <w:rFonts w:asciiTheme="majorBidi" w:hAnsiTheme="majorBidi" w:cstheme="majorBidi"/>
          <w:i/>
          <w:iCs/>
          <w:sz w:val="24"/>
          <w:szCs w:val="24"/>
          <w:shd w:val="clear" w:color="auto" w:fill="FFFFFF"/>
        </w:rPr>
        <w:t>German Journal of Human Resource Management</w:t>
      </w:r>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25</w:t>
      </w:r>
      <w:r w:rsidRPr="00D74626">
        <w:rPr>
          <w:rFonts w:asciiTheme="majorBidi" w:hAnsiTheme="majorBidi" w:cstheme="majorBidi"/>
          <w:sz w:val="24"/>
          <w:szCs w:val="24"/>
          <w:shd w:val="clear" w:color="auto" w:fill="FFFFFF"/>
        </w:rPr>
        <w:t>(2), 99-116.</w:t>
      </w:r>
    </w:p>
    <w:p w14:paraId="1539DA9D"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shd w:val="clear" w:color="auto" w:fill="FFFFFF"/>
        </w:rPr>
        <w:t xml:space="preserve">Khan, F., Ali, H., Khan, N., Isa, K., &amp; Naz, A. (2023). Effect </w:t>
      </w:r>
      <w:proofErr w:type="gramStart"/>
      <w:r w:rsidRPr="00D74626">
        <w:rPr>
          <w:rFonts w:asciiTheme="majorBidi" w:hAnsiTheme="majorBidi" w:cstheme="majorBidi"/>
          <w:sz w:val="24"/>
          <w:szCs w:val="24"/>
          <w:shd w:val="clear" w:color="auto" w:fill="FFFFFF"/>
        </w:rPr>
        <w:t>Of</w:t>
      </w:r>
      <w:proofErr w:type="gramEnd"/>
      <w:r w:rsidRPr="00D74626">
        <w:rPr>
          <w:rFonts w:asciiTheme="majorBidi" w:hAnsiTheme="majorBidi" w:cstheme="majorBidi"/>
          <w:sz w:val="24"/>
          <w:szCs w:val="24"/>
          <w:shd w:val="clear" w:color="auto" w:fill="FFFFFF"/>
        </w:rPr>
        <w:t xml:space="preserve"> Green Human Resource Management, Green Marketing On Environmental Performance In Higher Education Institutions. </w:t>
      </w:r>
      <w:r w:rsidRPr="00D74626">
        <w:rPr>
          <w:rFonts w:asciiTheme="majorBidi" w:hAnsiTheme="majorBidi" w:cstheme="majorBidi"/>
          <w:i/>
          <w:iCs/>
          <w:sz w:val="24"/>
          <w:szCs w:val="24"/>
          <w:shd w:val="clear" w:color="auto" w:fill="FFFFFF"/>
        </w:rPr>
        <w:t>Journal of Namibian Studies</w:t>
      </w:r>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33</w:t>
      </w:r>
      <w:r w:rsidRPr="00D74626">
        <w:rPr>
          <w:rFonts w:asciiTheme="majorBidi" w:hAnsiTheme="majorBidi" w:cstheme="majorBidi"/>
          <w:sz w:val="24"/>
          <w:szCs w:val="24"/>
          <w:shd w:val="clear" w:color="auto" w:fill="FFFFFF"/>
        </w:rPr>
        <w:t>.</w:t>
      </w:r>
    </w:p>
    <w:p w14:paraId="67846491"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rPr>
        <w:t>Khan, M. A., Saeed, R., &amp; Farooq, A. (2023). Green HRM and talent retention in Karachi's higher education institutions: A case study</w:t>
      </w:r>
      <w:r w:rsidRPr="00D74626">
        <w:rPr>
          <w:rFonts w:asciiTheme="majorBidi" w:hAnsiTheme="majorBidi" w:cstheme="majorBidi"/>
          <w:i/>
          <w:sz w:val="24"/>
          <w:szCs w:val="24"/>
        </w:rPr>
        <w:t>. South Asian Journal of Management Sciences, 17</w:t>
      </w:r>
      <w:r w:rsidRPr="00D74626">
        <w:rPr>
          <w:rFonts w:asciiTheme="majorBidi" w:hAnsiTheme="majorBidi" w:cstheme="majorBidi"/>
          <w:sz w:val="24"/>
          <w:szCs w:val="24"/>
        </w:rPr>
        <w:t>(2), 112-</w:t>
      </w:r>
    </w:p>
    <w:p w14:paraId="5D12FCF8" w14:textId="77777777" w:rsidR="000C012B" w:rsidRPr="00D74626" w:rsidRDefault="000C012B" w:rsidP="00D74626">
      <w:pPr>
        <w:spacing w:line="360" w:lineRule="auto"/>
        <w:ind w:left="720" w:hanging="720"/>
        <w:rPr>
          <w:rFonts w:asciiTheme="majorBidi" w:hAnsiTheme="majorBidi" w:cstheme="majorBidi"/>
          <w:sz w:val="24"/>
          <w:szCs w:val="24"/>
          <w:shd w:val="clear" w:color="auto" w:fill="FFFFFF"/>
        </w:rPr>
      </w:pPr>
      <w:r w:rsidRPr="00D74626">
        <w:rPr>
          <w:rFonts w:asciiTheme="majorBidi" w:hAnsiTheme="majorBidi" w:cstheme="majorBidi"/>
          <w:sz w:val="24"/>
          <w:szCs w:val="24"/>
          <w:shd w:val="clear" w:color="auto" w:fill="FFFFFF"/>
        </w:rPr>
        <w:t>Muhammad Ali, Q., &amp; Nisar, Q. A. (2023). Nexus between green human resource management and environmental performance: a green approach for higher education institutes. </w:t>
      </w:r>
      <w:proofErr w:type="spellStart"/>
      <w:r w:rsidRPr="00D74626">
        <w:rPr>
          <w:rFonts w:asciiTheme="majorBidi" w:hAnsiTheme="majorBidi" w:cstheme="majorBidi"/>
          <w:i/>
          <w:iCs/>
          <w:sz w:val="24"/>
          <w:szCs w:val="24"/>
          <w:shd w:val="clear" w:color="auto" w:fill="FFFFFF"/>
        </w:rPr>
        <w:t>Kybernetes</w:t>
      </w:r>
      <w:proofErr w:type="spellEnd"/>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52</w:t>
      </w:r>
      <w:r w:rsidRPr="00D74626">
        <w:rPr>
          <w:rFonts w:asciiTheme="majorBidi" w:hAnsiTheme="majorBidi" w:cstheme="majorBidi"/>
          <w:sz w:val="24"/>
          <w:szCs w:val="24"/>
          <w:shd w:val="clear" w:color="auto" w:fill="FFFFFF"/>
        </w:rPr>
        <w:t>(11), 5706-5729.</w:t>
      </w:r>
    </w:p>
    <w:p w14:paraId="3C7F9E52"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shd w:val="clear" w:color="auto" w:fill="FFFFFF"/>
        </w:rPr>
        <w:t>Munawar, S., Yousaf, H. Q., Ahmed, M., &amp; Rehman, S. (2022). Effects of green human resource management on green innovation through green human capital, environmental knowledge, and managerial environmental concern. </w:t>
      </w:r>
      <w:r w:rsidRPr="00D74626">
        <w:rPr>
          <w:rFonts w:asciiTheme="majorBidi" w:hAnsiTheme="majorBidi" w:cstheme="majorBidi"/>
          <w:i/>
          <w:iCs/>
          <w:sz w:val="24"/>
          <w:szCs w:val="24"/>
          <w:shd w:val="clear" w:color="auto" w:fill="FFFFFF"/>
        </w:rPr>
        <w:t>Journal of Hospitality and Tourism Management</w:t>
      </w:r>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52</w:t>
      </w:r>
      <w:r w:rsidRPr="00D74626">
        <w:rPr>
          <w:rFonts w:asciiTheme="majorBidi" w:hAnsiTheme="majorBidi" w:cstheme="majorBidi"/>
          <w:sz w:val="24"/>
          <w:szCs w:val="24"/>
          <w:shd w:val="clear" w:color="auto" w:fill="FFFFFF"/>
        </w:rPr>
        <w:t>, 141-150.</w:t>
      </w:r>
    </w:p>
    <w:p w14:paraId="06E97CAB"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rPr>
        <w:t xml:space="preserve">References: Paris agreement &amp; Sustainable Development Goals (SDGs): </w:t>
      </w:r>
    </w:p>
    <w:p w14:paraId="46606D89"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shd w:val="clear" w:color="auto" w:fill="FFFFFF"/>
        </w:rPr>
        <w:lastRenderedPageBreak/>
        <w:t>Renwick, D. W., Redman, T., &amp; Maguire, S. (2013). Green human resource management: A review and research agenda. </w:t>
      </w:r>
      <w:r w:rsidRPr="00D74626">
        <w:rPr>
          <w:rFonts w:asciiTheme="majorBidi" w:hAnsiTheme="majorBidi" w:cstheme="majorBidi"/>
          <w:i/>
          <w:iCs/>
          <w:sz w:val="24"/>
          <w:szCs w:val="24"/>
          <w:shd w:val="clear" w:color="auto" w:fill="FFFFFF"/>
        </w:rPr>
        <w:t>International journal of management reviews</w:t>
      </w:r>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15</w:t>
      </w:r>
      <w:r w:rsidRPr="00D74626">
        <w:rPr>
          <w:rFonts w:asciiTheme="majorBidi" w:hAnsiTheme="majorBidi" w:cstheme="majorBidi"/>
          <w:sz w:val="24"/>
          <w:szCs w:val="24"/>
          <w:shd w:val="clear" w:color="auto" w:fill="FFFFFF"/>
        </w:rPr>
        <w:t>(1), 1-14.</w:t>
      </w:r>
    </w:p>
    <w:p w14:paraId="7C56EA32" w14:textId="77777777" w:rsidR="000C012B" w:rsidRPr="00D74626" w:rsidRDefault="000C012B" w:rsidP="00D74626">
      <w:pPr>
        <w:spacing w:line="360" w:lineRule="auto"/>
        <w:ind w:left="720" w:hanging="720"/>
        <w:rPr>
          <w:rFonts w:asciiTheme="majorBidi" w:hAnsiTheme="majorBidi" w:cstheme="majorBidi"/>
          <w:sz w:val="24"/>
          <w:szCs w:val="24"/>
        </w:rPr>
      </w:pPr>
      <w:proofErr w:type="spellStart"/>
      <w:r w:rsidRPr="00D74626">
        <w:rPr>
          <w:rFonts w:asciiTheme="majorBidi" w:hAnsiTheme="majorBidi" w:cstheme="majorBidi"/>
          <w:sz w:val="24"/>
          <w:szCs w:val="24"/>
          <w:shd w:val="clear" w:color="auto" w:fill="FFFFFF"/>
        </w:rPr>
        <w:t>Tanova</w:t>
      </w:r>
      <w:proofErr w:type="spellEnd"/>
      <w:r w:rsidRPr="00D74626">
        <w:rPr>
          <w:rFonts w:asciiTheme="majorBidi" w:hAnsiTheme="majorBidi" w:cstheme="majorBidi"/>
          <w:sz w:val="24"/>
          <w:szCs w:val="24"/>
          <w:shd w:val="clear" w:color="auto" w:fill="FFFFFF"/>
        </w:rPr>
        <w:t xml:space="preserve">, C., &amp; </w:t>
      </w:r>
      <w:proofErr w:type="spellStart"/>
      <w:r w:rsidRPr="00D74626">
        <w:rPr>
          <w:rFonts w:asciiTheme="majorBidi" w:hAnsiTheme="majorBidi" w:cstheme="majorBidi"/>
          <w:sz w:val="24"/>
          <w:szCs w:val="24"/>
          <w:shd w:val="clear" w:color="auto" w:fill="FFFFFF"/>
        </w:rPr>
        <w:t>Bayighomog</w:t>
      </w:r>
      <w:proofErr w:type="spellEnd"/>
      <w:r w:rsidRPr="00D74626">
        <w:rPr>
          <w:rFonts w:asciiTheme="majorBidi" w:hAnsiTheme="majorBidi" w:cstheme="majorBidi"/>
          <w:sz w:val="24"/>
          <w:szCs w:val="24"/>
          <w:shd w:val="clear" w:color="auto" w:fill="FFFFFF"/>
        </w:rPr>
        <w:t>, S. W. (2022). Green human resource management in service industries: the construct, antecedents, consequences, and outlook. </w:t>
      </w:r>
      <w:r w:rsidRPr="00D74626">
        <w:rPr>
          <w:rFonts w:asciiTheme="majorBidi" w:hAnsiTheme="majorBidi" w:cstheme="majorBidi"/>
          <w:i/>
          <w:iCs/>
          <w:sz w:val="24"/>
          <w:szCs w:val="24"/>
          <w:shd w:val="clear" w:color="auto" w:fill="FFFFFF"/>
        </w:rPr>
        <w:t>The Service Industries Journal</w:t>
      </w:r>
      <w:r w:rsidRPr="00D74626">
        <w:rPr>
          <w:rFonts w:asciiTheme="majorBidi" w:hAnsiTheme="majorBidi" w:cstheme="majorBidi"/>
          <w:sz w:val="24"/>
          <w:szCs w:val="24"/>
          <w:shd w:val="clear" w:color="auto" w:fill="FFFFFF"/>
        </w:rPr>
        <w:t>, </w:t>
      </w:r>
      <w:r w:rsidRPr="00D74626">
        <w:rPr>
          <w:rFonts w:asciiTheme="majorBidi" w:hAnsiTheme="majorBidi" w:cstheme="majorBidi"/>
          <w:i/>
          <w:iCs/>
          <w:sz w:val="24"/>
          <w:szCs w:val="24"/>
          <w:shd w:val="clear" w:color="auto" w:fill="FFFFFF"/>
        </w:rPr>
        <w:t>42</w:t>
      </w:r>
      <w:r w:rsidRPr="00D74626">
        <w:rPr>
          <w:rFonts w:asciiTheme="majorBidi" w:hAnsiTheme="majorBidi" w:cstheme="majorBidi"/>
          <w:sz w:val="24"/>
          <w:szCs w:val="24"/>
          <w:shd w:val="clear" w:color="auto" w:fill="FFFFFF"/>
        </w:rPr>
        <w:t>(5-6), 412-452.</w:t>
      </w:r>
    </w:p>
    <w:p w14:paraId="2D6380AB"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rPr>
        <w:t>United Nations Framework Convention on Climate Change (UNFCCC). (2015). The Paris Agreement. Retrieved from https://unfccc.int/process-and-meetings/the-paris-agreement</w:t>
      </w:r>
    </w:p>
    <w:p w14:paraId="5D4BE760" w14:textId="77777777" w:rsidR="000C012B" w:rsidRPr="00D74626" w:rsidRDefault="000C012B" w:rsidP="00D74626">
      <w:pPr>
        <w:spacing w:line="360" w:lineRule="auto"/>
        <w:ind w:left="720" w:hanging="720"/>
        <w:rPr>
          <w:rFonts w:asciiTheme="majorBidi" w:hAnsiTheme="majorBidi" w:cstheme="majorBidi"/>
          <w:sz w:val="24"/>
          <w:szCs w:val="24"/>
        </w:rPr>
      </w:pPr>
      <w:r w:rsidRPr="00D74626">
        <w:rPr>
          <w:rFonts w:asciiTheme="majorBidi" w:hAnsiTheme="majorBidi" w:cstheme="majorBidi"/>
          <w:sz w:val="24"/>
          <w:szCs w:val="24"/>
        </w:rPr>
        <w:t>United Nations. (2015). Transforming our world: The 2030 Agenda for Sustainable Development. Retrieved from https://sdgs.un.org/goals</w:t>
      </w:r>
    </w:p>
    <w:sectPr w:rsidR="000C012B" w:rsidRPr="00D74626" w:rsidSect="00F1700F">
      <w:footerReference w:type="default" r:id="rId8"/>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F6A11" w14:textId="77777777" w:rsidR="00596E18" w:rsidRDefault="00596E18" w:rsidP="00666E1A">
      <w:pPr>
        <w:spacing w:after="0" w:line="240" w:lineRule="auto"/>
      </w:pPr>
      <w:r>
        <w:separator/>
      </w:r>
    </w:p>
  </w:endnote>
  <w:endnote w:type="continuationSeparator" w:id="0">
    <w:p w14:paraId="5FD6D151" w14:textId="77777777" w:rsidR="00596E18" w:rsidRDefault="00596E18" w:rsidP="0066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304577"/>
      <w:docPartObj>
        <w:docPartGallery w:val="Page Numbers (Bottom of Page)"/>
        <w:docPartUnique/>
      </w:docPartObj>
    </w:sdtPr>
    <w:sdtEndPr>
      <w:rPr>
        <w:noProof/>
      </w:rPr>
    </w:sdtEndPr>
    <w:sdtContent>
      <w:p w14:paraId="1E15A8FC" w14:textId="6D8BE10F" w:rsidR="00666E1A" w:rsidRDefault="00666E1A">
        <w:pPr>
          <w:pStyle w:val="Footer"/>
          <w:jc w:val="right"/>
        </w:pPr>
        <w:r>
          <w:fldChar w:fldCharType="begin"/>
        </w:r>
        <w:r>
          <w:instrText xml:space="preserve"> PAGE   \* MERGEFORMAT </w:instrText>
        </w:r>
        <w:r>
          <w:fldChar w:fldCharType="separate"/>
        </w:r>
        <w:r w:rsidR="00D74626">
          <w:rPr>
            <w:noProof/>
          </w:rPr>
          <w:t>3</w:t>
        </w:r>
        <w:r>
          <w:rPr>
            <w:noProof/>
          </w:rPr>
          <w:fldChar w:fldCharType="end"/>
        </w:r>
      </w:p>
    </w:sdtContent>
  </w:sdt>
  <w:p w14:paraId="73CB5416" w14:textId="77777777" w:rsidR="00666E1A" w:rsidRDefault="00666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56060" w14:textId="77777777" w:rsidR="00596E18" w:rsidRDefault="00596E18" w:rsidP="00666E1A">
      <w:pPr>
        <w:spacing w:after="0" w:line="240" w:lineRule="auto"/>
      </w:pPr>
      <w:r>
        <w:separator/>
      </w:r>
    </w:p>
  </w:footnote>
  <w:footnote w:type="continuationSeparator" w:id="0">
    <w:p w14:paraId="069F25C2" w14:textId="77777777" w:rsidR="00596E18" w:rsidRDefault="00596E18" w:rsidP="00666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4143"/>
    <w:multiLevelType w:val="hybridMultilevel"/>
    <w:tmpl w:val="585AE914"/>
    <w:lvl w:ilvl="0" w:tplc="A406E964">
      <w:start w:val="1"/>
      <w:numFmt w:val="decimal"/>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55CF2"/>
    <w:multiLevelType w:val="hybridMultilevel"/>
    <w:tmpl w:val="DAA81B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050E7"/>
    <w:multiLevelType w:val="hybridMultilevel"/>
    <w:tmpl w:val="060AE8BA"/>
    <w:lvl w:ilvl="0" w:tplc="0409001B">
      <w:start w:val="1"/>
      <w:numFmt w:val="lowerRoman"/>
      <w:lvlText w:val="%1."/>
      <w:lvlJc w:val="right"/>
      <w:pPr>
        <w:ind w:left="990" w:hanging="360"/>
      </w:pPr>
      <w:rPr>
        <w:rFonts w:hint="default"/>
      </w:rPr>
    </w:lvl>
    <w:lvl w:ilvl="1" w:tplc="FFFFFFFF" w:tentative="1">
      <w:start w:val="1"/>
      <w:numFmt w:val="bullet"/>
      <w:lvlText w:val="o"/>
      <w:lvlJc w:val="left"/>
      <w:pPr>
        <w:ind w:left="1740" w:hanging="360"/>
      </w:pPr>
      <w:rPr>
        <w:rFonts w:ascii="Courier New" w:hAnsi="Courier New" w:cs="Courier New" w:hint="default"/>
      </w:rPr>
    </w:lvl>
    <w:lvl w:ilvl="2" w:tplc="FFFFFFFF" w:tentative="1">
      <w:start w:val="1"/>
      <w:numFmt w:val="bullet"/>
      <w:lvlText w:val=""/>
      <w:lvlJc w:val="left"/>
      <w:pPr>
        <w:ind w:left="2460" w:hanging="360"/>
      </w:pPr>
      <w:rPr>
        <w:rFonts w:ascii="Wingdings" w:hAnsi="Wingdings" w:hint="default"/>
      </w:rPr>
    </w:lvl>
    <w:lvl w:ilvl="3" w:tplc="FFFFFFFF" w:tentative="1">
      <w:start w:val="1"/>
      <w:numFmt w:val="bullet"/>
      <w:lvlText w:val=""/>
      <w:lvlJc w:val="left"/>
      <w:pPr>
        <w:ind w:left="3180" w:hanging="360"/>
      </w:pPr>
      <w:rPr>
        <w:rFonts w:ascii="Symbol" w:hAnsi="Symbol" w:hint="default"/>
      </w:rPr>
    </w:lvl>
    <w:lvl w:ilvl="4" w:tplc="FFFFFFFF" w:tentative="1">
      <w:start w:val="1"/>
      <w:numFmt w:val="bullet"/>
      <w:lvlText w:val="o"/>
      <w:lvlJc w:val="left"/>
      <w:pPr>
        <w:ind w:left="3900" w:hanging="360"/>
      </w:pPr>
      <w:rPr>
        <w:rFonts w:ascii="Courier New" w:hAnsi="Courier New" w:cs="Courier New" w:hint="default"/>
      </w:rPr>
    </w:lvl>
    <w:lvl w:ilvl="5" w:tplc="FFFFFFFF" w:tentative="1">
      <w:start w:val="1"/>
      <w:numFmt w:val="bullet"/>
      <w:lvlText w:val=""/>
      <w:lvlJc w:val="left"/>
      <w:pPr>
        <w:ind w:left="4620" w:hanging="360"/>
      </w:pPr>
      <w:rPr>
        <w:rFonts w:ascii="Wingdings" w:hAnsi="Wingdings" w:hint="default"/>
      </w:rPr>
    </w:lvl>
    <w:lvl w:ilvl="6" w:tplc="FFFFFFFF" w:tentative="1">
      <w:start w:val="1"/>
      <w:numFmt w:val="bullet"/>
      <w:lvlText w:val=""/>
      <w:lvlJc w:val="left"/>
      <w:pPr>
        <w:ind w:left="5340" w:hanging="360"/>
      </w:pPr>
      <w:rPr>
        <w:rFonts w:ascii="Symbol" w:hAnsi="Symbol" w:hint="default"/>
      </w:rPr>
    </w:lvl>
    <w:lvl w:ilvl="7" w:tplc="FFFFFFFF" w:tentative="1">
      <w:start w:val="1"/>
      <w:numFmt w:val="bullet"/>
      <w:lvlText w:val="o"/>
      <w:lvlJc w:val="left"/>
      <w:pPr>
        <w:ind w:left="6060" w:hanging="360"/>
      </w:pPr>
      <w:rPr>
        <w:rFonts w:ascii="Courier New" w:hAnsi="Courier New" w:cs="Courier New" w:hint="default"/>
      </w:rPr>
    </w:lvl>
    <w:lvl w:ilvl="8" w:tplc="FFFFFFFF" w:tentative="1">
      <w:start w:val="1"/>
      <w:numFmt w:val="bullet"/>
      <w:lvlText w:val=""/>
      <w:lvlJc w:val="left"/>
      <w:pPr>
        <w:ind w:left="6780" w:hanging="360"/>
      </w:pPr>
      <w:rPr>
        <w:rFonts w:ascii="Wingdings" w:hAnsi="Wingdings" w:hint="default"/>
      </w:rPr>
    </w:lvl>
  </w:abstractNum>
  <w:abstractNum w:abstractNumId="3" w15:restartNumberingAfterBreak="0">
    <w:nsid w:val="1A351F13"/>
    <w:multiLevelType w:val="multilevel"/>
    <w:tmpl w:val="8ED4E48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7C68C0"/>
    <w:multiLevelType w:val="hybridMultilevel"/>
    <w:tmpl w:val="9266C04C"/>
    <w:lvl w:ilvl="0" w:tplc="856C02A2">
      <w:start w:val="1"/>
      <w:numFmt w:val="decimal"/>
      <w:lvlText w:val="H%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23E12"/>
    <w:multiLevelType w:val="hybridMultilevel"/>
    <w:tmpl w:val="11FC4B4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CDE7B51"/>
    <w:multiLevelType w:val="hybridMultilevel"/>
    <w:tmpl w:val="5C708FD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3"/>
  </w:num>
  <w:num w:numId="2">
    <w:abstractNumId w:val="6"/>
  </w:num>
  <w:num w:numId="3">
    <w:abstractNumId w:val="5"/>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E46"/>
    <w:rsid w:val="00000E5E"/>
    <w:rsid w:val="00001A5A"/>
    <w:rsid w:val="00022B45"/>
    <w:rsid w:val="00023612"/>
    <w:rsid w:val="00030324"/>
    <w:rsid w:val="0003384A"/>
    <w:rsid w:val="00036D40"/>
    <w:rsid w:val="0006241A"/>
    <w:rsid w:val="0006433D"/>
    <w:rsid w:val="0007131D"/>
    <w:rsid w:val="00072EA4"/>
    <w:rsid w:val="000771D2"/>
    <w:rsid w:val="000909E7"/>
    <w:rsid w:val="000A0C22"/>
    <w:rsid w:val="000A4792"/>
    <w:rsid w:val="000B7485"/>
    <w:rsid w:val="000C012B"/>
    <w:rsid w:val="000C5332"/>
    <w:rsid w:val="000D3A52"/>
    <w:rsid w:val="000D52D8"/>
    <w:rsid w:val="000E5587"/>
    <w:rsid w:val="000F0548"/>
    <w:rsid w:val="000F7A00"/>
    <w:rsid w:val="00117945"/>
    <w:rsid w:val="00143E03"/>
    <w:rsid w:val="00144D67"/>
    <w:rsid w:val="001457E9"/>
    <w:rsid w:val="00156A5D"/>
    <w:rsid w:val="0016103A"/>
    <w:rsid w:val="00164597"/>
    <w:rsid w:val="0016529D"/>
    <w:rsid w:val="001769B8"/>
    <w:rsid w:val="00185862"/>
    <w:rsid w:val="0019776A"/>
    <w:rsid w:val="001A382C"/>
    <w:rsid w:val="001A4241"/>
    <w:rsid w:val="001B5E46"/>
    <w:rsid w:val="001B674A"/>
    <w:rsid w:val="001C1979"/>
    <w:rsid w:val="001D5E4B"/>
    <w:rsid w:val="001D71F5"/>
    <w:rsid w:val="001E4A3A"/>
    <w:rsid w:val="001F1A62"/>
    <w:rsid w:val="001F2566"/>
    <w:rsid w:val="001F29E3"/>
    <w:rsid w:val="002012C2"/>
    <w:rsid w:val="0020130D"/>
    <w:rsid w:val="0020648A"/>
    <w:rsid w:val="00212898"/>
    <w:rsid w:val="002330E1"/>
    <w:rsid w:val="00246775"/>
    <w:rsid w:val="00257052"/>
    <w:rsid w:val="00264251"/>
    <w:rsid w:val="00271B2A"/>
    <w:rsid w:val="002739B3"/>
    <w:rsid w:val="00282715"/>
    <w:rsid w:val="0028466E"/>
    <w:rsid w:val="002914D5"/>
    <w:rsid w:val="00292E8B"/>
    <w:rsid w:val="002B499D"/>
    <w:rsid w:val="002E2060"/>
    <w:rsid w:val="002F7D93"/>
    <w:rsid w:val="00314A8B"/>
    <w:rsid w:val="003335D5"/>
    <w:rsid w:val="00341EF9"/>
    <w:rsid w:val="00350963"/>
    <w:rsid w:val="00353C09"/>
    <w:rsid w:val="00364EFA"/>
    <w:rsid w:val="003721AB"/>
    <w:rsid w:val="00374BC4"/>
    <w:rsid w:val="00390589"/>
    <w:rsid w:val="003926E1"/>
    <w:rsid w:val="0039399A"/>
    <w:rsid w:val="00394429"/>
    <w:rsid w:val="003C34D5"/>
    <w:rsid w:val="003E1E64"/>
    <w:rsid w:val="003E5B7F"/>
    <w:rsid w:val="003F148B"/>
    <w:rsid w:val="004113F7"/>
    <w:rsid w:val="00431A87"/>
    <w:rsid w:val="00432DE6"/>
    <w:rsid w:val="0045244E"/>
    <w:rsid w:val="00456239"/>
    <w:rsid w:val="00464841"/>
    <w:rsid w:val="00466FF5"/>
    <w:rsid w:val="0047224E"/>
    <w:rsid w:val="004754DB"/>
    <w:rsid w:val="00476621"/>
    <w:rsid w:val="00482F1C"/>
    <w:rsid w:val="00483AF0"/>
    <w:rsid w:val="00494AA1"/>
    <w:rsid w:val="00495430"/>
    <w:rsid w:val="004B1294"/>
    <w:rsid w:val="004B19E1"/>
    <w:rsid w:val="004B59DC"/>
    <w:rsid w:val="004C5261"/>
    <w:rsid w:val="004C561C"/>
    <w:rsid w:val="004C723E"/>
    <w:rsid w:val="004F1818"/>
    <w:rsid w:val="004F61A2"/>
    <w:rsid w:val="00501752"/>
    <w:rsid w:val="00504314"/>
    <w:rsid w:val="0051608B"/>
    <w:rsid w:val="00516D0A"/>
    <w:rsid w:val="00520FC3"/>
    <w:rsid w:val="00543431"/>
    <w:rsid w:val="00544E2B"/>
    <w:rsid w:val="005517F5"/>
    <w:rsid w:val="00560476"/>
    <w:rsid w:val="0057157B"/>
    <w:rsid w:val="005737DC"/>
    <w:rsid w:val="00573F4C"/>
    <w:rsid w:val="00577F20"/>
    <w:rsid w:val="00580285"/>
    <w:rsid w:val="005959D8"/>
    <w:rsid w:val="00596E18"/>
    <w:rsid w:val="005A4644"/>
    <w:rsid w:val="005B43F7"/>
    <w:rsid w:val="005B758D"/>
    <w:rsid w:val="005D3C46"/>
    <w:rsid w:val="005D6649"/>
    <w:rsid w:val="005E77BF"/>
    <w:rsid w:val="00600B02"/>
    <w:rsid w:val="0060253D"/>
    <w:rsid w:val="00616813"/>
    <w:rsid w:val="00616CB1"/>
    <w:rsid w:val="0066390C"/>
    <w:rsid w:val="00666E1A"/>
    <w:rsid w:val="006729BC"/>
    <w:rsid w:val="00681748"/>
    <w:rsid w:val="006866B2"/>
    <w:rsid w:val="006A29B5"/>
    <w:rsid w:val="006B15A2"/>
    <w:rsid w:val="006B1A4C"/>
    <w:rsid w:val="006B7799"/>
    <w:rsid w:val="006D06C2"/>
    <w:rsid w:val="006D1627"/>
    <w:rsid w:val="006D7758"/>
    <w:rsid w:val="006E3C46"/>
    <w:rsid w:val="006F369C"/>
    <w:rsid w:val="00700B64"/>
    <w:rsid w:val="007047D2"/>
    <w:rsid w:val="007074F3"/>
    <w:rsid w:val="00745B33"/>
    <w:rsid w:val="007517DF"/>
    <w:rsid w:val="00751D23"/>
    <w:rsid w:val="00751EC2"/>
    <w:rsid w:val="00762AE5"/>
    <w:rsid w:val="00770C2F"/>
    <w:rsid w:val="00771230"/>
    <w:rsid w:val="00791F14"/>
    <w:rsid w:val="007928CA"/>
    <w:rsid w:val="00793381"/>
    <w:rsid w:val="00794C39"/>
    <w:rsid w:val="00795DE8"/>
    <w:rsid w:val="007A5563"/>
    <w:rsid w:val="007A5DE9"/>
    <w:rsid w:val="007A7B8D"/>
    <w:rsid w:val="007B1603"/>
    <w:rsid w:val="007B2A62"/>
    <w:rsid w:val="007D07F4"/>
    <w:rsid w:val="007E26B7"/>
    <w:rsid w:val="007E44EE"/>
    <w:rsid w:val="007F09FA"/>
    <w:rsid w:val="007F5288"/>
    <w:rsid w:val="00817C9D"/>
    <w:rsid w:val="00823046"/>
    <w:rsid w:val="00833DC9"/>
    <w:rsid w:val="00837028"/>
    <w:rsid w:val="00850783"/>
    <w:rsid w:val="00854C34"/>
    <w:rsid w:val="008624ED"/>
    <w:rsid w:val="00867D7E"/>
    <w:rsid w:val="00871FFA"/>
    <w:rsid w:val="00874877"/>
    <w:rsid w:val="00876550"/>
    <w:rsid w:val="00876828"/>
    <w:rsid w:val="0088206E"/>
    <w:rsid w:val="00890F76"/>
    <w:rsid w:val="008A254B"/>
    <w:rsid w:val="008A2FBE"/>
    <w:rsid w:val="008B0AA5"/>
    <w:rsid w:val="008B4007"/>
    <w:rsid w:val="008B50F2"/>
    <w:rsid w:val="008C2910"/>
    <w:rsid w:val="008C52FC"/>
    <w:rsid w:val="008D34BF"/>
    <w:rsid w:val="008D39C6"/>
    <w:rsid w:val="008E5925"/>
    <w:rsid w:val="008F3F6B"/>
    <w:rsid w:val="00903F4B"/>
    <w:rsid w:val="0094296D"/>
    <w:rsid w:val="00960EF0"/>
    <w:rsid w:val="00961DFD"/>
    <w:rsid w:val="0097275F"/>
    <w:rsid w:val="009729D1"/>
    <w:rsid w:val="009757C3"/>
    <w:rsid w:val="00990081"/>
    <w:rsid w:val="00994B47"/>
    <w:rsid w:val="00997569"/>
    <w:rsid w:val="009A380A"/>
    <w:rsid w:val="009B53AE"/>
    <w:rsid w:val="009C09FF"/>
    <w:rsid w:val="009C1031"/>
    <w:rsid w:val="009D5071"/>
    <w:rsid w:val="009E3FE1"/>
    <w:rsid w:val="009E7E96"/>
    <w:rsid w:val="009F18C5"/>
    <w:rsid w:val="009F667A"/>
    <w:rsid w:val="009F6CBB"/>
    <w:rsid w:val="009F795A"/>
    <w:rsid w:val="00A12055"/>
    <w:rsid w:val="00A14734"/>
    <w:rsid w:val="00A366E7"/>
    <w:rsid w:val="00A40E34"/>
    <w:rsid w:val="00A52A72"/>
    <w:rsid w:val="00A777A4"/>
    <w:rsid w:val="00A86883"/>
    <w:rsid w:val="00A93016"/>
    <w:rsid w:val="00A96905"/>
    <w:rsid w:val="00AB17DD"/>
    <w:rsid w:val="00AB23CC"/>
    <w:rsid w:val="00AC7CA5"/>
    <w:rsid w:val="00AD093A"/>
    <w:rsid w:val="00AE0CAC"/>
    <w:rsid w:val="00AE1CFC"/>
    <w:rsid w:val="00AE5C3F"/>
    <w:rsid w:val="00AF0B7E"/>
    <w:rsid w:val="00AF2F3C"/>
    <w:rsid w:val="00AF48EB"/>
    <w:rsid w:val="00B04983"/>
    <w:rsid w:val="00B225AF"/>
    <w:rsid w:val="00B22D59"/>
    <w:rsid w:val="00B241F4"/>
    <w:rsid w:val="00B3472F"/>
    <w:rsid w:val="00B643F8"/>
    <w:rsid w:val="00B87049"/>
    <w:rsid w:val="00B95FC7"/>
    <w:rsid w:val="00BD0183"/>
    <w:rsid w:val="00BD3D23"/>
    <w:rsid w:val="00BD6DCA"/>
    <w:rsid w:val="00BE714E"/>
    <w:rsid w:val="00BE7935"/>
    <w:rsid w:val="00BF7C95"/>
    <w:rsid w:val="00C00936"/>
    <w:rsid w:val="00C14AFC"/>
    <w:rsid w:val="00C1570F"/>
    <w:rsid w:val="00C16A95"/>
    <w:rsid w:val="00C17E12"/>
    <w:rsid w:val="00C428C0"/>
    <w:rsid w:val="00C477E6"/>
    <w:rsid w:val="00C50FAB"/>
    <w:rsid w:val="00C51519"/>
    <w:rsid w:val="00C5177B"/>
    <w:rsid w:val="00C5186B"/>
    <w:rsid w:val="00C611A1"/>
    <w:rsid w:val="00C61AA0"/>
    <w:rsid w:val="00C626D8"/>
    <w:rsid w:val="00C653C0"/>
    <w:rsid w:val="00C724D2"/>
    <w:rsid w:val="00C72E5F"/>
    <w:rsid w:val="00C82870"/>
    <w:rsid w:val="00C84E7D"/>
    <w:rsid w:val="00C869EE"/>
    <w:rsid w:val="00C90B6C"/>
    <w:rsid w:val="00C937A0"/>
    <w:rsid w:val="00C97205"/>
    <w:rsid w:val="00CA47E6"/>
    <w:rsid w:val="00CB6E3D"/>
    <w:rsid w:val="00CD0E55"/>
    <w:rsid w:val="00CD77F4"/>
    <w:rsid w:val="00CD79F5"/>
    <w:rsid w:val="00CF187F"/>
    <w:rsid w:val="00D44C38"/>
    <w:rsid w:val="00D53173"/>
    <w:rsid w:val="00D60259"/>
    <w:rsid w:val="00D63DCA"/>
    <w:rsid w:val="00D64B00"/>
    <w:rsid w:val="00D67667"/>
    <w:rsid w:val="00D74626"/>
    <w:rsid w:val="00D850EE"/>
    <w:rsid w:val="00D86D53"/>
    <w:rsid w:val="00D87810"/>
    <w:rsid w:val="00D945BF"/>
    <w:rsid w:val="00D9672A"/>
    <w:rsid w:val="00DB5896"/>
    <w:rsid w:val="00DC7D1D"/>
    <w:rsid w:val="00DD1030"/>
    <w:rsid w:val="00DD29BB"/>
    <w:rsid w:val="00DE50D6"/>
    <w:rsid w:val="00DE536D"/>
    <w:rsid w:val="00E02B9C"/>
    <w:rsid w:val="00E1092D"/>
    <w:rsid w:val="00E258A6"/>
    <w:rsid w:val="00E30CA0"/>
    <w:rsid w:val="00E31CD1"/>
    <w:rsid w:val="00E3376A"/>
    <w:rsid w:val="00E34C3D"/>
    <w:rsid w:val="00E34E84"/>
    <w:rsid w:val="00E35C52"/>
    <w:rsid w:val="00E4094F"/>
    <w:rsid w:val="00E43744"/>
    <w:rsid w:val="00E6039E"/>
    <w:rsid w:val="00E673DC"/>
    <w:rsid w:val="00E8372D"/>
    <w:rsid w:val="00E84C3E"/>
    <w:rsid w:val="00E850A1"/>
    <w:rsid w:val="00E92EC1"/>
    <w:rsid w:val="00E97133"/>
    <w:rsid w:val="00EC2984"/>
    <w:rsid w:val="00EC3A5E"/>
    <w:rsid w:val="00ED555A"/>
    <w:rsid w:val="00F025E4"/>
    <w:rsid w:val="00F13E7B"/>
    <w:rsid w:val="00F1700F"/>
    <w:rsid w:val="00F17DCD"/>
    <w:rsid w:val="00F319F4"/>
    <w:rsid w:val="00F34F2A"/>
    <w:rsid w:val="00F46BAF"/>
    <w:rsid w:val="00F56858"/>
    <w:rsid w:val="00F60096"/>
    <w:rsid w:val="00F66774"/>
    <w:rsid w:val="00F81A34"/>
    <w:rsid w:val="00FC0D97"/>
    <w:rsid w:val="00FD094A"/>
    <w:rsid w:val="00FF1686"/>
    <w:rsid w:val="00FF1B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FC989"/>
  <w15:chartTrackingRefBased/>
  <w15:docId w15:val="{8BA172B3-7F70-4CBC-B4B4-BA945FB0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5E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5E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03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4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B5E46"/>
    <w:pPr>
      <w:outlineLvl w:val="9"/>
    </w:pPr>
  </w:style>
  <w:style w:type="character" w:customStyle="1" w:styleId="Heading2Char">
    <w:name w:val="Heading 2 Char"/>
    <w:basedOn w:val="DefaultParagraphFont"/>
    <w:link w:val="Heading2"/>
    <w:uiPriority w:val="9"/>
    <w:rsid w:val="001B5E46"/>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1B5E46"/>
    <w:pPr>
      <w:spacing w:after="100"/>
    </w:pPr>
  </w:style>
  <w:style w:type="paragraph" w:styleId="TOC2">
    <w:name w:val="toc 2"/>
    <w:basedOn w:val="Normal"/>
    <w:next w:val="Normal"/>
    <w:autoRedefine/>
    <w:uiPriority w:val="39"/>
    <w:unhideWhenUsed/>
    <w:rsid w:val="001B5E46"/>
    <w:pPr>
      <w:spacing w:after="100"/>
      <w:ind w:left="220"/>
    </w:pPr>
  </w:style>
  <w:style w:type="character" w:styleId="Hyperlink">
    <w:name w:val="Hyperlink"/>
    <w:basedOn w:val="DefaultParagraphFont"/>
    <w:uiPriority w:val="99"/>
    <w:unhideWhenUsed/>
    <w:rsid w:val="001B5E46"/>
    <w:rPr>
      <w:color w:val="0563C1" w:themeColor="hyperlink"/>
      <w:u w:val="single"/>
    </w:rPr>
  </w:style>
  <w:style w:type="character" w:customStyle="1" w:styleId="Heading3Char">
    <w:name w:val="Heading 3 Char"/>
    <w:basedOn w:val="DefaultParagraphFont"/>
    <w:link w:val="Heading3"/>
    <w:uiPriority w:val="9"/>
    <w:rsid w:val="00030324"/>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030324"/>
    <w:pPr>
      <w:spacing w:after="100"/>
      <w:ind w:left="440"/>
    </w:pPr>
  </w:style>
  <w:style w:type="table" w:styleId="TableGrid">
    <w:name w:val="Table Grid"/>
    <w:basedOn w:val="TableNormal"/>
    <w:uiPriority w:val="39"/>
    <w:rsid w:val="0051608B"/>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4644"/>
    <w:pPr>
      <w:ind w:left="720"/>
      <w:contextualSpacing/>
    </w:pPr>
  </w:style>
  <w:style w:type="paragraph" w:styleId="NormalWeb">
    <w:name w:val="Normal (Web)"/>
    <w:basedOn w:val="Normal"/>
    <w:uiPriority w:val="99"/>
    <w:unhideWhenUsed/>
    <w:rsid w:val="00B643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43F8"/>
    <w:rPr>
      <w:b/>
      <w:bCs/>
    </w:rPr>
  </w:style>
  <w:style w:type="paragraph" w:styleId="NoSpacing">
    <w:name w:val="No Spacing"/>
    <w:uiPriority w:val="1"/>
    <w:qFormat/>
    <w:rsid w:val="004C723E"/>
    <w:pPr>
      <w:spacing w:after="0" w:line="240" w:lineRule="auto"/>
    </w:pPr>
  </w:style>
  <w:style w:type="paragraph" w:customStyle="1" w:styleId="ds-markdown-paragraph">
    <w:name w:val="ds-markdown-paragraph"/>
    <w:basedOn w:val="Normal"/>
    <w:rsid w:val="00903F4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6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E1A"/>
  </w:style>
  <w:style w:type="paragraph" w:styleId="Footer">
    <w:name w:val="footer"/>
    <w:basedOn w:val="Normal"/>
    <w:link w:val="FooterChar"/>
    <w:uiPriority w:val="99"/>
    <w:unhideWhenUsed/>
    <w:rsid w:val="00666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70690">
      <w:bodyDiv w:val="1"/>
      <w:marLeft w:val="0"/>
      <w:marRight w:val="0"/>
      <w:marTop w:val="0"/>
      <w:marBottom w:val="0"/>
      <w:divBdr>
        <w:top w:val="none" w:sz="0" w:space="0" w:color="auto"/>
        <w:left w:val="none" w:sz="0" w:space="0" w:color="auto"/>
        <w:bottom w:val="none" w:sz="0" w:space="0" w:color="auto"/>
        <w:right w:val="none" w:sz="0" w:space="0" w:color="auto"/>
      </w:divBdr>
    </w:div>
    <w:div w:id="140315245">
      <w:bodyDiv w:val="1"/>
      <w:marLeft w:val="0"/>
      <w:marRight w:val="0"/>
      <w:marTop w:val="0"/>
      <w:marBottom w:val="0"/>
      <w:divBdr>
        <w:top w:val="none" w:sz="0" w:space="0" w:color="auto"/>
        <w:left w:val="none" w:sz="0" w:space="0" w:color="auto"/>
        <w:bottom w:val="none" w:sz="0" w:space="0" w:color="auto"/>
        <w:right w:val="none" w:sz="0" w:space="0" w:color="auto"/>
      </w:divBdr>
    </w:div>
    <w:div w:id="181479407">
      <w:bodyDiv w:val="1"/>
      <w:marLeft w:val="0"/>
      <w:marRight w:val="0"/>
      <w:marTop w:val="0"/>
      <w:marBottom w:val="0"/>
      <w:divBdr>
        <w:top w:val="none" w:sz="0" w:space="0" w:color="auto"/>
        <w:left w:val="none" w:sz="0" w:space="0" w:color="auto"/>
        <w:bottom w:val="none" w:sz="0" w:space="0" w:color="auto"/>
        <w:right w:val="none" w:sz="0" w:space="0" w:color="auto"/>
      </w:divBdr>
    </w:div>
    <w:div w:id="223763819">
      <w:bodyDiv w:val="1"/>
      <w:marLeft w:val="0"/>
      <w:marRight w:val="0"/>
      <w:marTop w:val="0"/>
      <w:marBottom w:val="0"/>
      <w:divBdr>
        <w:top w:val="none" w:sz="0" w:space="0" w:color="auto"/>
        <w:left w:val="none" w:sz="0" w:space="0" w:color="auto"/>
        <w:bottom w:val="none" w:sz="0" w:space="0" w:color="auto"/>
        <w:right w:val="none" w:sz="0" w:space="0" w:color="auto"/>
      </w:divBdr>
    </w:div>
    <w:div w:id="338851791">
      <w:bodyDiv w:val="1"/>
      <w:marLeft w:val="0"/>
      <w:marRight w:val="0"/>
      <w:marTop w:val="0"/>
      <w:marBottom w:val="0"/>
      <w:divBdr>
        <w:top w:val="none" w:sz="0" w:space="0" w:color="auto"/>
        <w:left w:val="none" w:sz="0" w:space="0" w:color="auto"/>
        <w:bottom w:val="none" w:sz="0" w:space="0" w:color="auto"/>
        <w:right w:val="none" w:sz="0" w:space="0" w:color="auto"/>
      </w:divBdr>
    </w:div>
    <w:div w:id="357236877">
      <w:bodyDiv w:val="1"/>
      <w:marLeft w:val="0"/>
      <w:marRight w:val="0"/>
      <w:marTop w:val="0"/>
      <w:marBottom w:val="0"/>
      <w:divBdr>
        <w:top w:val="none" w:sz="0" w:space="0" w:color="auto"/>
        <w:left w:val="none" w:sz="0" w:space="0" w:color="auto"/>
        <w:bottom w:val="none" w:sz="0" w:space="0" w:color="auto"/>
        <w:right w:val="none" w:sz="0" w:space="0" w:color="auto"/>
      </w:divBdr>
    </w:div>
    <w:div w:id="424035483">
      <w:bodyDiv w:val="1"/>
      <w:marLeft w:val="0"/>
      <w:marRight w:val="0"/>
      <w:marTop w:val="0"/>
      <w:marBottom w:val="0"/>
      <w:divBdr>
        <w:top w:val="none" w:sz="0" w:space="0" w:color="auto"/>
        <w:left w:val="none" w:sz="0" w:space="0" w:color="auto"/>
        <w:bottom w:val="none" w:sz="0" w:space="0" w:color="auto"/>
        <w:right w:val="none" w:sz="0" w:space="0" w:color="auto"/>
      </w:divBdr>
    </w:div>
    <w:div w:id="501511165">
      <w:bodyDiv w:val="1"/>
      <w:marLeft w:val="0"/>
      <w:marRight w:val="0"/>
      <w:marTop w:val="0"/>
      <w:marBottom w:val="0"/>
      <w:divBdr>
        <w:top w:val="none" w:sz="0" w:space="0" w:color="auto"/>
        <w:left w:val="none" w:sz="0" w:space="0" w:color="auto"/>
        <w:bottom w:val="none" w:sz="0" w:space="0" w:color="auto"/>
        <w:right w:val="none" w:sz="0" w:space="0" w:color="auto"/>
      </w:divBdr>
      <w:divsChild>
        <w:div w:id="1659259980">
          <w:marLeft w:val="0"/>
          <w:marRight w:val="0"/>
          <w:marTop w:val="0"/>
          <w:marBottom w:val="0"/>
          <w:divBdr>
            <w:top w:val="none" w:sz="0" w:space="0" w:color="auto"/>
            <w:left w:val="none" w:sz="0" w:space="0" w:color="auto"/>
            <w:bottom w:val="none" w:sz="0" w:space="0" w:color="auto"/>
            <w:right w:val="none" w:sz="0" w:space="0" w:color="auto"/>
          </w:divBdr>
          <w:divsChild>
            <w:div w:id="1429816664">
              <w:marLeft w:val="0"/>
              <w:marRight w:val="0"/>
              <w:marTop w:val="0"/>
              <w:marBottom w:val="0"/>
              <w:divBdr>
                <w:top w:val="none" w:sz="0" w:space="0" w:color="auto"/>
                <w:left w:val="none" w:sz="0" w:space="0" w:color="auto"/>
                <w:bottom w:val="none" w:sz="0" w:space="0" w:color="auto"/>
                <w:right w:val="none" w:sz="0" w:space="0" w:color="auto"/>
              </w:divBdr>
              <w:divsChild>
                <w:div w:id="1693647090">
                  <w:marLeft w:val="0"/>
                  <w:marRight w:val="0"/>
                  <w:marTop w:val="0"/>
                  <w:marBottom w:val="0"/>
                  <w:divBdr>
                    <w:top w:val="none" w:sz="0" w:space="0" w:color="auto"/>
                    <w:left w:val="none" w:sz="0" w:space="0" w:color="auto"/>
                    <w:bottom w:val="none" w:sz="0" w:space="0" w:color="auto"/>
                    <w:right w:val="none" w:sz="0" w:space="0" w:color="auto"/>
                  </w:divBdr>
                  <w:divsChild>
                    <w:div w:id="860631646">
                      <w:marLeft w:val="0"/>
                      <w:marRight w:val="0"/>
                      <w:marTop w:val="0"/>
                      <w:marBottom w:val="0"/>
                      <w:divBdr>
                        <w:top w:val="none" w:sz="0" w:space="0" w:color="auto"/>
                        <w:left w:val="none" w:sz="0" w:space="0" w:color="auto"/>
                        <w:bottom w:val="none" w:sz="0" w:space="0" w:color="auto"/>
                        <w:right w:val="none" w:sz="0" w:space="0" w:color="auto"/>
                      </w:divBdr>
                      <w:divsChild>
                        <w:div w:id="1241981916">
                          <w:marLeft w:val="0"/>
                          <w:marRight w:val="0"/>
                          <w:marTop w:val="0"/>
                          <w:marBottom w:val="0"/>
                          <w:divBdr>
                            <w:top w:val="none" w:sz="0" w:space="0" w:color="auto"/>
                            <w:left w:val="none" w:sz="0" w:space="0" w:color="auto"/>
                            <w:bottom w:val="none" w:sz="0" w:space="0" w:color="auto"/>
                            <w:right w:val="none" w:sz="0" w:space="0" w:color="auto"/>
                          </w:divBdr>
                          <w:divsChild>
                            <w:div w:id="1680084598">
                              <w:marLeft w:val="0"/>
                              <w:marRight w:val="0"/>
                              <w:marTop w:val="0"/>
                              <w:marBottom w:val="0"/>
                              <w:divBdr>
                                <w:top w:val="none" w:sz="0" w:space="0" w:color="auto"/>
                                <w:left w:val="none" w:sz="0" w:space="0" w:color="auto"/>
                                <w:bottom w:val="none" w:sz="0" w:space="0" w:color="auto"/>
                                <w:right w:val="none" w:sz="0" w:space="0" w:color="auto"/>
                              </w:divBdr>
                              <w:divsChild>
                                <w:div w:id="177089215">
                                  <w:marLeft w:val="0"/>
                                  <w:marRight w:val="0"/>
                                  <w:marTop w:val="0"/>
                                  <w:marBottom w:val="0"/>
                                  <w:divBdr>
                                    <w:top w:val="none" w:sz="0" w:space="0" w:color="auto"/>
                                    <w:left w:val="none" w:sz="0" w:space="0" w:color="auto"/>
                                    <w:bottom w:val="none" w:sz="0" w:space="0" w:color="auto"/>
                                    <w:right w:val="none" w:sz="0" w:space="0" w:color="auto"/>
                                  </w:divBdr>
                                  <w:divsChild>
                                    <w:div w:id="13270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577149">
      <w:bodyDiv w:val="1"/>
      <w:marLeft w:val="0"/>
      <w:marRight w:val="0"/>
      <w:marTop w:val="0"/>
      <w:marBottom w:val="0"/>
      <w:divBdr>
        <w:top w:val="none" w:sz="0" w:space="0" w:color="auto"/>
        <w:left w:val="none" w:sz="0" w:space="0" w:color="auto"/>
        <w:bottom w:val="none" w:sz="0" w:space="0" w:color="auto"/>
        <w:right w:val="none" w:sz="0" w:space="0" w:color="auto"/>
      </w:divBdr>
      <w:divsChild>
        <w:div w:id="2100130645">
          <w:marLeft w:val="0"/>
          <w:marRight w:val="0"/>
          <w:marTop w:val="0"/>
          <w:marBottom w:val="0"/>
          <w:divBdr>
            <w:top w:val="none" w:sz="0" w:space="0" w:color="auto"/>
            <w:left w:val="none" w:sz="0" w:space="0" w:color="auto"/>
            <w:bottom w:val="none" w:sz="0" w:space="0" w:color="auto"/>
            <w:right w:val="none" w:sz="0" w:space="0" w:color="auto"/>
          </w:divBdr>
          <w:divsChild>
            <w:div w:id="1849832742">
              <w:marLeft w:val="0"/>
              <w:marRight w:val="0"/>
              <w:marTop w:val="0"/>
              <w:marBottom w:val="0"/>
              <w:divBdr>
                <w:top w:val="none" w:sz="0" w:space="0" w:color="auto"/>
                <w:left w:val="none" w:sz="0" w:space="0" w:color="auto"/>
                <w:bottom w:val="none" w:sz="0" w:space="0" w:color="auto"/>
                <w:right w:val="none" w:sz="0" w:space="0" w:color="auto"/>
              </w:divBdr>
              <w:divsChild>
                <w:div w:id="1793091534">
                  <w:marLeft w:val="0"/>
                  <w:marRight w:val="0"/>
                  <w:marTop w:val="0"/>
                  <w:marBottom w:val="0"/>
                  <w:divBdr>
                    <w:top w:val="none" w:sz="0" w:space="0" w:color="auto"/>
                    <w:left w:val="none" w:sz="0" w:space="0" w:color="auto"/>
                    <w:bottom w:val="none" w:sz="0" w:space="0" w:color="auto"/>
                    <w:right w:val="none" w:sz="0" w:space="0" w:color="auto"/>
                  </w:divBdr>
                  <w:divsChild>
                    <w:div w:id="947926970">
                      <w:marLeft w:val="0"/>
                      <w:marRight w:val="0"/>
                      <w:marTop w:val="0"/>
                      <w:marBottom w:val="0"/>
                      <w:divBdr>
                        <w:top w:val="none" w:sz="0" w:space="0" w:color="auto"/>
                        <w:left w:val="none" w:sz="0" w:space="0" w:color="auto"/>
                        <w:bottom w:val="none" w:sz="0" w:space="0" w:color="auto"/>
                        <w:right w:val="none" w:sz="0" w:space="0" w:color="auto"/>
                      </w:divBdr>
                      <w:divsChild>
                        <w:div w:id="1212497545">
                          <w:marLeft w:val="0"/>
                          <w:marRight w:val="0"/>
                          <w:marTop w:val="0"/>
                          <w:marBottom w:val="0"/>
                          <w:divBdr>
                            <w:top w:val="none" w:sz="0" w:space="0" w:color="auto"/>
                            <w:left w:val="none" w:sz="0" w:space="0" w:color="auto"/>
                            <w:bottom w:val="none" w:sz="0" w:space="0" w:color="auto"/>
                            <w:right w:val="none" w:sz="0" w:space="0" w:color="auto"/>
                          </w:divBdr>
                          <w:divsChild>
                            <w:div w:id="1922786566">
                              <w:marLeft w:val="0"/>
                              <w:marRight w:val="0"/>
                              <w:marTop w:val="0"/>
                              <w:marBottom w:val="0"/>
                              <w:divBdr>
                                <w:top w:val="none" w:sz="0" w:space="0" w:color="auto"/>
                                <w:left w:val="none" w:sz="0" w:space="0" w:color="auto"/>
                                <w:bottom w:val="none" w:sz="0" w:space="0" w:color="auto"/>
                                <w:right w:val="none" w:sz="0" w:space="0" w:color="auto"/>
                              </w:divBdr>
                              <w:divsChild>
                                <w:div w:id="86580879">
                                  <w:marLeft w:val="0"/>
                                  <w:marRight w:val="0"/>
                                  <w:marTop w:val="0"/>
                                  <w:marBottom w:val="0"/>
                                  <w:divBdr>
                                    <w:top w:val="none" w:sz="0" w:space="0" w:color="auto"/>
                                    <w:left w:val="none" w:sz="0" w:space="0" w:color="auto"/>
                                    <w:bottom w:val="none" w:sz="0" w:space="0" w:color="auto"/>
                                    <w:right w:val="none" w:sz="0" w:space="0" w:color="auto"/>
                                  </w:divBdr>
                                  <w:divsChild>
                                    <w:div w:id="97348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948878">
      <w:bodyDiv w:val="1"/>
      <w:marLeft w:val="0"/>
      <w:marRight w:val="0"/>
      <w:marTop w:val="0"/>
      <w:marBottom w:val="0"/>
      <w:divBdr>
        <w:top w:val="none" w:sz="0" w:space="0" w:color="auto"/>
        <w:left w:val="none" w:sz="0" w:space="0" w:color="auto"/>
        <w:bottom w:val="none" w:sz="0" w:space="0" w:color="auto"/>
        <w:right w:val="none" w:sz="0" w:space="0" w:color="auto"/>
      </w:divBdr>
    </w:div>
    <w:div w:id="996763709">
      <w:bodyDiv w:val="1"/>
      <w:marLeft w:val="0"/>
      <w:marRight w:val="0"/>
      <w:marTop w:val="0"/>
      <w:marBottom w:val="0"/>
      <w:divBdr>
        <w:top w:val="none" w:sz="0" w:space="0" w:color="auto"/>
        <w:left w:val="none" w:sz="0" w:space="0" w:color="auto"/>
        <w:bottom w:val="none" w:sz="0" w:space="0" w:color="auto"/>
        <w:right w:val="none" w:sz="0" w:space="0" w:color="auto"/>
      </w:divBdr>
    </w:div>
    <w:div w:id="1082680866">
      <w:bodyDiv w:val="1"/>
      <w:marLeft w:val="0"/>
      <w:marRight w:val="0"/>
      <w:marTop w:val="0"/>
      <w:marBottom w:val="0"/>
      <w:divBdr>
        <w:top w:val="none" w:sz="0" w:space="0" w:color="auto"/>
        <w:left w:val="none" w:sz="0" w:space="0" w:color="auto"/>
        <w:bottom w:val="none" w:sz="0" w:space="0" w:color="auto"/>
        <w:right w:val="none" w:sz="0" w:space="0" w:color="auto"/>
      </w:divBdr>
    </w:div>
    <w:div w:id="1110704523">
      <w:bodyDiv w:val="1"/>
      <w:marLeft w:val="0"/>
      <w:marRight w:val="0"/>
      <w:marTop w:val="0"/>
      <w:marBottom w:val="0"/>
      <w:divBdr>
        <w:top w:val="none" w:sz="0" w:space="0" w:color="auto"/>
        <w:left w:val="none" w:sz="0" w:space="0" w:color="auto"/>
        <w:bottom w:val="none" w:sz="0" w:space="0" w:color="auto"/>
        <w:right w:val="none" w:sz="0" w:space="0" w:color="auto"/>
      </w:divBdr>
    </w:div>
    <w:div w:id="1176119380">
      <w:bodyDiv w:val="1"/>
      <w:marLeft w:val="0"/>
      <w:marRight w:val="0"/>
      <w:marTop w:val="0"/>
      <w:marBottom w:val="0"/>
      <w:divBdr>
        <w:top w:val="none" w:sz="0" w:space="0" w:color="auto"/>
        <w:left w:val="none" w:sz="0" w:space="0" w:color="auto"/>
        <w:bottom w:val="none" w:sz="0" w:space="0" w:color="auto"/>
        <w:right w:val="none" w:sz="0" w:space="0" w:color="auto"/>
      </w:divBdr>
    </w:div>
    <w:div w:id="1284312114">
      <w:bodyDiv w:val="1"/>
      <w:marLeft w:val="0"/>
      <w:marRight w:val="0"/>
      <w:marTop w:val="0"/>
      <w:marBottom w:val="0"/>
      <w:divBdr>
        <w:top w:val="none" w:sz="0" w:space="0" w:color="auto"/>
        <w:left w:val="none" w:sz="0" w:space="0" w:color="auto"/>
        <w:bottom w:val="none" w:sz="0" w:space="0" w:color="auto"/>
        <w:right w:val="none" w:sz="0" w:space="0" w:color="auto"/>
      </w:divBdr>
    </w:div>
    <w:div w:id="1470975104">
      <w:bodyDiv w:val="1"/>
      <w:marLeft w:val="0"/>
      <w:marRight w:val="0"/>
      <w:marTop w:val="0"/>
      <w:marBottom w:val="0"/>
      <w:divBdr>
        <w:top w:val="none" w:sz="0" w:space="0" w:color="auto"/>
        <w:left w:val="none" w:sz="0" w:space="0" w:color="auto"/>
        <w:bottom w:val="none" w:sz="0" w:space="0" w:color="auto"/>
        <w:right w:val="none" w:sz="0" w:space="0" w:color="auto"/>
      </w:divBdr>
    </w:div>
    <w:div w:id="1603218763">
      <w:bodyDiv w:val="1"/>
      <w:marLeft w:val="0"/>
      <w:marRight w:val="0"/>
      <w:marTop w:val="0"/>
      <w:marBottom w:val="0"/>
      <w:divBdr>
        <w:top w:val="none" w:sz="0" w:space="0" w:color="auto"/>
        <w:left w:val="none" w:sz="0" w:space="0" w:color="auto"/>
        <w:bottom w:val="none" w:sz="0" w:space="0" w:color="auto"/>
        <w:right w:val="none" w:sz="0" w:space="0" w:color="auto"/>
      </w:divBdr>
    </w:div>
    <w:div w:id="1625968208">
      <w:bodyDiv w:val="1"/>
      <w:marLeft w:val="0"/>
      <w:marRight w:val="0"/>
      <w:marTop w:val="0"/>
      <w:marBottom w:val="0"/>
      <w:divBdr>
        <w:top w:val="none" w:sz="0" w:space="0" w:color="auto"/>
        <w:left w:val="none" w:sz="0" w:space="0" w:color="auto"/>
        <w:bottom w:val="none" w:sz="0" w:space="0" w:color="auto"/>
        <w:right w:val="none" w:sz="0" w:space="0" w:color="auto"/>
      </w:divBdr>
    </w:div>
    <w:div w:id="187283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Awa25</b:Tag>
    <b:SourceType>ConferenceProceedings</b:SourceType>
    <b:Guid>{6D6325A6-8E25-4AAC-9E15-91FAE0A9B274}</b:Guid>
    <b:Author>
      <b:Author>
        <b:NameList>
          <b:Person>
            <b:Last>Awasthi</b:Last>
            <b:First>S.</b:First>
          </b:Person>
          <b:Person>
            <b:Last>Anand</b:Last>
            <b:First>I.</b:First>
          </b:Person>
        </b:NameList>
      </b:Author>
    </b:Author>
    <b:Title>Sustainability and work-life balance in green management.</b:Title>
    <b:JournalName> IGI Global Scientific Publishing</b:JournalName>
    <b:Year>2025</b:Year>
    <b:Publisher>IGI Global Scientific Publishing.</b:Publisher>
    <b:ConferenceName>Green Management Approaches to Organizational Behavior</b:ConferenceName>
    <b:RefOrder>2</b:RefOrder>
  </b:Source>
  <b:Source>
    <b:Tag>Ban77</b:Tag>
    <b:SourceType>Book</b:SourceType>
    <b:Guid>{1283714A-974D-4950-83B2-D09A47528954}</b:Guid>
    <b:Author>
      <b:Author>
        <b:NameList>
          <b:Person>
            <b:Last>Bandura</b:Last>
            <b:First>A.</b:First>
          </b:Person>
          <b:Person>
            <b:Last>Walters</b:Last>
            <b:First>R.</b:First>
            <b:Middle>H.</b:Middle>
          </b:Person>
        </b:NameList>
      </b:Author>
    </b:Author>
    <b:Title>Social learning theory</b:Title>
    <b:Year>1977</b:Year>
    <b:Publisher>Englewood Cliffs, NJ. Prentice Hall</b:Publisher>
    <b:RefOrder>3</b:RefOrder>
  </b:Source>
  <b:Source>
    <b:Tag>Bar12</b:Tag>
    <b:SourceType>JournalArticle</b:SourceType>
    <b:Guid>{0E178E37-F1C8-40B8-9710-2627F4FC48B0}</b:Guid>
    <b:Author>
      <b:Author>
        <b:NameList>
          <b:Person>
            <b:Last>Baran</b:Last>
            <b:First>B.</b:First>
            <b:Middle>E.</b:Middle>
          </b:Person>
          <b:Person>
            <b:Last>Shanock</b:Last>
            <b:First>L.</b:First>
            <b:Middle>R.</b:Middle>
          </b:Person>
          <b:Person>
            <b:Last>Miller</b:Last>
            <b:First>L.</b:First>
            <b:Middle>R.</b:Middle>
          </b:Person>
        </b:NameList>
      </b:Author>
    </b:Author>
    <b:Title>Advancing organizational support theory into the twenty-first century world of work.27, 123-147.</b:Title>
    <b:Year>2012</b:Year>
    <b:Pages>123-147.</b:Pages>
    <b:Edition>27</b:Edition>
    <b:JournalName>Journal of business and psychology</b:JournalName>
    <b:RefOrder>4</b:RefOrder>
  </b:Source>
  <b:Source>
    <b:Tag>Fae25</b:Tag>
    <b:SourceType>JournalArticle</b:SourceType>
    <b:Guid>{42CF932A-39DC-402F-8DBE-5085F919F187}</b:Guid>
    <b:Author>
      <b:Author>
        <b:NameList>
          <b:Person>
            <b:Last>Faeni</b:Last>
            <b:First>D.</b:First>
            <b:Middle>P.</b:Middle>
          </b:Person>
          <b:Person>
            <b:Last>Oktaviani</b:Last>
            <b:First>R.</b:First>
            <b:Middle>F.</b:Middle>
          </b:Person>
          <b:Person>
            <b:Last>Riyadh</b:Last>
            <b:First>H.</b:First>
            <b:Middle>A.</b:Middle>
          </b:Person>
          <b:Person>
            <b:Last>Faeni</b:Last>
            <b:First>R.</b:First>
            <b:Middle>P.</b:Middle>
          </b:Person>
          <b:Person>
            <b:Last>Beshr</b:Last>
            <b:First>B.</b:First>
            <b:Middle>A. H</b:Middle>
          </b:Person>
        </b:NameList>
      </b:Author>
    </b:Author>
    <b:Title>Green Human Resource Management and Sustainable Practices on Corporate Reputation and Employee Well-being</b:Title>
    <b:Year>2025</b:Year>
    <b:City>A model for Indonesia's F&amp;B industry.</b:City>
    <b:Publisher>Environmental Challenge</b:Publisher>
    <b:JournalName>Environmental Challenge</b:JournalName>
    <b:RefOrder>5</b:RefOrder>
  </b:Source>
  <b:Source>
    <b:Tag>Alw25</b:Tag>
    <b:SourceType>JournalArticle</b:SourceType>
    <b:Guid>{7D9B675E-8A3E-4F55-A6DA-1719CD763A13}</b:Guid>
    <b:Author>
      <b:Author>
        <b:NameList>
          <b:Person>
            <b:Last>Alwali</b:Last>
            <b:First>J.</b:First>
          </b:Person>
          <b:Person>
            <b:Last>Alwali</b:Last>
            <b:First>W.</b:First>
          </b:Person>
        </b:NameList>
      </b:Author>
    </b:Author>
    <b:Title>Transformational leadership and moral norms: green human resource management and behaviour.</b:Title>
    <b:JournalName>Management Decision.</b:JournalName>
    <b:Year>2025</b:Year>
    <b:Pages>1417-1442.</b:Pages>
    <b:Volume>63(5)</b:Volume>
    <b:RefOrder>6</b:RefOrder>
  </b:Source>
  <b:Source>
    <b:Tag>Fae251</b:Tag>
    <b:SourceType>JournalArticle</b:SourceType>
    <b:Guid>{43B46E4E-E26E-4420-8E7A-0D77E4E0ABE9}</b:Guid>
    <b:Author>
      <b:Author>
        <b:NameList>
          <b:Person>
            <b:Last>Faeni</b:Last>
            <b:First>D.</b:First>
            <b:Middle>P., Oktaviani, R. F., Riyadh, H. A., Faeni, R. P., &amp; Beshr, B. A. H.</b:Middle>
          </b:Person>
        </b:NameList>
      </b:Author>
    </b:Author>
    <b:Title> Green Human Resource Management and Sustainable Practices on Corporate Reputation and Employee Well-being</b:Title>
    <b:JournalName>A model for Indonesia's F&amp;B industry. Environmental Challenge</b:JournalName>
    <b:Year>2025</b:Year>
    <b:RefOrder>1</b:RefOrder>
  </b:Source>
</b:Sources>
</file>

<file path=customXml/itemProps1.xml><?xml version="1.0" encoding="utf-8"?>
<ds:datastoreItem xmlns:ds="http://schemas.openxmlformats.org/officeDocument/2006/customXml" ds:itemID="{649CCD5E-F55A-4DBF-8787-45EAE37E4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3743</Words>
  <Characters>21336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Fahmida Syed</dc:creator>
  <cp:keywords/>
  <dc:description/>
  <cp:lastModifiedBy>Fahmida Syed</cp:lastModifiedBy>
  <cp:revision>2</cp:revision>
  <dcterms:created xsi:type="dcterms:W3CDTF">2026-06-12T07:15:00Z</dcterms:created>
  <dcterms:modified xsi:type="dcterms:W3CDTF">2026-06-12T07:15:00Z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38d0702b-812c-4600-93e3-015c2dfac9f4</vt:lpwstr>
  </property>
</Properties>
</file>