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E86F" w14:textId="5DDD1B0B" w:rsidR="00F53F35" w:rsidRPr="00CA6A46" w:rsidRDefault="00F53F35" w:rsidP="00CA6A46">
      <w:pPr>
        <w:spacing w:line="360" w:lineRule="auto"/>
        <w:rPr>
          <w:rFonts w:ascii="Times New Roman" w:hAnsi="Times New Roman" w:cs="Times New Roman"/>
          <w:b/>
          <w:bCs/>
        </w:rPr>
      </w:pPr>
      <w:r w:rsidRPr="00CA6A46">
        <w:rPr>
          <w:rFonts w:ascii="Times New Roman" w:hAnsi="Times New Roman" w:cs="Times New Roman"/>
          <w:b/>
          <w:bCs/>
        </w:rPr>
        <w:t>Evaluating Staffing Disparities in Primary Healthcare: A Cross-Sectional Study of Human Resource Allocation in Sri Lankan PMCUs.</w:t>
      </w:r>
    </w:p>
    <w:p w14:paraId="342B796C" w14:textId="59DF2B5A" w:rsidR="00CA6A46" w:rsidRPr="000B624D" w:rsidRDefault="00CA6A46" w:rsidP="000B624D">
      <w:pPr>
        <w:spacing w:after="0"/>
        <w:jc w:val="center"/>
        <w:rPr>
          <w:rFonts w:ascii="Times New Roman" w:hAnsi="Times New Roman" w:cs="Times New Roman"/>
          <w:bCs/>
          <w:i/>
          <w:iCs/>
          <w:sz w:val="20"/>
          <w:szCs w:val="20"/>
          <w:vertAlign w:val="superscript"/>
        </w:rPr>
      </w:pPr>
      <w:r w:rsidRPr="000B624D">
        <w:rPr>
          <w:rFonts w:ascii="Times New Roman" w:hAnsi="Times New Roman" w:cs="Times New Roman"/>
          <w:bCs/>
          <w:i/>
          <w:iCs/>
          <w:sz w:val="20"/>
          <w:szCs w:val="20"/>
        </w:rPr>
        <w:t/>
      </w:r>
      <w:r w:rsidRPr="000B624D">
        <w:rPr>
          <w:rFonts w:ascii="Times New Roman" w:hAnsi="Times New Roman" w:cs="Times New Roman"/>
          <w:bCs/>
          <w:i/>
          <w:iCs/>
          <w:sz w:val="20"/>
          <w:szCs w:val="20"/>
          <w:vertAlign w:val="superscript"/>
        </w:rPr>
        <w:t/>
      </w:r>
      <w:r w:rsidRPr="000B624D">
        <w:rPr>
          <w:rFonts w:ascii="Times New Roman" w:hAnsi="Times New Roman" w:cs="Times New Roman"/>
          <w:bCs/>
          <w:i/>
          <w:iCs/>
          <w:sz w:val="20"/>
          <w:szCs w:val="20"/>
        </w:rPr>
        <w:t xml:space="preserve"/>
      </w:r>
      <w:proofErr w:type="spellStart"/>
      <w:r w:rsidR="0075300B" w:rsidRPr="000B624D">
        <w:rPr>
          <w:rFonts w:ascii="Times New Roman" w:hAnsi="Times New Roman" w:cs="Times New Roman"/>
          <w:bCs/>
          <w:i/>
          <w:iCs/>
          <w:sz w:val="20"/>
          <w:szCs w:val="20"/>
        </w:rPr>
        <w:t/>
      </w:r>
      <w:proofErr w:type="spellEnd"/>
      <w:r w:rsidR="0075300B" w:rsidRPr="000B624D">
        <w:rPr>
          <w:rFonts w:ascii="Times New Roman" w:hAnsi="Times New Roman" w:cs="Times New Roman"/>
          <w:bCs/>
          <w:i/>
          <w:iCs/>
          <w:sz w:val="20"/>
          <w:szCs w:val="20"/>
        </w:rPr>
        <w:t xml:space="preserve"/>
      </w:r>
      <w:r w:rsidRPr="000B624D">
        <w:rPr>
          <w:rFonts w:ascii="Times New Roman" w:hAnsi="Times New Roman" w:cs="Times New Roman"/>
          <w:bCs/>
          <w:i/>
          <w:iCs/>
          <w:sz w:val="20"/>
          <w:szCs w:val="20"/>
          <w:vertAlign w:val="superscript"/>
        </w:rPr>
        <w:t xml:space="preserve"/>
      </w:r>
      <w:r w:rsidR="0075300B" w:rsidRPr="000B624D">
        <w:rPr>
          <w:rFonts w:ascii="Times New Roman" w:hAnsi="Times New Roman" w:cs="Times New Roman"/>
          <w:i/>
          <w:iCs/>
          <w:sz w:val="20"/>
          <w:szCs w:val="20"/>
        </w:rPr>
        <w:t/>
      </w:r>
      <w:r w:rsidRPr="000B624D">
        <w:rPr>
          <w:rFonts w:ascii="Times New Roman" w:hAnsi="Times New Roman" w:cs="Times New Roman"/>
          <w:i/>
          <w:iCs/>
          <w:sz w:val="20"/>
          <w:szCs w:val="20"/>
          <w:vertAlign w:val="superscript"/>
        </w:rPr>
        <w:t/>
      </w:r>
      <w:r w:rsidR="00CA1113" w:rsidRPr="000B624D">
        <w:rPr>
          <w:rFonts w:ascii="Times New Roman" w:hAnsi="Times New Roman" w:cs="Times New Roman"/>
          <w:i/>
          <w:iCs/>
          <w:sz w:val="20"/>
          <w:szCs w:val="20"/>
          <w:vertAlign w:val="superscript"/>
        </w:rPr>
        <w:t xml:space="preserve"/>
      </w:r>
      <w:r w:rsidR="0075300B" w:rsidRPr="000B624D">
        <w:rPr>
          <w:rFonts w:ascii="Times New Roman" w:hAnsi="Times New Roman" w:cs="Times New Roman"/>
          <w:bCs/>
          <w:i/>
          <w:iCs/>
          <w:sz w:val="20"/>
          <w:szCs w:val="20"/>
        </w:rPr>
        <w:t xml:space="preserve"/>
      </w:r>
      <w:proofErr w:type="spellStart"/>
      <w:r w:rsidR="0075300B" w:rsidRPr="000B624D">
        <w:rPr>
          <w:rFonts w:ascii="Times New Roman" w:hAnsi="Times New Roman" w:cs="Times New Roman"/>
          <w:bCs/>
          <w:i/>
          <w:iCs/>
          <w:sz w:val="20"/>
          <w:szCs w:val="20"/>
        </w:rPr>
        <w:t/>
      </w:r>
      <w:proofErr w:type="spellEnd"/>
      <w:r w:rsidRPr="000B624D">
        <w:rPr>
          <w:rFonts w:ascii="Times New Roman" w:hAnsi="Times New Roman" w:cs="Times New Roman"/>
          <w:i/>
          <w:iCs/>
          <w:sz w:val="20"/>
          <w:szCs w:val="20"/>
          <w:vertAlign w:val="superscript"/>
        </w:rPr>
        <w:t xml:space="preserve"/>
      </w:r>
      <w:r w:rsidR="00CA1113" w:rsidRPr="000B624D">
        <w:rPr>
          <w:rFonts w:ascii="Times New Roman" w:hAnsi="Times New Roman" w:cs="Times New Roman"/>
          <w:i/>
          <w:iCs/>
          <w:sz w:val="20"/>
          <w:szCs w:val="20"/>
        </w:rPr>
        <w:t/>
      </w:r>
      <w:r w:rsidRPr="000B624D">
        <w:rPr>
          <w:rFonts w:ascii="Times New Roman" w:hAnsi="Times New Roman" w:cs="Times New Roman"/>
          <w:i/>
          <w:iCs/>
          <w:sz w:val="20"/>
          <w:szCs w:val="20"/>
        </w:rPr>
        <w:t/>
      </w:r>
      <w:r w:rsidR="00CA1113" w:rsidRPr="000B624D">
        <w:rPr>
          <w:rFonts w:ascii="Times New Roman" w:hAnsi="Times New Roman" w:cs="Times New Roman"/>
          <w:i/>
          <w:iCs/>
          <w:sz w:val="20"/>
          <w:szCs w:val="20"/>
        </w:rPr>
        <w:t/>
      </w:r>
      <w:r w:rsidRPr="000B624D">
        <w:rPr>
          <w:rFonts w:ascii="Times New Roman" w:hAnsi="Times New Roman" w:cs="Times New Roman"/>
          <w:i/>
          <w:iCs/>
          <w:sz w:val="20"/>
          <w:szCs w:val="20"/>
          <w:vertAlign w:val="superscript"/>
        </w:rPr>
        <w:t/>
      </w:r>
    </w:p>
    <w:p w14:paraId="38367F6F" w14:textId="738052B0" w:rsidR="00CA1113" w:rsidRPr="000B624D" w:rsidRDefault="00CA1113" w:rsidP="000B624D">
      <w:pPr>
        <w:spacing w:after="0"/>
        <w:jc w:val="center"/>
        <w:rPr>
          <w:rFonts w:ascii="Times New Roman" w:hAnsi="Times New Roman" w:cs="Times New Roman"/>
          <w:bCs/>
          <w:i/>
          <w:iCs/>
          <w:sz w:val="20"/>
          <w:szCs w:val="20"/>
          <w:vertAlign w:val="superscript"/>
        </w:rPr>
      </w:pPr>
      <w:r w:rsidRPr="000B624D">
        <w:rPr>
          <w:rFonts w:ascii="Times New Roman" w:hAnsi="Times New Roman" w:cs="Times New Roman"/>
          <w:bCs/>
          <w:i/>
          <w:iCs/>
          <w:sz w:val="20"/>
          <w:szCs w:val="20"/>
        </w:rPr>
        <w:t/>
      </w:r>
      <w:r w:rsidRPr="000B624D">
        <w:rPr>
          <w:rFonts w:ascii="Times New Roman" w:hAnsi="Times New Roman" w:cs="Times New Roman"/>
          <w:bCs/>
          <w:i/>
          <w:iCs/>
          <w:sz w:val="20"/>
          <w:szCs w:val="20"/>
          <w:vertAlign w:val="superscript"/>
        </w:rPr>
        <w:t/>
      </w:r>
      <w:r w:rsidRPr="000B624D">
        <w:rPr>
          <w:rFonts w:ascii="Times New Roman" w:hAnsi="Times New Roman" w:cs="Times New Roman"/>
          <w:bCs/>
          <w:i/>
          <w:iCs/>
          <w:sz w:val="20"/>
          <w:szCs w:val="20"/>
        </w:rPr>
        <w:t xml:space="preserve"/>
      </w:r>
      <w:proofErr w:type="spellStart"/>
      <w:proofErr w:type="gramStart"/>
      <w:r w:rsidRPr="000B624D">
        <w:rPr>
          <w:rFonts w:ascii="Times New Roman" w:hAnsi="Times New Roman" w:cs="Times New Roman"/>
          <w:bCs/>
          <w:i/>
          <w:iCs/>
          <w:sz w:val="20"/>
          <w:szCs w:val="20"/>
        </w:rPr>
        <w:t/>
      </w:r>
      <w:proofErr w:type="spellEnd"/>
      <w:proofErr w:type="gramEnd"/>
      <w:r w:rsidRPr="000B624D">
        <w:rPr>
          <w:rFonts w:ascii="Times New Roman" w:hAnsi="Times New Roman" w:cs="Times New Roman"/>
          <w:bCs/>
          <w:i/>
          <w:iCs/>
          <w:sz w:val="20"/>
          <w:szCs w:val="20"/>
        </w:rPr>
        <w:t xml:space="preserve"/>
      </w:r>
      <w:r w:rsidRPr="000B624D">
        <w:rPr>
          <w:rFonts w:ascii="Times New Roman" w:hAnsi="Times New Roman" w:cs="Times New Roman"/>
          <w:bCs/>
          <w:i/>
          <w:iCs/>
          <w:sz w:val="20"/>
          <w:szCs w:val="20"/>
          <w:vertAlign w:val="superscript"/>
        </w:rPr>
        <w:t/>
      </w:r>
    </w:p>
    <w:p w14:paraId="2E07B959" w14:textId="13FA02E4" w:rsidR="00CA6A46" w:rsidRPr="000B624D" w:rsidRDefault="00CA1113" w:rsidP="000B624D">
      <w:pPr>
        <w:spacing w:after="0"/>
        <w:jc w:val="center"/>
        <w:rPr>
          <w:rFonts w:ascii="Times New Roman" w:hAnsi="Times New Roman" w:cs="Times New Roman"/>
          <w:bCs/>
          <w:i/>
          <w:iCs/>
          <w:sz w:val="20"/>
          <w:szCs w:val="20"/>
          <w:vertAlign w:val="superscript"/>
        </w:rPr>
      </w:pPr>
      <w:r w:rsidRPr="000B624D">
        <w:rPr>
          <w:rFonts w:ascii="Times New Roman" w:hAnsi="Times New Roman" w:cs="Times New Roman"/>
          <w:bCs/>
          <w:i/>
          <w:iCs/>
          <w:sz w:val="20"/>
          <w:szCs w:val="20"/>
        </w:rPr>
        <w:t/>
      </w:r>
      <w:r w:rsidR="000B624D" w:rsidRPr="000B624D">
        <w:rPr>
          <w:rFonts w:ascii="Times New Roman" w:hAnsi="Times New Roman" w:cs="Times New Roman"/>
          <w:bCs/>
          <w:i/>
          <w:iCs/>
          <w:sz w:val="20"/>
          <w:szCs w:val="20"/>
        </w:rPr>
        <w:t xml:space="preserve"/>
      </w:r>
      <w:r w:rsidR="00CA6A46" w:rsidRPr="000B624D">
        <w:rPr>
          <w:rFonts w:ascii="Times New Roman" w:hAnsi="Times New Roman" w:cs="Times New Roman"/>
          <w:bCs/>
          <w:i/>
          <w:iCs/>
          <w:sz w:val="20"/>
          <w:szCs w:val="20"/>
        </w:rPr>
        <w:t/>
      </w:r>
      <w:r w:rsidR="00CA6A46" w:rsidRPr="000B624D">
        <w:rPr>
          <w:rFonts w:ascii="Times New Roman" w:hAnsi="Times New Roman" w:cs="Times New Roman"/>
          <w:bCs/>
          <w:i/>
          <w:iCs/>
          <w:sz w:val="20"/>
          <w:szCs w:val="20"/>
          <w:vertAlign w:val="superscript"/>
        </w:rPr>
        <w:t/>
      </w:r>
      <w:r w:rsidR="000B624D" w:rsidRPr="000B624D">
        <w:rPr>
          <w:rFonts w:ascii="Times New Roman" w:hAnsi="Times New Roman" w:cs="Times New Roman"/>
          <w:bCs/>
          <w:i/>
          <w:iCs/>
          <w:sz w:val="20"/>
          <w:szCs w:val="20"/>
        </w:rPr>
        <w:t/>
      </w:r>
      <w:r w:rsidR="00CA6A46" w:rsidRPr="000B624D">
        <w:rPr>
          <w:rFonts w:ascii="Times New Roman" w:hAnsi="Times New Roman" w:cs="Times New Roman"/>
          <w:bCs/>
          <w:i/>
          <w:iCs/>
          <w:sz w:val="20"/>
          <w:szCs w:val="20"/>
          <w:vertAlign w:val="superscript"/>
        </w:rPr>
        <w:t/>
      </w:r>
      <w:r w:rsidR="000B624D" w:rsidRPr="000B624D">
        <w:rPr>
          <w:rFonts w:ascii="Times New Roman" w:hAnsi="Times New Roman" w:cs="Times New Roman"/>
          <w:bCs/>
          <w:i/>
          <w:iCs/>
          <w:sz w:val="20"/>
          <w:szCs w:val="20"/>
        </w:rPr>
        <w:t/>
      </w:r>
      <w:r w:rsidR="004F507D">
        <w:rPr>
          <w:rFonts w:ascii="Times New Roman" w:hAnsi="Times New Roman" w:cs="Times New Roman"/>
          <w:bCs/>
          <w:i/>
          <w:iCs/>
          <w:sz w:val="20"/>
          <w:szCs w:val="20"/>
          <w:vertAlign w:val="superscript"/>
        </w:rPr>
        <w:t/>
      </w:r>
    </w:p>
    <w:p w14:paraId="523ABCD2" w14:textId="77777777" w:rsidR="00F53F35" w:rsidRPr="00CA6A46" w:rsidRDefault="00F53F35" w:rsidP="00CA6A46">
      <w:pPr>
        <w:spacing w:line="360" w:lineRule="auto"/>
      </w:pPr>
    </w:p>
    <w:p w14:paraId="7E2EA064" w14:textId="77777777" w:rsidR="00074441" w:rsidRPr="00CA6A46" w:rsidRDefault="00074441" w:rsidP="00CA6A46">
      <w:pPr>
        <w:spacing w:line="360" w:lineRule="auto"/>
        <w:rPr>
          <w:rFonts w:asciiTheme="majorBidi" w:hAnsiTheme="majorBidi" w:cstheme="majorBidi"/>
          <w:lang w:val="en-SG"/>
        </w:rPr>
      </w:pPr>
      <w:r w:rsidRPr="00CA6A46">
        <w:rPr>
          <w:rFonts w:asciiTheme="majorBidi" w:hAnsiTheme="majorBidi" w:cstheme="majorBidi"/>
          <w:b/>
          <w:bCs/>
          <w:lang w:val="en-SG"/>
        </w:rPr>
        <w:t>Abstract</w:t>
      </w:r>
    </w:p>
    <w:p w14:paraId="5DCC1B55" w14:textId="77777777" w:rsidR="00074441" w:rsidRPr="00CA6A46" w:rsidRDefault="00074441" w:rsidP="00CA6A46">
      <w:pPr>
        <w:spacing w:line="360" w:lineRule="auto"/>
        <w:rPr>
          <w:rFonts w:asciiTheme="majorBidi" w:hAnsiTheme="majorBidi" w:cstheme="majorBidi"/>
          <w:lang w:val="en-SG"/>
        </w:rPr>
      </w:pPr>
      <w:r w:rsidRPr="00CA6A46">
        <w:rPr>
          <w:rFonts w:asciiTheme="majorBidi" w:hAnsiTheme="majorBidi" w:cstheme="majorBidi"/>
          <w:lang w:val="en-SG"/>
        </w:rPr>
        <w:t>Background: Primary Medical Care Units (PMCUs) form the foundation of Sri Lanka’s primary healthcare system and play a critical role in providing accessible and comprehensive healthcare services. Equitable distribution of human resources is essential to ensure effective service delivery and support the country's commitment to Universal Health Coverage (UHC). However, disparities in workforce allocation may compromise the quality and accessibility of care.</w:t>
      </w:r>
    </w:p>
    <w:p w14:paraId="7A416138" w14:textId="77777777" w:rsidR="00074441" w:rsidRPr="00CA6A46" w:rsidRDefault="00074441" w:rsidP="00CA6A46">
      <w:pPr>
        <w:spacing w:line="360" w:lineRule="auto"/>
        <w:rPr>
          <w:rFonts w:asciiTheme="majorBidi" w:hAnsiTheme="majorBidi" w:cstheme="majorBidi"/>
          <w:lang w:val="en-SG"/>
        </w:rPr>
      </w:pPr>
      <w:r w:rsidRPr="00CA6A46">
        <w:rPr>
          <w:rFonts w:asciiTheme="majorBidi" w:hAnsiTheme="majorBidi" w:cstheme="majorBidi"/>
          <w:lang w:val="en-SG"/>
        </w:rPr>
        <w:t>Objective: To evaluate the distribution of human resources across PMCUs in Sri Lanka and identify disparities in the allocation of clinical and supportive healthcare personnel.</w:t>
      </w:r>
    </w:p>
    <w:p w14:paraId="393B9D47" w14:textId="77777777" w:rsidR="00074441" w:rsidRPr="00CA6A46" w:rsidRDefault="00074441" w:rsidP="00CA6A46">
      <w:pPr>
        <w:spacing w:line="360" w:lineRule="auto"/>
        <w:rPr>
          <w:rFonts w:asciiTheme="majorBidi" w:hAnsiTheme="majorBidi" w:cstheme="majorBidi"/>
          <w:lang w:val="en-SG"/>
        </w:rPr>
      </w:pPr>
      <w:r w:rsidRPr="00CA6A46">
        <w:rPr>
          <w:rFonts w:asciiTheme="majorBidi" w:hAnsiTheme="majorBidi" w:cstheme="majorBidi"/>
          <w:lang w:val="en-SG"/>
        </w:rPr>
        <w:t xml:space="preserve">Methods: A descriptive cross-sectional study was conducted using administrative staffing data collected from 27 districts, including the National Institute of Health Sciences (NIHS). Human resource allocation was assessed across four key staff categories: Medical Officers (MOs), Nursing Officers, Dispensers, and Supporting Staff (SKS). Descriptive statistics, cadre-specific distribution patterns, and clinical-to-support staff ratios were </w:t>
      </w:r>
      <w:proofErr w:type="spellStart"/>
      <w:r w:rsidRPr="00CA6A46">
        <w:rPr>
          <w:rFonts w:asciiTheme="majorBidi" w:hAnsiTheme="majorBidi" w:cstheme="majorBidi"/>
          <w:lang w:val="en-SG"/>
        </w:rPr>
        <w:t>analyzed</w:t>
      </w:r>
      <w:proofErr w:type="spellEnd"/>
      <w:r w:rsidRPr="00CA6A46">
        <w:rPr>
          <w:rFonts w:asciiTheme="majorBidi" w:hAnsiTheme="majorBidi" w:cstheme="majorBidi"/>
          <w:lang w:val="en-SG"/>
        </w:rPr>
        <w:t xml:space="preserve"> to identify workforce imbalances and regional disparities.</w:t>
      </w:r>
    </w:p>
    <w:p w14:paraId="3F0D710E" w14:textId="77777777" w:rsidR="00074441" w:rsidRPr="00CA6A46" w:rsidRDefault="00074441" w:rsidP="00CA6A46">
      <w:pPr>
        <w:spacing w:line="360" w:lineRule="auto"/>
        <w:rPr>
          <w:rFonts w:asciiTheme="majorBidi" w:hAnsiTheme="majorBidi" w:cstheme="majorBidi"/>
          <w:lang w:val="en-SG"/>
        </w:rPr>
      </w:pPr>
      <w:r w:rsidRPr="00CA6A46">
        <w:rPr>
          <w:rFonts w:asciiTheme="majorBidi" w:hAnsiTheme="majorBidi" w:cstheme="majorBidi"/>
          <w:lang w:val="en-SG"/>
        </w:rPr>
        <w:t>Results: Considerable variation in staffing patterns was observed across districts. Medical Officers were available in most PMCUs, while Supporting Staff demonstrated the highest coverage. Nursing Officers represented the most critically deficient cadre, with complete absence reported in 10 of 27 districts (37%). Ampara district, despite having 18 PMCUs, reported nurses in only three facilities. Clinical-to-support staff ratios ranged from 0.19 in Kandy, indicating severe clinical workforce shortages, to 1.40 in Vavuniya, reflecting relatively stronger clinical staffing. Northern, Central, and selected Southern districts exhibited substantial workforce inequities, particularly regarding nursing personnel.</w:t>
      </w:r>
    </w:p>
    <w:p w14:paraId="01B6EBC6" w14:textId="77777777" w:rsidR="00074441" w:rsidRPr="00CA6A46" w:rsidRDefault="00074441" w:rsidP="00CA6A46">
      <w:pPr>
        <w:spacing w:line="360" w:lineRule="auto"/>
        <w:rPr>
          <w:rFonts w:asciiTheme="majorBidi" w:hAnsiTheme="majorBidi" w:cstheme="majorBidi"/>
          <w:lang w:val="en-SG"/>
        </w:rPr>
      </w:pPr>
      <w:r w:rsidRPr="00CA6A46">
        <w:rPr>
          <w:rFonts w:asciiTheme="majorBidi" w:hAnsiTheme="majorBidi" w:cstheme="majorBidi"/>
          <w:lang w:val="en-SG"/>
        </w:rPr>
        <w:lastRenderedPageBreak/>
        <w:t>Conclusion: Significant disparities exist in human resource allocation across Sri Lankan PMCUs, with critical shortages of nursing personnel and imbalances between clinical and supportive staff. Addressing these inequities through targeted recruitment, workforce redistribution, and standardized staffing norms is essential to strengthen primary healthcare services and advance Universal Health Coverage in Sri Lanka.</w:t>
      </w:r>
    </w:p>
    <w:p w14:paraId="617FBB8E" w14:textId="6A556D16" w:rsidR="00074441" w:rsidRPr="00CA6A46" w:rsidRDefault="00074441" w:rsidP="00CA6A46">
      <w:pPr>
        <w:spacing w:line="360" w:lineRule="auto"/>
        <w:rPr>
          <w:rFonts w:asciiTheme="majorBidi" w:hAnsiTheme="majorBidi" w:cstheme="majorBidi"/>
          <w:lang w:val="en-SG"/>
        </w:rPr>
      </w:pPr>
      <w:r w:rsidRPr="00CA6A46">
        <w:rPr>
          <w:rFonts w:asciiTheme="majorBidi" w:hAnsiTheme="majorBidi" w:cstheme="majorBidi"/>
          <w:lang w:val="en-SG"/>
        </w:rPr>
        <w:t>Keywords: Primary Healthcare, Primary Medical Care Units, Human Resources for Health, Workforce Distribution, Staffing Disparities, Nursing Shortage, Health Workforce Planning, Universal Health Coverage</w:t>
      </w:r>
      <w:r w:rsidR="009D2775">
        <w:rPr>
          <w:rFonts w:asciiTheme="majorBidi" w:hAnsiTheme="majorBidi" w:cstheme="majorBidi"/>
          <w:lang w:val="en-SG"/>
        </w:rPr>
        <w:t>.</w:t>
      </w:r>
    </w:p>
    <w:p w14:paraId="0406D21C" w14:textId="77777777" w:rsidR="00074441" w:rsidRPr="00CA6A46" w:rsidRDefault="00074441" w:rsidP="00CA6A46">
      <w:pPr>
        <w:spacing w:line="360" w:lineRule="auto"/>
        <w:rPr>
          <w:lang w:val="en-SG"/>
        </w:rPr>
      </w:pPr>
    </w:p>
    <w:p w14:paraId="326A9D9B" w14:textId="77777777" w:rsidR="00F53F35" w:rsidRPr="00CA6A46" w:rsidRDefault="00F53F35" w:rsidP="00CA6A46">
      <w:pPr>
        <w:spacing w:line="360" w:lineRule="auto"/>
        <w:rPr>
          <w:rFonts w:ascii="Times New Roman" w:hAnsi="Times New Roman" w:cs="Times New Roman"/>
          <w:b/>
          <w:bCs/>
        </w:rPr>
      </w:pPr>
      <w:r w:rsidRPr="00CA6A46">
        <w:rPr>
          <w:rFonts w:ascii="Times New Roman" w:hAnsi="Times New Roman" w:cs="Times New Roman"/>
          <w:b/>
          <w:bCs/>
        </w:rPr>
        <w:t>Introduction</w:t>
      </w:r>
    </w:p>
    <w:p w14:paraId="3F2D0A91"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The strength of a national healthcare system is fundamentally rooted in its primary care infrastructure. In Sri Lanka, Primary Medical Care Units (PMCUs) serve as the frontline of the public health network, designed to provide accessible, cost-effective, and comprehensive curative care to local communities. As the country transitions through an epidemiological shift—characterized by a rising burden of non-communicable diseases (NCDs) and an aging population—the role of PMCUs in gatekeeping and health promotion has never been more critical.</w:t>
      </w:r>
    </w:p>
    <w:p w14:paraId="3DFB2C8D"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However, the efficacy of these units is not merely determined by their physical presence, but by the equitable distribution of human resources. Healthcare workers—including Medical Officers (MOs), Nurses, Dispensers, and Supporting staff (</w:t>
      </w:r>
      <w:proofErr w:type="gramStart"/>
      <w:r w:rsidRPr="00CA6A46">
        <w:rPr>
          <w:rFonts w:ascii="Times New Roman" w:hAnsi="Times New Roman" w:cs="Times New Roman"/>
        </w:rPr>
        <w:t>SKS)—</w:t>
      </w:r>
      <w:proofErr w:type="gramEnd"/>
      <w:r w:rsidRPr="00CA6A46">
        <w:rPr>
          <w:rFonts w:ascii="Times New Roman" w:hAnsi="Times New Roman" w:cs="Times New Roman"/>
        </w:rPr>
        <w:t>are the primary drivers of service delivery. Optimal staffing ensures that clinical loads are managed, medications are dispensed safely, and hygiene standards are maintained. Conversely, staffing imbalances can lead to provider burnout, long waiting times for patients, and a decline in the quality of care, ultimately pushing patients toward overcrowded tertiary care hospitals.</w:t>
      </w:r>
    </w:p>
    <w:p w14:paraId="67E8E8D3"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Current data across 26 selected PMCUs reveals a stark landscape of staffing disparities. While some units operate with large, multi-disciplinary teams, others function with skeletal staff. Most notably, a critical "nursing gap" is observed in nearly 40% of the surveyed units, where nursing positions are entirely vacant, potentially shifting the burden of clinical support onto other staff categories.</w:t>
      </w:r>
    </w:p>
    <w:p w14:paraId="6D38CB0E"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lastRenderedPageBreak/>
        <w:t xml:space="preserve">This study, titled "Evaluating Staffing Disparities in Primary Healthcare: A Cross-Sectional Study of Human Resource Allocation in Sri Lankan PMCUs," aims to map the current workforce distribution across these 26 units. By analyzing the ratios of various staff categories—from clinical to supportive </w:t>
      </w:r>
      <w:proofErr w:type="gramStart"/>
      <w:r w:rsidRPr="00CA6A46">
        <w:rPr>
          <w:rFonts w:ascii="Times New Roman" w:hAnsi="Times New Roman" w:cs="Times New Roman"/>
        </w:rPr>
        <w:t>roles—</w:t>
      </w:r>
      <w:proofErr w:type="gramEnd"/>
      <w:r w:rsidRPr="00CA6A46">
        <w:rPr>
          <w:rFonts w:ascii="Times New Roman" w:hAnsi="Times New Roman" w:cs="Times New Roman"/>
        </w:rPr>
        <w:t>this research seeks to identify systemic gaps and geographic inequities. The findings intend to provide a baseline for policymakers to implement standardized staffing norms, ensuring that the promise of Universal Health Coverage (UHC) is met with a balanced and resilient workforce across all districts.</w:t>
      </w:r>
    </w:p>
    <w:p w14:paraId="4E4B0876" w14:textId="794A5AA0" w:rsidR="00F53F35" w:rsidRPr="00CA6A46" w:rsidRDefault="00F53F35" w:rsidP="00CA6A46">
      <w:pPr>
        <w:spacing w:line="360" w:lineRule="auto"/>
        <w:jc w:val="both"/>
        <w:rPr>
          <w:rFonts w:ascii="Times New Roman" w:hAnsi="Times New Roman" w:cs="Times New Roman"/>
          <w:b/>
          <w:bCs/>
        </w:rPr>
      </w:pPr>
      <w:r w:rsidRPr="00CA6A46">
        <w:rPr>
          <w:rFonts w:ascii="Times New Roman" w:hAnsi="Times New Roman" w:cs="Times New Roman"/>
          <w:b/>
          <w:bCs/>
        </w:rPr>
        <w:t>Justification:</w:t>
      </w:r>
    </w:p>
    <w:p w14:paraId="2F907A86" w14:textId="77777777" w:rsidR="00F53F35" w:rsidRPr="00CA6A46" w:rsidRDefault="00F53F35" w:rsidP="00CA6A46">
      <w:pPr>
        <w:spacing w:after="200" w:line="360" w:lineRule="auto"/>
      </w:pPr>
      <w:r w:rsidRPr="00CA6A46">
        <w:t>The evaluation of staffing disparities and human resource allocation in Sri Lankan Primary Medical Care Units (PMCUs) fits into the broader context of Sri Lanka’s primary health care (PHC) system challenges and ongoing reforms. Although direct data on staffing disparities in PMCUs are not explicitly detailed in the provided context, several related studies and reviews shed light on pertinent aspects of human resource capacity, distribution, and the implications for primary care service delivery in Sri Lanka.</w:t>
      </w:r>
    </w:p>
    <w:p w14:paraId="54B9307C" w14:textId="77777777" w:rsidR="00F53F35" w:rsidRPr="00CA6A46" w:rsidRDefault="00F53F35" w:rsidP="00CA6A46">
      <w:pPr>
        <w:spacing w:after="200" w:line="360" w:lineRule="auto"/>
      </w:pPr>
      <w:r w:rsidRPr="00CA6A46">
        <w:t>Staffing and Human Resource Allocation in Primary Care</w:t>
      </w:r>
    </w:p>
    <w:p w14:paraId="5F85DBAA" w14:textId="77777777" w:rsidR="00F53F35" w:rsidRPr="00CA6A46" w:rsidRDefault="00F53F35" w:rsidP="00CA6A46">
      <w:pPr>
        <w:spacing w:after="200" w:line="360" w:lineRule="auto"/>
      </w:pPr>
      <w:r w:rsidRPr="00CA6A46">
        <w:t xml:space="preserve">Sri Lanka’s health system, historically lauded as a highly effective and low-cost model of primary healthcare, faces evolving challenges due to demographic transitions and epidemiological shifts, including an ageing population and rising noncommunicable diseases (NCDs) </w:t>
      </w:r>
      <w:r w:rsidRPr="00CA6A46">
        <w:rPr>
          <w:color w:val="4EA72E" w:themeColor="accent6"/>
        </w:rPr>
        <w:fldChar w:fldCharType="begin"/>
      </w:r>
      <w:r w:rsidRPr="00CA6A46">
        <w:instrText xml:space="preserve"> ADDIN PAPERPAL_ITEM CSL_CITATION {"citationID":"3070a08ea30b3b1b89ad891f8571ef7b","properties":{"formattedCitation":"(Perera et al., 2019)","plainCitation":"(Perera et al., 2019)","noteIndex":0},"citationItems":[{"id":"3070a08ea30b3b1b89ad891f8571ef7b","dyson_id":"3070a08ea30b3b1b89ad891f8571ef7b","abstract":"Since the late 1920s, the Sri Lankan health system has been based on a firm foundation of primary health care, and it has been recognized internationally as a highly successful low-cost model. However, rethinking the future health-care model has been essential, owing to the country having one of the fastest ageing populations in the world, coupled with a high premature mortality from noncommunicable diseases. To sustain past gains and meet new challenges, several models centred on an expanded primary health-care system have been trialled and refined in the past decade. Primary health care was identified as a key priority in the National Health Strategic Master Plan 2016-2025, and in 2018 the Cabinet approved the Policy on healthcare delivery for universal health coverage. This policy introduces the \"shared care cluster\" system, whereby an apex specialist institution serves the local primary care referral institutions. The catchment population is divided into populations of approximately 5000, for which one family doctor is responsible. Strengthening and retaining human resources at these primary-level curative institutions will be essential, especially in rural locations. Also critical will be initiatives to orient the population's health-seeking behaviours. Sustained political commitment, an effective communication strategy, a tailored health workforce policy, performance monitoring and evaluation, coordination mechanisms, and changes in administrative and financial regulations are some of the future factors that will be critical to realizing the full potential of primary health care and accelerating universal health coverage in Sri Lanka.","type":"article-journal","publisher":"","retracted":false,"short-container-title":["WHO South-East Asia J Public Health"],"container-title-short":"WHO South-East Asia J Public Health","author":[{"family":"Perera","given":"Susie"},{"family":"Nieveras","given":"Olivia"},{"family":"De Silva","given":"Padmal"},{"family":"Wijesundara","given":"Chatura"},{"family":"Pendse","given":"Razia"}],"accessed":{"date-parts":[["2026","5","21"]]},"issued":{"date-parts":[["2019","1","1"]]},"container-title":"WHO South-East Asia Journal of Public Health","DOI":"10.4103/2224-3151.255345","issue":"1","page":"21","title":"Accelerating reforms of primary health care towards universal health coverage in Sri Lanka.","volume":"8"}]}</w:instrText>
      </w:r>
      <w:r w:rsidRPr="00CA6A46">
        <w:fldChar w:fldCharType="separate"/>
      </w:r>
      <w:r w:rsidRPr="00CA6A46">
        <w:rPr>
          <w:color w:val="0000CD"/>
        </w:rPr>
        <w:t>(Perera et al., 2019)</w:t>
      </w:r>
      <w:r w:rsidRPr="00CA6A46">
        <w:fldChar w:fldCharType="end"/>
      </w:r>
      <w:r w:rsidRPr="00CA6A46">
        <w:t xml:space="preserve">. Strengthening human resources at the primary level, including PMCUs, remains a central pillar of ongoing reforms aiming at universal health coverage. These reforms emphasize expanding PHC capacity with a focus on rural locations, where workforce retention is particularly challenging due to fewer resources and infrastructure </w:t>
      </w:r>
      <w:r w:rsidRPr="00CA6A46">
        <w:rPr>
          <w:color w:val="4EA72E" w:themeColor="accent6"/>
        </w:rPr>
        <w:fldChar w:fldCharType="begin"/>
      </w:r>
      <w:r w:rsidRPr="00CA6A46">
        <w:instrText xml:space="preserve"> ADDIN PAPERPAL_ITEM CSL_CITATION {"citationID":"3070a08ea30b3b1b89ad891f8571ef7b","properties":{"formattedCitation":"(Perera et al., 2019)","plainCitation":"(Perera et al., 2019)","noteIndex":0},"citationItems":[{"id":"3070a08ea30b3b1b89ad891f8571ef7b","dyson_id":"3070a08ea30b3b1b89ad891f8571ef7b","abstract":"Since the late 1920s, the Sri Lankan health system has been based on a firm foundation of primary health care, and it has been recognized internationally as a highly successful low-cost model. However, rethinking the future health-care model has been essential, owing to the country having one of the fastest ageing populations in the world, coupled with a high premature mortality from noncommunicable diseases. To sustain past gains and meet new challenges, several models centred on an expanded primary health-care system have been trialled and refined in the past decade. Primary health care was identified as a key priority in the National Health Strategic Master Plan 2016-2025, and in 2018 the Cabinet approved the Policy on healthcare delivery for universal health coverage. This policy introduces the \"shared care cluster\" system, whereby an apex specialist institution serves the local primary care referral institutions. The catchment population is divided into populations of approximately 5000, for which one family doctor is responsible. Strengthening and retaining human resources at these primary-level curative institutions will be essential, especially in rural locations. Also critical will be initiatives to orient the population's health-seeking behaviours. Sustained political commitment, an effective communication strategy, a tailored health workforce policy, performance monitoring and evaluation, coordination mechanisms, and changes in administrative and financial regulations are some of the future factors that will be critical to realizing the full potential of primary health care and accelerating universal health coverage in Sri Lanka.","type":"article-journal","publisher":"","retracted":false,"short-container-title":["WHO South-East Asia J Public Health"],"container-title-short":"WHO South-East Asia J Public Health","author":[{"family":"Perera","given":"Susie"},{"family":"Nieveras","given":"Olivia"},{"family":"De Silva","given":"Padmal"},{"family":"Wijesundara","given":"Chatura"},{"family":"Pendse","given":"Razia"}],"accessed":{"date-parts":[["2026","5","21"]]},"issued":{"date-parts":[["2019","1","1"]]},"container-title":"WHO South-East Asia Journal of Public Health","DOI":"10.4103/2224-3151.255345","issue":"1","page":"21","title":"Accelerating reforms of primary health care towards universal health coverage in Sri Lanka.","volume":"8"}]}</w:instrText>
      </w:r>
      <w:r w:rsidRPr="00CA6A46">
        <w:fldChar w:fldCharType="separate"/>
      </w:r>
      <w:r w:rsidRPr="00CA6A46">
        <w:rPr>
          <w:color w:val="0000CD"/>
        </w:rPr>
        <w:t>(Perera et al., 2019)</w:t>
      </w:r>
      <w:r w:rsidRPr="00CA6A46">
        <w:fldChar w:fldCharType="end"/>
      </w:r>
      <w:r w:rsidRPr="00CA6A46">
        <w:t>.</w:t>
      </w:r>
    </w:p>
    <w:p w14:paraId="2D48E1B3" w14:textId="77777777" w:rsidR="00F53F35" w:rsidRPr="00CA6A46" w:rsidRDefault="00F53F35" w:rsidP="00CA6A46">
      <w:pPr>
        <w:spacing w:after="200" w:line="360" w:lineRule="auto"/>
      </w:pPr>
      <w:r w:rsidRPr="00CA6A46">
        <w:t xml:space="preserve">A multi-country survey including Sri Lanka highlighted major deficits in the PC workforce and other health system components necessary for implementing essential NCD interventions </w:t>
      </w:r>
      <w:r w:rsidRPr="00CA6A46">
        <w:rPr>
          <w:color w:val="4EA72E" w:themeColor="accent6"/>
        </w:rPr>
        <w:fldChar w:fldCharType="begin"/>
      </w:r>
      <w:r w:rsidRPr="00CA6A46">
        <w:instrText xml:space="preserve"> ADDIN PAPERPAL_ITEM CSL_CITATION {"citationID":"f1df8ad9dd103497a91d989e0c137b89","properties":{"formattedCitation":"(Mendis et al., 2012)","plainCitation":"(Mendis et al., 2012)","noteIndex":0},"citationItems":[{"id":"f1df8ad9dd103497a91d989e0c137b89","dyson_id":"f1df8ad9dd103497a91d989e0c137b89","abstract":"Objective. The objective was to evaluate the capacity of primary care (PC) facilities to implement basic interventions for prevention and management of major noncommunicable diseases (NCDs), including cardiovascular diseases and diabetes. Methods. A cross-sectional survey was done in eight low- and middle-income countries (Benin, Bhutan, Eritrea, Sri Lanka, Sudan, Suriname, Syria, and Vietnam) in 90 PC facilities randomly selected. The survey included questions on the availability of human resources, equipment, infrastructure, medicines, utilization of services, financing, medical information, and referral systems. Results and Conclusions. Major deficits were identified in health financing, access to basic technologies and medicines, medical information systems, and the health workforce. The study has provided the foundation for strengthening PC to address noncommunicable diseases. There are important implications of the findings of this study for all low- and middle-income countries as capacity of PC is fundamental for equitable prevention and control of NCDs.","type":"article-journal","publisher":"","retracted":false,"short-container-title":["International Journal of Hypertension"],"container-title-short":"International Journal of Hypertension","author":[{"family":"Mendis","given":"S"},{"family":"Al Bashir","given":"Igbal"},{"family":"Dissanayake","given":"Lanka"},{"family":"Varghese","given":"Cherian"},{"family":"Fadhil","given":"Ibtihal"},{"family":"Marhe","given":"Esha"},{"family":"Sambo","given":"Boureima"},{"family":"Mehta","given":"Firdosi"},{"family":"Elsayad","given":"Hind"},{"family":"Sow","given":"Idrisa"},{"family":"Algoe","given":"Maltie"},{"family":"Tennakoon","given":"Herbert"},{"family":"Truong","given":"Lai Die"},{"family":"Lan","given":"Le Thi Tuyet"},{"family":"Huiuinato","given":"Dismond"},{"family":"Hewageegana","given":"Neelamni"},{"family":"Fahal","given":"Naiema A W"},{"family":"Mebrhatu","given":"Goitom"},{"family":"Tshering","given":"Gado"},{"family":"Chestnov","given":"Oleg"}],"accessed":{"date-parts":[["2026","5","22"]]},"issued":{"date-parts":[["2012","1","1"]]},"container-title":"International Journal of Hypertension","DOI":"10.1155/2012/584041","issue":"Resolution WHA 53. 14","page":"1-7","title":"Gaps in Capacity in Primary Care in Low-Resource Settings for Implementation of Essential Noncommunicable Disease Interventions","volume":"2012"}]}</w:instrText>
      </w:r>
      <w:r w:rsidRPr="00CA6A46">
        <w:fldChar w:fldCharType="separate"/>
      </w:r>
      <w:r w:rsidRPr="00CA6A46">
        <w:rPr>
          <w:color w:val="0000CD"/>
        </w:rPr>
        <w:t>(Mendis et al., 2012)</w:t>
      </w:r>
      <w:r w:rsidRPr="00CA6A46">
        <w:fldChar w:fldCharType="end"/>
      </w:r>
      <w:r w:rsidRPr="00CA6A46">
        <w:t>. Human resource limitations were recognized as a key barrier alongside technology and financing gaps, underscoring the need to address staffing shortages and disparities for equitable care delivery.</w:t>
      </w:r>
    </w:p>
    <w:p w14:paraId="60075ACE" w14:textId="77777777" w:rsidR="00F53F35" w:rsidRPr="00CA6A46" w:rsidRDefault="00F53F35" w:rsidP="00CA6A46">
      <w:pPr>
        <w:spacing w:after="200" w:line="360" w:lineRule="auto"/>
      </w:pPr>
      <w:r w:rsidRPr="00CA6A46">
        <w:lastRenderedPageBreak/>
        <w:t>Disaster Preparedness and Staffing Challenges</w:t>
      </w:r>
    </w:p>
    <w:p w14:paraId="15337551" w14:textId="77777777" w:rsidR="00F53F35" w:rsidRPr="00CA6A46" w:rsidRDefault="00F53F35" w:rsidP="00CA6A46">
      <w:pPr>
        <w:spacing w:after="200" w:line="360" w:lineRule="auto"/>
      </w:pPr>
      <w:r w:rsidRPr="00CA6A46">
        <w:t xml:space="preserve">A cross-sectional study from Eastern Province reveals that during disasters like flooding, approximately 77% of primary care and other healthcare facility respondents reported insufficient staff to maintain normal service delivery, with additional absenteeism reported due to flooding </w:t>
      </w:r>
      <w:r w:rsidRPr="00CA6A46">
        <w:rPr>
          <w:color w:val="4EA72E" w:themeColor="accent6"/>
        </w:rPr>
        <w:fldChar w:fldCharType="begin"/>
      </w:r>
      <w:r w:rsidRPr="00CA6A46">
        <w:instrText xml:space="preserve"> ADDIN PAPERPAL_ITEM CSL_CITATION {"citationID":"6df7fab2a260320a9324cdff6fd87af6","properties":{"formattedCitation":"(Farley et al., 2017)","plainCitation":"(Farley et al., 2017)","noteIndex":0},"citationItems":[{"id":"6df7fab2a260320a9324cdff6fd87af6","dyson_id":"6df7fab2a260320a9324cdff6fd87af6","abstract":"ABSTRACT Background: Sri Lanka is vulnerable to floods and other hydro-meteorological disasters. Climate change is projected to increase the intensity of these events. Objective: This study aimed to assess the flood preparedness in healthcare facilities in Eastern Province. Design: This was a cross-sectional, descriptive, mixed methods study conducted in Trincomalee District. Surveys were conducted in 31 government healthcare facilities, using a pre-tested, structured questionnaire covering the last 5 years. Seven in-depth interviews were conducted with randomly selected Medical Officers in Charge or their equivalent, and 3 interviews were conducted with Medical Offices of Health. Results: Two general hospitals, 3 base hospitals, 11 divisional hospitals, and 15 primary care units were included. Six respondents (19.4%) reported flooding in their facility, and 19 (61.3%) reported flooding in their catchment area. For the health workforce, 77.4% of respondents reported not enough staff to perform normal service delivery during disasters, and 25.5% reported staff absenteeism due to flooding. Several respondents expressed a desire for more disaster-specific and general clinical training opportunities for themselves and their staff. Most respondents (80.7%) reported no delays in supply procurement during weather emergencies, but 61.3% reported insufficient supplies to maintain normal service delivery during disasters. Four facilities (12.9%) had disaster preparedness plans, and 4 (12.9%) had any staff trained on disaster preparedness or management within the last year. One quarter (25.8%) of respondents had received any written guidance on disaster preparedness from the regional, provincial, or national level in the last year. Conclusions: While there is a strong health system operating in Sri Lanka, improvements are needed in localized and appropriate disaster-related training, resources for continuing clinical education, and investments in workforce to strengthen flood and other disaster resilience within the government healthcare system in the study district.","type":"article-journal","publisher":"","retracted":false,"short-container-title":["Global Health Action"],"container-title-short":"Global Health Action","author":[{"family":"Farley","given":"Jessica M"},{"family":"Suraweera","given":"Inoka"},{"family":"Perera","given":"W L S P"},{"family":"Hess","given":"Jeremy"},{"family":"Ebi","given":"Kristie L"}],"accessed":{"date-parts":[["2026","5","21"]]},"issued":{"date-parts":[["2017","1","1"]]},"container-title":"Global Health Action","DOI":"10.1080/16549716.2017.1331539","issue":"1","page":"1331539","title":"Evaluation of flood preparedness in government healthcare facilities in Eastern Province, Sri Lanka","volume":"10"}]}</w:instrText>
      </w:r>
      <w:r w:rsidRPr="00CA6A46">
        <w:fldChar w:fldCharType="separate"/>
      </w:r>
      <w:r w:rsidRPr="00CA6A46">
        <w:rPr>
          <w:color w:val="0000CD"/>
        </w:rPr>
        <w:t>(Farley et al., 2017)</w:t>
      </w:r>
      <w:r w:rsidRPr="00CA6A46">
        <w:fldChar w:fldCharType="end"/>
      </w:r>
      <w:r w:rsidRPr="00CA6A46">
        <w:t>. Although this study focuses on disaster contexts, it reflects broader challenges in sustained human resource availability that can affect staffing reliability and allocation in PMCUs, especially in vulnerable regions.</w:t>
      </w:r>
    </w:p>
    <w:p w14:paraId="72286E27" w14:textId="77777777" w:rsidR="00F53F35" w:rsidRPr="00CA6A46" w:rsidRDefault="00F53F35" w:rsidP="00CA6A46">
      <w:pPr>
        <w:spacing w:after="200" w:line="360" w:lineRule="auto"/>
      </w:pPr>
      <w:r w:rsidRPr="00CA6A46">
        <w:t>Mental Health and Staffing in Primary Care Context</w:t>
      </w:r>
    </w:p>
    <w:p w14:paraId="1416C42F" w14:textId="17880FB3" w:rsidR="00F53F35" w:rsidRPr="00CA6A46" w:rsidRDefault="00F53F35" w:rsidP="00CA6A46">
      <w:pPr>
        <w:spacing w:after="200" w:line="360" w:lineRule="auto"/>
      </w:pPr>
      <w:r w:rsidRPr="00CA6A46">
        <w:t xml:space="preserve">Human resource disparities are further implicated in the provision of mental health services. Post-conflict Northern Province studies indicate a high prevalence of mental health disorders among primary care attendees, with a significant unmet need for capacity strengthening and integration of mental health into PHC </w:t>
      </w:r>
      <w:r w:rsidRPr="00CA6A46">
        <w:rPr>
          <w:color w:val="4EA72E" w:themeColor="accent6"/>
        </w:rPr>
        <w:fldChar w:fldCharType="begin"/>
      </w:r>
      <w:r w:rsidRPr="00CA6A46">
        <w:instrText xml:space="preserve"> ADDIN PAPERPAL_ITEM CSL_CITATION {"citationID":"88a92b62a18335d68dd46a67bbafbce7;3662491b0e743060a33ba0420742fb9a","properties":{"formattedCitation":"(Doherty et al., 2019; Senarath et al., 2014)","plainCitation":"(Doherty et al., 2019; Senarath et al., 2014)","noteIndex":0},"citationItems":[{"id":"88a92b62a18335d68dd46a67bbafbce7","dyson_id":"88a92b62a18335d68dd46a67bbafbce7","abstract":"BackgroundExperiencing conflict and displacement can have a negative impact on an individual’s mental health. Currently, prevalence of mental health disorders (MHDs) at the primary care level in post-conflict areas within the Northern Province of Sri Lanka is unknown. We aimed to explore this prevalence in conflict-affected populations attending primary care, using a structured package of validated screening tools for MHDs.MethodsThis cross-sectional study aimed to determine factors related to mental health disorders at the primary care level in Northern Province, Sri Lanka. A structured interview was conducted with internally displaced adults attending 25 randomly selected primary care facilities across all districts of Northern Sri Lanka (Jaffna, Mannar, Mullaitivu, Vavuniya). Participants were screened for depression, anxiety, psychosis, PTSD, and somatoform symptoms.ResultsAmong 533 female and 482 male participants (mean age 53.2 years), the prevalence rate for any MHD was 58.8% (95% CI, 53.8–61.4), with 42.4% screening positive for two or more disorders (95% CI, 38.6–46.1). Anxiety prevalence was reported at 46.7% (95% CI, 41.9–51.5), depression at 41.1% (95% CI, 38.7–44.5), PTSD at 13.7% (95% CI, 10.6–16.8), somatoform symptoms at 27.6% (95% CI, 23.6–31.5), and psychosis with hypomania at 17.6% (95% CI, 13.3–21.9).ConclusionThis is the first study at the primary care level to investigate prevalence of MHDs among conflict-affected populations in the Northern Province, Sri Lanka. Results highlight unmet mental health needs in the region. Training intervention to integrate mental health services into primary care is planned.","type":"article-journal","publisher":"","retracted":false,"short-container-title":["BMC Psychiatry"],"container-title-short":"BMC Psychiatry","author":[{"family":"Doherty","given":"Shannon"},{"family":"Hulland","given":"E"},{"family":"Lopes-Cardozo","given":"B"},{"family":"Kirupakaran","given":"S"},{"family":"Surenthirakumaran","given":"R"},{"family":"Cookson","given":"S"},{"family":"Siriwardhana","given":"C"}],"accessed":{"date-parts":[["2026","5","21"]]},"issued":{"date-parts":[["2019","3","4"]]},"container-title":"BMC Psychiatry","DOI":"10.1186/s12888-019-2064-0","issue":"1","page":"83","title":"Prevalence of mental disorders and epidemiological associations in post-conflict primary care attendees: a cross-sectional study in the Northern Province of Sri Lanka","volume":"19"},{"id":"3662491b0e743060a33ba0420742fb9a","dyson_id":"3662491b0e743060a33ba0420742fb9a","abstract":"BackgroundIn Sri Lanka, civilians in the Northern Province were affected by a long-term armed conflict that ended in 2009. This study aims to describe the prevalence of depression and its associated factors among adult patients attending primary care settings in the Northern Province in Sri Lanka.MethodsWe report data from a cross-sectional patient morbidity registry established in 16 primary care facilities (12 Divisional Hospitals and 4 Primary Medical Care Units) in four districts of the Northern Province. The Patient Health Questionnaire-9 (PHQ-9) was used to assess depression among all patients aged ≥18 years, between March and May 2013. A sample of 12,841 patient records was included in the analysis. A total score of ≥10 in the PHQ-9 was considered as major depression. Factors associated with major depression were tested using multivariable logistic regression analysis.ResultsThe prevalence of major depression was 4.5% (95% CI: 4.1-4.9) and mild depression was 13.3% (95% CI: 12.7-13.9). The major depression was significantly higher in females than males (5.1% vs. 3.6%) and among unpaid family workers (6.0%) than any other category who earned an income (varied between 1.2% and 3.2%). The prevalence was rising significantly with advancing age, and ranged from 0.3% in the youngest to 11.6% in the elderly.Multivariable regression analysis revealed that the females have a higher risk for major depression than males (OR = 1.4; 95% CI: 1.1-1.7). Older patients were more likely to be depressed than younger patients, OR (95% CI) were 4.9 (1.9-12.5), 5.6 (2.2-14.0), 5.7 (2.3-14.2) and 4.7 (1.8-11.9) for the age groups 25–34, 35–49, 50–64, and ≥65 years respectively, in contrast to 18–24 year group. Disability in walking (OR = 7.5; 95% CI: 5.8-9.8), cognition (OR = 4.5; 95% CI: 3.6-5.6), self-care (OR = 2.6; 95% CI: 1.7-4.0), seeing (OR = 2.3; 95% CI: 1.8-3.0), and hearing (OR = 2.0; 95% CI: 1.5-2.5) showed significant associations with depression.ConclusionsDepression is a common issue at primary care settings in a post-conflict population, and the elders, women and persons with disability are at a greater risk. Strengthening capacity of primary care facilities and community mental health services is necessary for early detection and management.","type":"article-journal","publisher":"","retracted":false,"short-container-title":["BMC Psychiatry"],"container-title-short":"BMC Psychiatry","author":[{"family":"Senarath","given":"Upul"},{"family":"Wickramage","given":"Kolitha"},{"family":"Peiris","given":"Sharika Lasanthi"}],"accessed":{"date-parts":[["2026","5","21"]]},"issued":{"date-parts":[["2014","3","24"]]},"container-title":"BMC Psychiatry","DOI":"10.1186/1471-244x-14-85","issue":"9569","page":"85","title":"Prevalence of depression and its associated factors among patients attending primary care settings in the post-conflict Northern Province in Sri Lanka: a cross-sectional study","volume":"14"}]}</w:instrText>
      </w:r>
      <w:r w:rsidRPr="00CA6A46">
        <w:fldChar w:fldCharType="separate"/>
      </w:r>
      <w:r w:rsidRPr="00CA6A46">
        <w:rPr>
          <w:color w:val="0000CD"/>
        </w:rPr>
        <w:t>(Doherty et al., 2019; Senarath et al., 2014)</w:t>
      </w:r>
      <w:r w:rsidRPr="00CA6A46">
        <w:fldChar w:fldCharType="end"/>
      </w:r>
      <w:r w:rsidRPr="00CA6A46">
        <w:t xml:space="preserve">. This highlights a specific case where staffing </w:t>
      </w:r>
      <w:proofErr w:type="gramStart"/>
      <w:r w:rsidRPr="00CA6A46">
        <w:t>inadequacies</w:t>
      </w:r>
      <w:proofErr w:type="gramEnd"/>
      <w:r w:rsidRPr="00CA6A46">
        <w:t xml:space="preserve"> particularly the lack of trained personnel in mental </w:t>
      </w:r>
      <w:proofErr w:type="gramStart"/>
      <w:r w:rsidRPr="00CA6A46">
        <w:t>health</w:t>
      </w:r>
      <w:proofErr w:type="gramEnd"/>
      <w:r w:rsidRPr="00CA6A46">
        <w:t xml:space="preserve"> may contribute to underdiagnosis and insufficient management in PMCUs.</w:t>
      </w:r>
    </w:p>
    <w:p w14:paraId="4870F5D9" w14:textId="77777777" w:rsidR="00F53F35" w:rsidRPr="00CA6A46" w:rsidRDefault="00F53F35" w:rsidP="00CA6A46">
      <w:pPr>
        <w:spacing w:after="200" w:line="360" w:lineRule="auto"/>
      </w:pPr>
      <w:r w:rsidRPr="00CA6A46">
        <w:t xml:space="preserve">Sri Lanka’s mental health care system, although improved over the years with increased psychiatrists and training, still faces resource allocation challenges that can affect frontline primary care workers’ ability to provide adequate services </w:t>
      </w:r>
      <w:r w:rsidRPr="00CA6A46">
        <w:rPr>
          <w:color w:val="4EA72E" w:themeColor="accent6"/>
        </w:rPr>
        <w:fldChar w:fldCharType="begin"/>
      </w:r>
      <w:r w:rsidRPr="00CA6A46">
        <w:instrText xml:space="preserve"> ADDIN PAPERPAL_ITEM CSL_CITATION {"citationID":"39c575aaaba9312c86efc8b7347075c1","properties":{"formattedCitation":"(Kathriarachchi et al., 2019)","plainCitation":"(Kathriarachchi et al., 2019)","noteIndex":0},"citationItems":[{"id":"39c575aaaba9312c86efc8b7347075c1","dyson_id":"39c575aaaba9312c86efc8b7347075c1","abstract":"Background: Sri Lanka is a multi-ethnic country with a rich cultural heritage and biodiversity. Sri Lanka has a population of 21 million with an annual population growth rate of 0.76%. Methods: The authors explored the evolution of mental health care, life-cycle approach to psychiatric disorders, addressing resource limitations in a developing country, and the dilemma of reducing the treatment gap while maintaining standards and quality of care. This review was based on the analysis of related literature, as well as through work experience. Results: As a result of continuous effort, Sri Lanka has more than 110 psychiatrists, practicing in all districts of the country. Academic psychiatry has flourished over the years. Measures to improve mental health literacy, training of allied disciplines, and targeted approaches to improve services for vulnerable groups are taking place at a reasonable rate. The psychiatrists employed throughout Sri Lanka, the Sri Lanka College of Psychiatrists, the Board of Study in Psychiatry, and Postgraduate Institute of Medicine, have taken initiative to improve quality of care, by joining hands with the Ministry of Health and other stakeholders. Conclusion: Sri Lanka has achieved quality mental health-care outcomes despite having considerable limitations in resource allocation. Mental health services need to be consistently revamped, giving priority to face ongoing challenges to provide quality as well as equitable and efficient service to all the citizens in this beautiful country.","type":"article-journal","publisher":"","retracted":false,"short-container-title":["Taiwan J Psychiatry"],"container-title-short":"Taiwan J Psychiatry","author":[{"family":"Kathriarachchi","given":"Samudrat"},{"family":"Seneviratne","given":"Vlakmi"},{"family":"Amarakoon","given":"Luckshika"}],"accessed":{"date-parts":[["2026","5","21"]]},"issued":{"date-parts":[["2019","1","1"]]},"container-title":"Taiwanese Journal of Psychiatry","DOI":"10.4103/tpsy.tpsy_15_19","issue":"2","page":"55","title":"Development of mental health care in Sri Lanka: Lessons learned","volume":"33"}]}</w:instrText>
      </w:r>
      <w:r w:rsidRPr="00CA6A46">
        <w:fldChar w:fldCharType="separate"/>
      </w:r>
      <w:r w:rsidRPr="00CA6A46">
        <w:rPr>
          <w:color w:val="0000CD"/>
        </w:rPr>
        <w:t>(Kathriarachchi et al., 2019)</w:t>
      </w:r>
      <w:r w:rsidRPr="00CA6A46">
        <w:fldChar w:fldCharType="end"/>
      </w:r>
      <w:r w:rsidRPr="00CA6A46">
        <w:t>.</w:t>
      </w:r>
    </w:p>
    <w:p w14:paraId="30945735" w14:textId="77777777" w:rsidR="00F53F35" w:rsidRPr="00CA6A46" w:rsidRDefault="00F53F35" w:rsidP="00CA6A46">
      <w:pPr>
        <w:spacing w:after="200" w:line="360" w:lineRule="auto"/>
      </w:pPr>
      <w:r w:rsidRPr="00CA6A46">
        <w:t>Resource Allocation and Staffing Implications</w:t>
      </w:r>
    </w:p>
    <w:p w14:paraId="45E249C5" w14:textId="77777777" w:rsidR="00F53F35" w:rsidRPr="00CA6A46" w:rsidRDefault="00F53F35" w:rsidP="00CA6A46">
      <w:pPr>
        <w:spacing w:after="200" w:line="360" w:lineRule="auto"/>
      </w:pPr>
      <w:r w:rsidRPr="00CA6A46">
        <w:t xml:space="preserve">Other factors influencing disparities in staffing include limited training and resource availability at primary care levels. For example, scarcity of supplies and training on disaster preparedness were prevalent in several government health facilities, potentially increasing the workload pressure on available staff </w:t>
      </w:r>
      <w:r w:rsidRPr="00CA6A46">
        <w:rPr>
          <w:color w:val="4EA72E" w:themeColor="accent6"/>
        </w:rPr>
        <w:fldChar w:fldCharType="begin"/>
      </w:r>
      <w:r w:rsidRPr="00CA6A46">
        <w:instrText xml:space="preserve"> ADDIN PAPERPAL_ITEM CSL_CITATION {"citationID":"6df7fab2a260320a9324cdff6fd87af6","properties":{"formattedCitation":"(Farley et al., 2017)","plainCitation":"(Farley et al., 2017)","noteIndex":0},"citationItems":[{"id":"6df7fab2a260320a9324cdff6fd87af6","dyson_id":"6df7fab2a260320a9324cdff6fd87af6","abstract":"ABSTRACT Background: Sri Lanka is vulnerable to floods and other hydro-meteorological disasters. Climate change is projected to increase the intensity of these events. Objective: This study aimed to assess the flood preparedness in healthcare facilities in Eastern Province. Design: This was a cross-sectional, descriptive, mixed methods study conducted in Trincomalee District. Surveys were conducted in 31 government healthcare facilities, using a pre-tested, structured questionnaire covering the last 5 years. Seven in-depth interviews were conducted with randomly selected Medical Officers in Charge or their equivalent, and 3 interviews were conducted with Medical Offices of Health. Results: Two general hospitals, 3 base hospitals, 11 divisional hospitals, and 15 primary care units were included. Six respondents (19.4%) reported flooding in their facility, and 19 (61.3%) reported flooding in their catchment area. For the health workforce, 77.4% of respondents reported not enough staff to perform normal service delivery during disasters, and 25.5% reported staff absenteeism due to flooding. Several respondents expressed a desire for more disaster-specific and general clinical training opportunities for themselves and their staff. Most respondents (80.7%) reported no delays in supply procurement during weather emergencies, but 61.3% reported insufficient supplies to maintain normal service delivery during disasters. Four facilities (12.9%) had disaster preparedness plans, and 4 (12.9%) had any staff trained on disaster preparedness or management within the last year. One quarter (25.8%) of respondents had received any written guidance on disaster preparedness from the regional, provincial, or national level in the last year. Conclusions: While there is a strong health system operating in Sri Lanka, improvements are needed in localized and appropriate disaster-related training, resources for continuing clinical education, and investments in workforce to strengthen flood and other disaster resilience within the government healthcare system in the study district.","type":"article-journal","publisher":"","retracted":false,"short-container-title":["Global Health Action"],"container-title-short":"Global Health Action","author":[{"family":"Farley","given":"Jessica M"},{"family":"Suraweera","given":"Inoka"},{"family":"Perera","given":"W L S P"},{"family":"Hess","given":"Jeremy"},{"family":"Ebi","given":"Kristie L"}],"accessed":{"date-parts":[["2026","5","21"]]},"issued":{"date-parts":[["2017","1","1"]]},"container-title":"Global Health Action","DOI":"10.1080/16549716.2017.1331539","issue":"1","page":"1331539","title":"Evaluation of flood preparedness in government healthcare facilities in Eastern Province, Sri Lanka","volume":"10"}]}</w:instrText>
      </w:r>
      <w:r w:rsidRPr="00CA6A46">
        <w:fldChar w:fldCharType="separate"/>
      </w:r>
      <w:r w:rsidRPr="00CA6A46">
        <w:rPr>
          <w:color w:val="0000CD"/>
        </w:rPr>
        <w:t>(Farley et al., 2017)</w:t>
      </w:r>
      <w:r w:rsidRPr="00CA6A46">
        <w:fldChar w:fldCharType="end"/>
      </w:r>
      <w:r w:rsidRPr="00CA6A46">
        <w:t xml:space="preserve">. Similar challenges in availability of essential medicines in rural primary care institutions suggest resource constraints act alongside human resource issues to compound service delivery problems </w:t>
      </w:r>
      <w:r w:rsidRPr="00CA6A46">
        <w:rPr>
          <w:color w:val="4EA72E" w:themeColor="accent6"/>
        </w:rPr>
        <w:fldChar w:fldCharType="begin"/>
      </w:r>
      <w:r w:rsidRPr="00CA6A46">
        <w:instrText xml:space="preserve"> ADDIN PAPERPAL_ITEM CSL_CITATION {"citationID":"458dc2fb291f3b038daa2fda56c31383","properties":{"formattedCitation":"(Rathish et al., 2017)","plainCitation":"(Rathish et al., 2017)","noteIndex":0},"citationItems":[{"id":"458dc2fb291f3b038daa2fda56c31383","dyson_id":"458dc2fb291f3b038daa2fda56c31383","abstract":"BackgroundAssessment of the availability of essential medicines, in rural areas of countries with free state health care system, is scarce. Dependence on essential medicines among the population in rural sector is considered to be high. Assessing the availability of essential medicines in selected state owned primary and secondary health care institutions of a rural district will help to identify areas where improvement is needed.MethodsA descriptive cross sectional study, covering selected five primary and one secondary care institutions of a rural Sri Lankan district, was conducted. The national list of essential medicines, Sri Lanka was used as the check list and the guidelines of the WHO–Health Action International were adapted.ResultsThe secondary care institution recorded an overall availability of 71%, whereas the average overall availability of the primary care institutions was 56%. Central dispensaries recorded the lowest availability. Lack of availability of medicines needed for the management of chronic kidney disease, snake bite and poisoning was noted.ConclusionsAvailability of essential medicines in most of the primary and the secondary care institutions were fairly high. Deficiency in medicines needed for the management of emergencies was noted. A need based annual estimate of medicines based on an essential medicine list is suggested.","type":"article-journal","publisher":"","retracted":false,"short-container-title":["BMC Health Serv Res"],"container-title-short":"BMC Health Serv Res","author":[{"family":"Rathish","given":"Devarajan"},{"family":"Premarathna","given":"Indika"},{"family":"Jayathilake","given":"Thiwanka"},{"family":"Kandegedara","given":"Chathurika"},{"family":"Punchihewa","given":"Kalani"},{"family":"Ananda","given":"Lakmali"},{"family":"Bandara","given":"Thejani"},{"family":"Jayasumana","given":"Channa"},{"family":"Siribaddana","given":"Sisira"}],"accessed":{"date-parts":[["2026","5","21"]]},"issued":{"date-parts":[["2017","1","5"]]},"container-title":"BMC Health Services Research","DOI":"10.1186/s12913-016-1969-2","issue":"1","page":"11","title":"Availability of essential medicines in selected public, primary and secondary health care institutions of a rural Sri Lankan district: a spot survey","volume":"17"}]}</w:instrText>
      </w:r>
      <w:r w:rsidRPr="00CA6A46">
        <w:fldChar w:fldCharType="separate"/>
      </w:r>
      <w:r w:rsidRPr="00CA6A46">
        <w:rPr>
          <w:color w:val="0000CD"/>
        </w:rPr>
        <w:t>(Rathish et al., 2017)</w:t>
      </w:r>
      <w:r w:rsidRPr="00CA6A46">
        <w:fldChar w:fldCharType="end"/>
      </w:r>
      <w:r w:rsidRPr="00CA6A46">
        <w:t>.</w:t>
      </w:r>
    </w:p>
    <w:p w14:paraId="1534E947" w14:textId="77777777" w:rsidR="00F53F35" w:rsidRPr="00CA6A46" w:rsidRDefault="00F53F35" w:rsidP="00CA6A46">
      <w:pPr>
        <w:spacing w:after="200" w:line="360" w:lineRule="auto"/>
      </w:pPr>
      <w:r w:rsidRPr="00CA6A46">
        <w:lastRenderedPageBreak/>
        <w:t>Policy Directions Impacting Staffing in PMCUs</w:t>
      </w:r>
    </w:p>
    <w:p w14:paraId="29E6130C" w14:textId="77777777" w:rsidR="00F53F35" w:rsidRPr="00CA6A46" w:rsidRDefault="00F53F35" w:rsidP="00CA6A46">
      <w:pPr>
        <w:spacing w:after="200" w:line="360" w:lineRule="auto"/>
      </w:pPr>
      <w:r w:rsidRPr="00CA6A46">
        <w:t xml:space="preserve">The Sri Lankan National Health Strategic Master Plan and Health Coverage policy stress the “shared care cluster” model, with one family doctor responsible for a catchment of around 5000 persons. This model further underscores the critical importance of sufficient and well-distributed human resources at PMCUs to provide first-contact, comprehensive care and appropriate referrals </w:t>
      </w:r>
      <w:r w:rsidRPr="00CA6A46">
        <w:rPr>
          <w:color w:val="4EA72E" w:themeColor="accent6"/>
        </w:rPr>
        <w:fldChar w:fldCharType="begin"/>
      </w:r>
      <w:r w:rsidRPr="00CA6A46">
        <w:instrText xml:space="preserve"> ADDIN PAPERPAL_ITEM CSL_CITATION {"citationID":"3070a08ea30b3b1b89ad891f8571ef7b","properties":{"formattedCitation":"(Perera et al., 2019)","plainCitation":"(Perera et al., 2019)","noteIndex":0},"citationItems":[{"id":"3070a08ea30b3b1b89ad891f8571ef7b","dyson_id":"3070a08ea30b3b1b89ad891f8571ef7b","abstract":"Since the late 1920s, the Sri Lankan health system has been based on a firm foundation of primary health care, and it has been recognized internationally as a highly successful low-cost model. However, rethinking the future health-care model has been essential, owing to the country having one of the fastest ageing populations in the world, coupled with a high premature mortality from noncommunicable diseases. To sustain past gains and meet new challenges, several models centred on an expanded primary health-care system have been trialled and refined in the past decade. Primary health care was identified as a key priority in the National Health Strategic Master Plan 2016-2025, and in 2018 the Cabinet approved the Policy on healthcare delivery for universal health coverage. This policy introduces the \"shared care cluster\" system, whereby an apex specialist institution serves the local primary care referral institutions. The catchment population is divided into populations of approximately 5000, for which one family doctor is responsible. Strengthening and retaining human resources at these primary-level curative institutions will be essential, especially in rural locations. Also critical will be initiatives to orient the population's health-seeking behaviours. Sustained political commitment, an effective communication strategy, a tailored health workforce policy, performance monitoring and evaluation, coordination mechanisms, and changes in administrative and financial regulations are some of the future factors that will be critical to realizing the full potential of primary health care and accelerating universal health coverage in Sri Lanka.","type":"article-journal","publisher":"","retracted":false,"short-container-title":["WHO South-East Asia J Public Health"],"container-title-short":"WHO South-East Asia J Public Health","author":[{"family":"Perera","given":"Susie"},{"family":"Nieveras","given":"Olivia"},{"family":"De Silva","given":"Padmal"},{"family":"Wijesundara","given":"Chatura"},{"family":"Pendse","given":"Razia"}],"accessed":{"date-parts":[["2026","5","21"]]},"issued":{"date-parts":[["2019","1","1"]]},"container-title":"WHO South-East Asia Journal of Public Health","DOI":"10.4103/2224-3151.255345","issue":"1","page":"21","title":"Accelerating reforms of primary health care towards universal health coverage in Sri Lanka.","volume":"8"}]}</w:instrText>
      </w:r>
      <w:r w:rsidRPr="00CA6A46">
        <w:fldChar w:fldCharType="separate"/>
      </w:r>
      <w:r w:rsidRPr="00CA6A46">
        <w:rPr>
          <w:color w:val="0000CD"/>
        </w:rPr>
        <w:t>(Perera et al., 2019)</w:t>
      </w:r>
      <w:r w:rsidRPr="00CA6A46">
        <w:fldChar w:fldCharType="end"/>
      </w:r>
      <w:r w:rsidRPr="00CA6A46">
        <w:t>.</w:t>
      </w:r>
    </w:p>
    <w:p w14:paraId="0ABF4ED1" w14:textId="11D88A4A" w:rsidR="00F53F35" w:rsidRPr="00CA6A46" w:rsidRDefault="00F53F35" w:rsidP="00CA6A46">
      <w:pPr>
        <w:spacing w:after="200" w:line="360" w:lineRule="auto"/>
      </w:pPr>
      <w:r w:rsidRPr="00CA6A46">
        <w:t>The policy’s success depends substantially on tailored workforce strategies addressing disparities in staffing both geographically and by cadre, with particular focus on rural and underserved areas, a challenge reflected in continuing deficits noted in surveys.</w:t>
      </w:r>
    </w:p>
    <w:p w14:paraId="580A3A24" w14:textId="1F28F1DE" w:rsidR="00F53F35" w:rsidRPr="00CA6A46" w:rsidRDefault="00F53F35" w:rsidP="00CA6A46">
      <w:pPr>
        <w:spacing w:line="360" w:lineRule="auto"/>
      </w:pPr>
      <w:r w:rsidRPr="00CA6A46">
        <w:t xml:space="preserve">Disparities in human resource allocation in Sri Lankan PMCUs are linked to challenges in workforce sufficiency, training gaps, and distribution inequities, especially in rural and disaster-prone areas </w:t>
      </w:r>
      <w:r w:rsidRPr="00CA6A46">
        <w:rPr>
          <w:color w:val="4EA72E" w:themeColor="accent6"/>
        </w:rPr>
        <w:fldChar w:fldCharType="begin"/>
      </w:r>
      <w:r w:rsidRPr="00CA6A46">
        <w:instrText xml:space="preserve"> ADDIN PAPERPAL_ITEM CSL_CITATION {"citationID":"6df7fab2a260320a9324cdff6fd87af6;3070a08ea30b3b1b89ad891f8571ef7b","properties":{"formattedCitation":"(Farley et al., 2017; Perera et al., 2019)","plainCitation":"(Farley et al., 2017; Perera et al., 2019)","noteIndex":0},"citationItems":[{"id":"6df7fab2a260320a9324cdff6fd87af6","dyson_id":"6df7fab2a260320a9324cdff6fd87af6","abstract":"ABSTRACT Background: Sri Lanka is vulnerable to floods and other hydro-meteorological disasters. Climate change is projected to increase the intensity of these events. Objective: This study aimed to assess the flood preparedness in healthcare facilities in Eastern Province. Design: This was a cross-sectional, descriptive, mixed methods study conducted in Trincomalee District. Surveys were conducted in 31 government healthcare facilities, using a pre-tested, structured questionnaire covering the last 5 years. Seven in-depth interviews were conducted with randomly selected Medical Officers in Charge or their equivalent, and 3 interviews were conducted with Medical Offices of Health. Results: Two general hospitals, 3 base hospitals, 11 divisional hospitals, and 15 primary care units were included. Six respondents (19.4%) reported flooding in their facility, and 19 (61.3%) reported flooding in their catchment area. For the health workforce, 77.4% of respondents reported not enough staff to perform normal service delivery during disasters, and 25.5% reported staff absenteeism due to flooding. Several respondents expressed a desire for more disaster-specific and general clinical training opportunities for themselves and their staff. Most respondents (80.7%) reported no delays in supply procurement during weather emergencies, but 61.3% reported insufficient supplies to maintain normal service delivery during disasters. Four facilities (12.9%) had disaster preparedness plans, and 4 (12.9%) had any staff trained on disaster preparedness or management within the last year. One quarter (25.8%) of respondents had received any written guidance on disaster preparedness from the regional, provincial, or national level in the last year. Conclusions: While there is a strong health system operating in Sri Lanka, improvements are needed in localized and appropriate disaster-related training, resources for continuing clinical education, and investments in workforce to strengthen flood and other disaster resilience within the government healthcare system in the study district.","type":"article-journal","publisher":"","retracted":false,"short-container-title":["Global Health Action"],"container-title-short":"Global Health Action","author":[{"family":"Farley","given":"Jessica M"},{"family":"Suraweera","given":"Inoka"},{"family":"Perera","given":"W L S P"},{"family":"Hess","given":"Jeremy"},{"family":"Ebi","given":"Kristie L"}],"accessed":{"date-parts":[["2026","5","21"]]},"issued":{"date-parts":[["2017","1","1"]]},"container-title":"Global Health Action","DOI":"10.1080/16549716.2017.1331539","issue":"1","page":"1331539","title":"Evaluation of flood preparedness in government healthcare facilities in Eastern Province, Sri Lanka","volume":"10"},{"id":"3070a08ea30b3b1b89ad891f8571ef7b","dyson_id":"3070a08ea30b3b1b89ad891f8571ef7b","abstract":"Since the late 1920s, the Sri Lankan health system has been based on a firm foundation of primary health care, and it has been recognized internationally as a highly successful low-cost model. However, rethinking the future health-care model has been essential, owing to the country having one of the fastest ageing populations in the world, coupled with a high premature mortality from noncommunicable diseases. To sustain past gains and meet new challenges, several models centred on an expanded primary health-care system have been trialled and refined in the past decade. Primary health care was identified as a key priority in the National Health Strategic Master Plan 2016-2025, and in 2018 the Cabinet approved the Policy on healthcare delivery for universal health coverage. This policy introduces the \"shared care cluster\" system, whereby an apex specialist institution serves the local primary care referral institutions. The catchment population is divided into populations of approximately 5000, for which one family doctor is responsible. Strengthening and retaining human resources at these primary-level curative institutions will be essential, especially in rural locations. Also critical will be initiatives to orient the population's health-seeking behaviours. Sustained political commitment, an effective communication strategy, a tailored health workforce policy, performance monitoring and evaluation, coordination mechanisms, and changes in administrative and financial regulations are some of the future factors that will be critical to realizing the full potential of primary health care and accelerating universal health coverage in Sri Lanka.","type":"article-journal","publisher":"","retracted":false,"short-container-title":["WHO South-East Asia J Public Health"],"container-title-short":"WHO South-East Asia J Public Health","author":[{"family":"Perera","given":"Susie"},{"family":"Nieveras","given":"Olivia"},{"family":"De Silva","given":"Padmal"},{"family":"Wijesundara","given":"Chatura"},{"family":"Pendse","given":"Razia"}],"accessed":{"date-parts":[["2026","5","21"]]},"issued":{"date-parts":[["2019","1","1"]]},"container-title":"WHO South-East Asia Journal of Public Health","DOI":"10.4103/2224-3151.255345","issue":"1","page":"21","title":"Accelerating reforms of primary health care towards universal health coverage in Sri Lanka.","volume":"8"}]}</w:instrText>
      </w:r>
      <w:r w:rsidRPr="00CA6A46">
        <w:fldChar w:fldCharType="separate"/>
      </w:r>
      <w:r w:rsidRPr="00CA6A46">
        <w:rPr>
          <w:color w:val="0000CD"/>
        </w:rPr>
        <w:t>(Farley et al., 2017; Perera et al., 2019)</w:t>
      </w:r>
      <w:r w:rsidRPr="00CA6A46">
        <w:fldChar w:fldCharType="end"/>
      </w:r>
      <w:r w:rsidRPr="00CA6A46">
        <w:t xml:space="preserve">. Capacity deficiencies highlighted in cross-national surveys point to staffing shortages as a major bottleneck to effective NCD management at the primary care level in Sri Lanka </w:t>
      </w:r>
      <w:r w:rsidRPr="00CA6A46">
        <w:rPr>
          <w:color w:val="4EA72E" w:themeColor="accent6"/>
        </w:rPr>
        <w:fldChar w:fldCharType="begin"/>
      </w:r>
      <w:r w:rsidRPr="00CA6A46">
        <w:instrText xml:space="preserve"> ADDIN PAPERPAL_ITEM CSL_CITATION {"citationID":"f1df8ad9dd103497a91d989e0c137b89","properties":{"formattedCitation":"(Mendis et al., 2012)","plainCitation":"(Mendis et al., 2012)","noteIndex":0},"citationItems":[{"id":"f1df8ad9dd103497a91d989e0c137b89","dyson_id":"f1df8ad9dd103497a91d989e0c137b89","abstract":"Objective. The objective was to evaluate the capacity of primary care (PC) facilities to implement basic interventions for prevention and management of major noncommunicable diseases (NCDs), including cardiovascular diseases and diabetes. Methods. A cross-sectional survey was done in eight low- and middle-income countries (Benin, Bhutan, Eritrea, Sri Lanka, Sudan, Suriname, Syria, and Vietnam) in 90 PC facilities randomly selected. The survey included questions on the availability of human resources, equipment, infrastructure, medicines, utilization of services, financing, medical information, and referral systems. Results and Conclusions. Major deficits were identified in health financing, access to basic technologies and medicines, medical information systems, and the health workforce. The study has provided the foundation for strengthening PC to address noncommunicable diseases. There are important implications of the findings of this study for all low- and middle-income countries as capacity of PC is fundamental for equitable prevention and control of NCDs.","type":"article-journal","publisher":"","retracted":false,"short-container-title":["International Journal of Hypertension"],"container-title-short":"International Journal of Hypertension","author":[{"family":"Mendis","given":"S"},{"family":"Al Bashir","given":"Igbal"},{"family":"Dissanayake","given":"Lanka"},{"family":"Varghese","given":"Cherian"},{"family":"Fadhil","given":"Ibtihal"},{"family":"Marhe","given":"Esha"},{"family":"Sambo","given":"Boureima"},{"family":"Mehta","given":"Firdosi"},{"family":"Elsayad","given":"Hind"},{"family":"Sow","given":"Idrisa"},{"family":"Algoe","given":"Maltie"},{"family":"Tennakoon","given":"Herbert"},{"family":"Truong","given":"Lai Die"},{"family":"Lan","given":"Le Thi Tuyet"},{"family":"Huiuinato","given":"Dismond"},{"family":"Hewageegana","given":"Neelamni"},{"family":"Fahal","given":"Naiema A W"},{"family":"Mebrhatu","given":"Goitom"},{"family":"Tshering","given":"Gado"},{"family":"Chestnov","given":"Oleg"}],"accessed":{"date-parts":[["2026","5","22"]]},"issued":{"date-parts":[["2012","1","1"]]},"container-title":"International Journal of Hypertension","DOI":"10.1155/2012/584041","issue":"Resolution WHA 53. 14","page":"1-7","title":"Gaps in Capacity in Primary Care in Low-Resource Settings for Implementation of Essential Noncommunicable Disease Interventions","volume":"2012"}]}</w:instrText>
      </w:r>
      <w:r w:rsidRPr="00CA6A46">
        <w:fldChar w:fldCharType="separate"/>
      </w:r>
      <w:r w:rsidRPr="00CA6A46">
        <w:rPr>
          <w:color w:val="0000CD"/>
        </w:rPr>
        <w:t>(Mendis et al., 2012)</w:t>
      </w:r>
      <w:r w:rsidRPr="00CA6A46">
        <w:fldChar w:fldCharType="end"/>
      </w:r>
      <w:r w:rsidRPr="00CA6A46">
        <w:t xml:space="preserve">. High mental health burdens in post-conflict areas with limited trained personnel emphasize staffing shortfalls impacting comprehensive primary care services </w:t>
      </w:r>
      <w:r w:rsidRPr="00CA6A46">
        <w:rPr>
          <w:color w:val="4EA72E" w:themeColor="accent6"/>
        </w:rPr>
        <w:fldChar w:fldCharType="begin"/>
      </w:r>
      <w:r w:rsidRPr="00CA6A46">
        <w:instrText xml:space="preserve"> ADDIN PAPERPAL_ITEM CSL_CITATION {"citationID":"88a92b62a18335d68dd46a67bbafbce7;3662491b0e743060a33ba0420742fb9a","properties":{"formattedCitation":"(Doherty et al., 2019; Senarath et al., 2014)","plainCitation":"(Doherty et al., 2019; Senarath et al., 2014)","noteIndex":0},"citationItems":[{"id":"88a92b62a18335d68dd46a67bbafbce7","dyson_id":"88a92b62a18335d68dd46a67bbafbce7","abstract":"BackgroundExperiencing conflict and displacement can have a negative impact on an individual’s mental health. Currently, prevalence of mental health disorders (MHDs) at the primary care level in post-conflict areas within the Northern Province of Sri Lanka is unknown. We aimed to explore this prevalence in conflict-affected populations attending primary care, using a structured package of validated screening tools for MHDs.MethodsThis cross-sectional study aimed to determine factors related to mental health disorders at the primary care level in Northern Province, Sri Lanka. A structured interview was conducted with internally displaced adults attending 25 randomly selected primary care facilities across all districts of Northern Sri Lanka (Jaffna, Mannar, Mullaitivu, Vavuniya). Participants were screened for depression, anxiety, psychosis, PTSD, and somatoform symptoms.ResultsAmong 533 female and 482 male participants (mean age 53.2 years), the prevalence rate for any MHD was 58.8% (95% CI, 53.8–61.4), with 42.4% screening positive for two or more disorders (95% CI, 38.6–46.1). Anxiety prevalence was reported at 46.7% (95% CI, 41.9–51.5), depression at 41.1% (95% CI, 38.7–44.5), PTSD at 13.7% (95% CI, 10.6–16.8), somatoform symptoms at 27.6% (95% CI, 23.6–31.5), and psychosis with hypomania at 17.6% (95% CI, 13.3–21.9).ConclusionThis is the first study at the primary care level to investigate prevalence of MHDs among conflict-affected populations in the Northern Province, Sri Lanka. Results highlight unmet mental health needs in the region. Training intervention to integrate mental health services into primary care is planned.","type":"article-journal","publisher":"","retracted":false,"short-container-title":["BMC Psychiatry"],"container-title-short":"BMC Psychiatry","author":[{"family":"Doherty","given":"Shannon"},{"family":"Hulland","given":"E"},{"family":"Lopes-Cardozo","given":"B"},{"family":"Kirupakaran","given":"S"},{"family":"Surenthirakumaran","given":"R"},{"family":"Cookson","given":"S"},{"family":"Siriwardhana","given":"C"}],"accessed":{"date-parts":[["2026","5","21"]]},"issued":{"date-parts":[["2019","3","4"]]},"container-title":"BMC Psychiatry","DOI":"10.1186/s12888-019-2064-0","issue":"1","page":"83","title":"Prevalence of mental disorders and epidemiological associations in post-conflict primary care attendees: a cross-sectional study in the Northern Province of Sri Lanka","volume":"19"},{"id":"3662491b0e743060a33ba0420742fb9a","dyson_id":"3662491b0e743060a33ba0420742fb9a","abstract":"BackgroundIn Sri Lanka, civilians in the Northern Province were affected by a long-term armed conflict that ended in 2009. This study aims to describe the prevalence of depression and its associated factors among adult patients attending primary care settings in the Northern Province in Sri Lanka.MethodsWe report data from a cross-sectional patient morbidity registry established in 16 primary care facilities (12 Divisional Hospitals and 4 Primary Medical Care Units) in four districts of the Northern Province. The Patient Health Questionnaire-9 (PHQ-9) was used to assess depression among all patients aged ≥18 years, between March and May 2013. A sample of 12,841 patient records was included in the analysis. A total score of ≥10 in the PHQ-9 was considered as major depression. Factors associated with major depression were tested using multivariable logistic regression analysis.ResultsThe prevalence of major depression was 4.5% (95% CI: 4.1-4.9) and mild depression was 13.3% (95% CI: 12.7-13.9). The major depression was significantly higher in females than males (5.1% vs. 3.6%) and among unpaid family workers (6.0%) than any other category who earned an income (varied between 1.2% and 3.2%). The prevalence was rising significantly with advancing age, and ranged from 0.3% in the youngest to 11.6% in the elderly.Multivariable regression analysis revealed that the females have a higher risk for major depression than males (OR = 1.4; 95% CI: 1.1-1.7). Older patients were more likely to be depressed than younger patients, OR (95% CI) were 4.9 (1.9-12.5), 5.6 (2.2-14.0), 5.7 (2.3-14.2) and 4.7 (1.8-11.9) for the age groups 25–34, 35–49, 50–64, and ≥65 years respectively, in contrast to 18–24 year group. Disability in walking (OR = 7.5; 95% CI: 5.8-9.8), cognition (OR = 4.5; 95% CI: 3.6-5.6), self-care (OR = 2.6; 95% CI: 1.7-4.0), seeing (OR = 2.3; 95% CI: 1.8-3.0), and hearing (OR = 2.0; 95% CI: 1.5-2.5) showed significant associations with depression.ConclusionsDepression is a common issue at primary care settings in a post-conflict population, and the elders, women and persons with disability are at a greater risk. Strengthening capacity of primary care facilities and community mental health services is necessary for early detection and management.","type":"article-journal","publisher":"","retracted":false,"short-container-title":["BMC Psychiatry"],"container-title-short":"BMC Psychiatry","author":[{"family":"Senarath","given":"Upul"},{"family":"Wickramage","given":"Kolitha"},{"family":"Peiris","given":"Sharika Lasanthi"}],"accessed":{"date-parts":[["2026","5","21"]]},"issued":{"date-parts":[["2014","3","24"]]},"container-title":"BMC Psychiatry","DOI":"10.1186/1471-244x-14-85","issue":"9569","page":"85","title":"Prevalence of depression and its associated factors among patients attending primary care settings in the post-conflict Northern Province in Sri Lanka: a cross-sectional study","volume":"14"}]}</w:instrText>
      </w:r>
      <w:r w:rsidRPr="00CA6A46">
        <w:fldChar w:fldCharType="separate"/>
      </w:r>
      <w:r w:rsidRPr="00CA6A46">
        <w:rPr>
          <w:color w:val="0000CD"/>
        </w:rPr>
        <w:t>(Doherty et al., 2019; Senarath et al., 2014)</w:t>
      </w:r>
      <w:r w:rsidRPr="00CA6A46">
        <w:fldChar w:fldCharType="end"/>
      </w:r>
      <w:r w:rsidRPr="00CA6A46">
        <w:t xml:space="preserve">. Sri Lanka’s health policy frameworks recognize human resource strengthening at local curative institutions as critical, with efforts underway to retain and train staff to meet growing demand </w:t>
      </w:r>
      <w:r w:rsidRPr="00CA6A46">
        <w:rPr>
          <w:color w:val="4EA72E" w:themeColor="accent6"/>
        </w:rPr>
        <w:fldChar w:fldCharType="begin"/>
      </w:r>
      <w:r w:rsidRPr="00CA6A46">
        <w:instrText xml:space="preserve"> ADDIN PAPERPAL_ITEM CSL_CITATION {"citationID":"3070a08ea30b3b1b89ad891f8571ef7b","properties":{"formattedCitation":"(Perera et al., 2019)","plainCitation":"(Perera et al., 2019)","noteIndex":0},"citationItems":[{"id":"3070a08ea30b3b1b89ad891f8571ef7b","dyson_id":"3070a08ea30b3b1b89ad891f8571ef7b","abstract":"Since the late 1920s, the Sri Lankan health system has been based on a firm foundation of primary health care, and it has been recognized internationally as a highly successful low-cost model. However, rethinking the future health-care model has been essential, owing to the country having one of the fastest ageing populations in the world, coupled with a high premature mortality from noncommunicable diseases. To sustain past gains and meet new challenges, several models centred on an expanded primary health-care system have been trialled and refined in the past decade. Primary health care was identified as a key priority in the National Health Strategic Master Plan 2016-2025, and in 2018 the Cabinet approved the Policy on healthcare delivery for universal health coverage. This policy introduces the \"shared care cluster\" system, whereby an apex specialist institution serves the local primary care referral institutions. The catchment population is divided into populations of approximately 5000, for which one family doctor is responsible. Strengthening and retaining human resources at these primary-level curative institutions will be essential, especially in rural locations. Also critical will be initiatives to orient the population's health-seeking behaviours. Sustained political commitment, an effective communication strategy, a tailored health workforce policy, performance monitoring and evaluation, coordination mechanisms, and changes in administrative and financial regulations are some of the future factors that will be critical to realizing the full potential of primary health care and accelerating universal health coverage in Sri Lanka.","type":"article-journal","publisher":"","retracted":false,"short-container-title":["WHO South-East Asia J Public Health"],"container-title-short":"WHO South-East Asia J Public Health","author":[{"family":"Perera","given":"Susie"},{"family":"Nieveras","given":"Olivia"},{"family":"De Silva","given":"Padmal"},{"family":"Wijesundara","given":"Chatura"},{"family":"Pendse","given":"Razia"}],"accessed":{"date-parts":[["2026","5","21"]]},"issued":{"date-parts":[["2019","1","1"]]},"container-title":"WHO South-East Asia Journal of Public Health","DOI":"10.4103/2224-3151.255345","issue":"1","page":"21","title":"Accelerating reforms of primary health care towards universal health coverage in Sri Lanka.","volume":"8"}]}</w:instrText>
      </w:r>
      <w:r w:rsidRPr="00CA6A46">
        <w:fldChar w:fldCharType="separate"/>
      </w:r>
      <w:r w:rsidRPr="00CA6A46">
        <w:rPr>
          <w:color w:val="0000CD"/>
        </w:rPr>
        <w:t>(Perera et al., 2019)</w:t>
      </w:r>
      <w:r w:rsidRPr="00CA6A46">
        <w:fldChar w:fldCharType="end"/>
      </w:r>
      <w:r w:rsidRPr="00CA6A46">
        <w:t>.</w:t>
      </w:r>
    </w:p>
    <w:p w14:paraId="1B655A36" w14:textId="77777777" w:rsidR="00F53F35" w:rsidRPr="00CA6A46" w:rsidRDefault="00F53F35" w:rsidP="00CA6A46">
      <w:pPr>
        <w:spacing w:after="200" w:line="360" w:lineRule="auto"/>
      </w:pPr>
      <w:r w:rsidRPr="00CA6A46">
        <w:t xml:space="preserve">While there </w:t>
      </w:r>
      <w:proofErr w:type="gramStart"/>
      <w:r w:rsidRPr="00CA6A46">
        <w:t>is</w:t>
      </w:r>
      <w:proofErr w:type="gramEnd"/>
      <w:r w:rsidRPr="00CA6A46">
        <w:t xml:space="preserve"> no direct cross-sectional study specifically quantifying staffing disparities across PMCUs, this composite evidence suggests significant disparities and shortages exist, warranting focused workforce planning, training initiatives, and targeted resource allocation to optimize primary healthcare delivery in Sri Lanka.</w:t>
      </w:r>
    </w:p>
    <w:p w14:paraId="058EDED5" w14:textId="77777777" w:rsidR="00F53F35" w:rsidRPr="00CA6A46" w:rsidRDefault="00F53F35" w:rsidP="00CA6A46">
      <w:pPr>
        <w:spacing w:line="360" w:lineRule="auto"/>
        <w:jc w:val="both"/>
        <w:rPr>
          <w:rFonts w:ascii="Times New Roman" w:hAnsi="Times New Roman" w:cs="Times New Roman"/>
          <w:b/>
          <w:bCs/>
        </w:rPr>
      </w:pPr>
      <w:r w:rsidRPr="00CA6A46">
        <w:rPr>
          <w:rFonts w:ascii="Times New Roman" w:hAnsi="Times New Roman" w:cs="Times New Roman"/>
          <w:b/>
          <w:bCs/>
        </w:rPr>
        <w:t>Research Objectives</w:t>
      </w:r>
    </w:p>
    <w:p w14:paraId="55074155" w14:textId="77777777" w:rsidR="00F53F35" w:rsidRPr="00CA6A46" w:rsidRDefault="00F53F35" w:rsidP="00CA6A46">
      <w:pPr>
        <w:numPr>
          <w:ilvl w:val="0"/>
          <w:numId w:val="1"/>
        </w:numPr>
        <w:spacing w:line="360" w:lineRule="auto"/>
        <w:jc w:val="both"/>
        <w:rPr>
          <w:rFonts w:ascii="Times New Roman" w:hAnsi="Times New Roman" w:cs="Times New Roman"/>
        </w:rPr>
      </w:pPr>
      <w:r w:rsidRPr="00CA6A46">
        <w:rPr>
          <w:rFonts w:ascii="Times New Roman" w:hAnsi="Times New Roman" w:cs="Times New Roman"/>
        </w:rPr>
        <w:t>To quantify the current human resource strength across 26 representative PMCUs.</w:t>
      </w:r>
    </w:p>
    <w:p w14:paraId="12623D50" w14:textId="77777777" w:rsidR="00F53F35" w:rsidRPr="00CA6A46" w:rsidRDefault="00F53F35" w:rsidP="00CA6A46">
      <w:pPr>
        <w:numPr>
          <w:ilvl w:val="0"/>
          <w:numId w:val="1"/>
        </w:numPr>
        <w:spacing w:line="360" w:lineRule="auto"/>
        <w:jc w:val="both"/>
        <w:rPr>
          <w:rFonts w:ascii="Times New Roman" w:hAnsi="Times New Roman" w:cs="Times New Roman"/>
        </w:rPr>
      </w:pPr>
      <w:r w:rsidRPr="00CA6A46">
        <w:rPr>
          <w:rFonts w:ascii="Times New Roman" w:hAnsi="Times New Roman" w:cs="Times New Roman"/>
        </w:rPr>
        <w:t>To identify disparities in the distribution of clinical staff (MOs and Nurses) versus supportive staff (Dispensers and SKS).</w:t>
      </w:r>
    </w:p>
    <w:p w14:paraId="5DD6DAF6" w14:textId="77777777" w:rsidR="00F53F35" w:rsidRPr="00CA6A46" w:rsidRDefault="00F53F35" w:rsidP="00CA6A46">
      <w:pPr>
        <w:numPr>
          <w:ilvl w:val="0"/>
          <w:numId w:val="1"/>
        </w:numPr>
        <w:spacing w:line="360" w:lineRule="auto"/>
        <w:jc w:val="both"/>
        <w:rPr>
          <w:rFonts w:ascii="Times New Roman" w:hAnsi="Times New Roman" w:cs="Times New Roman"/>
        </w:rPr>
      </w:pPr>
      <w:r w:rsidRPr="00CA6A46">
        <w:rPr>
          <w:rFonts w:ascii="Times New Roman" w:hAnsi="Times New Roman" w:cs="Times New Roman"/>
        </w:rPr>
        <w:lastRenderedPageBreak/>
        <w:t>To highlight regional imbalances that may affect the equitable delivery of primary healthcare services.</w:t>
      </w:r>
    </w:p>
    <w:p w14:paraId="169AF25A" w14:textId="77777777" w:rsidR="00F53F35" w:rsidRPr="00CA6A46" w:rsidRDefault="00F53F35" w:rsidP="00CA6A46">
      <w:pPr>
        <w:spacing w:line="360" w:lineRule="auto"/>
        <w:jc w:val="both"/>
        <w:rPr>
          <w:rFonts w:ascii="Times New Roman" w:hAnsi="Times New Roman" w:cs="Times New Roman"/>
        </w:rPr>
      </w:pPr>
    </w:p>
    <w:p w14:paraId="51501826" w14:textId="77777777" w:rsidR="00F53F35" w:rsidRPr="00CA6A46" w:rsidRDefault="00F53F35" w:rsidP="00CA6A46">
      <w:pPr>
        <w:spacing w:line="360" w:lineRule="auto"/>
        <w:jc w:val="both"/>
        <w:rPr>
          <w:rFonts w:ascii="Times New Roman" w:hAnsi="Times New Roman" w:cs="Times New Roman"/>
          <w:b/>
          <w:bCs/>
        </w:rPr>
      </w:pPr>
      <w:r w:rsidRPr="00CA6A46">
        <w:rPr>
          <w:rFonts w:ascii="Times New Roman" w:hAnsi="Times New Roman" w:cs="Times New Roman"/>
          <w:b/>
          <w:bCs/>
        </w:rPr>
        <w:t>Methodology</w:t>
      </w:r>
    </w:p>
    <w:p w14:paraId="08BB3F27" w14:textId="77777777" w:rsidR="00F53F35" w:rsidRPr="00CA6A46" w:rsidRDefault="00F53F35" w:rsidP="00CA6A46">
      <w:pPr>
        <w:spacing w:line="360" w:lineRule="auto"/>
        <w:jc w:val="both"/>
        <w:rPr>
          <w:rFonts w:ascii="Times New Roman" w:hAnsi="Times New Roman" w:cs="Times New Roman"/>
          <w:b/>
          <w:bCs/>
        </w:rPr>
      </w:pPr>
      <w:r w:rsidRPr="00CA6A46">
        <w:rPr>
          <w:rFonts w:ascii="Times New Roman" w:hAnsi="Times New Roman" w:cs="Times New Roman"/>
          <w:b/>
          <w:bCs/>
        </w:rPr>
        <w:t>Study Design and Setting</w:t>
      </w:r>
    </w:p>
    <w:p w14:paraId="12726A60"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 xml:space="preserve">This study employed a descriptive, cross-sectional research design to evaluate the human resource allocation across 27 selected Primary Medical Care Units (PMCUs) in Sri Lanka. All 26 districts were included with National </w:t>
      </w:r>
      <w:proofErr w:type="gramStart"/>
      <w:r w:rsidRPr="00CA6A46">
        <w:rPr>
          <w:rFonts w:ascii="Times New Roman" w:hAnsi="Times New Roman" w:cs="Times New Roman"/>
        </w:rPr>
        <w:t>institute</w:t>
      </w:r>
      <w:proofErr w:type="gramEnd"/>
      <w:r w:rsidRPr="00CA6A46">
        <w:rPr>
          <w:rFonts w:ascii="Times New Roman" w:hAnsi="Times New Roman" w:cs="Times New Roman"/>
        </w:rPr>
        <w:t xml:space="preserve"> for </w:t>
      </w:r>
      <w:proofErr w:type="gramStart"/>
      <w:r w:rsidRPr="00CA6A46">
        <w:rPr>
          <w:rFonts w:ascii="Times New Roman" w:hAnsi="Times New Roman" w:cs="Times New Roman"/>
        </w:rPr>
        <w:t>health sciences</w:t>
      </w:r>
      <w:proofErr w:type="gramEnd"/>
      <w:r w:rsidRPr="00CA6A46">
        <w:rPr>
          <w:rFonts w:ascii="Times New Roman" w:hAnsi="Times New Roman" w:cs="Times New Roman"/>
        </w:rPr>
        <w:t xml:space="preserve"> (NIHS) which also has PMCU and DH </w:t>
      </w:r>
      <w:proofErr w:type="spellStart"/>
      <w:r w:rsidRPr="00CA6A46">
        <w:rPr>
          <w:rFonts w:ascii="Times New Roman" w:hAnsi="Times New Roman" w:cs="Times New Roman"/>
        </w:rPr>
        <w:t>undercare</w:t>
      </w:r>
      <w:proofErr w:type="spellEnd"/>
      <w:r w:rsidRPr="00CA6A46">
        <w:rPr>
          <w:rFonts w:ascii="Times New Roman" w:hAnsi="Times New Roman" w:cs="Times New Roman"/>
        </w:rPr>
        <w:t>.</w:t>
      </w:r>
    </w:p>
    <w:p w14:paraId="4A67A8FC" w14:textId="77777777" w:rsidR="00F53F35" w:rsidRPr="00CA6A46" w:rsidRDefault="00F53F35" w:rsidP="00CA6A46">
      <w:pPr>
        <w:spacing w:line="360" w:lineRule="auto"/>
        <w:jc w:val="both"/>
        <w:rPr>
          <w:rFonts w:ascii="Times New Roman" w:hAnsi="Times New Roman" w:cs="Times New Roman"/>
          <w:b/>
          <w:bCs/>
        </w:rPr>
      </w:pPr>
      <w:r w:rsidRPr="00CA6A46">
        <w:rPr>
          <w:rFonts w:ascii="Times New Roman" w:hAnsi="Times New Roman" w:cs="Times New Roman"/>
          <w:b/>
          <w:bCs/>
        </w:rPr>
        <w:t>Data Collection and Sources</w:t>
      </w:r>
    </w:p>
    <w:p w14:paraId="05CAA9A9"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 xml:space="preserve">Primary data regarding human resource strength was gathered through official administrative records from district medical officer plannings conducted across the 27 PMCUs. The data collection </w:t>
      </w:r>
      <w:proofErr w:type="gramStart"/>
      <w:r w:rsidRPr="00CA6A46">
        <w:rPr>
          <w:rFonts w:ascii="Times New Roman" w:hAnsi="Times New Roman" w:cs="Times New Roman"/>
        </w:rPr>
        <w:t>focused</w:t>
      </w:r>
      <w:proofErr w:type="gramEnd"/>
      <w:r w:rsidRPr="00CA6A46">
        <w:rPr>
          <w:rFonts w:ascii="Times New Roman" w:hAnsi="Times New Roman" w:cs="Times New Roman"/>
        </w:rPr>
        <w:t xml:space="preserve"> on four key cadres of healthcare personnel essential for primary care delivery:</w:t>
      </w:r>
    </w:p>
    <w:p w14:paraId="4ADB7144" w14:textId="77777777" w:rsidR="00F53F35" w:rsidRPr="00CA6A46" w:rsidRDefault="00F53F35" w:rsidP="00CA6A46">
      <w:pPr>
        <w:numPr>
          <w:ilvl w:val="0"/>
          <w:numId w:val="2"/>
        </w:numPr>
        <w:spacing w:line="360" w:lineRule="auto"/>
        <w:jc w:val="both"/>
        <w:rPr>
          <w:rFonts w:ascii="Times New Roman" w:hAnsi="Times New Roman" w:cs="Times New Roman"/>
        </w:rPr>
      </w:pPr>
      <w:r w:rsidRPr="00CA6A46">
        <w:rPr>
          <w:rFonts w:ascii="Times New Roman" w:hAnsi="Times New Roman" w:cs="Times New Roman"/>
        </w:rPr>
        <w:t>Medical Officers (MO): Responsible for clinical consultation and unit management.</w:t>
      </w:r>
    </w:p>
    <w:p w14:paraId="5F95125F" w14:textId="77777777" w:rsidR="00F53F35" w:rsidRPr="00CA6A46" w:rsidRDefault="00F53F35" w:rsidP="00CA6A46">
      <w:pPr>
        <w:numPr>
          <w:ilvl w:val="0"/>
          <w:numId w:val="2"/>
        </w:numPr>
        <w:spacing w:line="360" w:lineRule="auto"/>
        <w:jc w:val="both"/>
        <w:rPr>
          <w:rFonts w:ascii="Times New Roman" w:hAnsi="Times New Roman" w:cs="Times New Roman"/>
        </w:rPr>
      </w:pPr>
      <w:r w:rsidRPr="00CA6A46">
        <w:rPr>
          <w:rFonts w:ascii="Times New Roman" w:hAnsi="Times New Roman" w:cs="Times New Roman"/>
        </w:rPr>
        <w:t>Nursing Officers: Responsible for clinical assistance, wound care, and patient education.</w:t>
      </w:r>
    </w:p>
    <w:p w14:paraId="74EEAA17" w14:textId="77777777" w:rsidR="00F53F35" w:rsidRPr="00CA6A46" w:rsidRDefault="00F53F35" w:rsidP="00CA6A46">
      <w:pPr>
        <w:numPr>
          <w:ilvl w:val="0"/>
          <w:numId w:val="2"/>
        </w:numPr>
        <w:spacing w:line="360" w:lineRule="auto"/>
        <w:jc w:val="both"/>
        <w:rPr>
          <w:rFonts w:ascii="Times New Roman" w:hAnsi="Times New Roman" w:cs="Times New Roman"/>
        </w:rPr>
      </w:pPr>
      <w:r w:rsidRPr="00CA6A46">
        <w:rPr>
          <w:rFonts w:ascii="Times New Roman" w:hAnsi="Times New Roman" w:cs="Times New Roman"/>
        </w:rPr>
        <w:t>Dispensers: Responsible for pharmaceutical management and medicine distribution.</w:t>
      </w:r>
    </w:p>
    <w:p w14:paraId="03001D8F" w14:textId="77777777" w:rsidR="00F53F35" w:rsidRPr="00CA6A46" w:rsidRDefault="00F53F35" w:rsidP="00CA6A46">
      <w:pPr>
        <w:numPr>
          <w:ilvl w:val="0"/>
          <w:numId w:val="2"/>
        </w:numPr>
        <w:spacing w:line="360" w:lineRule="auto"/>
        <w:jc w:val="both"/>
        <w:rPr>
          <w:rFonts w:ascii="Times New Roman" w:hAnsi="Times New Roman" w:cs="Times New Roman"/>
        </w:rPr>
      </w:pPr>
      <w:r w:rsidRPr="00CA6A46">
        <w:rPr>
          <w:rFonts w:ascii="Times New Roman" w:hAnsi="Times New Roman" w:cs="Times New Roman"/>
        </w:rPr>
        <w:t>Supporting staff (SKS): Responsible for maintaining facility hygiene and assisting in non-clinical tasks.</w:t>
      </w:r>
    </w:p>
    <w:p w14:paraId="367AAB53"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The "Total Human Resource" count for each unit was recorded as the baseline for comparing the scale of operations across different districts.</w:t>
      </w:r>
    </w:p>
    <w:p w14:paraId="1B0B67B9" w14:textId="77777777" w:rsidR="00F53F35" w:rsidRPr="00CA6A46" w:rsidRDefault="00F53F35" w:rsidP="00CA6A46">
      <w:pPr>
        <w:spacing w:line="360" w:lineRule="auto"/>
        <w:jc w:val="both"/>
        <w:rPr>
          <w:rFonts w:ascii="Times New Roman" w:hAnsi="Times New Roman" w:cs="Times New Roman"/>
          <w:b/>
          <w:bCs/>
        </w:rPr>
      </w:pPr>
      <w:r w:rsidRPr="00CA6A46">
        <w:rPr>
          <w:rFonts w:ascii="Times New Roman" w:hAnsi="Times New Roman" w:cs="Times New Roman"/>
          <w:b/>
          <w:bCs/>
        </w:rPr>
        <w:t>Data Categorization and Variables</w:t>
      </w:r>
    </w:p>
    <w:p w14:paraId="1F96E326"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To facilitate a meaningful comparison, the units were categorized based on their administrative district. The primary variables analyzed include:</w:t>
      </w:r>
    </w:p>
    <w:p w14:paraId="7A94F275" w14:textId="77777777" w:rsidR="00F53F35" w:rsidRPr="00CA6A46" w:rsidRDefault="00F53F35" w:rsidP="00CA6A46">
      <w:pPr>
        <w:numPr>
          <w:ilvl w:val="0"/>
          <w:numId w:val="3"/>
        </w:numPr>
        <w:spacing w:line="360" w:lineRule="auto"/>
        <w:jc w:val="both"/>
        <w:rPr>
          <w:rFonts w:ascii="Times New Roman" w:hAnsi="Times New Roman" w:cs="Times New Roman"/>
        </w:rPr>
      </w:pPr>
      <w:r w:rsidRPr="00CA6A46">
        <w:rPr>
          <w:rFonts w:ascii="Times New Roman" w:hAnsi="Times New Roman" w:cs="Times New Roman"/>
        </w:rPr>
        <w:t>Total Staff Strength: The sum of all four cadres within a single PMCU.</w:t>
      </w:r>
    </w:p>
    <w:p w14:paraId="3F26618C" w14:textId="77777777" w:rsidR="00F53F35" w:rsidRPr="00CA6A46" w:rsidRDefault="00F53F35" w:rsidP="00CA6A46">
      <w:pPr>
        <w:numPr>
          <w:ilvl w:val="0"/>
          <w:numId w:val="3"/>
        </w:numPr>
        <w:spacing w:line="360" w:lineRule="auto"/>
        <w:jc w:val="both"/>
        <w:rPr>
          <w:rFonts w:ascii="Times New Roman" w:hAnsi="Times New Roman" w:cs="Times New Roman"/>
        </w:rPr>
      </w:pPr>
      <w:r w:rsidRPr="00CA6A46">
        <w:rPr>
          <w:rFonts w:ascii="Times New Roman" w:hAnsi="Times New Roman" w:cs="Times New Roman"/>
        </w:rPr>
        <w:t>Cadre Distribution: The specific number of personnel in each professional category.</w:t>
      </w:r>
    </w:p>
    <w:p w14:paraId="3E791931" w14:textId="77777777" w:rsidR="00F53F35" w:rsidRPr="00CA6A46" w:rsidRDefault="00F53F35" w:rsidP="00CA6A46">
      <w:pPr>
        <w:numPr>
          <w:ilvl w:val="0"/>
          <w:numId w:val="3"/>
        </w:numPr>
        <w:spacing w:line="360" w:lineRule="auto"/>
        <w:jc w:val="both"/>
        <w:rPr>
          <w:rFonts w:ascii="Times New Roman" w:hAnsi="Times New Roman" w:cs="Times New Roman"/>
        </w:rPr>
      </w:pPr>
      <w:r w:rsidRPr="00CA6A46">
        <w:rPr>
          <w:rFonts w:ascii="Times New Roman" w:hAnsi="Times New Roman" w:cs="Times New Roman"/>
        </w:rPr>
        <w:lastRenderedPageBreak/>
        <w:t>Staffing Ratios: The numerical relationship between clinical staff (MOs and Nurses) and support staff (Dispensers and SKS).</w:t>
      </w:r>
    </w:p>
    <w:p w14:paraId="46C844C4" w14:textId="77777777" w:rsidR="00F53F35" w:rsidRPr="00CA6A46" w:rsidRDefault="00F53F35" w:rsidP="00CA6A46">
      <w:pPr>
        <w:spacing w:line="360" w:lineRule="auto"/>
        <w:jc w:val="both"/>
        <w:rPr>
          <w:rFonts w:ascii="Times New Roman" w:hAnsi="Times New Roman" w:cs="Times New Roman"/>
          <w:b/>
          <w:bCs/>
        </w:rPr>
      </w:pPr>
      <w:r w:rsidRPr="00CA6A46">
        <w:rPr>
          <w:rFonts w:ascii="Times New Roman" w:hAnsi="Times New Roman" w:cs="Times New Roman"/>
          <w:b/>
          <w:bCs/>
        </w:rPr>
        <w:t>Data Analysis Plan</w:t>
      </w:r>
    </w:p>
    <w:p w14:paraId="0C02F67D"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The collected data was compiled into a structured database for quantitative analysis. The analysis focused on:</w:t>
      </w:r>
    </w:p>
    <w:p w14:paraId="68B6C05F" w14:textId="77777777" w:rsidR="00F53F35" w:rsidRPr="00CA6A46" w:rsidRDefault="00F53F35" w:rsidP="00CA6A46">
      <w:pPr>
        <w:numPr>
          <w:ilvl w:val="0"/>
          <w:numId w:val="4"/>
        </w:numPr>
        <w:spacing w:line="360" w:lineRule="auto"/>
        <w:jc w:val="both"/>
        <w:rPr>
          <w:rFonts w:ascii="Times New Roman" w:hAnsi="Times New Roman" w:cs="Times New Roman"/>
        </w:rPr>
      </w:pPr>
      <w:r w:rsidRPr="00CA6A46">
        <w:rPr>
          <w:rFonts w:ascii="Times New Roman" w:hAnsi="Times New Roman" w:cs="Times New Roman"/>
        </w:rPr>
        <w:t>Descriptive Statistics: Calculating totals, means, and ranges for each staff category.</w:t>
      </w:r>
    </w:p>
    <w:p w14:paraId="45FEE7BC" w14:textId="77777777" w:rsidR="00F53F35" w:rsidRPr="00CA6A46" w:rsidRDefault="00F53F35" w:rsidP="00CA6A46">
      <w:pPr>
        <w:numPr>
          <w:ilvl w:val="0"/>
          <w:numId w:val="4"/>
        </w:numPr>
        <w:spacing w:line="360" w:lineRule="auto"/>
        <w:jc w:val="both"/>
        <w:rPr>
          <w:rFonts w:ascii="Times New Roman" w:hAnsi="Times New Roman" w:cs="Times New Roman"/>
        </w:rPr>
      </w:pPr>
      <w:r w:rsidRPr="00CA6A46">
        <w:rPr>
          <w:rFonts w:ascii="Times New Roman" w:hAnsi="Times New Roman" w:cs="Times New Roman"/>
        </w:rPr>
        <w:t>Gap Analysis: Identifying units with "zero" allocation in specific cadres (e.g. the nursing gap).</w:t>
      </w:r>
    </w:p>
    <w:p w14:paraId="5F0CEE5D" w14:textId="77777777" w:rsidR="00F53F35" w:rsidRPr="00CA6A46" w:rsidRDefault="00F53F35" w:rsidP="00CA6A46">
      <w:pPr>
        <w:numPr>
          <w:ilvl w:val="0"/>
          <w:numId w:val="4"/>
        </w:numPr>
        <w:spacing w:line="360" w:lineRule="auto"/>
        <w:jc w:val="both"/>
        <w:rPr>
          <w:rFonts w:ascii="Times New Roman" w:hAnsi="Times New Roman" w:cs="Times New Roman"/>
        </w:rPr>
      </w:pPr>
      <w:r w:rsidRPr="00CA6A46">
        <w:rPr>
          <w:rFonts w:ascii="Times New Roman" w:hAnsi="Times New Roman" w:cs="Times New Roman"/>
        </w:rPr>
        <w:t>Comparative Visualization: Using tables and charts to highlight the disparity between high-resource units (e.g., Ratnapura) and low-resource units (e.g., Kalutara or Mullaitivu).</w:t>
      </w:r>
    </w:p>
    <w:p w14:paraId="0E21422D" w14:textId="77777777" w:rsidR="00F53F35" w:rsidRPr="00CA6A46" w:rsidRDefault="00F53F35" w:rsidP="00CA6A46">
      <w:pPr>
        <w:spacing w:line="360" w:lineRule="auto"/>
        <w:jc w:val="both"/>
        <w:rPr>
          <w:rFonts w:ascii="Times New Roman" w:hAnsi="Times New Roman" w:cs="Times New Roman"/>
          <w:b/>
          <w:bCs/>
        </w:rPr>
      </w:pPr>
      <w:r w:rsidRPr="00CA6A46">
        <w:rPr>
          <w:rFonts w:ascii="Times New Roman" w:hAnsi="Times New Roman" w:cs="Times New Roman"/>
          <w:b/>
          <w:bCs/>
        </w:rPr>
        <w:t>Ethical Considerations</w:t>
      </w:r>
    </w:p>
    <w:p w14:paraId="2CF46A67"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 xml:space="preserve">As the study utilized administrative data regarding staffing numbers rather than individual patient records, there was no risk to patient confidentiality. </w:t>
      </w:r>
    </w:p>
    <w:p w14:paraId="37A2B1C8" w14:textId="77777777" w:rsidR="00F53F35" w:rsidRPr="00CA6A46" w:rsidRDefault="00F53F35" w:rsidP="00CA6A46">
      <w:pPr>
        <w:spacing w:line="360" w:lineRule="auto"/>
        <w:jc w:val="both"/>
        <w:rPr>
          <w:rFonts w:ascii="Times New Roman" w:hAnsi="Times New Roman" w:cs="Times New Roman"/>
        </w:rPr>
      </w:pPr>
    </w:p>
    <w:p w14:paraId="778B209E" w14:textId="77777777" w:rsidR="00F53F35" w:rsidRPr="00CA6A46" w:rsidRDefault="00F53F35" w:rsidP="00CA6A46">
      <w:pPr>
        <w:spacing w:line="360" w:lineRule="auto"/>
        <w:jc w:val="both"/>
        <w:rPr>
          <w:rFonts w:ascii="Times New Roman" w:hAnsi="Times New Roman" w:cs="Times New Roman"/>
        </w:rPr>
      </w:pPr>
    </w:p>
    <w:p w14:paraId="2F6F3ADF" w14:textId="77777777" w:rsidR="00F53F35" w:rsidRPr="00CA6A46" w:rsidRDefault="00F53F35" w:rsidP="00CA6A46">
      <w:pPr>
        <w:spacing w:line="360" w:lineRule="auto"/>
        <w:jc w:val="both"/>
        <w:rPr>
          <w:rFonts w:ascii="Times New Roman" w:hAnsi="Times New Roman" w:cs="Times New Roman"/>
        </w:rPr>
      </w:pPr>
    </w:p>
    <w:p w14:paraId="59323F06" w14:textId="77777777" w:rsidR="00F53F35" w:rsidRPr="00CA6A46" w:rsidRDefault="00F53F35" w:rsidP="00CA6A46">
      <w:pPr>
        <w:spacing w:line="360" w:lineRule="auto"/>
        <w:jc w:val="both"/>
        <w:rPr>
          <w:rFonts w:ascii="Times New Roman" w:hAnsi="Times New Roman" w:cs="Times New Roman"/>
        </w:rPr>
      </w:pPr>
    </w:p>
    <w:p w14:paraId="77A8A3FD" w14:textId="77777777" w:rsidR="00F53F35" w:rsidRPr="00CA6A46" w:rsidRDefault="00F53F35" w:rsidP="00CA6A46">
      <w:pPr>
        <w:spacing w:line="360" w:lineRule="auto"/>
        <w:jc w:val="both"/>
        <w:rPr>
          <w:rFonts w:ascii="Times New Roman" w:hAnsi="Times New Roman" w:cs="Times New Roman"/>
        </w:rPr>
      </w:pPr>
    </w:p>
    <w:p w14:paraId="1BA826CF"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b/>
          <w:bCs/>
        </w:rPr>
        <w:t>Results</w:t>
      </w:r>
      <w:r w:rsidRPr="00CA6A46">
        <w:rPr>
          <w:rFonts w:ascii="Times New Roman" w:hAnsi="Times New Roman" w:cs="Times New Roman"/>
        </w:rPr>
        <w:br/>
      </w:r>
      <w:r w:rsidRPr="00CA6A46">
        <w:rPr>
          <w:rFonts w:ascii="Times New Roman" w:hAnsi="Times New Roman" w:cs="Times New Roman"/>
          <w:b/>
          <w:bCs/>
        </w:rPr>
        <w:t>Overview of PMCU Distribution and Workforce Composition</w:t>
      </w:r>
    </w:p>
    <w:p w14:paraId="1CE59D75"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A total of 27 districts (including NIHS) were analyzed to assess the distribution of human resources across Primary Medical Care Units (PMCUs) in Sri Lanka. The analysis revealed substantial variability in both the number of PMCUs per district and the availability of different staff categories.</w:t>
      </w:r>
    </w:p>
    <w:p w14:paraId="2FD64535" w14:textId="7339577D" w:rsidR="00F53F35" w:rsidRPr="00CA6A46" w:rsidRDefault="00F53F35" w:rsidP="00CA6A46">
      <w:pPr>
        <w:pStyle w:val="ListParagraph"/>
        <w:numPr>
          <w:ilvl w:val="0"/>
          <w:numId w:val="23"/>
        </w:numPr>
        <w:spacing w:line="360" w:lineRule="auto"/>
        <w:jc w:val="both"/>
        <w:rPr>
          <w:rFonts w:ascii="Times New Roman" w:hAnsi="Times New Roman" w:cs="Times New Roman"/>
          <w:b/>
          <w:bCs/>
        </w:rPr>
      </w:pPr>
      <w:r w:rsidRPr="00CA6A46">
        <w:rPr>
          <w:rFonts w:ascii="Times New Roman" w:hAnsi="Times New Roman" w:cs="Times New Roman"/>
          <w:b/>
          <w:bCs/>
        </w:rPr>
        <w:t>Across all districts:</w:t>
      </w:r>
    </w:p>
    <w:p w14:paraId="4A29C278" w14:textId="77777777" w:rsidR="00F53F35" w:rsidRPr="00CA6A46" w:rsidRDefault="00F53F35" w:rsidP="00CA6A46">
      <w:pPr>
        <w:numPr>
          <w:ilvl w:val="0"/>
          <w:numId w:val="5"/>
        </w:numPr>
        <w:spacing w:line="360" w:lineRule="auto"/>
        <w:jc w:val="both"/>
        <w:rPr>
          <w:rFonts w:ascii="Times New Roman" w:hAnsi="Times New Roman" w:cs="Times New Roman"/>
        </w:rPr>
      </w:pPr>
      <w:r w:rsidRPr="00CA6A46">
        <w:rPr>
          <w:rFonts w:ascii="Times New Roman" w:hAnsi="Times New Roman" w:cs="Times New Roman"/>
        </w:rPr>
        <w:lastRenderedPageBreak/>
        <w:t xml:space="preserve">Medical Officers (MOs) were relatively well distributed, with most PMCUs having at least one MO. </w:t>
      </w:r>
    </w:p>
    <w:p w14:paraId="3F16429F" w14:textId="77777777" w:rsidR="00F53F35" w:rsidRPr="00CA6A46" w:rsidRDefault="00F53F35" w:rsidP="00CA6A46">
      <w:pPr>
        <w:numPr>
          <w:ilvl w:val="0"/>
          <w:numId w:val="5"/>
        </w:numPr>
        <w:spacing w:line="360" w:lineRule="auto"/>
        <w:jc w:val="both"/>
        <w:rPr>
          <w:rFonts w:ascii="Times New Roman" w:hAnsi="Times New Roman" w:cs="Times New Roman"/>
        </w:rPr>
      </w:pPr>
      <w:r w:rsidRPr="00CA6A46">
        <w:rPr>
          <w:rFonts w:ascii="Times New Roman" w:hAnsi="Times New Roman" w:cs="Times New Roman"/>
        </w:rPr>
        <w:t xml:space="preserve">Supporting staff (SKS) showed the highest coverage, being present in nearly all PMCUs. </w:t>
      </w:r>
    </w:p>
    <w:p w14:paraId="54069D1C" w14:textId="77777777" w:rsidR="00F53F35" w:rsidRPr="00CA6A46" w:rsidRDefault="00F53F35" w:rsidP="00CA6A46">
      <w:pPr>
        <w:numPr>
          <w:ilvl w:val="0"/>
          <w:numId w:val="5"/>
        </w:numPr>
        <w:spacing w:line="360" w:lineRule="auto"/>
        <w:jc w:val="both"/>
        <w:rPr>
          <w:rFonts w:ascii="Times New Roman" w:hAnsi="Times New Roman" w:cs="Times New Roman"/>
        </w:rPr>
      </w:pPr>
      <w:r w:rsidRPr="00CA6A46">
        <w:rPr>
          <w:rFonts w:ascii="Times New Roman" w:hAnsi="Times New Roman" w:cs="Times New Roman"/>
        </w:rPr>
        <w:t xml:space="preserve">Dispensers demonstrated moderate availability. </w:t>
      </w:r>
    </w:p>
    <w:p w14:paraId="1CC622BA" w14:textId="77777777" w:rsidR="00F53F35" w:rsidRPr="00CA6A46" w:rsidRDefault="00F53F35" w:rsidP="00CA6A46">
      <w:pPr>
        <w:numPr>
          <w:ilvl w:val="0"/>
          <w:numId w:val="5"/>
        </w:numPr>
        <w:spacing w:line="360" w:lineRule="auto"/>
        <w:jc w:val="both"/>
        <w:rPr>
          <w:rFonts w:ascii="Times New Roman" w:hAnsi="Times New Roman" w:cs="Times New Roman"/>
        </w:rPr>
      </w:pPr>
      <w:r w:rsidRPr="00CA6A46">
        <w:rPr>
          <w:rFonts w:ascii="Times New Roman" w:hAnsi="Times New Roman" w:cs="Times New Roman"/>
        </w:rPr>
        <w:t xml:space="preserve">Nurses showed the most significant deficiency, with multiple districts reporting partial or complete absence. </w:t>
      </w:r>
    </w:p>
    <w:p w14:paraId="782EEE18" w14:textId="77777777" w:rsidR="00F53F35" w:rsidRPr="00CA6A46" w:rsidRDefault="00F53F35" w:rsidP="00CA6A46">
      <w:pPr>
        <w:spacing w:line="360" w:lineRule="auto"/>
        <w:jc w:val="both"/>
        <w:rPr>
          <w:rFonts w:ascii="Times New Roman" w:hAnsi="Times New Roman" w:cs="Times New Roman"/>
        </w:rPr>
      </w:pPr>
    </w:p>
    <w:p w14:paraId="3B70F539" w14:textId="2B447F57" w:rsidR="00F53F35" w:rsidRPr="00CA6A46" w:rsidRDefault="00F53F35" w:rsidP="00CA6A46">
      <w:pPr>
        <w:pStyle w:val="ListParagraph"/>
        <w:numPr>
          <w:ilvl w:val="0"/>
          <w:numId w:val="23"/>
        </w:numPr>
        <w:spacing w:line="360" w:lineRule="auto"/>
        <w:jc w:val="both"/>
        <w:rPr>
          <w:rFonts w:ascii="Times New Roman" w:hAnsi="Times New Roman" w:cs="Times New Roman"/>
          <w:b/>
          <w:bCs/>
        </w:rPr>
      </w:pPr>
      <w:r w:rsidRPr="00CA6A46">
        <w:rPr>
          <w:rFonts w:ascii="Times New Roman" w:hAnsi="Times New Roman" w:cs="Times New Roman"/>
          <w:b/>
          <w:bCs/>
        </w:rPr>
        <w:t>District-Level Variation in PMCU Coverage</w:t>
      </w:r>
    </w:p>
    <w:p w14:paraId="777C51C3"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There was a marked disparity in the number of PMCUs across districts, indicating unequal infrastructure distribution.</w:t>
      </w:r>
    </w:p>
    <w:p w14:paraId="77599FAC"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For example:</w:t>
      </w:r>
    </w:p>
    <w:p w14:paraId="444F70D0" w14:textId="77777777" w:rsidR="00F53F35" w:rsidRPr="00CA6A46" w:rsidRDefault="00F53F35" w:rsidP="00CA6A46">
      <w:pPr>
        <w:numPr>
          <w:ilvl w:val="0"/>
          <w:numId w:val="6"/>
        </w:numPr>
        <w:spacing w:line="360" w:lineRule="auto"/>
        <w:jc w:val="both"/>
        <w:rPr>
          <w:rFonts w:ascii="Times New Roman" w:hAnsi="Times New Roman" w:cs="Times New Roman"/>
        </w:rPr>
      </w:pPr>
      <w:r w:rsidRPr="00CA6A46">
        <w:rPr>
          <w:rFonts w:ascii="Times New Roman" w:hAnsi="Times New Roman" w:cs="Times New Roman"/>
        </w:rPr>
        <w:t xml:space="preserve">Ampara District had 18 PMCUs, representing </w:t>
      </w:r>
      <w:proofErr w:type="gramStart"/>
      <w:r w:rsidRPr="00CA6A46">
        <w:rPr>
          <w:rFonts w:ascii="Times New Roman" w:hAnsi="Times New Roman" w:cs="Times New Roman"/>
        </w:rPr>
        <w:t>a relatively</w:t>
      </w:r>
      <w:proofErr w:type="gramEnd"/>
      <w:r w:rsidRPr="00CA6A46">
        <w:rPr>
          <w:rFonts w:ascii="Times New Roman" w:hAnsi="Times New Roman" w:cs="Times New Roman"/>
        </w:rPr>
        <w:t xml:space="preserve"> high service coverage. </w:t>
      </w:r>
    </w:p>
    <w:p w14:paraId="36A7A19F" w14:textId="77777777" w:rsidR="00F53F35" w:rsidRPr="00CA6A46" w:rsidRDefault="00F53F35" w:rsidP="00CA6A46">
      <w:pPr>
        <w:numPr>
          <w:ilvl w:val="0"/>
          <w:numId w:val="6"/>
        </w:numPr>
        <w:spacing w:line="360" w:lineRule="auto"/>
        <w:jc w:val="both"/>
        <w:rPr>
          <w:rFonts w:ascii="Times New Roman" w:hAnsi="Times New Roman" w:cs="Times New Roman"/>
        </w:rPr>
      </w:pPr>
      <w:r w:rsidRPr="00CA6A46">
        <w:rPr>
          <w:rFonts w:ascii="Times New Roman" w:hAnsi="Times New Roman" w:cs="Times New Roman"/>
        </w:rPr>
        <w:t xml:space="preserve">However, similar high-coverage districts did not necessarily demonstrate adequate staffing across all cadres. </w:t>
      </w:r>
    </w:p>
    <w:p w14:paraId="57F0243B"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This suggests that infrastructure expansion has not been matched with proportional human resource allocation.</w:t>
      </w:r>
    </w:p>
    <w:p w14:paraId="32AAD29C" w14:textId="77777777" w:rsidR="00F53F35" w:rsidRPr="00CA6A46" w:rsidRDefault="00F53F35" w:rsidP="00CA6A46">
      <w:pPr>
        <w:spacing w:line="360" w:lineRule="auto"/>
        <w:jc w:val="both"/>
        <w:rPr>
          <w:rFonts w:ascii="Times New Roman" w:hAnsi="Times New Roman" w:cs="Times New Roman"/>
        </w:rPr>
      </w:pPr>
    </w:p>
    <w:p w14:paraId="5E5E8914" w14:textId="77777777" w:rsidR="00F53F35" w:rsidRPr="00CA6A46" w:rsidRDefault="00F53F35" w:rsidP="00CA6A46">
      <w:pPr>
        <w:spacing w:line="360" w:lineRule="auto"/>
        <w:jc w:val="both"/>
        <w:rPr>
          <w:rFonts w:ascii="Times New Roman" w:hAnsi="Times New Roman" w:cs="Times New Roman"/>
        </w:rPr>
      </w:pPr>
    </w:p>
    <w:p w14:paraId="6BBDBF5F" w14:textId="60EF5F3D" w:rsidR="00F53F35" w:rsidRPr="00CA6A46" w:rsidRDefault="00074441" w:rsidP="00CA6A46">
      <w:pPr>
        <w:spacing w:line="360" w:lineRule="auto"/>
        <w:jc w:val="both"/>
        <w:rPr>
          <w:rFonts w:ascii="Times New Roman" w:hAnsi="Times New Roman" w:cs="Times New Roman"/>
          <w:b/>
          <w:bCs/>
        </w:rPr>
      </w:pPr>
      <w:r w:rsidRPr="00CA6A46">
        <w:rPr>
          <w:rFonts w:ascii="Times New Roman" w:hAnsi="Times New Roman" w:cs="Times New Roman"/>
          <w:b/>
          <w:bCs/>
        </w:rPr>
        <w:t xml:space="preserve">3. </w:t>
      </w:r>
      <w:r w:rsidR="00F53F35" w:rsidRPr="00CA6A46">
        <w:rPr>
          <w:rFonts w:ascii="Times New Roman" w:hAnsi="Times New Roman" w:cs="Times New Roman"/>
          <w:b/>
          <w:bCs/>
        </w:rPr>
        <w:t>Cadre-wise Distribution of Human Resources</w:t>
      </w:r>
    </w:p>
    <w:p w14:paraId="69638A0F"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3.1 Medical Officers (MOs)</w:t>
      </w:r>
    </w:p>
    <w:p w14:paraId="2AB446AE"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Medical Officers were the most consistently available cadre across districts:</w:t>
      </w:r>
    </w:p>
    <w:p w14:paraId="610843E5" w14:textId="77777777" w:rsidR="00F53F35" w:rsidRPr="00CA6A46" w:rsidRDefault="00F53F35" w:rsidP="00CA6A46">
      <w:pPr>
        <w:numPr>
          <w:ilvl w:val="0"/>
          <w:numId w:val="7"/>
        </w:numPr>
        <w:spacing w:line="360" w:lineRule="auto"/>
        <w:jc w:val="both"/>
        <w:rPr>
          <w:rFonts w:ascii="Times New Roman" w:hAnsi="Times New Roman" w:cs="Times New Roman"/>
        </w:rPr>
      </w:pPr>
      <w:r w:rsidRPr="00CA6A46">
        <w:rPr>
          <w:rFonts w:ascii="Times New Roman" w:hAnsi="Times New Roman" w:cs="Times New Roman"/>
        </w:rPr>
        <w:t xml:space="preserve">Nearly all PMCUs had at least one MO. </w:t>
      </w:r>
    </w:p>
    <w:p w14:paraId="15219B5C" w14:textId="77777777" w:rsidR="00F53F35" w:rsidRPr="00CA6A46" w:rsidRDefault="00F53F35" w:rsidP="00CA6A46">
      <w:pPr>
        <w:numPr>
          <w:ilvl w:val="0"/>
          <w:numId w:val="7"/>
        </w:numPr>
        <w:spacing w:line="360" w:lineRule="auto"/>
        <w:jc w:val="both"/>
        <w:rPr>
          <w:rFonts w:ascii="Times New Roman" w:hAnsi="Times New Roman" w:cs="Times New Roman"/>
        </w:rPr>
      </w:pPr>
      <w:r w:rsidRPr="00CA6A46">
        <w:rPr>
          <w:rFonts w:ascii="Times New Roman" w:hAnsi="Times New Roman" w:cs="Times New Roman"/>
        </w:rPr>
        <w:t xml:space="preserve">Some districts demonstrated multiple MOs per PMCU, indicating better service capacity. </w:t>
      </w:r>
    </w:p>
    <w:p w14:paraId="4551D2DE"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However, despite adequate MO presence, the lack of supporting clinical staff limits efficiency.</w:t>
      </w:r>
    </w:p>
    <w:p w14:paraId="6F135C32" w14:textId="77777777" w:rsidR="00F53F35" w:rsidRPr="00CA6A46" w:rsidRDefault="00F53F35" w:rsidP="00CA6A46">
      <w:pPr>
        <w:spacing w:line="360" w:lineRule="auto"/>
        <w:jc w:val="both"/>
        <w:rPr>
          <w:rFonts w:ascii="Times New Roman" w:hAnsi="Times New Roman" w:cs="Times New Roman"/>
        </w:rPr>
      </w:pPr>
    </w:p>
    <w:p w14:paraId="54C4EA4A"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3.2 Nursing Officers – The Critical Gap</w:t>
      </w:r>
    </w:p>
    <w:p w14:paraId="215D0A1A" w14:textId="77777777" w:rsidR="00F53F35" w:rsidRPr="00CA6A46" w:rsidRDefault="00F53F35" w:rsidP="00CA6A46">
      <w:pPr>
        <w:spacing w:line="360" w:lineRule="auto"/>
        <w:jc w:val="both"/>
        <w:rPr>
          <w:rFonts w:ascii="Times New Roman" w:hAnsi="Times New Roman" w:cs="Times New Roman"/>
        </w:rPr>
      </w:pPr>
      <w:r w:rsidRPr="00CA6A46">
        <w:rPr>
          <w:rFonts w:ascii="Times New Roman" w:hAnsi="Times New Roman" w:cs="Times New Roman"/>
        </w:rPr>
        <w:t>The most striking finding of the study is the severe shortage of nursing officers.</w:t>
      </w:r>
    </w:p>
    <w:p w14:paraId="09594C88" w14:textId="77777777" w:rsidR="00F53F35" w:rsidRPr="00CA6A46" w:rsidRDefault="00F53F35" w:rsidP="00CA6A46">
      <w:pPr>
        <w:numPr>
          <w:ilvl w:val="0"/>
          <w:numId w:val="8"/>
        </w:numPr>
        <w:spacing w:line="360" w:lineRule="auto"/>
        <w:jc w:val="both"/>
        <w:rPr>
          <w:rFonts w:ascii="Times New Roman" w:hAnsi="Times New Roman" w:cs="Times New Roman"/>
        </w:rPr>
      </w:pPr>
      <w:r w:rsidRPr="00CA6A46">
        <w:rPr>
          <w:rFonts w:ascii="Times New Roman" w:hAnsi="Times New Roman" w:cs="Times New Roman"/>
        </w:rPr>
        <w:t xml:space="preserve">In several districts, nurses were available only in a small proportion of PMCUs. </w:t>
      </w:r>
    </w:p>
    <w:p w14:paraId="41D9C304" w14:textId="77777777" w:rsidR="00F53F35" w:rsidRPr="00CA6A46" w:rsidRDefault="00F53F35" w:rsidP="00CA6A46">
      <w:pPr>
        <w:numPr>
          <w:ilvl w:val="0"/>
          <w:numId w:val="8"/>
        </w:numPr>
        <w:spacing w:line="360" w:lineRule="auto"/>
        <w:jc w:val="both"/>
        <w:rPr>
          <w:rFonts w:ascii="Times New Roman" w:hAnsi="Times New Roman" w:cs="Times New Roman"/>
        </w:rPr>
      </w:pPr>
      <w:r w:rsidRPr="00CA6A46">
        <w:rPr>
          <w:rFonts w:ascii="Times New Roman" w:hAnsi="Times New Roman" w:cs="Times New Roman"/>
        </w:rPr>
        <w:t xml:space="preserve">Example: </w:t>
      </w:r>
    </w:p>
    <w:p w14:paraId="5A1B407A" w14:textId="77777777" w:rsidR="00F53F35" w:rsidRPr="00CA6A46" w:rsidRDefault="00F53F35" w:rsidP="00CA6A46">
      <w:pPr>
        <w:numPr>
          <w:ilvl w:val="1"/>
          <w:numId w:val="8"/>
        </w:numPr>
        <w:spacing w:line="360" w:lineRule="auto"/>
        <w:jc w:val="both"/>
        <w:rPr>
          <w:rFonts w:ascii="Times New Roman" w:hAnsi="Times New Roman" w:cs="Times New Roman"/>
        </w:rPr>
      </w:pPr>
      <w:r w:rsidRPr="00CA6A46">
        <w:rPr>
          <w:rFonts w:ascii="Times New Roman" w:hAnsi="Times New Roman" w:cs="Times New Roman"/>
        </w:rPr>
        <w:t xml:space="preserve">In Ampara, only 3 out of 18 PMCUs had nurses. </w:t>
      </w:r>
    </w:p>
    <w:p w14:paraId="628561DC" w14:textId="77777777" w:rsidR="00F53F35" w:rsidRPr="00CA6A46" w:rsidRDefault="00F53F35" w:rsidP="00CA6A46">
      <w:pPr>
        <w:numPr>
          <w:ilvl w:val="0"/>
          <w:numId w:val="8"/>
        </w:numPr>
        <w:spacing w:line="360" w:lineRule="auto"/>
        <w:jc w:val="both"/>
        <w:rPr>
          <w:rFonts w:ascii="Times New Roman" w:hAnsi="Times New Roman" w:cs="Times New Roman"/>
        </w:rPr>
      </w:pPr>
      <w:r w:rsidRPr="00CA6A46">
        <w:rPr>
          <w:rFonts w:ascii="Times New Roman" w:hAnsi="Times New Roman" w:cs="Times New Roman"/>
        </w:rPr>
        <w:t>Some districts showed complete absence of nursing staff. Districts with 0 Nurses</w:t>
      </w:r>
    </w:p>
    <w:p w14:paraId="32081116" w14:textId="77777777" w:rsidR="00F53F35" w:rsidRPr="00CA6A46" w:rsidRDefault="00F53F35" w:rsidP="00CA6A46">
      <w:pPr>
        <w:numPr>
          <w:ilvl w:val="0"/>
          <w:numId w:val="16"/>
        </w:numPr>
        <w:spacing w:line="360" w:lineRule="auto"/>
        <w:jc w:val="both"/>
        <w:rPr>
          <w:rFonts w:ascii="Times New Roman" w:hAnsi="Times New Roman" w:cs="Times New Roman"/>
        </w:rPr>
      </w:pPr>
      <w:r w:rsidRPr="00CA6A46">
        <w:rPr>
          <w:rFonts w:ascii="Times New Roman" w:hAnsi="Times New Roman" w:cs="Times New Roman"/>
        </w:rPr>
        <w:t xml:space="preserve">Kandy </w:t>
      </w:r>
    </w:p>
    <w:p w14:paraId="7A843C80" w14:textId="77777777" w:rsidR="00F53F35" w:rsidRPr="00CA6A46" w:rsidRDefault="00F53F35" w:rsidP="00CA6A46">
      <w:pPr>
        <w:numPr>
          <w:ilvl w:val="0"/>
          <w:numId w:val="16"/>
        </w:numPr>
        <w:spacing w:line="360" w:lineRule="auto"/>
        <w:jc w:val="both"/>
        <w:rPr>
          <w:rFonts w:ascii="Times New Roman" w:hAnsi="Times New Roman" w:cs="Times New Roman"/>
        </w:rPr>
      </w:pPr>
      <w:r w:rsidRPr="00CA6A46">
        <w:rPr>
          <w:rFonts w:ascii="Times New Roman" w:hAnsi="Times New Roman" w:cs="Times New Roman"/>
        </w:rPr>
        <w:t xml:space="preserve">Nuwara Eliya </w:t>
      </w:r>
    </w:p>
    <w:p w14:paraId="3E11ED97" w14:textId="77777777" w:rsidR="00F53F35" w:rsidRPr="00CA6A46" w:rsidRDefault="00F53F35" w:rsidP="00CA6A46">
      <w:pPr>
        <w:numPr>
          <w:ilvl w:val="0"/>
          <w:numId w:val="16"/>
        </w:numPr>
        <w:spacing w:line="360" w:lineRule="auto"/>
        <w:jc w:val="both"/>
        <w:rPr>
          <w:rFonts w:ascii="Times New Roman" w:hAnsi="Times New Roman" w:cs="Times New Roman"/>
        </w:rPr>
      </w:pPr>
      <w:r w:rsidRPr="00CA6A46">
        <w:rPr>
          <w:rFonts w:ascii="Times New Roman" w:hAnsi="Times New Roman" w:cs="Times New Roman"/>
        </w:rPr>
        <w:t xml:space="preserve">Kalutara </w:t>
      </w:r>
    </w:p>
    <w:p w14:paraId="50D493B2" w14:textId="77777777" w:rsidR="00F53F35" w:rsidRPr="00CA6A46" w:rsidRDefault="00F53F35" w:rsidP="00CA6A46">
      <w:pPr>
        <w:numPr>
          <w:ilvl w:val="0"/>
          <w:numId w:val="16"/>
        </w:numPr>
        <w:spacing w:line="360" w:lineRule="auto"/>
        <w:jc w:val="both"/>
        <w:rPr>
          <w:rFonts w:ascii="Times New Roman" w:hAnsi="Times New Roman" w:cs="Times New Roman"/>
        </w:rPr>
      </w:pPr>
      <w:r w:rsidRPr="00CA6A46">
        <w:rPr>
          <w:rFonts w:ascii="Times New Roman" w:hAnsi="Times New Roman" w:cs="Times New Roman"/>
        </w:rPr>
        <w:t xml:space="preserve">Matara </w:t>
      </w:r>
    </w:p>
    <w:p w14:paraId="0632E557" w14:textId="77777777" w:rsidR="00F53F35" w:rsidRPr="00CA6A46" w:rsidRDefault="00F53F35" w:rsidP="00CA6A46">
      <w:pPr>
        <w:numPr>
          <w:ilvl w:val="0"/>
          <w:numId w:val="16"/>
        </w:numPr>
        <w:spacing w:line="360" w:lineRule="auto"/>
        <w:jc w:val="both"/>
        <w:rPr>
          <w:rFonts w:ascii="Times New Roman" w:hAnsi="Times New Roman" w:cs="Times New Roman"/>
        </w:rPr>
      </w:pPr>
      <w:r w:rsidRPr="00CA6A46">
        <w:rPr>
          <w:rFonts w:ascii="Times New Roman" w:hAnsi="Times New Roman" w:cs="Times New Roman"/>
        </w:rPr>
        <w:t xml:space="preserve">Hambantota </w:t>
      </w:r>
    </w:p>
    <w:p w14:paraId="6994EDA1" w14:textId="77777777" w:rsidR="00F53F35" w:rsidRPr="00CA6A46" w:rsidRDefault="00F53F35" w:rsidP="00CA6A46">
      <w:pPr>
        <w:numPr>
          <w:ilvl w:val="0"/>
          <w:numId w:val="16"/>
        </w:numPr>
        <w:spacing w:line="360" w:lineRule="auto"/>
        <w:jc w:val="both"/>
        <w:rPr>
          <w:rFonts w:ascii="Times New Roman" w:hAnsi="Times New Roman" w:cs="Times New Roman"/>
        </w:rPr>
      </w:pPr>
      <w:r w:rsidRPr="00CA6A46">
        <w:rPr>
          <w:rFonts w:ascii="Times New Roman" w:hAnsi="Times New Roman" w:cs="Times New Roman"/>
        </w:rPr>
        <w:t xml:space="preserve">Mannar </w:t>
      </w:r>
    </w:p>
    <w:p w14:paraId="116D2E14" w14:textId="77777777" w:rsidR="00F53F35" w:rsidRPr="00CA6A46" w:rsidRDefault="00F53F35" w:rsidP="00CA6A46">
      <w:pPr>
        <w:numPr>
          <w:ilvl w:val="0"/>
          <w:numId w:val="16"/>
        </w:numPr>
        <w:spacing w:line="360" w:lineRule="auto"/>
        <w:jc w:val="both"/>
        <w:rPr>
          <w:rFonts w:ascii="Times New Roman" w:hAnsi="Times New Roman" w:cs="Times New Roman"/>
        </w:rPr>
      </w:pPr>
      <w:r w:rsidRPr="00CA6A46">
        <w:rPr>
          <w:rFonts w:ascii="Times New Roman" w:hAnsi="Times New Roman" w:cs="Times New Roman"/>
        </w:rPr>
        <w:t xml:space="preserve">Jaffna </w:t>
      </w:r>
    </w:p>
    <w:p w14:paraId="248D8105" w14:textId="77777777" w:rsidR="00F53F35" w:rsidRPr="00CA6A46" w:rsidRDefault="00F53F35" w:rsidP="00CA6A46">
      <w:pPr>
        <w:numPr>
          <w:ilvl w:val="0"/>
          <w:numId w:val="16"/>
        </w:numPr>
        <w:spacing w:line="360" w:lineRule="auto"/>
        <w:jc w:val="both"/>
        <w:rPr>
          <w:rFonts w:ascii="Times New Roman" w:hAnsi="Times New Roman" w:cs="Times New Roman"/>
        </w:rPr>
      </w:pPr>
      <w:r w:rsidRPr="00CA6A46">
        <w:rPr>
          <w:rFonts w:ascii="Times New Roman" w:hAnsi="Times New Roman" w:cs="Times New Roman"/>
        </w:rPr>
        <w:t xml:space="preserve">Mullaitivu </w:t>
      </w:r>
    </w:p>
    <w:p w14:paraId="639B68CB" w14:textId="77777777" w:rsidR="00F53F35" w:rsidRPr="00CA6A46" w:rsidRDefault="00F53F35" w:rsidP="00CA6A46">
      <w:pPr>
        <w:numPr>
          <w:ilvl w:val="0"/>
          <w:numId w:val="16"/>
        </w:numPr>
        <w:spacing w:line="360" w:lineRule="auto"/>
        <w:jc w:val="both"/>
        <w:rPr>
          <w:rFonts w:ascii="Times New Roman" w:hAnsi="Times New Roman" w:cs="Times New Roman"/>
        </w:rPr>
      </w:pPr>
      <w:r w:rsidRPr="00CA6A46">
        <w:rPr>
          <w:rFonts w:ascii="Times New Roman" w:hAnsi="Times New Roman" w:cs="Times New Roman"/>
        </w:rPr>
        <w:t xml:space="preserve">Kilinochchi </w:t>
      </w:r>
    </w:p>
    <w:p w14:paraId="5C1014A1" w14:textId="77777777" w:rsidR="00F53F35" w:rsidRPr="00CA6A46" w:rsidRDefault="00F53F35" w:rsidP="00CA6A46">
      <w:pPr>
        <w:numPr>
          <w:ilvl w:val="0"/>
          <w:numId w:val="16"/>
        </w:numPr>
        <w:spacing w:line="360" w:lineRule="auto"/>
        <w:jc w:val="both"/>
      </w:pPr>
      <w:r w:rsidRPr="00CA6A46">
        <w:rPr>
          <w:rFonts w:ascii="Times New Roman" w:hAnsi="Times New Roman" w:cs="Times New Roman"/>
        </w:rPr>
        <w:t>Vavuniya</w:t>
      </w:r>
    </w:p>
    <w:p w14:paraId="6FF43901"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 xml:space="preserve">This is approximately   -   37% (10/27) </w:t>
      </w:r>
    </w:p>
    <w:p w14:paraId="073BD760" w14:textId="77777777" w:rsidR="00F53F35" w:rsidRPr="00CA6A46" w:rsidRDefault="00F53F35" w:rsidP="00CA6A46">
      <w:pPr>
        <w:spacing w:line="360" w:lineRule="auto"/>
        <w:ind w:left="720"/>
        <w:jc w:val="both"/>
        <w:rPr>
          <w:rFonts w:ascii="Times New Roman" w:hAnsi="Times New Roman" w:cs="Times New Roman"/>
        </w:rPr>
      </w:pPr>
    </w:p>
    <w:p w14:paraId="1DC222A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3.3 Dispensers</w:t>
      </w:r>
    </w:p>
    <w:p w14:paraId="3BB8B4B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Dispensers showed moderate availability:</w:t>
      </w:r>
    </w:p>
    <w:p w14:paraId="37F9ABF8" w14:textId="77777777" w:rsidR="00F53F35" w:rsidRPr="00CA6A46" w:rsidRDefault="00F53F35" w:rsidP="00CA6A46">
      <w:pPr>
        <w:numPr>
          <w:ilvl w:val="0"/>
          <w:numId w:val="10"/>
        </w:numPr>
        <w:spacing w:line="360" w:lineRule="auto"/>
        <w:jc w:val="both"/>
        <w:rPr>
          <w:rFonts w:ascii="Times New Roman" w:hAnsi="Times New Roman" w:cs="Times New Roman"/>
        </w:rPr>
      </w:pPr>
      <w:r w:rsidRPr="00CA6A46">
        <w:rPr>
          <w:rFonts w:ascii="Times New Roman" w:hAnsi="Times New Roman" w:cs="Times New Roman"/>
        </w:rPr>
        <w:t xml:space="preserve">Many districts had dispensers in a majority but not all PMCUs. </w:t>
      </w:r>
    </w:p>
    <w:p w14:paraId="00471A9F" w14:textId="77777777" w:rsidR="00F53F35" w:rsidRPr="00CA6A46" w:rsidRDefault="00F53F35" w:rsidP="00CA6A46">
      <w:pPr>
        <w:numPr>
          <w:ilvl w:val="0"/>
          <w:numId w:val="10"/>
        </w:numPr>
        <w:spacing w:line="360" w:lineRule="auto"/>
        <w:jc w:val="both"/>
        <w:rPr>
          <w:rFonts w:ascii="Times New Roman" w:hAnsi="Times New Roman" w:cs="Times New Roman"/>
        </w:rPr>
      </w:pPr>
      <w:r w:rsidRPr="00CA6A46">
        <w:rPr>
          <w:rFonts w:ascii="Times New Roman" w:hAnsi="Times New Roman" w:cs="Times New Roman"/>
        </w:rPr>
        <w:t xml:space="preserve">Example: </w:t>
      </w:r>
    </w:p>
    <w:p w14:paraId="42D4EADA" w14:textId="77777777" w:rsidR="00F53F35" w:rsidRPr="00CA6A46" w:rsidRDefault="00F53F35" w:rsidP="00CA6A46">
      <w:pPr>
        <w:numPr>
          <w:ilvl w:val="1"/>
          <w:numId w:val="10"/>
        </w:numPr>
        <w:spacing w:line="360" w:lineRule="auto"/>
        <w:jc w:val="both"/>
        <w:rPr>
          <w:rFonts w:ascii="Times New Roman" w:hAnsi="Times New Roman" w:cs="Times New Roman"/>
        </w:rPr>
      </w:pPr>
      <w:r w:rsidRPr="00CA6A46">
        <w:rPr>
          <w:rFonts w:ascii="Times New Roman" w:hAnsi="Times New Roman" w:cs="Times New Roman"/>
        </w:rPr>
        <w:lastRenderedPageBreak/>
        <w:t xml:space="preserve">In Ampara, dispensers were present in 12 out of 18 PMCUs. </w:t>
      </w:r>
    </w:p>
    <w:p w14:paraId="7D4283A9" w14:textId="77777777" w:rsidR="00F53F35" w:rsidRPr="00CA6A46" w:rsidRDefault="00F53F35" w:rsidP="00CA6A46">
      <w:pPr>
        <w:spacing w:line="360" w:lineRule="auto"/>
        <w:ind w:left="720"/>
        <w:jc w:val="both"/>
        <w:rPr>
          <w:rFonts w:ascii="Times New Roman" w:hAnsi="Times New Roman" w:cs="Times New Roman"/>
        </w:rPr>
      </w:pPr>
    </w:p>
    <w:p w14:paraId="7BC1EA25"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3.4 Supporting Staff (SKS)</w:t>
      </w:r>
    </w:p>
    <w:p w14:paraId="5940821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Supporting staff were the most consistently available cadre:</w:t>
      </w:r>
    </w:p>
    <w:p w14:paraId="1ACC189B" w14:textId="77777777" w:rsidR="00F53F35" w:rsidRPr="00CA6A46" w:rsidRDefault="00F53F35" w:rsidP="00CA6A46">
      <w:pPr>
        <w:numPr>
          <w:ilvl w:val="0"/>
          <w:numId w:val="12"/>
        </w:numPr>
        <w:spacing w:line="360" w:lineRule="auto"/>
        <w:jc w:val="both"/>
        <w:rPr>
          <w:rFonts w:ascii="Times New Roman" w:hAnsi="Times New Roman" w:cs="Times New Roman"/>
        </w:rPr>
      </w:pPr>
      <w:r w:rsidRPr="00CA6A46">
        <w:rPr>
          <w:rFonts w:ascii="Times New Roman" w:hAnsi="Times New Roman" w:cs="Times New Roman"/>
        </w:rPr>
        <w:t xml:space="preserve">Present in almost all PMCUs across districts </w:t>
      </w:r>
    </w:p>
    <w:p w14:paraId="22D8C123" w14:textId="77777777" w:rsidR="00F53F35" w:rsidRPr="00CA6A46" w:rsidRDefault="00F53F35" w:rsidP="00CA6A46">
      <w:pPr>
        <w:numPr>
          <w:ilvl w:val="0"/>
          <w:numId w:val="12"/>
        </w:numPr>
        <w:spacing w:line="360" w:lineRule="auto"/>
        <w:jc w:val="both"/>
        <w:rPr>
          <w:rFonts w:ascii="Times New Roman" w:hAnsi="Times New Roman" w:cs="Times New Roman"/>
        </w:rPr>
      </w:pPr>
      <w:r w:rsidRPr="00CA6A46">
        <w:rPr>
          <w:rFonts w:ascii="Times New Roman" w:hAnsi="Times New Roman" w:cs="Times New Roman"/>
        </w:rPr>
        <w:t xml:space="preserve">Example: </w:t>
      </w:r>
    </w:p>
    <w:p w14:paraId="7076127C" w14:textId="77777777" w:rsidR="00F53F35" w:rsidRPr="00CA6A46" w:rsidRDefault="00F53F35" w:rsidP="00CA6A46">
      <w:pPr>
        <w:numPr>
          <w:ilvl w:val="1"/>
          <w:numId w:val="12"/>
        </w:numPr>
        <w:spacing w:line="360" w:lineRule="auto"/>
        <w:jc w:val="both"/>
        <w:rPr>
          <w:rFonts w:ascii="Times New Roman" w:hAnsi="Times New Roman" w:cs="Times New Roman"/>
        </w:rPr>
      </w:pPr>
      <w:r w:rsidRPr="00CA6A46">
        <w:rPr>
          <w:rFonts w:ascii="Times New Roman" w:hAnsi="Times New Roman" w:cs="Times New Roman"/>
        </w:rPr>
        <w:t xml:space="preserve">In Ampara, SKS were available in all 18 PMCUs </w:t>
      </w:r>
    </w:p>
    <w:p w14:paraId="7CB016C7" w14:textId="77777777" w:rsidR="00F53F35" w:rsidRPr="00CA6A46" w:rsidRDefault="00F53F35" w:rsidP="00CA6A46">
      <w:pPr>
        <w:spacing w:line="360" w:lineRule="auto"/>
        <w:ind w:left="720"/>
        <w:jc w:val="both"/>
        <w:rPr>
          <w:rFonts w:ascii="Times New Roman" w:hAnsi="Times New Roman" w:cs="Times New Roman"/>
        </w:rPr>
      </w:pPr>
    </w:p>
    <w:p w14:paraId="0A66DAB0"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 Staffing Imbalance and Ratios</w:t>
      </w:r>
    </w:p>
    <w:p w14:paraId="26E0584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A key finding of this study is the imbalance between clinical and supportive staff:</w:t>
      </w:r>
    </w:p>
    <w:p w14:paraId="07A82498" w14:textId="77777777" w:rsidR="00F53F35" w:rsidRPr="00CA6A46" w:rsidRDefault="00F53F35" w:rsidP="00CA6A46">
      <w:pPr>
        <w:numPr>
          <w:ilvl w:val="0"/>
          <w:numId w:val="13"/>
        </w:numPr>
        <w:spacing w:line="360" w:lineRule="auto"/>
        <w:jc w:val="both"/>
        <w:rPr>
          <w:rFonts w:ascii="Times New Roman" w:hAnsi="Times New Roman" w:cs="Times New Roman"/>
        </w:rPr>
      </w:pPr>
      <w:r w:rsidRPr="00CA6A46">
        <w:rPr>
          <w:rFonts w:ascii="Times New Roman" w:hAnsi="Times New Roman" w:cs="Times New Roman"/>
        </w:rPr>
        <w:t xml:space="preserve">Many PMCUs operate with: </w:t>
      </w:r>
    </w:p>
    <w:p w14:paraId="58908B8C" w14:textId="77777777" w:rsidR="00F53F35" w:rsidRPr="00CA6A46" w:rsidRDefault="00F53F35" w:rsidP="00CA6A46">
      <w:pPr>
        <w:numPr>
          <w:ilvl w:val="1"/>
          <w:numId w:val="13"/>
        </w:numPr>
        <w:spacing w:line="360" w:lineRule="auto"/>
        <w:jc w:val="both"/>
        <w:rPr>
          <w:rFonts w:ascii="Times New Roman" w:hAnsi="Times New Roman" w:cs="Times New Roman"/>
        </w:rPr>
      </w:pPr>
      <w:r w:rsidRPr="00CA6A46">
        <w:rPr>
          <w:rFonts w:ascii="Times New Roman" w:hAnsi="Times New Roman" w:cs="Times New Roman"/>
        </w:rPr>
        <w:t xml:space="preserve">Adequate MOs + SKS </w:t>
      </w:r>
    </w:p>
    <w:p w14:paraId="3C4659C5" w14:textId="77777777" w:rsidR="00F53F35" w:rsidRPr="00CA6A46" w:rsidRDefault="00F53F35" w:rsidP="00CA6A46">
      <w:pPr>
        <w:numPr>
          <w:ilvl w:val="1"/>
          <w:numId w:val="13"/>
        </w:numPr>
        <w:spacing w:line="360" w:lineRule="auto"/>
        <w:jc w:val="both"/>
        <w:rPr>
          <w:rFonts w:ascii="Times New Roman" w:hAnsi="Times New Roman" w:cs="Times New Roman"/>
        </w:rPr>
      </w:pPr>
      <w:r w:rsidRPr="00CA6A46">
        <w:rPr>
          <w:rFonts w:ascii="Times New Roman" w:hAnsi="Times New Roman" w:cs="Times New Roman"/>
        </w:rPr>
        <w:t xml:space="preserve">Insufficient Nurses + Dispensers </w:t>
      </w:r>
    </w:p>
    <w:p w14:paraId="71EEA139" w14:textId="77777777" w:rsidR="00F53F35" w:rsidRPr="00CA6A46" w:rsidRDefault="00F53F35" w:rsidP="00CA6A46">
      <w:pPr>
        <w:spacing w:line="360" w:lineRule="auto"/>
        <w:ind w:left="720"/>
        <w:jc w:val="both"/>
        <w:rPr>
          <w:rFonts w:ascii="Times New Roman" w:hAnsi="Times New Roman" w:cs="Times New Roman"/>
        </w:rPr>
      </w:pPr>
    </w:p>
    <w:p w14:paraId="6AABEC8F" w14:textId="77777777" w:rsidR="00F53F35" w:rsidRPr="00CA6A46" w:rsidRDefault="00F53F35" w:rsidP="00CA6A46">
      <w:pPr>
        <w:spacing w:line="360" w:lineRule="auto"/>
        <w:ind w:left="720"/>
        <w:jc w:val="both"/>
        <w:rPr>
          <w:rFonts w:ascii="Times New Roman" w:hAnsi="Times New Roman" w:cs="Times New Roman"/>
        </w:rPr>
      </w:pPr>
    </w:p>
    <w:p w14:paraId="609F16AB" w14:textId="77777777" w:rsidR="00F53F35" w:rsidRPr="00CA6A46" w:rsidRDefault="00F53F35" w:rsidP="00CA6A46">
      <w:pPr>
        <w:spacing w:line="360" w:lineRule="auto"/>
        <w:ind w:left="720"/>
        <w:jc w:val="both"/>
        <w:rPr>
          <w:rFonts w:ascii="Times New Roman" w:hAnsi="Times New Roman" w:cs="Times New Roman"/>
        </w:rPr>
      </w:pPr>
    </w:p>
    <w:p w14:paraId="52358D77" w14:textId="77777777" w:rsidR="00F53F35" w:rsidRPr="00CA6A46" w:rsidRDefault="00F53F35" w:rsidP="00CA6A46">
      <w:pPr>
        <w:spacing w:line="360" w:lineRule="auto"/>
        <w:ind w:left="720"/>
        <w:jc w:val="both"/>
        <w:rPr>
          <w:rFonts w:ascii="Times New Roman" w:hAnsi="Times New Roman" w:cs="Times New Roman"/>
        </w:rPr>
      </w:pPr>
    </w:p>
    <w:p w14:paraId="6B80E4EC" w14:textId="77777777" w:rsidR="00F53F35" w:rsidRPr="00CA6A46" w:rsidRDefault="00F53F35" w:rsidP="00CA6A46">
      <w:pPr>
        <w:spacing w:line="360" w:lineRule="auto"/>
        <w:ind w:left="720"/>
        <w:jc w:val="both"/>
        <w:rPr>
          <w:rFonts w:ascii="Times New Roman" w:hAnsi="Times New Roman" w:cs="Times New Roman"/>
          <w:b/>
          <w:bCs/>
        </w:rPr>
      </w:pPr>
      <w:r w:rsidRPr="00CA6A46">
        <w:rPr>
          <w:rFonts w:ascii="Times New Roman" w:hAnsi="Times New Roman" w:cs="Times New Roman"/>
          <w:b/>
          <w:bCs/>
        </w:rPr>
        <w:t xml:space="preserve">District-wise PMCU and Human Resource Availability </w:t>
      </w:r>
    </w:p>
    <w:tbl>
      <w:tblPr>
        <w:tblW w:w="99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530"/>
        <w:gridCol w:w="636"/>
        <w:gridCol w:w="1164"/>
        <w:gridCol w:w="360"/>
        <w:gridCol w:w="1080"/>
        <w:gridCol w:w="163"/>
        <w:gridCol w:w="1277"/>
        <w:gridCol w:w="149"/>
        <w:gridCol w:w="1651"/>
        <w:gridCol w:w="141"/>
        <w:gridCol w:w="1209"/>
        <w:gridCol w:w="630"/>
      </w:tblGrid>
      <w:tr w:rsidR="00F53F35" w:rsidRPr="00CA6A46" w14:paraId="0D8E6631" w14:textId="77777777" w:rsidTr="00CC1FAF">
        <w:trPr>
          <w:tblHeader/>
          <w:tblCellSpacing w:w="15" w:type="dxa"/>
        </w:trPr>
        <w:tc>
          <w:tcPr>
            <w:tcW w:w="1485" w:type="dxa"/>
            <w:vAlign w:val="center"/>
            <w:hideMark/>
          </w:tcPr>
          <w:p w14:paraId="4ADB11A4" w14:textId="77777777" w:rsidR="00F53F35" w:rsidRPr="00CA6A46" w:rsidRDefault="00F53F35" w:rsidP="00CA6A46">
            <w:pPr>
              <w:spacing w:line="360" w:lineRule="auto"/>
              <w:ind w:left="720"/>
              <w:jc w:val="both"/>
              <w:rPr>
                <w:rFonts w:ascii="Times New Roman" w:hAnsi="Times New Roman" w:cs="Times New Roman"/>
                <w:b/>
                <w:bCs/>
              </w:rPr>
            </w:pPr>
            <w:r w:rsidRPr="00CA6A46">
              <w:rPr>
                <w:rFonts w:ascii="Times New Roman" w:hAnsi="Times New Roman" w:cs="Times New Roman"/>
                <w:b/>
                <w:bCs/>
              </w:rPr>
              <w:t>District</w:t>
            </w:r>
          </w:p>
        </w:tc>
        <w:tc>
          <w:tcPr>
            <w:tcW w:w="1770" w:type="dxa"/>
            <w:gridSpan w:val="2"/>
            <w:vAlign w:val="center"/>
            <w:hideMark/>
          </w:tcPr>
          <w:p w14:paraId="5140AD99" w14:textId="77777777" w:rsidR="00F53F35" w:rsidRPr="00CA6A46" w:rsidRDefault="00F53F35" w:rsidP="00CA6A46">
            <w:pPr>
              <w:spacing w:line="360" w:lineRule="auto"/>
              <w:ind w:left="720"/>
              <w:jc w:val="both"/>
              <w:rPr>
                <w:rFonts w:ascii="Times New Roman" w:hAnsi="Times New Roman" w:cs="Times New Roman"/>
                <w:b/>
                <w:bCs/>
              </w:rPr>
            </w:pPr>
            <w:r w:rsidRPr="00CA6A46">
              <w:rPr>
                <w:rFonts w:ascii="Times New Roman" w:hAnsi="Times New Roman" w:cs="Times New Roman"/>
                <w:b/>
                <w:bCs/>
              </w:rPr>
              <w:t>PMCUs</w:t>
            </w:r>
          </w:p>
        </w:tc>
        <w:tc>
          <w:tcPr>
            <w:tcW w:w="1410" w:type="dxa"/>
            <w:gridSpan w:val="2"/>
            <w:vAlign w:val="center"/>
            <w:hideMark/>
          </w:tcPr>
          <w:p w14:paraId="3950AB70" w14:textId="77777777" w:rsidR="00F53F35" w:rsidRPr="00CA6A46" w:rsidRDefault="00F53F35" w:rsidP="00CA6A46">
            <w:pPr>
              <w:spacing w:line="360" w:lineRule="auto"/>
              <w:ind w:left="720"/>
              <w:jc w:val="both"/>
              <w:rPr>
                <w:rFonts w:ascii="Times New Roman" w:hAnsi="Times New Roman" w:cs="Times New Roman"/>
                <w:b/>
                <w:bCs/>
              </w:rPr>
            </w:pPr>
            <w:r w:rsidRPr="00CA6A46">
              <w:rPr>
                <w:rFonts w:ascii="Times New Roman" w:hAnsi="Times New Roman" w:cs="Times New Roman"/>
                <w:b/>
                <w:bCs/>
              </w:rPr>
              <w:t>Mos</w:t>
            </w:r>
          </w:p>
        </w:tc>
        <w:tc>
          <w:tcPr>
            <w:tcW w:w="1410" w:type="dxa"/>
            <w:gridSpan w:val="2"/>
            <w:vAlign w:val="center"/>
            <w:hideMark/>
          </w:tcPr>
          <w:p w14:paraId="66CDADE5" w14:textId="77777777" w:rsidR="00F53F35" w:rsidRPr="00CA6A46" w:rsidRDefault="00F53F35" w:rsidP="00CA6A46">
            <w:pPr>
              <w:spacing w:line="360" w:lineRule="auto"/>
              <w:ind w:left="720"/>
              <w:jc w:val="both"/>
              <w:rPr>
                <w:rFonts w:ascii="Times New Roman" w:hAnsi="Times New Roman" w:cs="Times New Roman"/>
                <w:b/>
                <w:bCs/>
              </w:rPr>
            </w:pPr>
            <w:r w:rsidRPr="00CA6A46">
              <w:rPr>
                <w:rFonts w:ascii="Times New Roman" w:hAnsi="Times New Roman" w:cs="Times New Roman"/>
                <w:b/>
                <w:bCs/>
              </w:rPr>
              <w:t>Nurses</w:t>
            </w:r>
          </w:p>
        </w:tc>
        <w:tc>
          <w:tcPr>
            <w:tcW w:w="1770" w:type="dxa"/>
            <w:gridSpan w:val="2"/>
            <w:vAlign w:val="center"/>
            <w:hideMark/>
          </w:tcPr>
          <w:p w14:paraId="7B950B98" w14:textId="77777777" w:rsidR="00F53F35" w:rsidRPr="00CA6A46" w:rsidRDefault="00F53F35" w:rsidP="00CA6A46">
            <w:pPr>
              <w:spacing w:line="360" w:lineRule="auto"/>
              <w:ind w:left="720"/>
              <w:jc w:val="both"/>
              <w:rPr>
                <w:rFonts w:ascii="Times New Roman" w:hAnsi="Times New Roman" w:cs="Times New Roman"/>
                <w:b/>
                <w:bCs/>
              </w:rPr>
            </w:pPr>
            <w:r w:rsidRPr="00CA6A46">
              <w:rPr>
                <w:rFonts w:ascii="Times New Roman" w:hAnsi="Times New Roman" w:cs="Times New Roman"/>
                <w:b/>
                <w:bCs/>
              </w:rPr>
              <w:t>Dispensers</w:t>
            </w:r>
          </w:p>
        </w:tc>
        <w:tc>
          <w:tcPr>
            <w:tcW w:w="1935" w:type="dxa"/>
            <w:gridSpan w:val="3"/>
            <w:vAlign w:val="center"/>
            <w:hideMark/>
          </w:tcPr>
          <w:p w14:paraId="1FEACB85" w14:textId="77777777" w:rsidR="00F53F35" w:rsidRPr="00CA6A46" w:rsidRDefault="00F53F35" w:rsidP="00CA6A46">
            <w:pPr>
              <w:spacing w:line="360" w:lineRule="auto"/>
              <w:ind w:left="720"/>
              <w:jc w:val="both"/>
              <w:rPr>
                <w:rFonts w:ascii="Times New Roman" w:hAnsi="Times New Roman" w:cs="Times New Roman"/>
                <w:b/>
                <w:bCs/>
              </w:rPr>
            </w:pPr>
            <w:r w:rsidRPr="00CA6A46">
              <w:rPr>
                <w:rFonts w:ascii="Times New Roman" w:hAnsi="Times New Roman" w:cs="Times New Roman"/>
                <w:b/>
                <w:bCs/>
              </w:rPr>
              <w:t>SKS</w:t>
            </w:r>
          </w:p>
        </w:tc>
      </w:tr>
      <w:tr w:rsidR="00F53F35" w:rsidRPr="00CA6A46" w14:paraId="6B656585" w14:textId="77777777" w:rsidTr="00CC1FAF">
        <w:trPr>
          <w:gridAfter w:val="1"/>
          <w:wAfter w:w="585" w:type="dxa"/>
          <w:tblCellSpacing w:w="15" w:type="dxa"/>
        </w:trPr>
        <w:tc>
          <w:tcPr>
            <w:tcW w:w="2121" w:type="dxa"/>
            <w:gridSpan w:val="2"/>
            <w:vAlign w:val="center"/>
            <w:hideMark/>
          </w:tcPr>
          <w:p w14:paraId="2AF3141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Ratnapura</w:t>
            </w:r>
          </w:p>
        </w:tc>
        <w:tc>
          <w:tcPr>
            <w:tcW w:w="1494" w:type="dxa"/>
            <w:gridSpan w:val="2"/>
            <w:vAlign w:val="center"/>
            <w:hideMark/>
          </w:tcPr>
          <w:p w14:paraId="4A573363"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72</w:t>
            </w:r>
          </w:p>
        </w:tc>
        <w:tc>
          <w:tcPr>
            <w:tcW w:w="1213" w:type="dxa"/>
            <w:gridSpan w:val="2"/>
            <w:vAlign w:val="center"/>
            <w:hideMark/>
          </w:tcPr>
          <w:p w14:paraId="0E5B462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72</w:t>
            </w:r>
          </w:p>
        </w:tc>
        <w:tc>
          <w:tcPr>
            <w:tcW w:w="1396" w:type="dxa"/>
            <w:gridSpan w:val="2"/>
            <w:vAlign w:val="center"/>
            <w:hideMark/>
          </w:tcPr>
          <w:p w14:paraId="5E9F93F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59</w:t>
            </w:r>
          </w:p>
        </w:tc>
        <w:tc>
          <w:tcPr>
            <w:tcW w:w="1762" w:type="dxa"/>
            <w:gridSpan w:val="2"/>
            <w:vAlign w:val="center"/>
            <w:hideMark/>
          </w:tcPr>
          <w:p w14:paraId="2AFD763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32</w:t>
            </w:r>
          </w:p>
        </w:tc>
        <w:tc>
          <w:tcPr>
            <w:tcW w:w="1179" w:type="dxa"/>
            <w:vAlign w:val="center"/>
            <w:hideMark/>
          </w:tcPr>
          <w:p w14:paraId="58AC7731"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68</w:t>
            </w:r>
          </w:p>
        </w:tc>
      </w:tr>
      <w:tr w:rsidR="00F53F35" w:rsidRPr="00CA6A46" w14:paraId="795DCA11" w14:textId="77777777" w:rsidTr="00CC1FAF">
        <w:trPr>
          <w:gridAfter w:val="1"/>
          <w:wAfter w:w="585" w:type="dxa"/>
          <w:tblCellSpacing w:w="15" w:type="dxa"/>
        </w:trPr>
        <w:tc>
          <w:tcPr>
            <w:tcW w:w="2121" w:type="dxa"/>
            <w:gridSpan w:val="2"/>
            <w:vAlign w:val="center"/>
            <w:hideMark/>
          </w:tcPr>
          <w:p w14:paraId="2BF48D8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Kurunegala</w:t>
            </w:r>
          </w:p>
        </w:tc>
        <w:tc>
          <w:tcPr>
            <w:tcW w:w="1494" w:type="dxa"/>
            <w:gridSpan w:val="2"/>
            <w:vAlign w:val="center"/>
            <w:hideMark/>
          </w:tcPr>
          <w:p w14:paraId="5FE6A21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56</w:t>
            </w:r>
          </w:p>
        </w:tc>
        <w:tc>
          <w:tcPr>
            <w:tcW w:w="1213" w:type="dxa"/>
            <w:gridSpan w:val="2"/>
            <w:vAlign w:val="center"/>
            <w:hideMark/>
          </w:tcPr>
          <w:p w14:paraId="2DE5976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53</w:t>
            </w:r>
          </w:p>
        </w:tc>
        <w:tc>
          <w:tcPr>
            <w:tcW w:w="1396" w:type="dxa"/>
            <w:gridSpan w:val="2"/>
            <w:vAlign w:val="center"/>
            <w:hideMark/>
          </w:tcPr>
          <w:p w14:paraId="5BEE7A6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24</w:t>
            </w:r>
          </w:p>
        </w:tc>
        <w:tc>
          <w:tcPr>
            <w:tcW w:w="1762" w:type="dxa"/>
            <w:gridSpan w:val="2"/>
            <w:vAlign w:val="center"/>
            <w:hideMark/>
          </w:tcPr>
          <w:p w14:paraId="66DB74E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49</w:t>
            </w:r>
          </w:p>
        </w:tc>
        <w:tc>
          <w:tcPr>
            <w:tcW w:w="1179" w:type="dxa"/>
            <w:vAlign w:val="center"/>
            <w:hideMark/>
          </w:tcPr>
          <w:p w14:paraId="0C216CF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55</w:t>
            </w:r>
          </w:p>
        </w:tc>
      </w:tr>
      <w:tr w:rsidR="00F53F35" w:rsidRPr="00CA6A46" w14:paraId="224151C5" w14:textId="77777777" w:rsidTr="00CC1FAF">
        <w:trPr>
          <w:gridAfter w:val="1"/>
          <w:wAfter w:w="585" w:type="dxa"/>
          <w:tblCellSpacing w:w="15" w:type="dxa"/>
        </w:trPr>
        <w:tc>
          <w:tcPr>
            <w:tcW w:w="2121" w:type="dxa"/>
            <w:gridSpan w:val="2"/>
            <w:vAlign w:val="center"/>
            <w:hideMark/>
          </w:tcPr>
          <w:p w14:paraId="1E1DF0EE"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lastRenderedPageBreak/>
              <w:t>Gampaha</w:t>
            </w:r>
          </w:p>
        </w:tc>
        <w:tc>
          <w:tcPr>
            <w:tcW w:w="1494" w:type="dxa"/>
            <w:gridSpan w:val="2"/>
            <w:vAlign w:val="center"/>
            <w:hideMark/>
          </w:tcPr>
          <w:p w14:paraId="7DB08C9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45</w:t>
            </w:r>
          </w:p>
        </w:tc>
        <w:tc>
          <w:tcPr>
            <w:tcW w:w="1213" w:type="dxa"/>
            <w:gridSpan w:val="2"/>
            <w:vAlign w:val="center"/>
            <w:hideMark/>
          </w:tcPr>
          <w:p w14:paraId="790E442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41</w:t>
            </w:r>
          </w:p>
        </w:tc>
        <w:tc>
          <w:tcPr>
            <w:tcW w:w="1396" w:type="dxa"/>
            <w:gridSpan w:val="2"/>
            <w:vAlign w:val="center"/>
            <w:hideMark/>
          </w:tcPr>
          <w:p w14:paraId="335ABC4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c>
          <w:tcPr>
            <w:tcW w:w="1762" w:type="dxa"/>
            <w:gridSpan w:val="2"/>
            <w:vAlign w:val="center"/>
            <w:hideMark/>
          </w:tcPr>
          <w:p w14:paraId="3AF5DDB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43</w:t>
            </w:r>
          </w:p>
        </w:tc>
        <w:tc>
          <w:tcPr>
            <w:tcW w:w="1179" w:type="dxa"/>
            <w:vAlign w:val="center"/>
            <w:hideMark/>
          </w:tcPr>
          <w:p w14:paraId="05477ADE"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41</w:t>
            </w:r>
          </w:p>
        </w:tc>
      </w:tr>
      <w:tr w:rsidR="00F53F35" w:rsidRPr="00CA6A46" w14:paraId="55B07214" w14:textId="77777777" w:rsidTr="00CC1FAF">
        <w:trPr>
          <w:gridAfter w:val="1"/>
          <w:wAfter w:w="585" w:type="dxa"/>
          <w:tblCellSpacing w:w="15" w:type="dxa"/>
        </w:trPr>
        <w:tc>
          <w:tcPr>
            <w:tcW w:w="2121" w:type="dxa"/>
            <w:gridSpan w:val="2"/>
            <w:vAlign w:val="center"/>
            <w:hideMark/>
          </w:tcPr>
          <w:p w14:paraId="3EEAB21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Puttalam</w:t>
            </w:r>
          </w:p>
        </w:tc>
        <w:tc>
          <w:tcPr>
            <w:tcW w:w="1494" w:type="dxa"/>
            <w:gridSpan w:val="2"/>
            <w:vAlign w:val="center"/>
            <w:hideMark/>
          </w:tcPr>
          <w:p w14:paraId="4CBF90D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29</w:t>
            </w:r>
          </w:p>
        </w:tc>
        <w:tc>
          <w:tcPr>
            <w:tcW w:w="1213" w:type="dxa"/>
            <w:gridSpan w:val="2"/>
            <w:vAlign w:val="center"/>
            <w:hideMark/>
          </w:tcPr>
          <w:p w14:paraId="6C24A2E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24</w:t>
            </w:r>
          </w:p>
        </w:tc>
        <w:tc>
          <w:tcPr>
            <w:tcW w:w="1396" w:type="dxa"/>
            <w:gridSpan w:val="2"/>
            <w:vAlign w:val="center"/>
            <w:hideMark/>
          </w:tcPr>
          <w:p w14:paraId="548A827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w:t>
            </w:r>
          </w:p>
        </w:tc>
        <w:tc>
          <w:tcPr>
            <w:tcW w:w="1762" w:type="dxa"/>
            <w:gridSpan w:val="2"/>
            <w:vAlign w:val="center"/>
            <w:hideMark/>
          </w:tcPr>
          <w:p w14:paraId="60BBBD2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7</w:t>
            </w:r>
          </w:p>
        </w:tc>
        <w:tc>
          <w:tcPr>
            <w:tcW w:w="1179" w:type="dxa"/>
            <w:vAlign w:val="center"/>
            <w:hideMark/>
          </w:tcPr>
          <w:p w14:paraId="1D54B500"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27</w:t>
            </w:r>
          </w:p>
        </w:tc>
      </w:tr>
      <w:tr w:rsidR="00F53F35" w:rsidRPr="00CA6A46" w14:paraId="41097B1D" w14:textId="77777777" w:rsidTr="00CC1FAF">
        <w:trPr>
          <w:gridAfter w:val="1"/>
          <w:wAfter w:w="585" w:type="dxa"/>
          <w:tblCellSpacing w:w="15" w:type="dxa"/>
        </w:trPr>
        <w:tc>
          <w:tcPr>
            <w:tcW w:w="2121" w:type="dxa"/>
            <w:gridSpan w:val="2"/>
            <w:vAlign w:val="center"/>
            <w:hideMark/>
          </w:tcPr>
          <w:p w14:paraId="6D154221"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Kandy</w:t>
            </w:r>
          </w:p>
        </w:tc>
        <w:tc>
          <w:tcPr>
            <w:tcW w:w="1494" w:type="dxa"/>
            <w:gridSpan w:val="2"/>
            <w:vAlign w:val="center"/>
            <w:hideMark/>
          </w:tcPr>
          <w:p w14:paraId="6396D62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28</w:t>
            </w:r>
          </w:p>
        </w:tc>
        <w:tc>
          <w:tcPr>
            <w:tcW w:w="1213" w:type="dxa"/>
            <w:gridSpan w:val="2"/>
            <w:vAlign w:val="center"/>
            <w:hideMark/>
          </w:tcPr>
          <w:p w14:paraId="2CA2CB9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6</w:t>
            </w:r>
          </w:p>
        </w:tc>
        <w:tc>
          <w:tcPr>
            <w:tcW w:w="1396" w:type="dxa"/>
            <w:gridSpan w:val="2"/>
            <w:vAlign w:val="center"/>
            <w:hideMark/>
          </w:tcPr>
          <w:p w14:paraId="7C68705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0</w:t>
            </w:r>
          </w:p>
        </w:tc>
        <w:tc>
          <w:tcPr>
            <w:tcW w:w="1762" w:type="dxa"/>
            <w:gridSpan w:val="2"/>
            <w:vAlign w:val="center"/>
            <w:hideMark/>
          </w:tcPr>
          <w:p w14:paraId="4DAB6ED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23</w:t>
            </w:r>
          </w:p>
        </w:tc>
        <w:tc>
          <w:tcPr>
            <w:tcW w:w="1179" w:type="dxa"/>
            <w:vAlign w:val="center"/>
            <w:hideMark/>
          </w:tcPr>
          <w:p w14:paraId="44C7D37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w:t>
            </w:r>
          </w:p>
        </w:tc>
      </w:tr>
      <w:tr w:rsidR="00F53F35" w:rsidRPr="00CA6A46" w14:paraId="69A99923" w14:textId="77777777" w:rsidTr="00CC1FAF">
        <w:trPr>
          <w:gridAfter w:val="1"/>
          <w:wAfter w:w="585" w:type="dxa"/>
          <w:tblCellSpacing w:w="15" w:type="dxa"/>
        </w:trPr>
        <w:tc>
          <w:tcPr>
            <w:tcW w:w="2121" w:type="dxa"/>
            <w:gridSpan w:val="2"/>
            <w:vAlign w:val="center"/>
            <w:hideMark/>
          </w:tcPr>
          <w:p w14:paraId="23C4E86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Colombo</w:t>
            </w:r>
          </w:p>
        </w:tc>
        <w:tc>
          <w:tcPr>
            <w:tcW w:w="1494" w:type="dxa"/>
            <w:gridSpan w:val="2"/>
            <w:vAlign w:val="center"/>
            <w:hideMark/>
          </w:tcPr>
          <w:p w14:paraId="5415256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28</w:t>
            </w:r>
          </w:p>
        </w:tc>
        <w:tc>
          <w:tcPr>
            <w:tcW w:w="1213" w:type="dxa"/>
            <w:gridSpan w:val="2"/>
            <w:vAlign w:val="center"/>
            <w:hideMark/>
          </w:tcPr>
          <w:p w14:paraId="4A4842F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23</w:t>
            </w:r>
          </w:p>
        </w:tc>
        <w:tc>
          <w:tcPr>
            <w:tcW w:w="1396" w:type="dxa"/>
            <w:gridSpan w:val="2"/>
            <w:vAlign w:val="center"/>
            <w:hideMark/>
          </w:tcPr>
          <w:p w14:paraId="513E158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w:t>
            </w:r>
          </w:p>
        </w:tc>
        <w:tc>
          <w:tcPr>
            <w:tcW w:w="1762" w:type="dxa"/>
            <w:gridSpan w:val="2"/>
            <w:vAlign w:val="center"/>
            <w:hideMark/>
          </w:tcPr>
          <w:p w14:paraId="55CD02C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24</w:t>
            </w:r>
          </w:p>
        </w:tc>
        <w:tc>
          <w:tcPr>
            <w:tcW w:w="1179" w:type="dxa"/>
            <w:vAlign w:val="center"/>
            <w:hideMark/>
          </w:tcPr>
          <w:p w14:paraId="34EFAC1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23</w:t>
            </w:r>
          </w:p>
        </w:tc>
      </w:tr>
      <w:tr w:rsidR="00F53F35" w:rsidRPr="00CA6A46" w14:paraId="6230D3CC" w14:textId="77777777" w:rsidTr="00CC1FAF">
        <w:trPr>
          <w:gridAfter w:val="1"/>
          <w:wAfter w:w="585" w:type="dxa"/>
          <w:tblCellSpacing w:w="15" w:type="dxa"/>
        </w:trPr>
        <w:tc>
          <w:tcPr>
            <w:tcW w:w="2121" w:type="dxa"/>
            <w:gridSpan w:val="2"/>
            <w:vAlign w:val="center"/>
            <w:hideMark/>
          </w:tcPr>
          <w:p w14:paraId="2A64C90E"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Kegalle</w:t>
            </w:r>
          </w:p>
        </w:tc>
        <w:tc>
          <w:tcPr>
            <w:tcW w:w="1494" w:type="dxa"/>
            <w:gridSpan w:val="2"/>
            <w:vAlign w:val="center"/>
            <w:hideMark/>
          </w:tcPr>
          <w:p w14:paraId="7781E2C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26</w:t>
            </w:r>
          </w:p>
        </w:tc>
        <w:tc>
          <w:tcPr>
            <w:tcW w:w="1213" w:type="dxa"/>
            <w:gridSpan w:val="2"/>
            <w:vAlign w:val="center"/>
            <w:hideMark/>
          </w:tcPr>
          <w:p w14:paraId="4CE6753D"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26</w:t>
            </w:r>
          </w:p>
        </w:tc>
        <w:tc>
          <w:tcPr>
            <w:tcW w:w="1396" w:type="dxa"/>
            <w:gridSpan w:val="2"/>
            <w:vAlign w:val="center"/>
            <w:hideMark/>
          </w:tcPr>
          <w:p w14:paraId="402C89C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26</w:t>
            </w:r>
          </w:p>
        </w:tc>
        <w:tc>
          <w:tcPr>
            <w:tcW w:w="1762" w:type="dxa"/>
            <w:gridSpan w:val="2"/>
            <w:vAlign w:val="center"/>
            <w:hideMark/>
          </w:tcPr>
          <w:p w14:paraId="07AEE20D"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25</w:t>
            </w:r>
          </w:p>
        </w:tc>
        <w:tc>
          <w:tcPr>
            <w:tcW w:w="1179" w:type="dxa"/>
            <w:vAlign w:val="center"/>
            <w:hideMark/>
          </w:tcPr>
          <w:p w14:paraId="5B22D421"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24</w:t>
            </w:r>
          </w:p>
        </w:tc>
      </w:tr>
      <w:tr w:rsidR="00F53F35" w:rsidRPr="00CA6A46" w14:paraId="639EC2EC" w14:textId="77777777" w:rsidTr="00CC1FAF">
        <w:trPr>
          <w:gridAfter w:val="1"/>
          <w:wAfter w:w="585" w:type="dxa"/>
          <w:tblCellSpacing w:w="15" w:type="dxa"/>
        </w:trPr>
        <w:tc>
          <w:tcPr>
            <w:tcW w:w="2121" w:type="dxa"/>
            <w:gridSpan w:val="2"/>
            <w:vAlign w:val="center"/>
            <w:hideMark/>
          </w:tcPr>
          <w:p w14:paraId="063A22D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Galle</w:t>
            </w:r>
          </w:p>
        </w:tc>
        <w:tc>
          <w:tcPr>
            <w:tcW w:w="1494" w:type="dxa"/>
            <w:gridSpan w:val="2"/>
            <w:vAlign w:val="center"/>
            <w:hideMark/>
          </w:tcPr>
          <w:p w14:paraId="7F572A8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24</w:t>
            </w:r>
          </w:p>
        </w:tc>
        <w:tc>
          <w:tcPr>
            <w:tcW w:w="1213" w:type="dxa"/>
            <w:gridSpan w:val="2"/>
            <w:vAlign w:val="center"/>
            <w:hideMark/>
          </w:tcPr>
          <w:p w14:paraId="4E07857D"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23</w:t>
            </w:r>
          </w:p>
        </w:tc>
        <w:tc>
          <w:tcPr>
            <w:tcW w:w="1396" w:type="dxa"/>
            <w:gridSpan w:val="2"/>
            <w:vAlign w:val="center"/>
            <w:hideMark/>
          </w:tcPr>
          <w:p w14:paraId="1198DD6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5</w:t>
            </w:r>
          </w:p>
        </w:tc>
        <w:tc>
          <w:tcPr>
            <w:tcW w:w="1762" w:type="dxa"/>
            <w:gridSpan w:val="2"/>
            <w:vAlign w:val="center"/>
            <w:hideMark/>
          </w:tcPr>
          <w:p w14:paraId="3072C62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17</w:t>
            </w:r>
          </w:p>
        </w:tc>
        <w:tc>
          <w:tcPr>
            <w:tcW w:w="1179" w:type="dxa"/>
            <w:vAlign w:val="center"/>
            <w:hideMark/>
          </w:tcPr>
          <w:p w14:paraId="3E29C60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24</w:t>
            </w:r>
          </w:p>
        </w:tc>
      </w:tr>
      <w:tr w:rsidR="00F53F35" w:rsidRPr="00CA6A46" w14:paraId="1EAFECA9" w14:textId="77777777" w:rsidTr="00CC1FAF">
        <w:trPr>
          <w:gridAfter w:val="1"/>
          <w:wAfter w:w="585" w:type="dxa"/>
          <w:tblCellSpacing w:w="15" w:type="dxa"/>
        </w:trPr>
        <w:tc>
          <w:tcPr>
            <w:tcW w:w="2121" w:type="dxa"/>
            <w:gridSpan w:val="2"/>
            <w:vAlign w:val="center"/>
            <w:hideMark/>
          </w:tcPr>
          <w:p w14:paraId="5CA8C36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Anuradhapura</w:t>
            </w:r>
          </w:p>
        </w:tc>
        <w:tc>
          <w:tcPr>
            <w:tcW w:w="1494" w:type="dxa"/>
            <w:gridSpan w:val="2"/>
            <w:vAlign w:val="center"/>
            <w:hideMark/>
          </w:tcPr>
          <w:p w14:paraId="515D474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22</w:t>
            </w:r>
          </w:p>
        </w:tc>
        <w:tc>
          <w:tcPr>
            <w:tcW w:w="1213" w:type="dxa"/>
            <w:gridSpan w:val="2"/>
            <w:vAlign w:val="center"/>
            <w:hideMark/>
          </w:tcPr>
          <w:p w14:paraId="0284F24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22</w:t>
            </w:r>
          </w:p>
        </w:tc>
        <w:tc>
          <w:tcPr>
            <w:tcW w:w="1396" w:type="dxa"/>
            <w:gridSpan w:val="2"/>
            <w:vAlign w:val="center"/>
            <w:hideMark/>
          </w:tcPr>
          <w:p w14:paraId="414F1BB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w:t>
            </w:r>
          </w:p>
        </w:tc>
        <w:tc>
          <w:tcPr>
            <w:tcW w:w="1762" w:type="dxa"/>
            <w:gridSpan w:val="2"/>
            <w:vAlign w:val="center"/>
            <w:hideMark/>
          </w:tcPr>
          <w:p w14:paraId="12E7A68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21</w:t>
            </w:r>
          </w:p>
        </w:tc>
        <w:tc>
          <w:tcPr>
            <w:tcW w:w="1179" w:type="dxa"/>
            <w:vAlign w:val="center"/>
            <w:hideMark/>
          </w:tcPr>
          <w:p w14:paraId="5BEC98D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22</w:t>
            </w:r>
          </w:p>
        </w:tc>
      </w:tr>
      <w:tr w:rsidR="00F53F35" w:rsidRPr="00CA6A46" w14:paraId="74FBF2FE" w14:textId="77777777" w:rsidTr="00CC1FAF">
        <w:trPr>
          <w:gridAfter w:val="1"/>
          <w:wAfter w:w="585" w:type="dxa"/>
          <w:tblCellSpacing w:w="15" w:type="dxa"/>
        </w:trPr>
        <w:tc>
          <w:tcPr>
            <w:tcW w:w="2121" w:type="dxa"/>
            <w:gridSpan w:val="2"/>
            <w:vAlign w:val="center"/>
            <w:hideMark/>
          </w:tcPr>
          <w:p w14:paraId="5E16DB9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Nuwara Eliya</w:t>
            </w:r>
          </w:p>
        </w:tc>
        <w:tc>
          <w:tcPr>
            <w:tcW w:w="1494" w:type="dxa"/>
            <w:gridSpan w:val="2"/>
            <w:vAlign w:val="center"/>
            <w:hideMark/>
          </w:tcPr>
          <w:p w14:paraId="2DF34C0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22</w:t>
            </w:r>
          </w:p>
        </w:tc>
        <w:tc>
          <w:tcPr>
            <w:tcW w:w="1213" w:type="dxa"/>
            <w:gridSpan w:val="2"/>
            <w:vAlign w:val="center"/>
            <w:hideMark/>
          </w:tcPr>
          <w:p w14:paraId="69B7B0E1"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19</w:t>
            </w:r>
          </w:p>
        </w:tc>
        <w:tc>
          <w:tcPr>
            <w:tcW w:w="1396" w:type="dxa"/>
            <w:gridSpan w:val="2"/>
            <w:vAlign w:val="center"/>
            <w:hideMark/>
          </w:tcPr>
          <w:p w14:paraId="4709A4DE"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0</w:t>
            </w:r>
          </w:p>
        </w:tc>
        <w:tc>
          <w:tcPr>
            <w:tcW w:w="1762" w:type="dxa"/>
            <w:gridSpan w:val="2"/>
            <w:vAlign w:val="center"/>
            <w:hideMark/>
          </w:tcPr>
          <w:p w14:paraId="5806BF8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16</w:t>
            </w:r>
          </w:p>
        </w:tc>
        <w:tc>
          <w:tcPr>
            <w:tcW w:w="1179" w:type="dxa"/>
            <w:vAlign w:val="center"/>
            <w:hideMark/>
          </w:tcPr>
          <w:p w14:paraId="15EE6095"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22</w:t>
            </w:r>
          </w:p>
        </w:tc>
      </w:tr>
      <w:tr w:rsidR="00F53F35" w:rsidRPr="00CA6A46" w14:paraId="6D96738B" w14:textId="77777777" w:rsidTr="00CC1FAF">
        <w:trPr>
          <w:gridAfter w:val="1"/>
          <w:wAfter w:w="585" w:type="dxa"/>
          <w:tblCellSpacing w:w="15" w:type="dxa"/>
        </w:trPr>
        <w:tc>
          <w:tcPr>
            <w:tcW w:w="2121" w:type="dxa"/>
            <w:gridSpan w:val="2"/>
            <w:vAlign w:val="center"/>
            <w:hideMark/>
          </w:tcPr>
          <w:p w14:paraId="00A5E35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Polonnaruwa</w:t>
            </w:r>
          </w:p>
        </w:tc>
        <w:tc>
          <w:tcPr>
            <w:tcW w:w="1494" w:type="dxa"/>
            <w:gridSpan w:val="2"/>
            <w:vAlign w:val="center"/>
            <w:hideMark/>
          </w:tcPr>
          <w:p w14:paraId="770EB41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c>
          <w:tcPr>
            <w:tcW w:w="1213" w:type="dxa"/>
            <w:gridSpan w:val="2"/>
            <w:vAlign w:val="center"/>
            <w:hideMark/>
          </w:tcPr>
          <w:p w14:paraId="0A20383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c>
          <w:tcPr>
            <w:tcW w:w="1396" w:type="dxa"/>
            <w:gridSpan w:val="2"/>
            <w:vAlign w:val="center"/>
            <w:hideMark/>
          </w:tcPr>
          <w:p w14:paraId="111880A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w:t>
            </w:r>
          </w:p>
        </w:tc>
        <w:tc>
          <w:tcPr>
            <w:tcW w:w="1762" w:type="dxa"/>
            <w:gridSpan w:val="2"/>
            <w:vAlign w:val="center"/>
            <w:hideMark/>
          </w:tcPr>
          <w:p w14:paraId="740C39C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13</w:t>
            </w:r>
          </w:p>
        </w:tc>
        <w:tc>
          <w:tcPr>
            <w:tcW w:w="1179" w:type="dxa"/>
            <w:vAlign w:val="center"/>
            <w:hideMark/>
          </w:tcPr>
          <w:p w14:paraId="14110FC3"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r>
      <w:tr w:rsidR="00F53F35" w:rsidRPr="00CA6A46" w14:paraId="0AB85F5E" w14:textId="77777777" w:rsidTr="00CC1FAF">
        <w:trPr>
          <w:gridAfter w:val="1"/>
          <w:wAfter w:w="585" w:type="dxa"/>
          <w:tblCellSpacing w:w="15" w:type="dxa"/>
        </w:trPr>
        <w:tc>
          <w:tcPr>
            <w:tcW w:w="2121" w:type="dxa"/>
            <w:gridSpan w:val="2"/>
            <w:vAlign w:val="center"/>
            <w:hideMark/>
          </w:tcPr>
          <w:p w14:paraId="3FDB952E"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Ampara</w:t>
            </w:r>
          </w:p>
        </w:tc>
        <w:tc>
          <w:tcPr>
            <w:tcW w:w="1494" w:type="dxa"/>
            <w:gridSpan w:val="2"/>
            <w:vAlign w:val="center"/>
            <w:hideMark/>
          </w:tcPr>
          <w:p w14:paraId="65F6DEF3"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c>
          <w:tcPr>
            <w:tcW w:w="1213" w:type="dxa"/>
            <w:gridSpan w:val="2"/>
            <w:vAlign w:val="center"/>
            <w:hideMark/>
          </w:tcPr>
          <w:p w14:paraId="4AD3F6EE"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c>
          <w:tcPr>
            <w:tcW w:w="1396" w:type="dxa"/>
            <w:gridSpan w:val="2"/>
            <w:vAlign w:val="center"/>
            <w:hideMark/>
          </w:tcPr>
          <w:p w14:paraId="40B4DC75"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3</w:t>
            </w:r>
          </w:p>
        </w:tc>
        <w:tc>
          <w:tcPr>
            <w:tcW w:w="1762" w:type="dxa"/>
            <w:gridSpan w:val="2"/>
            <w:vAlign w:val="center"/>
            <w:hideMark/>
          </w:tcPr>
          <w:p w14:paraId="757A3FB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12</w:t>
            </w:r>
          </w:p>
        </w:tc>
        <w:tc>
          <w:tcPr>
            <w:tcW w:w="1179" w:type="dxa"/>
            <w:vAlign w:val="center"/>
            <w:hideMark/>
          </w:tcPr>
          <w:p w14:paraId="6DEBD0D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r>
      <w:tr w:rsidR="00F53F35" w:rsidRPr="00CA6A46" w14:paraId="56DA8204" w14:textId="77777777" w:rsidTr="00CC1FAF">
        <w:trPr>
          <w:gridAfter w:val="1"/>
          <w:wAfter w:w="585" w:type="dxa"/>
          <w:tblCellSpacing w:w="15" w:type="dxa"/>
        </w:trPr>
        <w:tc>
          <w:tcPr>
            <w:tcW w:w="2121" w:type="dxa"/>
            <w:gridSpan w:val="2"/>
            <w:vAlign w:val="center"/>
            <w:hideMark/>
          </w:tcPr>
          <w:p w14:paraId="5E2F4BB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Matara</w:t>
            </w:r>
          </w:p>
        </w:tc>
        <w:tc>
          <w:tcPr>
            <w:tcW w:w="1494" w:type="dxa"/>
            <w:gridSpan w:val="2"/>
            <w:vAlign w:val="center"/>
            <w:hideMark/>
          </w:tcPr>
          <w:p w14:paraId="5778E95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c>
          <w:tcPr>
            <w:tcW w:w="1213" w:type="dxa"/>
            <w:gridSpan w:val="2"/>
            <w:vAlign w:val="center"/>
            <w:hideMark/>
          </w:tcPr>
          <w:p w14:paraId="549CDFC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c>
          <w:tcPr>
            <w:tcW w:w="1396" w:type="dxa"/>
            <w:gridSpan w:val="2"/>
            <w:vAlign w:val="center"/>
            <w:hideMark/>
          </w:tcPr>
          <w:p w14:paraId="2142F84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0</w:t>
            </w:r>
          </w:p>
        </w:tc>
        <w:tc>
          <w:tcPr>
            <w:tcW w:w="1762" w:type="dxa"/>
            <w:gridSpan w:val="2"/>
            <w:vAlign w:val="center"/>
            <w:hideMark/>
          </w:tcPr>
          <w:p w14:paraId="213C24E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c>
          <w:tcPr>
            <w:tcW w:w="1179" w:type="dxa"/>
            <w:vAlign w:val="center"/>
            <w:hideMark/>
          </w:tcPr>
          <w:p w14:paraId="1B604241"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18</w:t>
            </w:r>
          </w:p>
        </w:tc>
      </w:tr>
      <w:tr w:rsidR="00F53F35" w:rsidRPr="00CA6A46" w14:paraId="4905ABEE" w14:textId="77777777" w:rsidTr="00CC1FAF">
        <w:trPr>
          <w:gridAfter w:val="1"/>
          <w:wAfter w:w="585" w:type="dxa"/>
          <w:tblCellSpacing w:w="15" w:type="dxa"/>
        </w:trPr>
        <w:tc>
          <w:tcPr>
            <w:tcW w:w="2121" w:type="dxa"/>
            <w:gridSpan w:val="2"/>
            <w:vAlign w:val="center"/>
            <w:hideMark/>
          </w:tcPr>
          <w:p w14:paraId="17BABB75"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Jaffna</w:t>
            </w:r>
          </w:p>
        </w:tc>
        <w:tc>
          <w:tcPr>
            <w:tcW w:w="1494" w:type="dxa"/>
            <w:gridSpan w:val="2"/>
            <w:vAlign w:val="center"/>
            <w:hideMark/>
          </w:tcPr>
          <w:p w14:paraId="71B62F7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17</w:t>
            </w:r>
          </w:p>
        </w:tc>
        <w:tc>
          <w:tcPr>
            <w:tcW w:w="1213" w:type="dxa"/>
            <w:gridSpan w:val="2"/>
            <w:vAlign w:val="center"/>
            <w:hideMark/>
          </w:tcPr>
          <w:p w14:paraId="7548291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15</w:t>
            </w:r>
          </w:p>
        </w:tc>
        <w:tc>
          <w:tcPr>
            <w:tcW w:w="1396" w:type="dxa"/>
            <w:gridSpan w:val="2"/>
            <w:vAlign w:val="center"/>
            <w:hideMark/>
          </w:tcPr>
          <w:p w14:paraId="6C5D6C8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0</w:t>
            </w:r>
          </w:p>
        </w:tc>
        <w:tc>
          <w:tcPr>
            <w:tcW w:w="1762" w:type="dxa"/>
            <w:gridSpan w:val="2"/>
            <w:vAlign w:val="center"/>
            <w:hideMark/>
          </w:tcPr>
          <w:p w14:paraId="5719B67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14</w:t>
            </w:r>
          </w:p>
        </w:tc>
        <w:tc>
          <w:tcPr>
            <w:tcW w:w="1179" w:type="dxa"/>
            <w:vAlign w:val="center"/>
            <w:hideMark/>
          </w:tcPr>
          <w:p w14:paraId="107A907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15</w:t>
            </w:r>
          </w:p>
        </w:tc>
      </w:tr>
      <w:tr w:rsidR="00F53F35" w:rsidRPr="00CA6A46" w14:paraId="17DFD144" w14:textId="77777777" w:rsidTr="00CC1FAF">
        <w:trPr>
          <w:gridAfter w:val="1"/>
          <w:wAfter w:w="585" w:type="dxa"/>
          <w:tblCellSpacing w:w="15" w:type="dxa"/>
        </w:trPr>
        <w:tc>
          <w:tcPr>
            <w:tcW w:w="2121" w:type="dxa"/>
            <w:gridSpan w:val="2"/>
            <w:vAlign w:val="center"/>
            <w:hideMark/>
          </w:tcPr>
          <w:p w14:paraId="79A19CD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Badulla</w:t>
            </w:r>
          </w:p>
        </w:tc>
        <w:tc>
          <w:tcPr>
            <w:tcW w:w="1494" w:type="dxa"/>
            <w:gridSpan w:val="2"/>
            <w:vAlign w:val="center"/>
            <w:hideMark/>
          </w:tcPr>
          <w:p w14:paraId="480B5DC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17</w:t>
            </w:r>
          </w:p>
        </w:tc>
        <w:tc>
          <w:tcPr>
            <w:tcW w:w="1213" w:type="dxa"/>
            <w:gridSpan w:val="2"/>
            <w:vAlign w:val="center"/>
            <w:hideMark/>
          </w:tcPr>
          <w:p w14:paraId="77190AB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17</w:t>
            </w:r>
          </w:p>
        </w:tc>
        <w:tc>
          <w:tcPr>
            <w:tcW w:w="1396" w:type="dxa"/>
            <w:gridSpan w:val="2"/>
            <w:vAlign w:val="center"/>
            <w:hideMark/>
          </w:tcPr>
          <w:p w14:paraId="16BDA2A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6</w:t>
            </w:r>
          </w:p>
        </w:tc>
        <w:tc>
          <w:tcPr>
            <w:tcW w:w="1762" w:type="dxa"/>
            <w:gridSpan w:val="2"/>
            <w:vAlign w:val="center"/>
            <w:hideMark/>
          </w:tcPr>
          <w:p w14:paraId="041641F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17</w:t>
            </w:r>
          </w:p>
        </w:tc>
        <w:tc>
          <w:tcPr>
            <w:tcW w:w="1179" w:type="dxa"/>
            <w:vAlign w:val="center"/>
            <w:hideMark/>
          </w:tcPr>
          <w:p w14:paraId="64EDF513"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17</w:t>
            </w:r>
          </w:p>
        </w:tc>
      </w:tr>
      <w:tr w:rsidR="00F53F35" w:rsidRPr="00CA6A46" w14:paraId="23808097" w14:textId="77777777" w:rsidTr="00CC1FAF">
        <w:trPr>
          <w:gridAfter w:val="1"/>
          <w:wAfter w:w="585" w:type="dxa"/>
          <w:tblCellSpacing w:w="15" w:type="dxa"/>
        </w:trPr>
        <w:tc>
          <w:tcPr>
            <w:tcW w:w="2121" w:type="dxa"/>
            <w:gridSpan w:val="2"/>
            <w:vAlign w:val="center"/>
            <w:hideMark/>
          </w:tcPr>
          <w:p w14:paraId="006BDEB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Trincomalee</w:t>
            </w:r>
          </w:p>
        </w:tc>
        <w:tc>
          <w:tcPr>
            <w:tcW w:w="1494" w:type="dxa"/>
            <w:gridSpan w:val="2"/>
            <w:vAlign w:val="center"/>
            <w:hideMark/>
          </w:tcPr>
          <w:p w14:paraId="454CEBF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17</w:t>
            </w:r>
          </w:p>
        </w:tc>
        <w:tc>
          <w:tcPr>
            <w:tcW w:w="1213" w:type="dxa"/>
            <w:gridSpan w:val="2"/>
            <w:vAlign w:val="center"/>
            <w:hideMark/>
          </w:tcPr>
          <w:p w14:paraId="33059E3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17</w:t>
            </w:r>
          </w:p>
        </w:tc>
        <w:tc>
          <w:tcPr>
            <w:tcW w:w="1396" w:type="dxa"/>
            <w:gridSpan w:val="2"/>
            <w:vAlign w:val="center"/>
            <w:hideMark/>
          </w:tcPr>
          <w:p w14:paraId="799301A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3</w:t>
            </w:r>
          </w:p>
        </w:tc>
        <w:tc>
          <w:tcPr>
            <w:tcW w:w="1762" w:type="dxa"/>
            <w:gridSpan w:val="2"/>
            <w:vAlign w:val="center"/>
            <w:hideMark/>
          </w:tcPr>
          <w:p w14:paraId="17B3A94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5</w:t>
            </w:r>
          </w:p>
        </w:tc>
        <w:tc>
          <w:tcPr>
            <w:tcW w:w="1179" w:type="dxa"/>
            <w:vAlign w:val="center"/>
            <w:hideMark/>
          </w:tcPr>
          <w:p w14:paraId="6270FC00"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16</w:t>
            </w:r>
          </w:p>
        </w:tc>
      </w:tr>
      <w:tr w:rsidR="00F53F35" w:rsidRPr="00CA6A46" w14:paraId="5BD4C0AF" w14:textId="77777777" w:rsidTr="00CC1FAF">
        <w:trPr>
          <w:gridAfter w:val="1"/>
          <w:wAfter w:w="585" w:type="dxa"/>
          <w:tblCellSpacing w:w="15" w:type="dxa"/>
        </w:trPr>
        <w:tc>
          <w:tcPr>
            <w:tcW w:w="2121" w:type="dxa"/>
            <w:gridSpan w:val="2"/>
            <w:vAlign w:val="center"/>
            <w:hideMark/>
          </w:tcPr>
          <w:p w14:paraId="13D1EC9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Batticaloa</w:t>
            </w:r>
          </w:p>
        </w:tc>
        <w:tc>
          <w:tcPr>
            <w:tcW w:w="1494" w:type="dxa"/>
            <w:gridSpan w:val="2"/>
            <w:vAlign w:val="center"/>
            <w:hideMark/>
          </w:tcPr>
          <w:p w14:paraId="776EE8A5"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14</w:t>
            </w:r>
          </w:p>
        </w:tc>
        <w:tc>
          <w:tcPr>
            <w:tcW w:w="1213" w:type="dxa"/>
            <w:gridSpan w:val="2"/>
            <w:vAlign w:val="center"/>
            <w:hideMark/>
          </w:tcPr>
          <w:p w14:paraId="74E0092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14</w:t>
            </w:r>
          </w:p>
        </w:tc>
        <w:tc>
          <w:tcPr>
            <w:tcW w:w="1396" w:type="dxa"/>
            <w:gridSpan w:val="2"/>
            <w:vAlign w:val="center"/>
            <w:hideMark/>
          </w:tcPr>
          <w:p w14:paraId="51CD4B0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w:t>
            </w:r>
          </w:p>
        </w:tc>
        <w:tc>
          <w:tcPr>
            <w:tcW w:w="1762" w:type="dxa"/>
            <w:gridSpan w:val="2"/>
            <w:vAlign w:val="center"/>
            <w:hideMark/>
          </w:tcPr>
          <w:p w14:paraId="4BC44E9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8</w:t>
            </w:r>
          </w:p>
        </w:tc>
        <w:tc>
          <w:tcPr>
            <w:tcW w:w="1179" w:type="dxa"/>
            <w:vAlign w:val="center"/>
            <w:hideMark/>
          </w:tcPr>
          <w:p w14:paraId="4507EB25"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12</w:t>
            </w:r>
          </w:p>
        </w:tc>
      </w:tr>
      <w:tr w:rsidR="00F53F35" w:rsidRPr="00CA6A46" w14:paraId="24061301" w14:textId="77777777" w:rsidTr="00CC1FAF">
        <w:trPr>
          <w:gridAfter w:val="1"/>
          <w:wAfter w:w="585" w:type="dxa"/>
          <w:tblCellSpacing w:w="15" w:type="dxa"/>
        </w:trPr>
        <w:tc>
          <w:tcPr>
            <w:tcW w:w="2121" w:type="dxa"/>
            <w:gridSpan w:val="2"/>
            <w:vAlign w:val="center"/>
            <w:hideMark/>
          </w:tcPr>
          <w:p w14:paraId="0BF0D60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Hambantota</w:t>
            </w:r>
          </w:p>
        </w:tc>
        <w:tc>
          <w:tcPr>
            <w:tcW w:w="1494" w:type="dxa"/>
            <w:gridSpan w:val="2"/>
            <w:vAlign w:val="center"/>
            <w:hideMark/>
          </w:tcPr>
          <w:p w14:paraId="314FF6A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14</w:t>
            </w:r>
          </w:p>
        </w:tc>
        <w:tc>
          <w:tcPr>
            <w:tcW w:w="1213" w:type="dxa"/>
            <w:gridSpan w:val="2"/>
            <w:vAlign w:val="center"/>
            <w:hideMark/>
          </w:tcPr>
          <w:p w14:paraId="63B6474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13</w:t>
            </w:r>
          </w:p>
        </w:tc>
        <w:tc>
          <w:tcPr>
            <w:tcW w:w="1396" w:type="dxa"/>
            <w:gridSpan w:val="2"/>
            <w:vAlign w:val="center"/>
            <w:hideMark/>
          </w:tcPr>
          <w:p w14:paraId="62D923C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0</w:t>
            </w:r>
          </w:p>
        </w:tc>
        <w:tc>
          <w:tcPr>
            <w:tcW w:w="1762" w:type="dxa"/>
            <w:gridSpan w:val="2"/>
            <w:vAlign w:val="center"/>
            <w:hideMark/>
          </w:tcPr>
          <w:p w14:paraId="3F3E002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10</w:t>
            </w:r>
          </w:p>
        </w:tc>
        <w:tc>
          <w:tcPr>
            <w:tcW w:w="1179" w:type="dxa"/>
            <w:vAlign w:val="center"/>
            <w:hideMark/>
          </w:tcPr>
          <w:p w14:paraId="4898ABDD"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14</w:t>
            </w:r>
          </w:p>
        </w:tc>
      </w:tr>
      <w:tr w:rsidR="00F53F35" w:rsidRPr="00CA6A46" w14:paraId="3F34CC69" w14:textId="77777777" w:rsidTr="00CC1FAF">
        <w:trPr>
          <w:gridAfter w:val="1"/>
          <w:wAfter w:w="585" w:type="dxa"/>
          <w:tblCellSpacing w:w="15" w:type="dxa"/>
        </w:trPr>
        <w:tc>
          <w:tcPr>
            <w:tcW w:w="2121" w:type="dxa"/>
            <w:gridSpan w:val="2"/>
            <w:vAlign w:val="center"/>
            <w:hideMark/>
          </w:tcPr>
          <w:p w14:paraId="1813DF6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Matale</w:t>
            </w:r>
          </w:p>
        </w:tc>
        <w:tc>
          <w:tcPr>
            <w:tcW w:w="1494" w:type="dxa"/>
            <w:gridSpan w:val="2"/>
            <w:vAlign w:val="center"/>
            <w:hideMark/>
          </w:tcPr>
          <w:p w14:paraId="4D6E9503"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14</w:t>
            </w:r>
          </w:p>
        </w:tc>
        <w:tc>
          <w:tcPr>
            <w:tcW w:w="1213" w:type="dxa"/>
            <w:gridSpan w:val="2"/>
            <w:vAlign w:val="center"/>
            <w:hideMark/>
          </w:tcPr>
          <w:p w14:paraId="26577413"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13</w:t>
            </w:r>
          </w:p>
        </w:tc>
        <w:tc>
          <w:tcPr>
            <w:tcW w:w="1396" w:type="dxa"/>
            <w:gridSpan w:val="2"/>
            <w:vAlign w:val="center"/>
            <w:hideMark/>
          </w:tcPr>
          <w:p w14:paraId="040CCA8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w:t>
            </w:r>
          </w:p>
        </w:tc>
        <w:tc>
          <w:tcPr>
            <w:tcW w:w="1762" w:type="dxa"/>
            <w:gridSpan w:val="2"/>
            <w:vAlign w:val="center"/>
            <w:hideMark/>
          </w:tcPr>
          <w:p w14:paraId="79C27DC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13</w:t>
            </w:r>
          </w:p>
        </w:tc>
        <w:tc>
          <w:tcPr>
            <w:tcW w:w="1179" w:type="dxa"/>
            <w:vAlign w:val="center"/>
            <w:hideMark/>
          </w:tcPr>
          <w:p w14:paraId="356001E0"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14</w:t>
            </w:r>
          </w:p>
        </w:tc>
      </w:tr>
      <w:tr w:rsidR="00F53F35" w:rsidRPr="00CA6A46" w14:paraId="4833E4D4" w14:textId="77777777" w:rsidTr="00CC1FAF">
        <w:trPr>
          <w:gridAfter w:val="1"/>
          <w:wAfter w:w="585" w:type="dxa"/>
          <w:tblCellSpacing w:w="15" w:type="dxa"/>
        </w:trPr>
        <w:tc>
          <w:tcPr>
            <w:tcW w:w="2121" w:type="dxa"/>
            <w:gridSpan w:val="2"/>
            <w:vAlign w:val="center"/>
            <w:hideMark/>
          </w:tcPr>
          <w:p w14:paraId="6792B06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Mannar</w:t>
            </w:r>
          </w:p>
        </w:tc>
        <w:tc>
          <w:tcPr>
            <w:tcW w:w="1494" w:type="dxa"/>
            <w:gridSpan w:val="2"/>
            <w:vAlign w:val="center"/>
            <w:hideMark/>
          </w:tcPr>
          <w:p w14:paraId="018684F0"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11</w:t>
            </w:r>
          </w:p>
        </w:tc>
        <w:tc>
          <w:tcPr>
            <w:tcW w:w="1213" w:type="dxa"/>
            <w:gridSpan w:val="2"/>
            <w:vAlign w:val="center"/>
            <w:hideMark/>
          </w:tcPr>
          <w:p w14:paraId="20A6A80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11</w:t>
            </w:r>
          </w:p>
        </w:tc>
        <w:tc>
          <w:tcPr>
            <w:tcW w:w="1396" w:type="dxa"/>
            <w:gridSpan w:val="2"/>
            <w:vAlign w:val="center"/>
            <w:hideMark/>
          </w:tcPr>
          <w:p w14:paraId="3489014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0</w:t>
            </w:r>
          </w:p>
        </w:tc>
        <w:tc>
          <w:tcPr>
            <w:tcW w:w="1762" w:type="dxa"/>
            <w:gridSpan w:val="2"/>
            <w:vAlign w:val="center"/>
            <w:hideMark/>
          </w:tcPr>
          <w:p w14:paraId="07026230"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w:t>
            </w:r>
          </w:p>
        </w:tc>
        <w:tc>
          <w:tcPr>
            <w:tcW w:w="1179" w:type="dxa"/>
            <w:vAlign w:val="center"/>
            <w:hideMark/>
          </w:tcPr>
          <w:p w14:paraId="017D8A6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10</w:t>
            </w:r>
          </w:p>
        </w:tc>
      </w:tr>
      <w:tr w:rsidR="00F53F35" w:rsidRPr="00CA6A46" w14:paraId="3B6BEDB2" w14:textId="77777777" w:rsidTr="00CC1FAF">
        <w:trPr>
          <w:gridAfter w:val="1"/>
          <w:wAfter w:w="585" w:type="dxa"/>
          <w:tblCellSpacing w:w="15" w:type="dxa"/>
        </w:trPr>
        <w:tc>
          <w:tcPr>
            <w:tcW w:w="2121" w:type="dxa"/>
            <w:gridSpan w:val="2"/>
            <w:vAlign w:val="center"/>
            <w:hideMark/>
          </w:tcPr>
          <w:p w14:paraId="09DE72D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lastRenderedPageBreak/>
              <w:t>Kalutara</w:t>
            </w:r>
          </w:p>
        </w:tc>
        <w:tc>
          <w:tcPr>
            <w:tcW w:w="1494" w:type="dxa"/>
            <w:gridSpan w:val="2"/>
            <w:vAlign w:val="center"/>
            <w:hideMark/>
          </w:tcPr>
          <w:p w14:paraId="35E7A8C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11</w:t>
            </w:r>
          </w:p>
        </w:tc>
        <w:tc>
          <w:tcPr>
            <w:tcW w:w="1213" w:type="dxa"/>
            <w:gridSpan w:val="2"/>
            <w:vAlign w:val="center"/>
            <w:hideMark/>
          </w:tcPr>
          <w:p w14:paraId="1343710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7</w:t>
            </w:r>
          </w:p>
        </w:tc>
        <w:tc>
          <w:tcPr>
            <w:tcW w:w="1396" w:type="dxa"/>
            <w:gridSpan w:val="2"/>
            <w:vAlign w:val="center"/>
            <w:hideMark/>
          </w:tcPr>
          <w:p w14:paraId="1D53E7F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0</w:t>
            </w:r>
          </w:p>
        </w:tc>
        <w:tc>
          <w:tcPr>
            <w:tcW w:w="1762" w:type="dxa"/>
            <w:gridSpan w:val="2"/>
            <w:vAlign w:val="center"/>
            <w:hideMark/>
          </w:tcPr>
          <w:p w14:paraId="36F7DBE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7</w:t>
            </w:r>
          </w:p>
        </w:tc>
        <w:tc>
          <w:tcPr>
            <w:tcW w:w="1179" w:type="dxa"/>
            <w:vAlign w:val="center"/>
            <w:hideMark/>
          </w:tcPr>
          <w:p w14:paraId="5DBD1F70"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11</w:t>
            </w:r>
          </w:p>
        </w:tc>
      </w:tr>
      <w:tr w:rsidR="00F53F35" w:rsidRPr="00CA6A46" w14:paraId="61179B4D" w14:textId="77777777" w:rsidTr="00CC1FAF">
        <w:trPr>
          <w:gridAfter w:val="1"/>
          <w:wAfter w:w="585" w:type="dxa"/>
          <w:tblCellSpacing w:w="15" w:type="dxa"/>
        </w:trPr>
        <w:tc>
          <w:tcPr>
            <w:tcW w:w="2121" w:type="dxa"/>
            <w:gridSpan w:val="2"/>
            <w:vAlign w:val="center"/>
            <w:hideMark/>
          </w:tcPr>
          <w:p w14:paraId="368A8F9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Monaragala</w:t>
            </w:r>
          </w:p>
        </w:tc>
        <w:tc>
          <w:tcPr>
            <w:tcW w:w="1494" w:type="dxa"/>
            <w:gridSpan w:val="2"/>
            <w:vAlign w:val="center"/>
            <w:hideMark/>
          </w:tcPr>
          <w:p w14:paraId="7CB484F3"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10</w:t>
            </w:r>
          </w:p>
        </w:tc>
        <w:tc>
          <w:tcPr>
            <w:tcW w:w="1213" w:type="dxa"/>
            <w:gridSpan w:val="2"/>
            <w:vAlign w:val="center"/>
            <w:hideMark/>
          </w:tcPr>
          <w:p w14:paraId="345D555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9</w:t>
            </w:r>
          </w:p>
        </w:tc>
        <w:tc>
          <w:tcPr>
            <w:tcW w:w="1396" w:type="dxa"/>
            <w:gridSpan w:val="2"/>
            <w:vAlign w:val="center"/>
            <w:hideMark/>
          </w:tcPr>
          <w:p w14:paraId="7B9FB63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5</w:t>
            </w:r>
          </w:p>
        </w:tc>
        <w:tc>
          <w:tcPr>
            <w:tcW w:w="1762" w:type="dxa"/>
            <w:gridSpan w:val="2"/>
            <w:vAlign w:val="center"/>
            <w:hideMark/>
          </w:tcPr>
          <w:p w14:paraId="391DF3A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9</w:t>
            </w:r>
          </w:p>
        </w:tc>
        <w:tc>
          <w:tcPr>
            <w:tcW w:w="1179" w:type="dxa"/>
            <w:vAlign w:val="center"/>
            <w:hideMark/>
          </w:tcPr>
          <w:p w14:paraId="4D195D2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10</w:t>
            </w:r>
          </w:p>
        </w:tc>
      </w:tr>
      <w:tr w:rsidR="00F53F35" w:rsidRPr="00CA6A46" w14:paraId="4237046D" w14:textId="77777777" w:rsidTr="00CC1FAF">
        <w:trPr>
          <w:gridAfter w:val="1"/>
          <w:wAfter w:w="585" w:type="dxa"/>
          <w:tblCellSpacing w:w="15" w:type="dxa"/>
        </w:trPr>
        <w:tc>
          <w:tcPr>
            <w:tcW w:w="2121" w:type="dxa"/>
            <w:gridSpan w:val="2"/>
            <w:vAlign w:val="center"/>
            <w:hideMark/>
          </w:tcPr>
          <w:p w14:paraId="61ADB5A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Kalmunai</w:t>
            </w:r>
          </w:p>
        </w:tc>
        <w:tc>
          <w:tcPr>
            <w:tcW w:w="1494" w:type="dxa"/>
            <w:gridSpan w:val="2"/>
            <w:vAlign w:val="center"/>
            <w:hideMark/>
          </w:tcPr>
          <w:p w14:paraId="601EE251"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8</w:t>
            </w:r>
          </w:p>
        </w:tc>
        <w:tc>
          <w:tcPr>
            <w:tcW w:w="1213" w:type="dxa"/>
            <w:gridSpan w:val="2"/>
            <w:vAlign w:val="center"/>
            <w:hideMark/>
          </w:tcPr>
          <w:p w14:paraId="1BDD3A0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7</w:t>
            </w:r>
          </w:p>
        </w:tc>
        <w:tc>
          <w:tcPr>
            <w:tcW w:w="1396" w:type="dxa"/>
            <w:gridSpan w:val="2"/>
            <w:vAlign w:val="center"/>
            <w:hideMark/>
          </w:tcPr>
          <w:p w14:paraId="1108215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3</w:t>
            </w:r>
          </w:p>
        </w:tc>
        <w:tc>
          <w:tcPr>
            <w:tcW w:w="1762" w:type="dxa"/>
            <w:gridSpan w:val="2"/>
            <w:vAlign w:val="center"/>
            <w:hideMark/>
          </w:tcPr>
          <w:p w14:paraId="7FF4F28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6</w:t>
            </w:r>
          </w:p>
        </w:tc>
        <w:tc>
          <w:tcPr>
            <w:tcW w:w="1179" w:type="dxa"/>
            <w:vAlign w:val="center"/>
            <w:hideMark/>
          </w:tcPr>
          <w:p w14:paraId="73092E0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8</w:t>
            </w:r>
          </w:p>
        </w:tc>
      </w:tr>
      <w:tr w:rsidR="00F53F35" w:rsidRPr="00CA6A46" w14:paraId="2FABFF6B" w14:textId="77777777" w:rsidTr="00CC1FAF">
        <w:trPr>
          <w:gridAfter w:val="1"/>
          <w:wAfter w:w="585" w:type="dxa"/>
          <w:tblCellSpacing w:w="15" w:type="dxa"/>
        </w:trPr>
        <w:tc>
          <w:tcPr>
            <w:tcW w:w="2121" w:type="dxa"/>
            <w:gridSpan w:val="2"/>
            <w:vAlign w:val="center"/>
            <w:hideMark/>
          </w:tcPr>
          <w:p w14:paraId="53B1B39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Vavuniya</w:t>
            </w:r>
          </w:p>
        </w:tc>
        <w:tc>
          <w:tcPr>
            <w:tcW w:w="1494" w:type="dxa"/>
            <w:gridSpan w:val="2"/>
            <w:vAlign w:val="center"/>
            <w:hideMark/>
          </w:tcPr>
          <w:p w14:paraId="6344B56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7</w:t>
            </w:r>
          </w:p>
        </w:tc>
        <w:tc>
          <w:tcPr>
            <w:tcW w:w="1213" w:type="dxa"/>
            <w:gridSpan w:val="2"/>
            <w:vAlign w:val="center"/>
            <w:hideMark/>
          </w:tcPr>
          <w:p w14:paraId="5DF0E831"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7</w:t>
            </w:r>
          </w:p>
        </w:tc>
        <w:tc>
          <w:tcPr>
            <w:tcW w:w="1396" w:type="dxa"/>
            <w:gridSpan w:val="2"/>
            <w:vAlign w:val="center"/>
            <w:hideMark/>
          </w:tcPr>
          <w:p w14:paraId="7E089895"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0</w:t>
            </w:r>
          </w:p>
        </w:tc>
        <w:tc>
          <w:tcPr>
            <w:tcW w:w="1762" w:type="dxa"/>
            <w:gridSpan w:val="2"/>
            <w:vAlign w:val="center"/>
            <w:hideMark/>
          </w:tcPr>
          <w:p w14:paraId="2AD284D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w:t>
            </w:r>
          </w:p>
        </w:tc>
        <w:tc>
          <w:tcPr>
            <w:tcW w:w="1179" w:type="dxa"/>
            <w:vAlign w:val="center"/>
            <w:hideMark/>
          </w:tcPr>
          <w:p w14:paraId="693EF78E"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w:t>
            </w:r>
          </w:p>
        </w:tc>
      </w:tr>
      <w:tr w:rsidR="00F53F35" w:rsidRPr="00CA6A46" w14:paraId="6527586F" w14:textId="77777777" w:rsidTr="00CC1FAF">
        <w:trPr>
          <w:gridAfter w:val="1"/>
          <w:wAfter w:w="585" w:type="dxa"/>
          <w:tblCellSpacing w:w="15" w:type="dxa"/>
        </w:trPr>
        <w:tc>
          <w:tcPr>
            <w:tcW w:w="2121" w:type="dxa"/>
            <w:gridSpan w:val="2"/>
            <w:vAlign w:val="center"/>
            <w:hideMark/>
          </w:tcPr>
          <w:p w14:paraId="747276D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Mullaitivu</w:t>
            </w:r>
          </w:p>
        </w:tc>
        <w:tc>
          <w:tcPr>
            <w:tcW w:w="1494" w:type="dxa"/>
            <w:gridSpan w:val="2"/>
            <w:vAlign w:val="center"/>
            <w:hideMark/>
          </w:tcPr>
          <w:p w14:paraId="66474265"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5</w:t>
            </w:r>
          </w:p>
        </w:tc>
        <w:tc>
          <w:tcPr>
            <w:tcW w:w="1213" w:type="dxa"/>
            <w:gridSpan w:val="2"/>
            <w:vAlign w:val="center"/>
            <w:hideMark/>
          </w:tcPr>
          <w:p w14:paraId="56CB006B"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w:t>
            </w:r>
          </w:p>
        </w:tc>
        <w:tc>
          <w:tcPr>
            <w:tcW w:w="1396" w:type="dxa"/>
            <w:gridSpan w:val="2"/>
            <w:vAlign w:val="center"/>
            <w:hideMark/>
          </w:tcPr>
          <w:p w14:paraId="44DC000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0</w:t>
            </w:r>
          </w:p>
        </w:tc>
        <w:tc>
          <w:tcPr>
            <w:tcW w:w="1762" w:type="dxa"/>
            <w:gridSpan w:val="2"/>
            <w:vAlign w:val="center"/>
            <w:hideMark/>
          </w:tcPr>
          <w:p w14:paraId="46F91F3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w:t>
            </w:r>
          </w:p>
        </w:tc>
        <w:tc>
          <w:tcPr>
            <w:tcW w:w="1179" w:type="dxa"/>
            <w:vAlign w:val="center"/>
            <w:hideMark/>
          </w:tcPr>
          <w:p w14:paraId="5E2FA705"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w:t>
            </w:r>
          </w:p>
        </w:tc>
      </w:tr>
      <w:tr w:rsidR="00F53F35" w:rsidRPr="00CA6A46" w14:paraId="68830659" w14:textId="77777777" w:rsidTr="00CC1FAF">
        <w:trPr>
          <w:gridAfter w:val="1"/>
          <w:wAfter w:w="585" w:type="dxa"/>
          <w:tblCellSpacing w:w="15" w:type="dxa"/>
        </w:trPr>
        <w:tc>
          <w:tcPr>
            <w:tcW w:w="2121" w:type="dxa"/>
            <w:gridSpan w:val="2"/>
            <w:vAlign w:val="center"/>
            <w:hideMark/>
          </w:tcPr>
          <w:p w14:paraId="31789090"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Kilinochchi</w:t>
            </w:r>
          </w:p>
        </w:tc>
        <w:tc>
          <w:tcPr>
            <w:tcW w:w="1494" w:type="dxa"/>
            <w:gridSpan w:val="2"/>
            <w:vAlign w:val="center"/>
            <w:hideMark/>
          </w:tcPr>
          <w:p w14:paraId="794EAFE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w:t>
            </w:r>
          </w:p>
        </w:tc>
        <w:tc>
          <w:tcPr>
            <w:tcW w:w="1213" w:type="dxa"/>
            <w:gridSpan w:val="2"/>
            <w:vAlign w:val="center"/>
            <w:hideMark/>
          </w:tcPr>
          <w:p w14:paraId="5ABF8869"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w:t>
            </w:r>
          </w:p>
        </w:tc>
        <w:tc>
          <w:tcPr>
            <w:tcW w:w="1396" w:type="dxa"/>
            <w:gridSpan w:val="2"/>
            <w:vAlign w:val="center"/>
            <w:hideMark/>
          </w:tcPr>
          <w:p w14:paraId="00E10D4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0</w:t>
            </w:r>
          </w:p>
        </w:tc>
        <w:tc>
          <w:tcPr>
            <w:tcW w:w="1762" w:type="dxa"/>
            <w:gridSpan w:val="2"/>
            <w:vAlign w:val="center"/>
            <w:hideMark/>
          </w:tcPr>
          <w:p w14:paraId="54C6E3D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w:t>
            </w:r>
          </w:p>
        </w:tc>
        <w:tc>
          <w:tcPr>
            <w:tcW w:w="1179" w:type="dxa"/>
            <w:vAlign w:val="center"/>
            <w:hideMark/>
          </w:tcPr>
          <w:p w14:paraId="6D1F656D"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w:t>
            </w:r>
          </w:p>
        </w:tc>
      </w:tr>
      <w:tr w:rsidR="00F53F35" w:rsidRPr="00CA6A46" w14:paraId="500291B5" w14:textId="77777777" w:rsidTr="00CC1FAF">
        <w:trPr>
          <w:gridAfter w:val="1"/>
          <w:wAfter w:w="585" w:type="dxa"/>
          <w:tblCellSpacing w:w="15" w:type="dxa"/>
        </w:trPr>
        <w:tc>
          <w:tcPr>
            <w:tcW w:w="2121" w:type="dxa"/>
            <w:gridSpan w:val="2"/>
            <w:vAlign w:val="center"/>
            <w:hideMark/>
          </w:tcPr>
          <w:p w14:paraId="05977900"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NIHS</w:t>
            </w:r>
          </w:p>
        </w:tc>
        <w:tc>
          <w:tcPr>
            <w:tcW w:w="1494" w:type="dxa"/>
            <w:gridSpan w:val="2"/>
            <w:vAlign w:val="center"/>
            <w:hideMark/>
          </w:tcPr>
          <w:p w14:paraId="1F09A15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9</w:t>
            </w:r>
          </w:p>
        </w:tc>
        <w:tc>
          <w:tcPr>
            <w:tcW w:w="1213" w:type="dxa"/>
            <w:gridSpan w:val="2"/>
            <w:vAlign w:val="center"/>
            <w:hideMark/>
          </w:tcPr>
          <w:p w14:paraId="4F800E4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9</w:t>
            </w:r>
          </w:p>
        </w:tc>
        <w:tc>
          <w:tcPr>
            <w:tcW w:w="1396" w:type="dxa"/>
            <w:gridSpan w:val="2"/>
            <w:vAlign w:val="center"/>
            <w:hideMark/>
          </w:tcPr>
          <w:p w14:paraId="7EB09B0C"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9</w:t>
            </w:r>
          </w:p>
        </w:tc>
        <w:tc>
          <w:tcPr>
            <w:tcW w:w="1762" w:type="dxa"/>
            <w:gridSpan w:val="2"/>
            <w:vAlign w:val="center"/>
            <w:hideMark/>
          </w:tcPr>
          <w:p w14:paraId="583912B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9</w:t>
            </w:r>
          </w:p>
        </w:tc>
        <w:tc>
          <w:tcPr>
            <w:tcW w:w="1179" w:type="dxa"/>
            <w:vAlign w:val="center"/>
            <w:hideMark/>
          </w:tcPr>
          <w:p w14:paraId="2090045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8</w:t>
            </w:r>
          </w:p>
        </w:tc>
      </w:tr>
    </w:tbl>
    <w:p w14:paraId="2ACDB084" w14:textId="77777777" w:rsidR="00F53F35" w:rsidRPr="00CA6A46" w:rsidRDefault="00F53F35" w:rsidP="00DA4DB6">
      <w:pPr>
        <w:spacing w:line="360" w:lineRule="auto"/>
        <w:jc w:val="both"/>
        <w:rPr>
          <w:rFonts w:ascii="Times New Roman" w:hAnsi="Times New Roman" w:cs="Times New Roman"/>
        </w:rPr>
      </w:pPr>
    </w:p>
    <w:p w14:paraId="2FF977CB" w14:textId="77777777" w:rsidR="00F53F35" w:rsidRPr="00CA6A46" w:rsidRDefault="00F53F35" w:rsidP="00CA6A46">
      <w:pPr>
        <w:spacing w:line="360" w:lineRule="auto"/>
        <w:jc w:val="both"/>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3076"/>
      </w:tblGrid>
      <w:tr w:rsidR="00F53F35" w:rsidRPr="00CA6A46" w14:paraId="75D3F634" w14:textId="77777777">
        <w:trPr>
          <w:tblHeader/>
          <w:tblCellSpacing w:w="15" w:type="dxa"/>
        </w:trPr>
        <w:tc>
          <w:tcPr>
            <w:tcW w:w="0" w:type="auto"/>
            <w:vAlign w:val="center"/>
            <w:hideMark/>
          </w:tcPr>
          <w:p w14:paraId="1075774C" w14:textId="77777777" w:rsidR="00F53F35" w:rsidRPr="00CA6A46" w:rsidRDefault="00F53F35" w:rsidP="00CA6A46">
            <w:pPr>
              <w:spacing w:after="0" w:line="360" w:lineRule="auto"/>
              <w:jc w:val="center"/>
              <w:rPr>
                <w:rFonts w:ascii="Times New Roman" w:eastAsia="Times New Roman" w:hAnsi="Times New Roman" w:cs="Times New Roman"/>
                <w:b/>
                <w:bCs/>
                <w:kern w:val="0"/>
                <w14:ligatures w14:val="none"/>
              </w:rPr>
            </w:pPr>
            <w:r w:rsidRPr="00CA6A46">
              <w:rPr>
                <w:rFonts w:ascii="Times New Roman" w:eastAsia="Times New Roman" w:hAnsi="Times New Roman" w:cs="Times New Roman"/>
                <w:b/>
                <w:bCs/>
                <w:kern w:val="0"/>
                <w14:ligatures w14:val="none"/>
              </w:rPr>
              <w:t>District</w:t>
            </w:r>
          </w:p>
        </w:tc>
        <w:tc>
          <w:tcPr>
            <w:tcW w:w="0" w:type="auto"/>
            <w:vAlign w:val="center"/>
            <w:hideMark/>
          </w:tcPr>
          <w:p w14:paraId="056E5C34" w14:textId="77777777" w:rsidR="00F53F35" w:rsidRPr="00CA6A46" w:rsidRDefault="00F53F35" w:rsidP="00CA6A46">
            <w:pPr>
              <w:spacing w:after="0" w:line="360" w:lineRule="auto"/>
              <w:jc w:val="center"/>
              <w:rPr>
                <w:rFonts w:ascii="Times New Roman" w:eastAsia="Times New Roman" w:hAnsi="Times New Roman" w:cs="Times New Roman"/>
                <w:b/>
                <w:bCs/>
                <w:kern w:val="0"/>
                <w14:ligatures w14:val="none"/>
              </w:rPr>
            </w:pPr>
            <w:r w:rsidRPr="00CA6A46">
              <w:rPr>
                <w:rFonts w:ascii="Times New Roman" w:eastAsia="Times New Roman" w:hAnsi="Times New Roman" w:cs="Times New Roman"/>
                <w:b/>
                <w:bCs/>
                <w:kern w:val="0"/>
                <w14:ligatures w14:val="none"/>
              </w:rPr>
              <w:t xml:space="preserve">          Clinical: Support Ratio</w:t>
            </w:r>
          </w:p>
        </w:tc>
      </w:tr>
      <w:tr w:rsidR="00F53F35" w:rsidRPr="00CA6A46" w14:paraId="4EFDBF79" w14:textId="77777777">
        <w:trPr>
          <w:tblHeader/>
          <w:tblCellSpacing w:w="15" w:type="dxa"/>
        </w:trPr>
        <w:tc>
          <w:tcPr>
            <w:tcW w:w="0" w:type="auto"/>
            <w:vAlign w:val="center"/>
          </w:tcPr>
          <w:p w14:paraId="5F991563" w14:textId="77777777" w:rsidR="00F53F35" w:rsidRPr="00CA6A46" w:rsidRDefault="00F53F35" w:rsidP="00CA6A46">
            <w:pPr>
              <w:spacing w:after="0" w:line="360" w:lineRule="auto"/>
              <w:jc w:val="center"/>
              <w:rPr>
                <w:rFonts w:ascii="Times New Roman" w:eastAsia="Times New Roman" w:hAnsi="Times New Roman" w:cs="Times New Roman"/>
                <w:kern w:val="0"/>
                <w14:ligatures w14:val="none"/>
              </w:rPr>
            </w:pPr>
          </w:p>
        </w:tc>
        <w:tc>
          <w:tcPr>
            <w:tcW w:w="0" w:type="auto"/>
            <w:vAlign w:val="center"/>
          </w:tcPr>
          <w:p w14:paraId="0ED65168" w14:textId="77777777" w:rsidR="00F53F35" w:rsidRPr="00CA6A46" w:rsidRDefault="00F53F35" w:rsidP="00CA6A46">
            <w:pPr>
              <w:spacing w:after="0" w:line="360" w:lineRule="auto"/>
              <w:jc w:val="center"/>
              <w:rPr>
                <w:rFonts w:ascii="Times New Roman" w:eastAsia="Times New Roman" w:hAnsi="Times New Roman" w:cs="Times New Roman"/>
                <w:kern w:val="0"/>
                <w14:ligatures w14:val="none"/>
              </w:rPr>
            </w:pPr>
          </w:p>
        </w:tc>
      </w:tr>
      <w:tr w:rsidR="00F53F35" w:rsidRPr="00CA6A46" w14:paraId="7D95E3D3" w14:textId="77777777">
        <w:trPr>
          <w:tblCellSpacing w:w="15" w:type="dxa"/>
        </w:trPr>
        <w:tc>
          <w:tcPr>
            <w:tcW w:w="0" w:type="auto"/>
            <w:vAlign w:val="center"/>
            <w:hideMark/>
          </w:tcPr>
          <w:p w14:paraId="77A763BD"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Ratnapura                      </w:t>
            </w:r>
          </w:p>
        </w:tc>
        <w:tc>
          <w:tcPr>
            <w:tcW w:w="0" w:type="auto"/>
            <w:vAlign w:val="center"/>
            <w:hideMark/>
          </w:tcPr>
          <w:p w14:paraId="6BAA413E"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1.31</w:t>
            </w:r>
          </w:p>
        </w:tc>
      </w:tr>
      <w:tr w:rsidR="00F53F35" w:rsidRPr="00CA6A46" w14:paraId="603B1186" w14:textId="77777777">
        <w:trPr>
          <w:tblCellSpacing w:w="15" w:type="dxa"/>
        </w:trPr>
        <w:tc>
          <w:tcPr>
            <w:tcW w:w="0" w:type="auto"/>
            <w:vAlign w:val="center"/>
            <w:hideMark/>
          </w:tcPr>
          <w:p w14:paraId="7A52230A"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Kurunegala</w:t>
            </w:r>
          </w:p>
        </w:tc>
        <w:tc>
          <w:tcPr>
            <w:tcW w:w="0" w:type="auto"/>
            <w:vAlign w:val="center"/>
            <w:hideMark/>
          </w:tcPr>
          <w:p w14:paraId="3C172D8B"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0.77</w:t>
            </w:r>
          </w:p>
        </w:tc>
      </w:tr>
      <w:tr w:rsidR="00F53F35" w:rsidRPr="00CA6A46" w14:paraId="297C2BDC" w14:textId="77777777">
        <w:trPr>
          <w:tblCellSpacing w:w="15" w:type="dxa"/>
        </w:trPr>
        <w:tc>
          <w:tcPr>
            <w:tcW w:w="0" w:type="auto"/>
            <w:vAlign w:val="center"/>
            <w:hideMark/>
          </w:tcPr>
          <w:p w14:paraId="551C2E53"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Gampaha            </w:t>
            </w:r>
          </w:p>
        </w:tc>
        <w:tc>
          <w:tcPr>
            <w:tcW w:w="0" w:type="auto"/>
            <w:vAlign w:val="center"/>
            <w:hideMark/>
          </w:tcPr>
          <w:p w14:paraId="352A0E87"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0.80</w:t>
            </w:r>
          </w:p>
        </w:tc>
      </w:tr>
      <w:tr w:rsidR="00F53F35" w:rsidRPr="00CA6A46" w14:paraId="4240B4A6" w14:textId="77777777">
        <w:trPr>
          <w:tblCellSpacing w:w="15" w:type="dxa"/>
        </w:trPr>
        <w:tc>
          <w:tcPr>
            <w:tcW w:w="0" w:type="auto"/>
            <w:vAlign w:val="center"/>
            <w:hideMark/>
          </w:tcPr>
          <w:p w14:paraId="1BAB5018"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Puttalam</w:t>
            </w:r>
          </w:p>
        </w:tc>
        <w:tc>
          <w:tcPr>
            <w:tcW w:w="0" w:type="auto"/>
            <w:vAlign w:val="center"/>
            <w:hideMark/>
          </w:tcPr>
          <w:p w14:paraId="162C72E7"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0.61</w:t>
            </w:r>
          </w:p>
        </w:tc>
      </w:tr>
      <w:tr w:rsidR="00F53F35" w:rsidRPr="00CA6A46" w14:paraId="3B429A53" w14:textId="77777777">
        <w:trPr>
          <w:tblCellSpacing w:w="15" w:type="dxa"/>
        </w:trPr>
        <w:tc>
          <w:tcPr>
            <w:tcW w:w="0" w:type="auto"/>
            <w:vAlign w:val="center"/>
            <w:hideMark/>
          </w:tcPr>
          <w:p w14:paraId="475F2F01"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Kandy</w:t>
            </w:r>
          </w:p>
        </w:tc>
        <w:tc>
          <w:tcPr>
            <w:tcW w:w="0" w:type="auto"/>
            <w:vAlign w:val="center"/>
            <w:hideMark/>
          </w:tcPr>
          <w:p w14:paraId="299B0604"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0.19</w:t>
            </w:r>
          </w:p>
        </w:tc>
      </w:tr>
      <w:tr w:rsidR="00F53F35" w:rsidRPr="00CA6A46" w14:paraId="4E94D735" w14:textId="77777777">
        <w:trPr>
          <w:tblCellSpacing w:w="15" w:type="dxa"/>
        </w:trPr>
        <w:tc>
          <w:tcPr>
            <w:tcW w:w="0" w:type="auto"/>
            <w:vAlign w:val="center"/>
            <w:hideMark/>
          </w:tcPr>
          <w:p w14:paraId="052737F3"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Colombo</w:t>
            </w:r>
          </w:p>
        </w:tc>
        <w:tc>
          <w:tcPr>
            <w:tcW w:w="0" w:type="auto"/>
            <w:vAlign w:val="center"/>
            <w:hideMark/>
          </w:tcPr>
          <w:p w14:paraId="4C9A17EE"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0.57</w:t>
            </w:r>
          </w:p>
        </w:tc>
      </w:tr>
      <w:tr w:rsidR="00F53F35" w:rsidRPr="00CA6A46" w14:paraId="71CEEA34" w14:textId="77777777">
        <w:trPr>
          <w:tblCellSpacing w:w="15" w:type="dxa"/>
        </w:trPr>
        <w:tc>
          <w:tcPr>
            <w:tcW w:w="0" w:type="auto"/>
            <w:vAlign w:val="center"/>
            <w:hideMark/>
          </w:tcPr>
          <w:p w14:paraId="3F10EC9D"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Kegalle</w:t>
            </w:r>
          </w:p>
        </w:tc>
        <w:tc>
          <w:tcPr>
            <w:tcW w:w="0" w:type="auto"/>
            <w:vAlign w:val="center"/>
            <w:hideMark/>
          </w:tcPr>
          <w:p w14:paraId="07520D25"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1.04</w:t>
            </w:r>
          </w:p>
        </w:tc>
      </w:tr>
      <w:tr w:rsidR="00F53F35" w:rsidRPr="00CA6A46" w14:paraId="400E35F4" w14:textId="77777777">
        <w:trPr>
          <w:tblCellSpacing w:w="15" w:type="dxa"/>
        </w:trPr>
        <w:tc>
          <w:tcPr>
            <w:tcW w:w="0" w:type="auto"/>
            <w:vAlign w:val="center"/>
            <w:hideMark/>
          </w:tcPr>
          <w:p w14:paraId="29FBBBB6"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Galle</w:t>
            </w:r>
          </w:p>
        </w:tc>
        <w:tc>
          <w:tcPr>
            <w:tcW w:w="0" w:type="auto"/>
            <w:vAlign w:val="center"/>
            <w:hideMark/>
          </w:tcPr>
          <w:p w14:paraId="395D0178"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0.70</w:t>
            </w:r>
          </w:p>
        </w:tc>
      </w:tr>
      <w:tr w:rsidR="00F53F35" w:rsidRPr="00CA6A46" w14:paraId="0E5AA94D" w14:textId="77777777">
        <w:trPr>
          <w:tblCellSpacing w:w="15" w:type="dxa"/>
        </w:trPr>
        <w:tc>
          <w:tcPr>
            <w:tcW w:w="0" w:type="auto"/>
            <w:vAlign w:val="center"/>
            <w:hideMark/>
          </w:tcPr>
          <w:p w14:paraId="7C38B7EA"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Anuradhapura</w:t>
            </w:r>
          </w:p>
        </w:tc>
        <w:tc>
          <w:tcPr>
            <w:tcW w:w="0" w:type="auto"/>
            <w:vAlign w:val="center"/>
            <w:hideMark/>
          </w:tcPr>
          <w:p w14:paraId="26F489E4"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0.53</w:t>
            </w:r>
          </w:p>
        </w:tc>
      </w:tr>
      <w:tr w:rsidR="00F53F35" w:rsidRPr="00CA6A46" w14:paraId="36AA6C59" w14:textId="77777777">
        <w:trPr>
          <w:tblCellSpacing w:w="15" w:type="dxa"/>
        </w:trPr>
        <w:tc>
          <w:tcPr>
            <w:tcW w:w="0" w:type="auto"/>
            <w:vAlign w:val="center"/>
            <w:hideMark/>
          </w:tcPr>
          <w:p w14:paraId="471DAEA9"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Nuwara Eliya</w:t>
            </w:r>
          </w:p>
        </w:tc>
        <w:tc>
          <w:tcPr>
            <w:tcW w:w="0" w:type="auto"/>
            <w:vAlign w:val="center"/>
            <w:hideMark/>
          </w:tcPr>
          <w:p w14:paraId="58C2725E"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0.50</w:t>
            </w:r>
          </w:p>
        </w:tc>
      </w:tr>
      <w:tr w:rsidR="00F53F35" w:rsidRPr="00CA6A46" w14:paraId="2D5E6739" w14:textId="77777777">
        <w:trPr>
          <w:tblCellSpacing w:w="15" w:type="dxa"/>
        </w:trPr>
        <w:tc>
          <w:tcPr>
            <w:tcW w:w="0" w:type="auto"/>
            <w:vAlign w:val="center"/>
            <w:hideMark/>
          </w:tcPr>
          <w:p w14:paraId="430B50E6"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Polonnaruwa</w:t>
            </w:r>
          </w:p>
        </w:tc>
        <w:tc>
          <w:tcPr>
            <w:tcW w:w="0" w:type="auto"/>
            <w:vAlign w:val="center"/>
            <w:hideMark/>
          </w:tcPr>
          <w:p w14:paraId="242B54BC"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0.69</w:t>
            </w:r>
          </w:p>
        </w:tc>
      </w:tr>
      <w:tr w:rsidR="00F53F35" w:rsidRPr="00CA6A46" w14:paraId="12E047CC" w14:textId="77777777">
        <w:trPr>
          <w:tblCellSpacing w:w="15" w:type="dxa"/>
        </w:trPr>
        <w:tc>
          <w:tcPr>
            <w:tcW w:w="0" w:type="auto"/>
            <w:vAlign w:val="center"/>
            <w:hideMark/>
          </w:tcPr>
          <w:p w14:paraId="19AAAEA8"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lastRenderedPageBreak/>
              <w:t>Ampara</w:t>
            </w:r>
          </w:p>
        </w:tc>
        <w:tc>
          <w:tcPr>
            <w:tcW w:w="0" w:type="auto"/>
            <w:vAlign w:val="center"/>
            <w:hideMark/>
          </w:tcPr>
          <w:p w14:paraId="43FB184E"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0.70</w:t>
            </w:r>
          </w:p>
        </w:tc>
      </w:tr>
      <w:tr w:rsidR="00F53F35" w:rsidRPr="00CA6A46" w14:paraId="06B42DB1" w14:textId="77777777">
        <w:trPr>
          <w:tblCellSpacing w:w="15" w:type="dxa"/>
        </w:trPr>
        <w:tc>
          <w:tcPr>
            <w:tcW w:w="0" w:type="auto"/>
            <w:vAlign w:val="center"/>
            <w:hideMark/>
          </w:tcPr>
          <w:p w14:paraId="412F2052"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Matara</w:t>
            </w:r>
          </w:p>
        </w:tc>
        <w:tc>
          <w:tcPr>
            <w:tcW w:w="0" w:type="auto"/>
            <w:vAlign w:val="center"/>
            <w:hideMark/>
          </w:tcPr>
          <w:p w14:paraId="47F7C101"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0.50</w:t>
            </w:r>
          </w:p>
        </w:tc>
      </w:tr>
      <w:tr w:rsidR="00F53F35" w:rsidRPr="00CA6A46" w14:paraId="05F35A3A" w14:textId="77777777">
        <w:trPr>
          <w:tblCellSpacing w:w="15" w:type="dxa"/>
        </w:trPr>
        <w:tc>
          <w:tcPr>
            <w:tcW w:w="0" w:type="auto"/>
            <w:vAlign w:val="center"/>
            <w:hideMark/>
          </w:tcPr>
          <w:p w14:paraId="4949891C"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Jaffna</w:t>
            </w:r>
          </w:p>
        </w:tc>
        <w:tc>
          <w:tcPr>
            <w:tcW w:w="0" w:type="auto"/>
            <w:vAlign w:val="center"/>
            <w:hideMark/>
          </w:tcPr>
          <w:p w14:paraId="251DDEA6"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0.52</w:t>
            </w:r>
          </w:p>
        </w:tc>
      </w:tr>
      <w:tr w:rsidR="00F53F35" w:rsidRPr="00CA6A46" w14:paraId="0CFD444F" w14:textId="77777777">
        <w:trPr>
          <w:tblCellSpacing w:w="15" w:type="dxa"/>
        </w:trPr>
        <w:tc>
          <w:tcPr>
            <w:tcW w:w="0" w:type="auto"/>
            <w:vAlign w:val="center"/>
            <w:hideMark/>
          </w:tcPr>
          <w:p w14:paraId="63D92754"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Badulla</w:t>
            </w:r>
          </w:p>
        </w:tc>
        <w:tc>
          <w:tcPr>
            <w:tcW w:w="0" w:type="auto"/>
            <w:vAlign w:val="center"/>
            <w:hideMark/>
          </w:tcPr>
          <w:p w14:paraId="1CC6AD91"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0.68</w:t>
            </w:r>
          </w:p>
        </w:tc>
      </w:tr>
      <w:tr w:rsidR="00F53F35" w:rsidRPr="00CA6A46" w14:paraId="72872FBB" w14:textId="77777777">
        <w:trPr>
          <w:tblCellSpacing w:w="15" w:type="dxa"/>
        </w:trPr>
        <w:tc>
          <w:tcPr>
            <w:tcW w:w="0" w:type="auto"/>
            <w:vAlign w:val="center"/>
            <w:hideMark/>
          </w:tcPr>
          <w:p w14:paraId="6B3239C0"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Trincomalee</w:t>
            </w:r>
          </w:p>
        </w:tc>
        <w:tc>
          <w:tcPr>
            <w:tcW w:w="0" w:type="auto"/>
            <w:vAlign w:val="center"/>
            <w:hideMark/>
          </w:tcPr>
          <w:p w14:paraId="00DE7DA7"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0.95</w:t>
            </w:r>
          </w:p>
        </w:tc>
      </w:tr>
      <w:tr w:rsidR="00F53F35" w:rsidRPr="00CA6A46" w14:paraId="0594217A" w14:textId="77777777">
        <w:trPr>
          <w:tblCellSpacing w:w="15" w:type="dxa"/>
        </w:trPr>
        <w:tc>
          <w:tcPr>
            <w:tcW w:w="0" w:type="auto"/>
            <w:vAlign w:val="center"/>
            <w:hideMark/>
          </w:tcPr>
          <w:p w14:paraId="473EFE63"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Batticaloa</w:t>
            </w:r>
          </w:p>
        </w:tc>
        <w:tc>
          <w:tcPr>
            <w:tcW w:w="0" w:type="auto"/>
            <w:vAlign w:val="center"/>
            <w:hideMark/>
          </w:tcPr>
          <w:p w14:paraId="56B1FF18"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0.76</w:t>
            </w:r>
          </w:p>
        </w:tc>
      </w:tr>
      <w:tr w:rsidR="00F53F35" w:rsidRPr="00CA6A46" w14:paraId="282C2FA2" w14:textId="77777777">
        <w:trPr>
          <w:tblCellSpacing w:w="15" w:type="dxa"/>
        </w:trPr>
        <w:tc>
          <w:tcPr>
            <w:tcW w:w="0" w:type="auto"/>
            <w:vAlign w:val="center"/>
            <w:hideMark/>
          </w:tcPr>
          <w:p w14:paraId="1ED4EC10"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Hambantota</w:t>
            </w:r>
          </w:p>
        </w:tc>
        <w:tc>
          <w:tcPr>
            <w:tcW w:w="0" w:type="auto"/>
            <w:vAlign w:val="center"/>
            <w:hideMark/>
          </w:tcPr>
          <w:p w14:paraId="6970D1C4"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0.54</w:t>
            </w:r>
          </w:p>
        </w:tc>
      </w:tr>
      <w:tr w:rsidR="00F53F35" w:rsidRPr="00CA6A46" w14:paraId="21FBABC5" w14:textId="77777777">
        <w:trPr>
          <w:tblCellSpacing w:w="15" w:type="dxa"/>
        </w:trPr>
        <w:tc>
          <w:tcPr>
            <w:tcW w:w="0" w:type="auto"/>
            <w:vAlign w:val="center"/>
            <w:hideMark/>
          </w:tcPr>
          <w:p w14:paraId="422C351D"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Matale</w:t>
            </w:r>
          </w:p>
        </w:tc>
        <w:tc>
          <w:tcPr>
            <w:tcW w:w="0" w:type="auto"/>
            <w:vAlign w:val="center"/>
            <w:hideMark/>
          </w:tcPr>
          <w:p w14:paraId="34FE7C84"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0.48</w:t>
            </w:r>
          </w:p>
        </w:tc>
      </w:tr>
      <w:tr w:rsidR="00F53F35" w:rsidRPr="00CA6A46" w14:paraId="0922C318" w14:textId="77777777">
        <w:trPr>
          <w:tblCellSpacing w:w="15" w:type="dxa"/>
        </w:trPr>
        <w:tc>
          <w:tcPr>
            <w:tcW w:w="0" w:type="auto"/>
            <w:vAlign w:val="center"/>
            <w:hideMark/>
          </w:tcPr>
          <w:p w14:paraId="4EF979E9"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Mannar</w:t>
            </w:r>
          </w:p>
        </w:tc>
        <w:tc>
          <w:tcPr>
            <w:tcW w:w="0" w:type="auto"/>
            <w:vAlign w:val="center"/>
            <w:hideMark/>
          </w:tcPr>
          <w:p w14:paraId="53C6B536"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1.00</w:t>
            </w:r>
          </w:p>
        </w:tc>
      </w:tr>
      <w:tr w:rsidR="00F53F35" w:rsidRPr="00CA6A46" w14:paraId="0DE2ACE7" w14:textId="77777777">
        <w:trPr>
          <w:tblCellSpacing w:w="15" w:type="dxa"/>
        </w:trPr>
        <w:tc>
          <w:tcPr>
            <w:tcW w:w="0" w:type="auto"/>
            <w:vAlign w:val="center"/>
            <w:hideMark/>
          </w:tcPr>
          <w:p w14:paraId="15A32778"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Kalutara</w:t>
            </w:r>
          </w:p>
        </w:tc>
        <w:tc>
          <w:tcPr>
            <w:tcW w:w="0" w:type="auto"/>
            <w:vAlign w:val="center"/>
            <w:hideMark/>
          </w:tcPr>
          <w:p w14:paraId="2F2DDF77"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0.39</w:t>
            </w:r>
          </w:p>
        </w:tc>
      </w:tr>
      <w:tr w:rsidR="00F53F35" w:rsidRPr="00CA6A46" w14:paraId="6FFD27F5" w14:textId="77777777">
        <w:trPr>
          <w:tblCellSpacing w:w="15" w:type="dxa"/>
        </w:trPr>
        <w:tc>
          <w:tcPr>
            <w:tcW w:w="0" w:type="auto"/>
            <w:vAlign w:val="center"/>
            <w:hideMark/>
          </w:tcPr>
          <w:p w14:paraId="4C0FD722"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Monaragala</w:t>
            </w:r>
          </w:p>
        </w:tc>
        <w:tc>
          <w:tcPr>
            <w:tcW w:w="0" w:type="auto"/>
            <w:vAlign w:val="center"/>
            <w:hideMark/>
          </w:tcPr>
          <w:p w14:paraId="16BD1C8E"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0.70</w:t>
            </w:r>
          </w:p>
        </w:tc>
      </w:tr>
      <w:tr w:rsidR="00F53F35" w:rsidRPr="00CA6A46" w14:paraId="666D0116" w14:textId="77777777">
        <w:trPr>
          <w:tblCellSpacing w:w="15" w:type="dxa"/>
        </w:trPr>
        <w:tc>
          <w:tcPr>
            <w:tcW w:w="0" w:type="auto"/>
            <w:vAlign w:val="center"/>
            <w:hideMark/>
          </w:tcPr>
          <w:p w14:paraId="5DF2E0EE"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Kalmunai</w:t>
            </w:r>
          </w:p>
        </w:tc>
        <w:tc>
          <w:tcPr>
            <w:tcW w:w="0" w:type="auto"/>
            <w:vAlign w:val="center"/>
            <w:hideMark/>
          </w:tcPr>
          <w:p w14:paraId="49ABFF46"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0.83</w:t>
            </w:r>
          </w:p>
        </w:tc>
      </w:tr>
      <w:tr w:rsidR="00F53F35" w:rsidRPr="00CA6A46" w14:paraId="28D38967" w14:textId="77777777">
        <w:trPr>
          <w:tblCellSpacing w:w="15" w:type="dxa"/>
        </w:trPr>
        <w:tc>
          <w:tcPr>
            <w:tcW w:w="0" w:type="auto"/>
            <w:vAlign w:val="center"/>
            <w:hideMark/>
          </w:tcPr>
          <w:p w14:paraId="7ECF8EF7"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Vavuniya</w:t>
            </w:r>
          </w:p>
        </w:tc>
        <w:tc>
          <w:tcPr>
            <w:tcW w:w="0" w:type="auto"/>
            <w:vAlign w:val="center"/>
            <w:hideMark/>
          </w:tcPr>
          <w:p w14:paraId="7BACA219"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1.40</w:t>
            </w:r>
          </w:p>
        </w:tc>
      </w:tr>
      <w:tr w:rsidR="00F53F35" w:rsidRPr="00CA6A46" w14:paraId="684F40EE" w14:textId="77777777">
        <w:trPr>
          <w:tblCellSpacing w:w="15" w:type="dxa"/>
        </w:trPr>
        <w:tc>
          <w:tcPr>
            <w:tcW w:w="0" w:type="auto"/>
            <w:vAlign w:val="center"/>
            <w:hideMark/>
          </w:tcPr>
          <w:p w14:paraId="564AF2AF"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Mullaitivu</w:t>
            </w:r>
          </w:p>
        </w:tc>
        <w:tc>
          <w:tcPr>
            <w:tcW w:w="0" w:type="auto"/>
            <w:vAlign w:val="center"/>
            <w:hideMark/>
          </w:tcPr>
          <w:p w14:paraId="144CFB3E"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0.80</w:t>
            </w:r>
          </w:p>
        </w:tc>
      </w:tr>
      <w:tr w:rsidR="00F53F35" w:rsidRPr="00CA6A46" w14:paraId="3F2C7289" w14:textId="77777777">
        <w:trPr>
          <w:tblCellSpacing w:w="15" w:type="dxa"/>
        </w:trPr>
        <w:tc>
          <w:tcPr>
            <w:tcW w:w="0" w:type="auto"/>
            <w:vAlign w:val="center"/>
            <w:hideMark/>
          </w:tcPr>
          <w:p w14:paraId="437AC845"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Kilinochchi</w:t>
            </w:r>
          </w:p>
        </w:tc>
        <w:tc>
          <w:tcPr>
            <w:tcW w:w="0" w:type="auto"/>
            <w:vAlign w:val="center"/>
            <w:hideMark/>
          </w:tcPr>
          <w:p w14:paraId="5861E8CA"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0.50</w:t>
            </w:r>
          </w:p>
        </w:tc>
      </w:tr>
      <w:tr w:rsidR="00F53F35" w:rsidRPr="00CA6A46" w14:paraId="74AE1654" w14:textId="77777777">
        <w:trPr>
          <w:tblCellSpacing w:w="15" w:type="dxa"/>
        </w:trPr>
        <w:tc>
          <w:tcPr>
            <w:tcW w:w="0" w:type="auto"/>
            <w:vAlign w:val="center"/>
            <w:hideMark/>
          </w:tcPr>
          <w:p w14:paraId="2732D3DA"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NIHS</w:t>
            </w:r>
          </w:p>
        </w:tc>
        <w:tc>
          <w:tcPr>
            <w:tcW w:w="0" w:type="auto"/>
            <w:vAlign w:val="center"/>
            <w:hideMark/>
          </w:tcPr>
          <w:p w14:paraId="63F6231E" w14:textId="77777777" w:rsidR="00F53F35" w:rsidRPr="00CA6A46" w:rsidRDefault="00F53F35" w:rsidP="00CA6A46">
            <w:pPr>
              <w:spacing w:after="0" w:line="360" w:lineRule="auto"/>
              <w:rPr>
                <w:rFonts w:ascii="Times New Roman" w:eastAsia="Times New Roman" w:hAnsi="Times New Roman" w:cs="Times New Roman"/>
                <w:kern w:val="0"/>
                <w14:ligatures w14:val="none"/>
              </w:rPr>
            </w:pPr>
            <w:r w:rsidRPr="00CA6A46">
              <w:rPr>
                <w:rFonts w:ascii="Times New Roman" w:eastAsia="Times New Roman" w:hAnsi="Times New Roman" w:cs="Times New Roman"/>
                <w:kern w:val="0"/>
                <w14:ligatures w14:val="none"/>
              </w:rPr>
              <w:t xml:space="preserve">           1.06</w:t>
            </w:r>
          </w:p>
        </w:tc>
      </w:tr>
    </w:tbl>
    <w:p w14:paraId="559B8BF3" w14:textId="77777777" w:rsidR="00F53F35" w:rsidRPr="00CA6A46" w:rsidRDefault="00F53F35" w:rsidP="00CA6A46">
      <w:pPr>
        <w:spacing w:line="360" w:lineRule="auto"/>
        <w:ind w:left="720"/>
        <w:jc w:val="both"/>
        <w:rPr>
          <w:rFonts w:ascii="Times New Roman" w:hAnsi="Times New Roman" w:cs="Times New Roman"/>
        </w:rPr>
      </w:pPr>
    </w:p>
    <w:p w14:paraId="4B54D7CC" w14:textId="77777777" w:rsidR="00F53F35" w:rsidRPr="00CA6A46" w:rsidRDefault="00F53F35" w:rsidP="00CA6A46">
      <w:pPr>
        <w:numPr>
          <w:ilvl w:val="0"/>
          <w:numId w:val="18"/>
        </w:numPr>
        <w:spacing w:line="360" w:lineRule="auto"/>
        <w:jc w:val="both"/>
        <w:rPr>
          <w:rFonts w:ascii="Times New Roman" w:hAnsi="Times New Roman" w:cs="Times New Roman"/>
        </w:rPr>
      </w:pPr>
      <w:r w:rsidRPr="00CA6A46">
        <w:rPr>
          <w:rFonts w:ascii="Times New Roman" w:hAnsi="Times New Roman" w:cs="Times New Roman"/>
        </w:rPr>
        <w:t xml:space="preserve">Clinical staff = MOs + Nurses </w:t>
      </w:r>
    </w:p>
    <w:p w14:paraId="10E783E1" w14:textId="77777777" w:rsidR="00F53F35" w:rsidRPr="00CA6A46" w:rsidRDefault="00F53F35" w:rsidP="00CA6A46">
      <w:pPr>
        <w:numPr>
          <w:ilvl w:val="0"/>
          <w:numId w:val="18"/>
        </w:numPr>
        <w:spacing w:line="360" w:lineRule="auto"/>
        <w:jc w:val="both"/>
        <w:rPr>
          <w:rFonts w:ascii="Times New Roman" w:hAnsi="Times New Roman" w:cs="Times New Roman"/>
        </w:rPr>
      </w:pPr>
      <w:r w:rsidRPr="00CA6A46">
        <w:rPr>
          <w:rFonts w:ascii="Times New Roman" w:hAnsi="Times New Roman" w:cs="Times New Roman"/>
        </w:rPr>
        <w:t xml:space="preserve">Support staff = Dispensers + SKS </w:t>
      </w:r>
    </w:p>
    <w:p w14:paraId="1CBB0F41" w14:textId="77777777" w:rsidR="00F53F35" w:rsidRPr="00CA6A46" w:rsidRDefault="00F53F35" w:rsidP="00CA6A46">
      <w:pPr>
        <w:numPr>
          <w:ilvl w:val="0"/>
          <w:numId w:val="18"/>
        </w:numPr>
        <w:spacing w:line="360" w:lineRule="auto"/>
        <w:jc w:val="both"/>
        <w:rPr>
          <w:rFonts w:ascii="Times New Roman" w:hAnsi="Times New Roman" w:cs="Times New Roman"/>
        </w:rPr>
      </w:pPr>
      <w:r w:rsidRPr="00CA6A46">
        <w:rPr>
          <w:rFonts w:ascii="Times New Roman" w:hAnsi="Times New Roman" w:cs="Times New Roman"/>
        </w:rPr>
        <w:t xml:space="preserve">Ratio interpretation: </w:t>
      </w:r>
    </w:p>
    <w:p w14:paraId="4F44F326" w14:textId="77777777" w:rsidR="00F53F35" w:rsidRPr="00CA6A46" w:rsidRDefault="00F53F35" w:rsidP="00CA6A46">
      <w:pPr>
        <w:numPr>
          <w:ilvl w:val="1"/>
          <w:numId w:val="18"/>
        </w:numPr>
        <w:spacing w:line="360" w:lineRule="auto"/>
        <w:jc w:val="both"/>
        <w:rPr>
          <w:rFonts w:ascii="Times New Roman" w:hAnsi="Times New Roman" w:cs="Times New Roman"/>
        </w:rPr>
      </w:pPr>
      <w:r w:rsidRPr="00CA6A46">
        <w:rPr>
          <w:rFonts w:ascii="Times New Roman" w:hAnsi="Times New Roman" w:cs="Times New Roman"/>
        </w:rPr>
        <w:t xml:space="preserve">&gt;1 → More clinical staff </w:t>
      </w:r>
    </w:p>
    <w:p w14:paraId="2330DE09" w14:textId="77777777" w:rsidR="00F53F35" w:rsidRPr="00CA6A46" w:rsidRDefault="00F53F35" w:rsidP="00CA6A46">
      <w:pPr>
        <w:numPr>
          <w:ilvl w:val="1"/>
          <w:numId w:val="18"/>
        </w:numPr>
        <w:spacing w:line="360" w:lineRule="auto"/>
        <w:jc w:val="both"/>
        <w:rPr>
          <w:rFonts w:ascii="Times New Roman" w:hAnsi="Times New Roman" w:cs="Times New Roman"/>
        </w:rPr>
      </w:pPr>
      <w:r w:rsidRPr="00CA6A46">
        <w:rPr>
          <w:rFonts w:ascii="Times New Roman" w:hAnsi="Times New Roman" w:cs="Times New Roman"/>
        </w:rPr>
        <w:t>&lt;1 → Shortage of clinical support</w:t>
      </w:r>
    </w:p>
    <w:p w14:paraId="24C2C1F5" w14:textId="77777777" w:rsidR="00F53F35" w:rsidRPr="00CA6A46" w:rsidRDefault="00F53F35" w:rsidP="00CA6A46">
      <w:pPr>
        <w:numPr>
          <w:ilvl w:val="1"/>
          <w:numId w:val="18"/>
        </w:numPr>
        <w:spacing w:line="360" w:lineRule="auto"/>
        <w:jc w:val="both"/>
        <w:rPr>
          <w:rFonts w:ascii="Times New Roman" w:hAnsi="Times New Roman" w:cs="Times New Roman"/>
        </w:rPr>
      </w:pPr>
      <w:r w:rsidRPr="00CA6A46">
        <w:rPr>
          <w:rFonts w:ascii="Times New Roman" w:hAnsi="Times New Roman" w:cs="Times New Roman"/>
        </w:rPr>
        <w:t xml:space="preserve">Very low (&lt;0.5) → Serious imbalance </w:t>
      </w:r>
    </w:p>
    <w:p w14:paraId="5E97A0CE" w14:textId="77777777" w:rsidR="00F53F35" w:rsidRPr="00CA6A46" w:rsidRDefault="00F53F35" w:rsidP="00CA6A46">
      <w:pPr>
        <w:spacing w:line="360" w:lineRule="auto"/>
        <w:ind w:left="720"/>
        <w:jc w:val="both"/>
        <w:rPr>
          <w:rFonts w:ascii="Times New Roman" w:hAnsi="Times New Roman" w:cs="Times New Roman"/>
        </w:rPr>
      </w:pPr>
    </w:p>
    <w:p w14:paraId="7A00DFA4"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lastRenderedPageBreak/>
        <w:t xml:space="preserve"> Lowest ratio: Kandy (0.19) → severe clinical shortage </w:t>
      </w:r>
    </w:p>
    <w:p w14:paraId="46CBA1B5" w14:textId="0C490F39"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 Highest ratio: Vavuniya (1.40) → relatively higher clinical presence</w:t>
      </w:r>
    </w:p>
    <w:p w14:paraId="200BFA58" w14:textId="77777777" w:rsidR="00CA6A46" w:rsidRPr="00CA6A46" w:rsidRDefault="00CA6A46" w:rsidP="00CA6A46">
      <w:pPr>
        <w:spacing w:line="360" w:lineRule="auto"/>
        <w:ind w:left="720"/>
        <w:jc w:val="both"/>
        <w:rPr>
          <w:rFonts w:ascii="Times New Roman" w:hAnsi="Times New Roman" w:cs="Times New Roman"/>
        </w:rPr>
      </w:pPr>
    </w:p>
    <w:p w14:paraId="0D077626" w14:textId="77777777" w:rsidR="00F53F35" w:rsidRPr="00CA6A46" w:rsidRDefault="00F53F35" w:rsidP="00CA6A46">
      <w:pPr>
        <w:spacing w:line="360" w:lineRule="auto"/>
        <w:ind w:left="720"/>
        <w:jc w:val="both"/>
        <w:rPr>
          <w:rFonts w:ascii="Times New Roman" w:hAnsi="Times New Roman" w:cs="Times New Roman"/>
          <w:b/>
          <w:bCs/>
        </w:rPr>
      </w:pPr>
      <w:r w:rsidRPr="00CA6A46">
        <w:rPr>
          <w:rFonts w:ascii="Times New Roman" w:hAnsi="Times New Roman" w:cs="Times New Roman"/>
          <w:b/>
          <w:bCs/>
        </w:rPr>
        <w:t>Discussion</w:t>
      </w:r>
    </w:p>
    <w:p w14:paraId="724C37A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This study highlights significant disparities in the distribution of human resources across Primary Medical Care Units (PMCUs) in Sri Lanka, the findings indicate that infrastructure expansion alone does not guarantee equitable service delivery. The observed variations in staffing levels, particularly the severe nursing shortages and uneven clinical-to-support staff ratios, underscore systemic challenges in workforce planning.</w:t>
      </w:r>
    </w:p>
    <w:p w14:paraId="710066DF"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1. Clinical Staff Distribution and Nursing Gaps</w:t>
      </w:r>
    </w:p>
    <w:p w14:paraId="37776B6E"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Medical Officers (MOs) were generally present across nearly all PMCUs, reflecting a baseline commitment to clinical service provision. However, the widespread absence of nurses in 10 out of 27 districts (37%) reveals a critical gap in frontline care. Nurses play an essential role in patient education, chronic disease management, immunization, wound care, and preventive services. Their absence likely results in:</w:t>
      </w:r>
    </w:p>
    <w:p w14:paraId="7B611C85" w14:textId="77777777" w:rsidR="00F53F35" w:rsidRPr="00CA6A46" w:rsidRDefault="00F53F35" w:rsidP="00CA6A46">
      <w:pPr>
        <w:numPr>
          <w:ilvl w:val="0"/>
          <w:numId w:val="19"/>
        </w:numPr>
        <w:spacing w:line="360" w:lineRule="auto"/>
        <w:jc w:val="both"/>
        <w:rPr>
          <w:rFonts w:ascii="Times New Roman" w:hAnsi="Times New Roman" w:cs="Times New Roman"/>
        </w:rPr>
      </w:pPr>
      <w:r w:rsidRPr="00CA6A46">
        <w:rPr>
          <w:rFonts w:ascii="Times New Roman" w:hAnsi="Times New Roman" w:cs="Times New Roman"/>
        </w:rPr>
        <w:t xml:space="preserve">Increased workload and burnout among MOs </w:t>
      </w:r>
    </w:p>
    <w:p w14:paraId="5790180C" w14:textId="77777777" w:rsidR="00F53F35" w:rsidRPr="00CA6A46" w:rsidRDefault="00F53F35" w:rsidP="00CA6A46">
      <w:pPr>
        <w:numPr>
          <w:ilvl w:val="0"/>
          <w:numId w:val="19"/>
        </w:numPr>
        <w:spacing w:line="360" w:lineRule="auto"/>
        <w:jc w:val="both"/>
        <w:rPr>
          <w:rFonts w:ascii="Times New Roman" w:hAnsi="Times New Roman" w:cs="Times New Roman"/>
        </w:rPr>
      </w:pPr>
      <w:r w:rsidRPr="00CA6A46">
        <w:rPr>
          <w:rFonts w:ascii="Times New Roman" w:hAnsi="Times New Roman" w:cs="Times New Roman"/>
        </w:rPr>
        <w:t xml:space="preserve">Reduced patient counseling and preventive service delivery </w:t>
      </w:r>
    </w:p>
    <w:p w14:paraId="4DF75668" w14:textId="77777777" w:rsidR="00F53F35" w:rsidRPr="00CA6A46" w:rsidRDefault="00F53F35" w:rsidP="00CA6A46">
      <w:pPr>
        <w:numPr>
          <w:ilvl w:val="0"/>
          <w:numId w:val="19"/>
        </w:numPr>
        <w:spacing w:line="360" w:lineRule="auto"/>
        <w:jc w:val="both"/>
        <w:rPr>
          <w:rFonts w:ascii="Times New Roman" w:hAnsi="Times New Roman" w:cs="Times New Roman"/>
        </w:rPr>
      </w:pPr>
      <w:r w:rsidRPr="00CA6A46">
        <w:rPr>
          <w:rFonts w:ascii="Times New Roman" w:hAnsi="Times New Roman" w:cs="Times New Roman"/>
        </w:rPr>
        <w:t xml:space="preserve">Potential delays in care and higher referral rates to tertiary hospitals </w:t>
      </w:r>
    </w:p>
    <w:p w14:paraId="24BAA9A7"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Districts such as Kandy (0.19) and Kalutara (0.39) demonstrated extremely low clinical-to-support ratios, indicating a serious shortage of clinical capacity relative to the number of support staff, whereas districts like Vavuniya (1.40) and Ratnapura (1.31) had comparatively higher ratios, reflecting better clinical coverage. These imbalances highlight the need for targeted workforce redistribution to achieve functional equity across regions.</w:t>
      </w:r>
    </w:p>
    <w:p w14:paraId="280B254A"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2. Support Staff Availability and Implications</w:t>
      </w:r>
    </w:p>
    <w:p w14:paraId="4EA2558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 xml:space="preserve">Supporting staff (SKS) were consistently available across most districts, suggesting that non-clinical support functions are prioritized or more easily maintained. Dispensers showed moderate presence, which may partially explain inefficiencies in pharmaceutical </w:t>
      </w:r>
      <w:r w:rsidRPr="00CA6A46">
        <w:rPr>
          <w:rFonts w:ascii="Times New Roman" w:hAnsi="Times New Roman" w:cs="Times New Roman"/>
        </w:rPr>
        <w:lastRenderedPageBreak/>
        <w:t>management in certain PMCUs. While adequate support staff can facilitate operational efficiency, the lack of sufficient clinical personnel limits the actual delivery of care, highlighting a mismatch between facility capacity and clinical functionality.</w:t>
      </w:r>
    </w:p>
    <w:p w14:paraId="44B73CF6"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3. Clinical-to-Support Staff Ratios as a Policy Tool</w:t>
      </w:r>
    </w:p>
    <w:p w14:paraId="44AA6FF3"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The clinical-to-support staff ratio provides a quantitative measure of staffing balance. Ratios below 0.5, as seen in Kandy, Matale, and Kalutara, indicate critical shortages of clinical personnel relative to facility support. In contrast, ratios exceeding 1, such as in Vavuniya, suggest relatively stronger clinical coverage but may indicate underutilized support functions. These metrics can guide policymakers in:</w:t>
      </w:r>
    </w:p>
    <w:p w14:paraId="59959B29" w14:textId="77777777" w:rsidR="00F53F35" w:rsidRPr="00CA6A46" w:rsidRDefault="00F53F35" w:rsidP="00CA6A46">
      <w:pPr>
        <w:numPr>
          <w:ilvl w:val="0"/>
          <w:numId w:val="20"/>
        </w:numPr>
        <w:spacing w:line="360" w:lineRule="auto"/>
        <w:jc w:val="both"/>
        <w:rPr>
          <w:rFonts w:ascii="Times New Roman" w:hAnsi="Times New Roman" w:cs="Times New Roman"/>
        </w:rPr>
      </w:pPr>
      <w:r w:rsidRPr="00CA6A46">
        <w:rPr>
          <w:rFonts w:ascii="Times New Roman" w:hAnsi="Times New Roman" w:cs="Times New Roman"/>
        </w:rPr>
        <w:t xml:space="preserve">Prioritizing nurse recruitment and placement in under-served districts </w:t>
      </w:r>
    </w:p>
    <w:p w14:paraId="5B6E6496" w14:textId="77777777" w:rsidR="00F53F35" w:rsidRPr="00CA6A46" w:rsidRDefault="00F53F35" w:rsidP="00CA6A46">
      <w:pPr>
        <w:numPr>
          <w:ilvl w:val="0"/>
          <w:numId w:val="20"/>
        </w:numPr>
        <w:spacing w:line="360" w:lineRule="auto"/>
        <w:jc w:val="both"/>
        <w:rPr>
          <w:rFonts w:ascii="Times New Roman" w:hAnsi="Times New Roman" w:cs="Times New Roman"/>
        </w:rPr>
      </w:pPr>
      <w:r w:rsidRPr="00CA6A46">
        <w:rPr>
          <w:rFonts w:ascii="Times New Roman" w:hAnsi="Times New Roman" w:cs="Times New Roman"/>
        </w:rPr>
        <w:t xml:space="preserve">Aligning workforce planning with patient volume and service complexity </w:t>
      </w:r>
    </w:p>
    <w:p w14:paraId="3515AF86" w14:textId="77777777" w:rsidR="00F53F35" w:rsidRPr="00CA6A46" w:rsidRDefault="00F53F35" w:rsidP="00CA6A46">
      <w:pPr>
        <w:numPr>
          <w:ilvl w:val="0"/>
          <w:numId w:val="20"/>
        </w:numPr>
        <w:spacing w:line="360" w:lineRule="auto"/>
        <w:jc w:val="both"/>
        <w:rPr>
          <w:rFonts w:ascii="Times New Roman" w:hAnsi="Times New Roman" w:cs="Times New Roman"/>
        </w:rPr>
      </w:pPr>
      <w:r w:rsidRPr="00CA6A46">
        <w:rPr>
          <w:rFonts w:ascii="Times New Roman" w:hAnsi="Times New Roman" w:cs="Times New Roman"/>
        </w:rPr>
        <w:t xml:space="preserve">Establishing standardized staffing norms for PMCUs to strengthen primary healthcare </w:t>
      </w:r>
    </w:p>
    <w:p w14:paraId="1BFB8A23"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4. Regional and Equity Considerations</w:t>
      </w:r>
    </w:p>
    <w:p w14:paraId="572DB284" w14:textId="79EF7231"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The findings reveal stark geographic inequities. Northern districts (Mannar, Mullaitivu, Kilinochchi, Vavuniya, Jaffna) exhibited consistently low nursing availability, likely reflecting historical, logistical, and resource constraints. Central districts (Kandy, Matale) also showed critical shortages despite higher facility density. These disparities may exacerbate inequities in health outcomes, particularly for vulnerable populations dependent on local primary care services.</w:t>
      </w:r>
    </w:p>
    <w:p w14:paraId="0F264EB8"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5. Implications for Universal Health Coverage</w:t>
      </w:r>
    </w:p>
    <w:p w14:paraId="510A0FFF" w14:textId="036CA6FF"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Sri Lanka’s commitment to UHC necessitates not only physical access to healthcare facilities but also functional access through adequate human resources. Staffing imbalances compromise the delivery of essential services, such as chronic disease management, maternal and child health, and preventive interventions. Addressing these gaps is vital to ensure that all citizens can access high-quality, timely, and equitable primary healthcare.</w:t>
      </w:r>
    </w:p>
    <w:p w14:paraId="0A14867A" w14:textId="77777777" w:rsidR="00F53F35" w:rsidRPr="00CA6A46" w:rsidRDefault="00F53F35" w:rsidP="00CA6A46">
      <w:pPr>
        <w:spacing w:line="360" w:lineRule="auto"/>
        <w:ind w:left="720"/>
        <w:jc w:val="both"/>
        <w:rPr>
          <w:rFonts w:ascii="Times New Roman" w:hAnsi="Times New Roman" w:cs="Times New Roman"/>
          <w:b/>
          <w:bCs/>
        </w:rPr>
      </w:pPr>
      <w:r w:rsidRPr="00CA6A46">
        <w:rPr>
          <w:rFonts w:ascii="Times New Roman" w:hAnsi="Times New Roman" w:cs="Times New Roman"/>
          <w:b/>
          <w:bCs/>
        </w:rPr>
        <w:t>Recommendations</w:t>
      </w:r>
    </w:p>
    <w:p w14:paraId="5077ABD2"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Based on the study findings, several actionable recommendations emerge:</w:t>
      </w:r>
    </w:p>
    <w:p w14:paraId="1A07654B" w14:textId="77777777" w:rsidR="00F53F35" w:rsidRPr="00CA6A46" w:rsidRDefault="00F53F35" w:rsidP="00CA6A46">
      <w:pPr>
        <w:numPr>
          <w:ilvl w:val="0"/>
          <w:numId w:val="21"/>
        </w:numPr>
        <w:spacing w:line="360" w:lineRule="auto"/>
        <w:jc w:val="both"/>
        <w:rPr>
          <w:rFonts w:ascii="Times New Roman" w:hAnsi="Times New Roman" w:cs="Times New Roman"/>
        </w:rPr>
      </w:pPr>
      <w:r w:rsidRPr="00CA6A46">
        <w:rPr>
          <w:rFonts w:ascii="Times New Roman" w:hAnsi="Times New Roman" w:cs="Times New Roman"/>
        </w:rPr>
        <w:lastRenderedPageBreak/>
        <w:t xml:space="preserve">Targeted recruitment of nurses in districts with complete absence or critical shortages. </w:t>
      </w:r>
    </w:p>
    <w:p w14:paraId="28C5A518" w14:textId="77777777" w:rsidR="00F53F35" w:rsidRPr="00CA6A46" w:rsidRDefault="00F53F35" w:rsidP="00CA6A46">
      <w:pPr>
        <w:numPr>
          <w:ilvl w:val="0"/>
          <w:numId w:val="21"/>
        </w:numPr>
        <w:spacing w:line="360" w:lineRule="auto"/>
        <w:jc w:val="both"/>
        <w:rPr>
          <w:rFonts w:ascii="Times New Roman" w:hAnsi="Times New Roman" w:cs="Times New Roman"/>
        </w:rPr>
      </w:pPr>
      <w:r w:rsidRPr="00CA6A46">
        <w:rPr>
          <w:rFonts w:ascii="Times New Roman" w:hAnsi="Times New Roman" w:cs="Times New Roman"/>
        </w:rPr>
        <w:t xml:space="preserve">Redistribution of clinical staff based on workload, population </w:t>
      </w:r>
      <w:proofErr w:type="gramStart"/>
      <w:r w:rsidRPr="00CA6A46">
        <w:rPr>
          <w:rFonts w:ascii="Times New Roman" w:hAnsi="Times New Roman" w:cs="Times New Roman"/>
        </w:rPr>
        <w:t>served</w:t>
      </w:r>
      <w:proofErr w:type="gramEnd"/>
      <w:r w:rsidRPr="00CA6A46">
        <w:rPr>
          <w:rFonts w:ascii="Times New Roman" w:hAnsi="Times New Roman" w:cs="Times New Roman"/>
        </w:rPr>
        <w:t xml:space="preserve">, and clinical-to-support staff ratios. </w:t>
      </w:r>
    </w:p>
    <w:p w14:paraId="415B620F" w14:textId="77777777" w:rsidR="00F53F35" w:rsidRPr="00CA6A46" w:rsidRDefault="00F53F35" w:rsidP="00CA6A46">
      <w:pPr>
        <w:numPr>
          <w:ilvl w:val="0"/>
          <w:numId w:val="21"/>
        </w:numPr>
        <w:spacing w:line="360" w:lineRule="auto"/>
        <w:jc w:val="both"/>
        <w:rPr>
          <w:rFonts w:ascii="Times New Roman" w:hAnsi="Times New Roman" w:cs="Times New Roman"/>
        </w:rPr>
      </w:pPr>
      <w:r w:rsidRPr="00CA6A46">
        <w:rPr>
          <w:rFonts w:ascii="Times New Roman" w:hAnsi="Times New Roman" w:cs="Times New Roman"/>
        </w:rPr>
        <w:t xml:space="preserve">Establishment of minimum staffing standards for PMCUs, incorporating both clinical and support cadres. </w:t>
      </w:r>
    </w:p>
    <w:p w14:paraId="69CDB935" w14:textId="77777777" w:rsidR="00F53F35" w:rsidRPr="00CA6A46" w:rsidRDefault="00F53F35" w:rsidP="00CA6A46">
      <w:pPr>
        <w:numPr>
          <w:ilvl w:val="0"/>
          <w:numId w:val="21"/>
        </w:numPr>
        <w:spacing w:line="360" w:lineRule="auto"/>
        <w:jc w:val="both"/>
        <w:rPr>
          <w:rFonts w:ascii="Times New Roman" w:hAnsi="Times New Roman" w:cs="Times New Roman"/>
        </w:rPr>
      </w:pPr>
      <w:r w:rsidRPr="00CA6A46">
        <w:rPr>
          <w:rFonts w:ascii="Times New Roman" w:hAnsi="Times New Roman" w:cs="Times New Roman"/>
        </w:rPr>
        <w:t xml:space="preserve">Monitoring and evaluation of staffing distribution using ratios and service output metrics. </w:t>
      </w:r>
    </w:p>
    <w:p w14:paraId="14470557" w14:textId="77777777" w:rsidR="00F53F35" w:rsidRPr="00CA6A46" w:rsidRDefault="00F53F35" w:rsidP="00CA6A46">
      <w:pPr>
        <w:numPr>
          <w:ilvl w:val="0"/>
          <w:numId w:val="21"/>
        </w:numPr>
        <w:spacing w:line="360" w:lineRule="auto"/>
        <w:jc w:val="both"/>
        <w:rPr>
          <w:rFonts w:ascii="Times New Roman" w:hAnsi="Times New Roman" w:cs="Times New Roman"/>
        </w:rPr>
      </w:pPr>
      <w:r w:rsidRPr="00CA6A46">
        <w:rPr>
          <w:rFonts w:ascii="Times New Roman" w:hAnsi="Times New Roman" w:cs="Times New Roman"/>
        </w:rPr>
        <w:t xml:space="preserve">Policy integration to ensure that infrastructure expansion is accompanied by proportional human resource investment. </w:t>
      </w:r>
    </w:p>
    <w:p w14:paraId="03A4A157" w14:textId="77777777" w:rsidR="00F53F35" w:rsidRPr="00CA6A46" w:rsidRDefault="00F53F35" w:rsidP="00CA6A46">
      <w:pPr>
        <w:spacing w:line="360" w:lineRule="auto"/>
        <w:ind w:left="720"/>
        <w:jc w:val="both"/>
        <w:rPr>
          <w:rFonts w:ascii="Times New Roman" w:hAnsi="Times New Roman" w:cs="Times New Roman"/>
        </w:rPr>
      </w:pPr>
    </w:p>
    <w:p w14:paraId="5DCE4C10" w14:textId="77777777" w:rsidR="00F53F35" w:rsidRPr="00CA6A46" w:rsidRDefault="00F53F35" w:rsidP="00CA6A46">
      <w:pPr>
        <w:spacing w:line="360" w:lineRule="auto"/>
        <w:ind w:left="720"/>
        <w:jc w:val="both"/>
        <w:rPr>
          <w:rFonts w:ascii="Times New Roman" w:hAnsi="Times New Roman" w:cs="Times New Roman"/>
          <w:b/>
          <w:bCs/>
        </w:rPr>
      </w:pPr>
      <w:r w:rsidRPr="00CA6A46">
        <w:rPr>
          <w:rFonts w:ascii="Times New Roman" w:hAnsi="Times New Roman" w:cs="Times New Roman"/>
          <w:b/>
          <w:bCs/>
        </w:rPr>
        <w:t>Limitations</w:t>
      </w:r>
    </w:p>
    <w:p w14:paraId="4E48EA43" w14:textId="77777777" w:rsidR="00F53F35" w:rsidRPr="00CA6A46" w:rsidRDefault="00F53F35" w:rsidP="00CA6A46">
      <w:pPr>
        <w:spacing w:line="360" w:lineRule="auto"/>
        <w:ind w:left="720"/>
        <w:jc w:val="both"/>
        <w:rPr>
          <w:rFonts w:ascii="Times New Roman" w:hAnsi="Times New Roman" w:cs="Times New Roman"/>
        </w:rPr>
      </w:pPr>
      <w:r w:rsidRPr="00CA6A46">
        <w:rPr>
          <w:rFonts w:ascii="Times New Roman" w:hAnsi="Times New Roman" w:cs="Times New Roman"/>
        </w:rPr>
        <w:t>This study is limited to administrative staffing data and does not assess service output, patient satisfaction, or skill mix. Future research should integrate these dimensions to more comprehensively evaluate functional capacity and quality of care at PMCUs.</w:t>
      </w:r>
    </w:p>
    <w:p w14:paraId="5E4FEE1F" w14:textId="77777777" w:rsidR="00F53F35" w:rsidRPr="00CA6A46" w:rsidRDefault="00F53F35" w:rsidP="00CA6A46">
      <w:pPr>
        <w:spacing w:line="360" w:lineRule="auto"/>
        <w:ind w:left="720"/>
        <w:jc w:val="both"/>
        <w:rPr>
          <w:rFonts w:ascii="Times New Roman" w:hAnsi="Times New Roman" w:cs="Times New Roman"/>
        </w:rPr>
      </w:pPr>
    </w:p>
    <w:p w14:paraId="3B6EF6AD" w14:textId="77777777" w:rsidR="00F53F35" w:rsidRPr="00CA6A46" w:rsidRDefault="00F53F35" w:rsidP="00CA6A46">
      <w:pPr>
        <w:spacing w:line="360" w:lineRule="auto"/>
        <w:jc w:val="both"/>
        <w:rPr>
          <w:rFonts w:ascii="Times New Roman" w:hAnsi="Times New Roman" w:cs="Times New Roman"/>
        </w:rPr>
      </w:pPr>
    </w:p>
    <w:sdt>
      <w:sdtPr>
        <w:rPr>
          <w:rFonts w:ascii="Times New Roman" w:hAnsi="Times New Roman" w:cs="Times New Roman"/>
        </w:rPr>
        <w:tag w:val="Paperpal_Bibliography"/>
        <w:id w:val="355010143"/>
        <w:placeholder>
          <w:docPart w:val="DefaultPlaceholder_-1854013440"/>
        </w:placeholder>
        <w15:appearance w15:val="tags"/>
      </w:sdtPr>
      <w:sdtContent>
        <w:p w14:paraId="54FC67EF" w14:textId="77777777" w:rsidR="00F53F35" w:rsidRPr="00CA6A46" w:rsidRDefault="00F53F35" w:rsidP="00CA6A46">
          <w:pPr>
            <w:spacing w:before="240" w:after="120" w:line="360" w:lineRule="auto"/>
          </w:pPr>
          <w:r w:rsidRPr="00CA6A46">
            <w:fldChar w:fldCharType="begin"/>
          </w:r>
          <w:r w:rsidRPr="00CA6A46">
            <w:instrText>Paperpal References</w:instrText>
          </w:r>
          <w:r w:rsidRPr="00CA6A46">
            <w:fldChar w:fldCharType="separate"/>
          </w:r>
          <w:r w:rsidRPr="00CA6A46">
            <w:rPr>
              <w:b/>
            </w:rPr>
            <w:t>References</w:t>
          </w:r>
          <w:r w:rsidRPr="00CA6A46">
            <w:fldChar w:fldCharType="end"/>
          </w:r>
        </w:p>
        <w:p w14:paraId="25F2E1B2" w14:textId="722C1CDB" w:rsidR="00F53F35" w:rsidRPr="00CA6A46" w:rsidRDefault="00F53F35" w:rsidP="00CA6A46">
          <w:pPr>
            <w:spacing w:line="360" w:lineRule="auto"/>
            <w:jc w:val="both"/>
            <w:rPr>
              <w:rFonts w:ascii="Times New Roman" w:hAnsi="Times New Roman" w:cs="Times New Roman"/>
            </w:rPr>
          </w:pPr>
          <w:r w:rsidRPr="00CA6A46">
            <w:rPr>
              <w:color w:val="4EA72E" w:themeColor="accent6"/>
            </w:rPr>
            <w:fldChar w:fldCharType="begin"/>
          </w:r>
          <w:r w:rsidRPr="00CA6A46">
            <w:instrText>ADDIN PAPERPAL_BIBL CSL_CITATION</w:instrText>
          </w:r>
          <w:r w:rsidRPr="00CA6A46">
            <w:fldChar w:fldCharType="separate"/>
          </w:r>
          <w:r w:rsidRPr="00CA6A46">
            <w:t xml:space="preserve">Doherty, S., Hulland, E., Lopes-Cardozo, B., Kirupakaran, S., Surenthirakumaran, R., Cookson, S., &amp; Siriwardhana, C. (2019). Prevalence of mental disorders and epidemiological associations in post-conflict primary care attendees: a cross-sectional study in the Northern Province of Sri Lanka. </w:t>
          </w:r>
          <w:r w:rsidRPr="00CA6A46">
            <w:rPr>
              <w:i/>
            </w:rPr>
            <w:t>BMC Psychiatry</w:t>
          </w:r>
          <w:r w:rsidRPr="00CA6A46">
            <w:t xml:space="preserve">, </w:t>
          </w:r>
          <w:r w:rsidRPr="00CA6A46">
            <w:rPr>
              <w:i/>
            </w:rPr>
            <w:t>19</w:t>
          </w:r>
          <w:r w:rsidRPr="00CA6A46">
            <w:t>(1), 83. https://doi.org/10.1186/s12888-019-2064-0</w:t>
          </w:r>
          <w:r w:rsidRPr="00CA6A46">
            <w:br/>
          </w:r>
          <w:r w:rsidRPr="00CA6A46">
            <w:br/>
            <w:t xml:space="preserve">Farley, J. M., Suraweera, I., Perera, W. L. S. P., Hess, J., &amp; Ebi, K. L. (2017). Evaluation of flood preparedness in government healthcare facilities in Eastern Province, Sri Lanka. </w:t>
          </w:r>
          <w:r w:rsidRPr="00CA6A46">
            <w:rPr>
              <w:i/>
            </w:rPr>
            <w:t>Global Health Action</w:t>
          </w:r>
          <w:r w:rsidRPr="00CA6A46">
            <w:t xml:space="preserve">, </w:t>
          </w:r>
          <w:r w:rsidRPr="00CA6A46">
            <w:rPr>
              <w:i/>
            </w:rPr>
            <w:t>10</w:t>
          </w:r>
          <w:r w:rsidRPr="00CA6A46">
            <w:t>(1), 1331539. https://doi.org/10.1080/16549716.2017.1331539</w:t>
          </w:r>
          <w:r w:rsidRPr="00CA6A46">
            <w:br/>
          </w:r>
          <w:r w:rsidRPr="00CA6A46">
            <w:br/>
          </w:r>
          <w:r w:rsidRPr="00CA6A46">
            <w:lastRenderedPageBreak/>
            <w:t xml:space="preserve">Kathriarachchi, S., Seneviratne, V., &amp; Amarakoon, L. (2019). Development of mental health care in Sri Lanka: Lessons learned. </w:t>
          </w:r>
          <w:r w:rsidRPr="00CA6A46">
            <w:rPr>
              <w:i/>
            </w:rPr>
            <w:t>Taiwanese Journal of Psychiatry</w:t>
          </w:r>
          <w:r w:rsidRPr="00CA6A46">
            <w:t xml:space="preserve">, </w:t>
          </w:r>
          <w:r w:rsidRPr="00CA6A46">
            <w:rPr>
              <w:i/>
            </w:rPr>
            <w:t>33</w:t>
          </w:r>
          <w:r w:rsidRPr="00CA6A46">
            <w:t>(2), 55. https://doi.org/10.4103/tpsy.tpsy_15_19</w:t>
          </w:r>
          <w:r w:rsidRPr="00CA6A46">
            <w:br/>
          </w:r>
          <w:r w:rsidRPr="00CA6A46">
            <w:br/>
            <w:t xml:space="preserve">Mendis, S., Al Bashir, I., Dissanayake, L., Varghese, C., Fadhil, I., Marhe, E., Sambo, B., Mehta, F., Elsayad, H., Sow, I., Algoe, M., Tennakoon, H., Truong, L. D., Lan, L. T. T., Huiuinato, D., Hewageegana, N., Fahal, N. A. W., Mebrhatu, G., Tshering, G., &amp; Chestnov, O. (2012). Gaps in Capacity in Primary Care in Low-Resource Settings for Implementation of Essential Noncommunicable Disease Interventions. </w:t>
          </w:r>
          <w:r w:rsidRPr="00CA6A46">
            <w:rPr>
              <w:i/>
            </w:rPr>
            <w:t>International Journal of Hypertension</w:t>
          </w:r>
          <w:r w:rsidRPr="00CA6A46">
            <w:t xml:space="preserve">, </w:t>
          </w:r>
          <w:r w:rsidRPr="00CA6A46">
            <w:rPr>
              <w:i/>
            </w:rPr>
            <w:t>2012</w:t>
          </w:r>
          <w:r w:rsidRPr="00CA6A46">
            <w:t>(Resolution WHA 53. 14), 1–7. https://doi.org/10.1155/2012/584041</w:t>
          </w:r>
          <w:r w:rsidRPr="00CA6A46">
            <w:br/>
          </w:r>
          <w:r w:rsidRPr="00CA6A46">
            <w:br/>
            <w:t xml:space="preserve">Perera, S., Nieveras, O., De Silva, P., Wijesundara, C., &amp; Pendse, R. (2019). Accelerating reforms of primary health care towards universal health coverage in Sri Lanka. </w:t>
          </w:r>
          <w:r w:rsidRPr="00CA6A46">
            <w:rPr>
              <w:i/>
            </w:rPr>
            <w:t>WHO South-East Asia Journal of Public Health</w:t>
          </w:r>
          <w:r w:rsidRPr="00CA6A46">
            <w:t xml:space="preserve">, </w:t>
          </w:r>
          <w:r w:rsidRPr="00CA6A46">
            <w:rPr>
              <w:i/>
            </w:rPr>
            <w:t>8</w:t>
          </w:r>
          <w:r w:rsidRPr="00CA6A46">
            <w:t>(1), 21. https://doi.org/10.4103/2224-3151.255345</w:t>
          </w:r>
          <w:r w:rsidRPr="00CA6A46">
            <w:br/>
          </w:r>
          <w:r w:rsidRPr="00CA6A46">
            <w:br/>
            <w:t xml:space="preserve">Rathish, D., Premarathna, I., Jayathilake, T., Kandegedara, C., Punchihewa, K., Ananda, L., Bandara, T., Jayasumana, C., &amp; Siribaddana, S. (2017). Availability of essential medicines in selected public, primary and secondary health care institutions of a rural Sri Lankan district: a spot survey. </w:t>
          </w:r>
          <w:r w:rsidRPr="00CA6A46">
            <w:rPr>
              <w:i/>
            </w:rPr>
            <w:t>BMC Health Services Research</w:t>
          </w:r>
          <w:r w:rsidRPr="00CA6A46">
            <w:t xml:space="preserve">, </w:t>
          </w:r>
          <w:r w:rsidRPr="00CA6A46">
            <w:rPr>
              <w:i/>
            </w:rPr>
            <w:t>17</w:t>
          </w:r>
          <w:r w:rsidRPr="00CA6A46">
            <w:t>(1), 11. https://doi.org/10.1186/s12913-016-1969-2</w:t>
          </w:r>
          <w:r w:rsidRPr="00CA6A46">
            <w:br/>
          </w:r>
          <w:r w:rsidRPr="00CA6A46">
            <w:br/>
            <w:t xml:space="preserve">Senarath, U., Wickramage, K., &amp; Peiris, S. L. (2014). Prevalence of depression and its associated factors among patients attending primary care settings in the post-conflict Northern Province in Sri Lanka: a cross-sectional study. </w:t>
          </w:r>
          <w:r w:rsidRPr="00CA6A46">
            <w:rPr>
              <w:i/>
            </w:rPr>
            <w:t>BMC Psychiatry</w:t>
          </w:r>
          <w:r w:rsidRPr="00CA6A46">
            <w:t xml:space="preserve">, </w:t>
          </w:r>
          <w:r w:rsidRPr="00CA6A46">
            <w:rPr>
              <w:i/>
            </w:rPr>
            <w:t>14</w:t>
          </w:r>
          <w:r w:rsidRPr="00CA6A46">
            <w:t>(9569), 85. https://doi.org/10.1186/1471-244x-14-85</w:t>
          </w:r>
          <w:r w:rsidRPr="00CA6A46">
            <w:fldChar w:fldCharType="end"/>
          </w:r>
        </w:p>
      </w:sdtContent>
    </w:sdt>
    <w:p w14:paraId="2AFA1567" w14:textId="3B96DEEC" w:rsidR="00F53F35" w:rsidRPr="00CA6A46" w:rsidRDefault="00F53F35" w:rsidP="00CA6A46">
      <w:pPr>
        <w:spacing w:line="360" w:lineRule="auto"/>
        <w:jc w:val="both"/>
        <w:rPr>
          <w:rFonts w:ascii="Times New Roman" w:hAnsi="Times New Roman" w:cs="Times New Roman"/>
        </w:rPr>
      </w:pPr>
    </w:p>
    <w:sectPr w:rsidR="00F53F35" w:rsidRPr="00CA6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534"/>
    <w:multiLevelType w:val="multilevel"/>
    <w:tmpl w:val="794C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40BD"/>
    <w:multiLevelType w:val="multilevel"/>
    <w:tmpl w:val="66BA429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D61BA"/>
    <w:multiLevelType w:val="multilevel"/>
    <w:tmpl w:val="EE88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C123B"/>
    <w:multiLevelType w:val="multilevel"/>
    <w:tmpl w:val="486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D16FF"/>
    <w:multiLevelType w:val="multilevel"/>
    <w:tmpl w:val="D2B8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51A86"/>
    <w:multiLevelType w:val="multilevel"/>
    <w:tmpl w:val="9654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C1230"/>
    <w:multiLevelType w:val="multilevel"/>
    <w:tmpl w:val="EAC8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C4F04"/>
    <w:multiLevelType w:val="multilevel"/>
    <w:tmpl w:val="220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76494"/>
    <w:multiLevelType w:val="multilevel"/>
    <w:tmpl w:val="8F8C6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D61D2"/>
    <w:multiLevelType w:val="hybridMultilevel"/>
    <w:tmpl w:val="BEE87B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4315E87"/>
    <w:multiLevelType w:val="multilevel"/>
    <w:tmpl w:val="3E78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E2396"/>
    <w:multiLevelType w:val="multilevel"/>
    <w:tmpl w:val="C1320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820AC"/>
    <w:multiLevelType w:val="multilevel"/>
    <w:tmpl w:val="49E0A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5060D"/>
    <w:multiLevelType w:val="multilevel"/>
    <w:tmpl w:val="A464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83E7F"/>
    <w:multiLevelType w:val="multilevel"/>
    <w:tmpl w:val="A0660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A1F7F"/>
    <w:multiLevelType w:val="multilevel"/>
    <w:tmpl w:val="211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61526"/>
    <w:multiLevelType w:val="multilevel"/>
    <w:tmpl w:val="FE8A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B52F0"/>
    <w:multiLevelType w:val="multilevel"/>
    <w:tmpl w:val="06D8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06D5E"/>
    <w:multiLevelType w:val="multilevel"/>
    <w:tmpl w:val="F038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236AE"/>
    <w:multiLevelType w:val="multilevel"/>
    <w:tmpl w:val="F336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F7DB1"/>
    <w:multiLevelType w:val="multilevel"/>
    <w:tmpl w:val="95F69FB0"/>
    <w:lvl w:ilvl="0">
      <w:start w:val="1"/>
      <w:numFmt w:val="bullet"/>
      <w:lvlText w:val="•"/>
      <w:lvlJc w:val="left"/>
      <w:pPr>
        <w:ind w:left="720" w:hanging="360"/>
      </w:pPr>
      <w:rPr>
        <w:rFonts w:ascii="Calibri" w:hAnsi="Calibri"/>
      </w:rPr>
    </w:lvl>
    <w:lvl w:ilvl="1">
      <w:start w:val="1"/>
      <w:numFmt w:val="bullet"/>
      <w:lvlText w:val="○"/>
      <w:lvlJc w:val="left"/>
      <w:pPr>
        <w:ind w:left="1440" w:hanging="360"/>
      </w:pPr>
      <w:rPr>
        <w:rFonts w:ascii="Calibri" w:hAnsi="Calibri"/>
      </w:rPr>
    </w:lvl>
    <w:lvl w:ilvl="2">
      <w:start w:val="1"/>
      <w:numFmt w:val="bullet"/>
      <w:lvlText w:val="■"/>
      <w:lvlJc w:val="left"/>
      <w:pPr>
        <w:ind w:left="2160" w:hanging="360"/>
      </w:pPr>
      <w:rPr>
        <w:rFonts w:ascii="Calibri" w:hAnsi="Calibri"/>
      </w:rPr>
    </w:lvl>
    <w:lvl w:ilvl="3">
      <w:start w:val="1"/>
      <w:numFmt w:val="bullet"/>
      <w:lvlText w:val="•"/>
      <w:lvlJc w:val="left"/>
      <w:pPr>
        <w:ind w:left="2880" w:hanging="360"/>
      </w:pPr>
      <w:rPr>
        <w:rFonts w:ascii="Calibri" w:hAnsi="Calibri"/>
      </w:rPr>
    </w:lvl>
    <w:lvl w:ilvl="4">
      <w:start w:val="1"/>
      <w:numFmt w:val="bullet"/>
      <w:lvlText w:val="○"/>
      <w:lvlJc w:val="left"/>
      <w:pPr>
        <w:ind w:left="3600" w:hanging="360"/>
      </w:pPr>
      <w:rPr>
        <w:rFonts w:ascii="Calibri" w:hAnsi="Calibri"/>
      </w:rPr>
    </w:lvl>
    <w:lvl w:ilvl="5">
      <w:start w:val="1"/>
      <w:numFmt w:val="bullet"/>
      <w:lvlText w:val="■"/>
      <w:lvlJc w:val="left"/>
      <w:pPr>
        <w:ind w:left="4320" w:hanging="360"/>
      </w:pPr>
      <w:rPr>
        <w:rFonts w:ascii="Calibri" w:hAnsi="Calibri"/>
      </w:rPr>
    </w:lvl>
    <w:lvl w:ilvl="6">
      <w:start w:val="1"/>
      <w:numFmt w:val="bullet"/>
      <w:lvlText w:val="•"/>
      <w:lvlJc w:val="left"/>
      <w:pPr>
        <w:ind w:left="5040" w:hanging="360"/>
      </w:pPr>
      <w:rPr>
        <w:rFonts w:ascii="Calibri" w:hAnsi="Calibri"/>
      </w:rPr>
    </w:lvl>
    <w:lvl w:ilvl="7">
      <w:start w:val="1"/>
      <w:numFmt w:val="bullet"/>
      <w:lvlText w:val="○"/>
      <w:lvlJc w:val="left"/>
      <w:pPr>
        <w:ind w:left="5760" w:hanging="360"/>
      </w:pPr>
      <w:rPr>
        <w:rFonts w:ascii="Calibri" w:hAnsi="Calibri"/>
      </w:rPr>
    </w:lvl>
    <w:lvl w:ilvl="8">
      <w:start w:val="1"/>
      <w:numFmt w:val="bullet"/>
      <w:lvlText w:val="■"/>
      <w:lvlJc w:val="left"/>
      <w:pPr>
        <w:ind w:left="6480" w:hanging="360"/>
      </w:pPr>
      <w:rPr>
        <w:rFonts w:ascii="Calibri" w:hAnsi="Calibri"/>
      </w:rPr>
    </w:lvl>
  </w:abstractNum>
  <w:abstractNum w:abstractNumId="21" w15:restartNumberingAfterBreak="0">
    <w:nsid w:val="5781412D"/>
    <w:multiLevelType w:val="multilevel"/>
    <w:tmpl w:val="46D4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346B7"/>
    <w:multiLevelType w:val="multilevel"/>
    <w:tmpl w:val="4E3E3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924972">
    <w:abstractNumId w:val="3"/>
  </w:num>
  <w:num w:numId="2" w16cid:durableId="1800341882">
    <w:abstractNumId w:val="17"/>
  </w:num>
  <w:num w:numId="3" w16cid:durableId="1098675149">
    <w:abstractNumId w:val="5"/>
  </w:num>
  <w:num w:numId="4" w16cid:durableId="1721250180">
    <w:abstractNumId w:val="10"/>
  </w:num>
  <w:num w:numId="5" w16cid:durableId="441387657">
    <w:abstractNumId w:val="0"/>
  </w:num>
  <w:num w:numId="6" w16cid:durableId="1942059044">
    <w:abstractNumId w:val="16"/>
  </w:num>
  <w:num w:numId="7" w16cid:durableId="1715425119">
    <w:abstractNumId w:val="15"/>
  </w:num>
  <w:num w:numId="8" w16cid:durableId="1921064032">
    <w:abstractNumId w:val="11"/>
  </w:num>
  <w:num w:numId="9" w16cid:durableId="1643391287">
    <w:abstractNumId w:val="7"/>
  </w:num>
  <w:num w:numId="10" w16cid:durableId="2068262678">
    <w:abstractNumId w:val="14"/>
  </w:num>
  <w:num w:numId="11" w16cid:durableId="1051415625">
    <w:abstractNumId w:val="2"/>
  </w:num>
  <w:num w:numId="12" w16cid:durableId="909078006">
    <w:abstractNumId w:val="13"/>
  </w:num>
  <w:num w:numId="13" w16cid:durableId="1502895846">
    <w:abstractNumId w:val="8"/>
  </w:num>
  <w:num w:numId="14" w16cid:durableId="531263674">
    <w:abstractNumId w:val="21"/>
  </w:num>
  <w:num w:numId="15" w16cid:durableId="1927373171">
    <w:abstractNumId w:val="6"/>
  </w:num>
  <w:num w:numId="16" w16cid:durableId="1424379870">
    <w:abstractNumId w:val="1"/>
  </w:num>
  <w:num w:numId="17" w16cid:durableId="701368521">
    <w:abstractNumId w:val="4"/>
  </w:num>
  <w:num w:numId="18" w16cid:durableId="358167331">
    <w:abstractNumId w:val="22"/>
  </w:num>
  <w:num w:numId="19" w16cid:durableId="462239459">
    <w:abstractNumId w:val="18"/>
  </w:num>
  <w:num w:numId="20" w16cid:durableId="1681004420">
    <w:abstractNumId w:val="19"/>
  </w:num>
  <w:num w:numId="21" w16cid:durableId="988485849">
    <w:abstractNumId w:val="12"/>
  </w:num>
  <w:num w:numId="22" w16cid:durableId="1389574872">
    <w:abstractNumId w:val="20"/>
  </w:num>
  <w:num w:numId="23" w16cid:durableId="1315377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70"/>
    <w:rsid w:val="00074441"/>
    <w:rsid w:val="000B624D"/>
    <w:rsid w:val="0010762F"/>
    <w:rsid w:val="00166047"/>
    <w:rsid w:val="0017773D"/>
    <w:rsid w:val="003A2D85"/>
    <w:rsid w:val="003F57B6"/>
    <w:rsid w:val="004420A4"/>
    <w:rsid w:val="004D2211"/>
    <w:rsid w:val="004F507D"/>
    <w:rsid w:val="00510A46"/>
    <w:rsid w:val="005F21E3"/>
    <w:rsid w:val="006372EE"/>
    <w:rsid w:val="006772BE"/>
    <w:rsid w:val="006D10C9"/>
    <w:rsid w:val="006D522D"/>
    <w:rsid w:val="00740F9E"/>
    <w:rsid w:val="0075300B"/>
    <w:rsid w:val="00754491"/>
    <w:rsid w:val="00792670"/>
    <w:rsid w:val="007F31D9"/>
    <w:rsid w:val="009D2775"/>
    <w:rsid w:val="009F009C"/>
    <w:rsid w:val="00A0497E"/>
    <w:rsid w:val="00AC3FBC"/>
    <w:rsid w:val="00AF083A"/>
    <w:rsid w:val="00BE4E49"/>
    <w:rsid w:val="00C01A5C"/>
    <w:rsid w:val="00C174A7"/>
    <w:rsid w:val="00C76B3C"/>
    <w:rsid w:val="00CA1113"/>
    <w:rsid w:val="00CA3AE7"/>
    <w:rsid w:val="00CA6A46"/>
    <w:rsid w:val="00CC1FAF"/>
    <w:rsid w:val="00DA4DB6"/>
    <w:rsid w:val="00DC53E0"/>
    <w:rsid w:val="00DE5D11"/>
    <w:rsid w:val="00E30210"/>
    <w:rsid w:val="00E429E6"/>
    <w:rsid w:val="00E43782"/>
    <w:rsid w:val="00E5159E"/>
    <w:rsid w:val="00F0706E"/>
    <w:rsid w:val="00F53F35"/>
    <w:rsid w:val="00F6178A"/>
    <w:rsid w:val="00FD73B2"/>
    <w:rsid w:val="00FF7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7643"/>
  <w15:chartTrackingRefBased/>
  <w15:docId w15:val="{5D0E2CDE-5817-48E5-9912-E9098161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670"/>
    <w:rPr>
      <w:rFonts w:eastAsiaTheme="majorEastAsia" w:cstheme="majorBidi"/>
      <w:color w:val="272727" w:themeColor="text1" w:themeTint="D8"/>
    </w:rPr>
  </w:style>
  <w:style w:type="paragraph" w:styleId="Title">
    <w:name w:val="Title"/>
    <w:basedOn w:val="Normal"/>
    <w:next w:val="Normal"/>
    <w:link w:val="TitleChar"/>
    <w:uiPriority w:val="10"/>
    <w:qFormat/>
    <w:rsid w:val="00792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670"/>
    <w:pPr>
      <w:spacing w:before="160"/>
      <w:jc w:val="center"/>
    </w:pPr>
    <w:rPr>
      <w:i/>
      <w:iCs/>
      <w:color w:val="404040" w:themeColor="text1" w:themeTint="BF"/>
    </w:rPr>
  </w:style>
  <w:style w:type="character" w:customStyle="1" w:styleId="QuoteChar">
    <w:name w:val="Quote Char"/>
    <w:basedOn w:val="DefaultParagraphFont"/>
    <w:link w:val="Quote"/>
    <w:uiPriority w:val="29"/>
    <w:rsid w:val="00792670"/>
    <w:rPr>
      <w:i/>
      <w:iCs/>
      <w:color w:val="404040" w:themeColor="text1" w:themeTint="BF"/>
    </w:rPr>
  </w:style>
  <w:style w:type="paragraph" w:styleId="ListParagraph">
    <w:name w:val="List Paragraph"/>
    <w:basedOn w:val="Normal"/>
    <w:uiPriority w:val="34"/>
    <w:qFormat/>
    <w:rsid w:val="00792670"/>
    <w:pPr>
      <w:ind w:left="720"/>
      <w:contextualSpacing/>
    </w:pPr>
  </w:style>
  <w:style w:type="character" w:styleId="IntenseEmphasis">
    <w:name w:val="Intense Emphasis"/>
    <w:basedOn w:val="DefaultParagraphFont"/>
    <w:uiPriority w:val="21"/>
    <w:qFormat/>
    <w:rsid w:val="00792670"/>
    <w:rPr>
      <w:i/>
      <w:iCs/>
      <w:color w:val="0F4761" w:themeColor="accent1" w:themeShade="BF"/>
    </w:rPr>
  </w:style>
  <w:style w:type="paragraph" w:styleId="IntenseQuote">
    <w:name w:val="Intense Quote"/>
    <w:basedOn w:val="Normal"/>
    <w:next w:val="Normal"/>
    <w:link w:val="IntenseQuoteChar"/>
    <w:uiPriority w:val="30"/>
    <w:qFormat/>
    <w:rsid w:val="00792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670"/>
    <w:rPr>
      <w:i/>
      <w:iCs/>
      <w:color w:val="0F4761" w:themeColor="accent1" w:themeShade="BF"/>
    </w:rPr>
  </w:style>
  <w:style w:type="character" w:styleId="IntenseReference">
    <w:name w:val="Intense Reference"/>
    <w:basedOn w:val="DefaultParagraphFont"/>
    <w:uiPriority w:val="32"/>
    <w:qFormat/>
    <w:rsid w:val="00792670"/>
    <w:rPr>
      <w:b/>
      <w:bCs/>
      <w:smallCaps/>
      <w:color w:val="0F4761" w:themeColor="accent1" w:themeShade="BF"/>
      <w:spacing w:val="5"/>
    </w:rPr>
  </w:style>
  <w:style w:type="paragraph" w:styleId="NormalWeb">
    <w:name w:val="Normal (Web)"/>
    <w:basedOn w:val="Normal"/>
    <w:uiPriority w:val="99"/>
    <w:semiHidden/>
    <w:unhideWhenUsed/>
    <w:rsid w:val="004420A4"/>
    <w:rPr>
      <w:rFonts w:ascii="Times New Roman" w:hAnsi="Times New Roman" w:cs="Times New Roman"/>
    </w:rPr>
  </w:style>
  <w:style w:type="character" w:styleId="PlaceholderText">
    <w:name w:val="Placeholder Text"/>
    <w:basedOn w:val="DefaultParagraphFont"/>
    <w:uiPriority w:val="99"/>
    <w:semiHidden/>
    <w:rsid w:val="00740F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BC591F6-9AAD-42CA-8C54-5AFE8C8621E3}"/>
      </w:docPartPr>
      <w:docPartBody>
        <w:p w:rsidR="00EE4F47" w:rsidRDefault="0058542D">
          <w:r w:rsidRPr="00D14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2D"/>
    <w:rsid w:val="00510A46"/>
    <w:rsid w:val="0058542D"/>
    <w:rsid w:val="007F31D9"/>
    <w:rsid w:val="00873EAB"/>
    <w:rsid w:val="00EE4F47"/>
    <w:rsid w:val="00FE4DD3"/>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en-S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4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4517AD-8B71-4A53-8AF9-F7F320E57801}">
  <we:reference id="wa200001361" version="2.129.3.0" store="en-US" storeType="OMEX"/>
  <we:alternateReferences>
    <we:reference id="WA200001361" version="2.129.3.0" store="" storeType="OMEX"/>
  </we:alternateReferences>
  <we:properties>
    <we:property name="paperpal-document-id" value="&quot;163c5140-ea5e-44d9-af96-834cbc9c730f&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1654</TotalTime>
  <Pages>17</Pages>
  <Words>10413</Words>
  <Characters>59359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erandachathurthas@gmail.com</dc:creator>
  <cp:keywords/>
  <dc:description/>
  <cp:lastModifiedBy>yathavan selvarajan</cp:lastModifiedBy>
  <cp:revision>61</cp:revision>
  <dcterms:created xsi:type="dcterms:W3CDTF">2026-03-23T19:55:00Z</dcterms:created>
  <dcterms:modified xsi:type="dcterms:W3CDTF">2026-06-12T18:06:00Z</dcterms:modified>
</cp:coreProperties>
</file>