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A8A9" w14:textId="5333FC0D" w:rsidR="004A09D7" w:rsidRPr="008759DA" w:rsidRDefault="008B2F68" w:rsidP="00E23ABE">
      <w:pPr>
        <w:pStyle w:val="Heading1"/>
        <w:jc w:val="center"/>
        <w:rPr>
          <w:rFonts w:eastAsia="Times New Roman"/>
          <w:bCs/>
          <w:sz w:val="28"/>
          <w:szCs w:val="28"/>
        </w:rPr>
      </w:pPr>
      <w:r>
        <w:rPr>
          <w:rFonts w:eastAsia="Times New Roman"/>
          <w:bCs/>
          <w:sz w:val="28"/>
          <w:szCs w:val="28"/>
        </w:rPr>
        <w:t xml:space="preserve">Local </w:t>
      </w:r>
      <w:r w:rsidR="004A09D7" w:rsidRPr="008759DA">
        <w:rPr>
          <w:rFonts w:eastAsia="Times New Roman"/>
          <w:bCs/>
          <w:sz w:val="28"/>
          <w:szCs w:val="28"/>
        </w:rPr>
        <w:t>Resist</w:t>
      </w:r>
      <w:r>
        <w:rPr>
          <w:rFonts w:eastAsia="Times New Roman"/>
          <w:bCs/>
          <w:sz w:val="28"/>
          <w:szCs w:val="28"/>
        </w:rPr>
        <w:t>ance to Ecological Neoliberalism in Indonesia’s</w:t>
      </w:r>
      <w:r w:rsidR="004A09D7" w:rsidRPr="008759DA">
        <w:rPr>
          <w:rFonts w:eastAsia="Times New Roman"/>
          <w:bCs/>
          <w:sz w:val="28"/>
          <w:szCs w:val="28"/>
        </w:rPr>
        <w:t xml:space="preserve"> </w:t>
      </w:r>
      <w:r>
        <w:rPr>
          <w:rFonts w:eastAsia="Times New Roman"/>
          <w:bCs/>
          <w:sz w:val="28"/>
          <w:szCs w:val="28"/>
        </w:rPr>
        <w:t>Nickel Industry</w:t>
      </w:r>
    </w:p>
    <w:p w14:paraId="0CC4346A" w14:textId="77777777" w:rsidR="004A09D7" w:rsidRDefault="004A09D7" w:rsidP="00E23ABE">
      <w:pPr>
        <w:jc w:val="center"/>
        <w:rPr>
          <w:rFonts w:ascii="Times New Roman" w:eastAsia="Times New Roman" w:hAnsi="Times New Roman" w:cs="Times New Roman"/>
        </w:rPr>
      </w:pPr>
      <w:r>
        <w:rPr>
          <w:rFonts w:ascii="Times New Roman" w:eastAsia="Times New Roman" w:hAnsi="Times New Roman" w:cs="Times New Roman"/>
        </w:rPr>
        <w:t>Hafizh Mahmud Sulaiman</w:t>
      </w:r>
    </w:p>
    <w:p w14:paraId="5E1B71E4" w14:textId="7CDA74CB" w:rsidR="004A09D7" w:rsidRDefault="004A09D7" w:rsidP="00E23AB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w:t>
      </w:r>
      <w:r w:rsidR="008B2F68">
        <w:rPr>
          <w:rFonts w:ascii="Times New Roman" w:eastAsia="Times New Roman" w:hAnsi="Times New Roman" w:cs="Times New Roman"/>
          <w:sz w:val="20"/>
          <w:szCs w:val="20"/>
        </w:rPr>
        <w:t xml:space="preserve">culty of </w:t>
      </w:r>
      <w:r>
        <w:rPr>
          <w:rFonts w:ascii="Times New Roman" w:eastAsia="Times New Roman" w:hAnsi="Times New Roman" w:cs="Times New Roman"/>
          <w:sz w:val="20"/>
          <w:szCs w:val="20"/>
        </w:rPr>
        <w:t>Human</w:t>
      </w:r>
      <w:r w:rsidR="008B2F68">
        <w:rPr>
          <w:rFonts w:ascii="Times New Roman" w:eastAsia="Times New Roman" w:hAnsi="Times New Roman" w:cs="Times New Roman"/>
          <w:sz w:val="20"/>
          <w:szCs w:val="20"/>
        </w:rPr>
        <w:t>ities</w:t>
      </w:r>
      <w:r>
        <w:rPr>
          <w:rFonts w:ascii="Times New Roman" w:eastAsia="Times New Roman" w:hAnsi="Times New Roman" w:cs="Times New Roman"/>
          <w:sz w:val="20"/>
          <w:szCs w:val="20"/>
        </w:rPr>
        <w:t>,</w:t>
      </w:r>
      <w:r w:rsidR="008B2F68">
        <w:rPr>
          <w:rFonts w:ascii="Times New Roman" w:eastAsia="Times New Roman" w:hAnsi="Times New Roman" w:cs="Times New Roman"/>
          <w:sz w:val="20"/>
          <w:szCs w:val="20"/>
        </w:rPr>
        <w:t xml:space="preserve"> Darussalam Gontor University</w:t>
      </w:r>
      <w:r>
        <w:rPr>
          <w:rFonts w:ascii="Times New Roman" w:eastAsia="Times New Roman" w:hAnsi="Times New Roman" w:cs="Times New Roman"/>
          <w:sz w:val="20"/>
          <w:szCs w:val="20"/>
        </w:rPr>
        <w:t>, Indonesia, hafizhmahmud22@gmail.com</w:t>
      </w:r>
    </w:p>
    <w:p w14:paraId="5DED182F" w14:textId="77777777" w:rsidR="004A09D7" w:rsidRPr="00537A43" w:rsidRDefault="004A09D7" w:rsidP="00E23ABE">
      <w:pPr>
        <w:pStyle w:val="Heading1"/>
        <w:jc w:val="center"/>
        <w:rPr>
          <w:rFonts w:eastAsia="Times New Roman"/>
          <w:bCs/>
          <w:sz w:val="20"/>
          <w:szCs w:val="20"/>
        </w:rPr>
      </w:pPr>
      <w:r w:rsidRPr="00537A43">
        <w:rPr>
          <w:rFonts w:eastAsia="Times New Roman"/>
          <w:bCs/>
          <w:sz w:val="20"/>
          <w:szCs w:val="20"/>
        </w:rPr>
        <w:t>ABSTRACT</w:t>
      </w:r>
    </w:p>
    <w:p w14:paraId="6BC5B38A" w14:textId="77777777" w:rsidR="004A09D7" w:rsidRPr="00143D47" w:rsidRDefault="004A09D7" w:rsidP="00E23ABE">
      <w:pPr>
        <w:jc w:val="both"/>
        <w:rPr>
          <w:rFonts w:asciiTheme="majorBidi" w:hAnsiTheme="majorBidi" w:cstheme="majorBidi"/>
          <w:i/>
          <w:iCs/>
          <w:sz w:val="20"/>
          <w:szCs w:val="20"/>
        </w:rPr>
      </w:pPr>
      <w:r>
        <w:rPr>
          <w:rFonts w:asciiTheme="majorBidi" w:hAnsiTheme="majorBidi" w:cstheme="majorBidi"/>
          <w:i/>
          <w:iCs/>
          <w:sz w:val="20"/>
          <w:szCs w:val="20"/>
        </w:rPr>
        <w:tab/>
      </w:r>
      <w:r w:rsidRPr="00143D47">
        <w:rPr>
          <w:rFonts w:asciiTheme="majorBidi" w:hAnsiTheme="majorBidi" w:cstheme="majorBidi"/>
          <w:i/>
          <w:iCs/>
          <w:sz w:val="20"/>
          <w:szCs w:val="20"/>
        </w:rPr>
        <w:t>This study examines nickel extractivism carried out by PT Vale Indonesia as a manifestation of ecological neoliberalism and the forms of resistance developed by the Indonesian Forum for the Environment (WALHI) together with affected communities in Sulawesi. The expansion of nickel mining and smelter projects, framed within national development and green energy transition narratives, reveals deep contradictions, as these activities have generated environmental degradation, dispossession of living spaces, and the criminalization of local communities through legal instruments such as Article 162 of the Mining Law. This research aims to analyze power relations between the state, corporations, and local communities, as well as to identify ecological resistance strategies emerging in response to these structural inequalities. This research employs a qualitative approach, using primary data analysis derived from interviews and observation of narratives describing the lived experiences of affected communities. These primary data are suuported by secondary sources, including policy documents, WALHI advocacy repsorts, court decisions, and scholarly journal article. The findings indicate that the state tends to facilitate global capital interests within the nickel industrialization agenda, while WALHI and local communities construct resistance through collective action, legal advocacy, critical research, public campaigns, and the use of independent media. This study also integrates the perspective of Fiqh Bi’ah and Islamic eco-theology, particularly the thought of Yusuf Al-Qaradawi, which views environmental protection as part of the maqashid al-</w:t>
      </w:r>
      <w:proofErr w:type="gramStart"/>
      <w:r w:rsidRPr="00143D47">
        <w:rPr>
          <w:rFonts w:asciiTheme="majorBidi" w:hAnsiTheme="majorBidi" w:cstheme="majorBidi"/>
          <w:i/>
          <w:iCs/>
          <w:sz w:val="20"/>
          <w:szCs w:val="20"/>
        </w:rPr>
        <w:t>shari‘</w:t>
      </w:r>
      <w:proofErr w:type="gramEnd"/>
      <w:r w:rsidRPr="00143D47">
        <w:rPr>
          <w:rFonts w:asciiTheme="majorBidi" w:hAnsiTheme="majorBidi" w:cstheme="majorBidi"/>
          <w:i/>
          <w:iCs/>
          <w:sz w:val="20"/>
          <w:szCs w:val="20"/>
        </w:rPr>
        <w:t>ah and the human mandate of stewardship (khilafah), thereby providing ethical and moral legitimacy for ecological resistance.</w:t>
      </w:r>
    </w:p>
    <w:p w14:paraId="1A85A7A0" w14:textId="77777777" w:rsidR="004A09D7" w:rsidRDefault="004A09D7" w:rsidP="00E23ABE">
      <w:pPr>
        <w:spacing w:after="0"/>
        <w:contextualSpacing/>
        <w:jc w:val="both"/>
        <w:rPr>
          <w:rFonts w:asciiTheme="majorBidi" w:hAnsiTheme="majorBidi" w:cstheme="majorBidi"/>
          <w:i/>
          <w:iCs/>
          <w:sz w:val="20"/>
          <w:szCs w:val="20"/>
        </w:rPr>
      </w:pPr>
      <w:r>
        <w:rPr>
          <w:rFonts w:ascii="Times New Roman" w:eastAsia="Times New Roman" w:hAnsi="Times New Roman" w:cs="Times New Roman"/>
          <w:b/>
          <w:bCs/>
          <w:i/>
          <w:iCs/>
          <w:sz w:val="20"/>
          <w:szCs w:val="20"/>
        </w:rPr>
        <w:t>Keywords</w:t>
      </w:r>
      <w:r>
        <w:rPr>
          <w:rFonts w:ascii="Times New Roman" w:eastAsia="Times New Roman" w:hAnsi="Times New Roman" w:cs="Times New Roman"/>
          <w:i/>
          <w:iCs/>
          <w:sz w:val="20"/>
          <w:szCs w:val="20"/>
        </w:rPr>
        <w:t xml:space="preserve">: </w:t>
      </w:r>
      <w:r w:rsidRPr="00143D47">
        <w:rPr>
          <w:rFonts w:asciiTheme="majorBidi" w:hAnsiTheme="majorBidi" w:cstheme="majorBidi"/>
          <w:i/>
          <w:iCs/>
          <w:sz w:val="20"/>
          <w:szCs w:val="20"/>
        </w:rPr>
        <w:t>ecological neoliberalism, nickel mining, WALHI, ecological resistance, Fiqh Bi’ah.</w:t>
      </w:r>
    </w:p>
    <w:p w14:paraId="147C6D95" w14:textId="77777777" w:rsidR="004A09D7" w:rsidRDefault="004A09D7" w:rsidP="00E23ABE">
      <w:pPr>
        <w:spacing w:after="0"/>
        <w:contextualSpacing/>
        <w:jc w:val="both"/>
        <w:rPr>
          <w:rFonts w:asciiTheme="majorBidi" w:hAnsiTheme="majorBidi" w:cstheme="majorBidi"/>
          <w:i/>
          <w:iCs/>
          <w:sz w:val="20"/>
          <w:szCs w:val="20"/>
        </w:rPr>
      </w:pPr>
    </w:p>
    <w:p w14:paraId="0484B969" w14:textId="77777777" w:rsidR="004A09D7" w:rsidRPr="00537A43" w:rsidRDefault="004A09D7" w:rsidP="00E23ABE">
      <w:pPr>
        <w:spacing w:after="0"/>
        <w:contextualSpacing/>
        <w:jc w:val="center"/>
        <w:rPr>
          <w:rFonts w:asciiTheme="majorBidi" w:hAnsiTheme="majorBidi" w:cstheme="majorBidi"/>
          <w:i/>
          <w:iCs/>
          <w:sz w:val="20"/>
          <w:szCs w:val="20"/>
        </w:rPr>
      </w:pPr>
      <w:r w:rsidRPr="00537A43">
        <w:rPr>
          <w:rFonts w:asciiTheme="majorBidi" w:hAnsiTheme="majorBidi" w:cstheme="majorBidi"/>
          <w:b/>
          <w:bCs/>
          <w:sz w:val="20"/>
          <w:szCs w:val="20"/>
        </w:rPr>
        <w:t>ABSTRAK</w:t>
      </w:r>
    </w:p>
    <w:p w14:paraId="72C9A12C" w14:textId="77777777" w:rsidR="004A09D7" w:rsidRDefault="004A09D7" w:rsidP="00E23ABE">
      <w:pPr>
        <w:widowControl w:val="0"/>
        <w:spacing w:after="0"/>
        <w:ind w:firstLine="720"/>
        <w:jc w:val="both"/>
        <w:rPr>
          <w:rFonts w:ascii="Times New Roman" w:eastAsia="Times New Roman" w:hAnsi="Times New Roman" w:cs="Times New Roman"/>
          <w:color w:val="262626"/>
          <w:sz w:val="18"/>
          <w:szCs w:val="18"/>
        </w:rPr>
      </w:pPr>
      <w:r w:rsidRPr="00143D47">
        <w:rPr>
          <w:rFonts w:asciiTheme="majorBidi" w:hAnsiTheme="majorBidi" w:cstheme="majorBidi"/>
          <w:sz w:val="20"/>
          <w:szCs w:val="20"/>
        </w:rPr>
        <w:t>Penelitian ini mengkaji praktik ekstraktivisme nikel PT. Vale Indonesia sebagai wujud neoliberalisme ekologis serta bentuk resistensi yang dibangun oleh Wahana Lingkungan Hidup Indonesia (WALHI) bersama masyarakat terdampak di Sulawesi. Ekspansi pertambangan dan smelter nikel yang dibingkai dalam narasi pembangunan nasional dan transisi energi hijau menunjukkan kontradiksi, karena di lapangan justru memicu degradasi lingkungan, perampasan ruang hidup, dan kriminalisasi warga melalui instrumen hukum seperti Pasal 162 Undang-Undang Minerba. Penelitian ini bertujuan menganalisis relasi kuasa antara negara, korporasi, dan masyarakat lokal, serta mengidentifikasi strategi resistensi ekologis yang muncul sebagai respons terhadap ketimpangan struktural tersebut. Penelitian menggunakan pendekatan kualitatif dengan metode analisis data primer berupa interview dan obeservasi narasi pengalaman masyarakat terdampak, yang didukung data sekunder, seperti; dokumen kebijakan, laporan advokasi WALHI, putusan pengadilan dan jurnal ilmiah. Hasil penelitian menunjukkan bahwa negara cenderung memfasilitasi kepentingan kapital global dalam industrialisasi nikel, sementara WALHI dan masyarakat membangun resistensi melalui aksi kolektif, advokasi hukum, riset kritis, kampanye publik, dan pemanfaatan media independen. Penelitian ini juga mengintegrasikan perspektif Fiqh Bi’ah dan eko-teologi Islam, khususnya pemikiran Yusuf Al-Qaradawi, yang memandang perlindungan lingkungan sebagai bagian dari maqashid al-</w:t>
      </w:r>
      <w:proofErr w:type="gramStart"/>
      <w:r w:rsidRPr="00143D47">
        <w:rPr>
          <w:rFonts w:asciiTheme="majorBidi" w:hAnsiTheme="majorBidi" w:cstheme="majorBidi"/>
          <w:sz w:val="20"/>
          <w:szCs w:val="20"/>
        </w:rPr>
        <w:t>shari‘</w:t>
      </w:r>
      <w:proofErr w:type="gramEnd"/>
      <w:r w:rsidRPr="00143D47">
        <w:rPr>
          <w:rFonts w:asciiTheme="majorBidi" w:hAnsiTheme="majorBidi" w:cstheme="majorBidi"/>
          <w:sz w:val="20"/>
          <w:szCs w:val="20"/>
        </w:rPr>
        <w:t>ah dan amanah kekhalifahan manusia, sehingga resistensi ekologis memperoleh legitimasi etis dan moral.</w:t>
      </w:r>
    </w:p>
    <w:p w14:paraId="3C38FF62" w14:textId="77777777" w:rsidR="004A09D7" w:rsidRPr="00143D47" w:rsidRDefault="004A09D7" w:rsidP="00E23ABE">
      <w:pPr>
        <w:widowControl w:val="0"/>
        <w:spacing w:after="0"/>
        <w:ind w:firstLine="720"/>
        <w:jc w:val="both"/>
        <w:rPr>
          <w:rFonts w:ascii="Times New Roman" w:eastAsia="Times New Roman" w:hAnsi="Times New Roman" w:cs="Times New Roman"/>
          <w:color w:val="262626"/>
          <w:sz w:val="18"/>
          <w:szCs w:val="18"/>
        </w:rPr>
      </w:pPr>
    </w:p>
    <w:p w14:paraId="71AA29BE" w14:textId="77777777" w:rsidR="004A09D7" w:rsidRDefault="004A09D7" w:rsidP="00E23ABE">
      <w:pPr>
        <w:spacing w:after="0"/>
        <w:jc w:val="both"/>
        <w:rPr>
          <w:rFonts w:ascii="Times New Roman" w:eastAsia="Times New Roman" w:hAnsi="Times New Roman" w:cs="Times New Roman"/>
          <w:sz w:val="20"/>
          <w:szCs w:val="20"/>
        </w:rPr>
        <w:sectPr w:rsidR="004A09D7" w:rsidSect="004A09D7">
          <w:headerReference w:type="default" r:id="rId7"/>
          <w:footerReference w:type="first" r:id="rId8"/>
          <w:pgSz w:w="12240" w:h="15840"/>
          <w:pgMar w:top="1440" w:right="1440" w:bottom="1440" w:left="1440" w:header="720" w:footer="720" w:gutter="0"/>
          <w:pgNumType w:start="1"/>
          <w:cols w:space="720"/>
          <w:titlePg/>
        </w:sectPr>
      </w:pPr>
      <w:r>
        <w:rPr>
          <w:rFonts w:ascii="Times New Roman" w:eastAsia="Times New Roman" w:hAnsi="Times New Roman" w:cs="Times New Roman"/>
          <w:b/>
          <w:bCs/>
          <w:sz w:val="20"/>
          <w:szCs w:val="20"/>
        </w:rPr>
        <w:t xml:space="preserve">Kata Kunci: </w:t>
      </w:r>
      <w:r w:rsidRPr="00143D47">
        <w:rPr>
          <w:rFonts w:asciiTheme="majorBidi" w:hAnsiTheme="majorBidi" w:cstheme="majorBidi"/>
          <w:i/>
          <w:iCs/>
          <w:sz w:val="20"/>
          <w:szCs w:val="20"/>
        </w:rPr>
        <w:t>neoliberalisme ekologis, pertambangan nikel, WALHI, resistensi ekologis, Fiqh Bi’ah.</w:t>
      </w:r>
    </w:p>
    <w:p w14:paraId="28104161" w14:textId="77777777" w:rsidR="004A09D7" w:rsidRDefault="004A09D7" w:rsidP="00E23ABE">
      <w:pPr>
        <w:spacing w:after="0"/>
        <w:jc w:val="both"/>
        <w:rPr>
          <w:rFonts w:ascii="Times New Roman" w:eastAsia="Times New Roman" w:hAnsi="Times New Roman" w:cs="Times New Roman"/>
          <w:b/>
          <w:bCs/>
        </w:rPr>
      </w:pPr>
    </w:p>
    <w:p w14:paraId="3A0CF9D1" w14:textId="77777777" w:rsidR="006679A7" w:rsidRDefault="006679A7" w:rsidP="00E23ABE">
      <w:pPr>
        <w:pStyle w:val="Heading1"/>
        <w:spacing w:before="0" w:after="0"/>
        <w:rPr>
          <w:rFonts w:eastAsia="Times New Roman"/>
          <w:bCs/>
          <w:sz w:val="22"/>
          <w:szCs w:val="22"/>
        </w:rPr>
        <w:sectPr w:rsidR="006679A7" w:rsidSect="004A09D7">
          <w:type w:val="continuous"/>
          <w:pgSz w:w="12240" w:h="15840"/>
          <w:pgMar w:top="2268" w:right="1701" w:bottom="1701" w:left="2268" w:header="720" w:footer="720" w:gutter="0"/>
          <w:cols w:space="720"/>
        </w:sectPr>
      </w:pPr>
    </w:p>
    <w:p w14:paraId="12A8FAB0" w14:textId="14ED5313" w:rsidR="004A09D7" w:rsidRPr="00537A43" w:rsidRDefault="004A09D7" w:rsidP="00E23ABE">
      <w:pPr>
        <w:pStyle w:val="Heading1"/>
        <w:spacing w:before="0" w:after="0"/>
        <w:rPr>
          <w:rFonts w:eastAsia="Times New Roman"/>
          <w:bCs/>
          <w:sz w:val="22"/>
          <w:szCs w:val="22"/>
        </w:rPr>
      </w:pPr>
      <w:r w:rsidRPr="00537A43">
        <w:rPr>
          <w:rFonts w:eastAsia="Times New Roman"/>
          <w:bCs/>
          <w:sz w:val="22"/>
          <w:szCs w:val="22"/>
        </w:rPr>
        <w:lastRenderedPageBreak/>
        <w:t>B</w:t>
      </w:r>
      <w:r w:rsidR="008B2F68">
        <w:rPr>
          <w:rFonts w:eastAsia="Times New Roman"/>
          <w:bCs/>
          <w:sz w:val="22"/>
          <w:szCs w:val="22"/>
        </w:rPr>
        <w:t>ackground</w:t>
      </w:r>
    </w:p>
    <w:p w14:paraId="77A5DA3F" w14:textId="2CC30D54" w:rsidR="004A09D7" w:rsidRPr="00DB4E3C" w:rsidRDefault="00330750" w:rsidP="00E23ABE">
      <w:pPr>
        <w:spacing w:after="0"/>
        <w:ind w:firstLine="720"/>
        <w:jc w:val="both"/>
        <w:rPr>
          <w:rFonts w:ascii="Times New Roman" w:eastAsia="Times New Roman" w:hAnsi="Times New Roman" w:cs="Times New Roman"/>
          <w:lang w:val="en-ID"/>
        </w:rPr>
      </w:pPr>
      <w:r w:rsidRPr="00330750">
        <w:rPr>
          <w:rFonts w:ascii="Times New Roman" w:eastAsia="Times New Roman" w:hAnsi="Times New Roman" w:cs="Times New Roman"/>
          <w:lang w:val="en-ID"/>
        </w:rPr>
        <w:t>The green energy transition and net-zero emission commitments have become key priorities in global governance in response to the climate crisis. In this context, transition minerals such as nickel have gained strategic importance as they are key components of electric vehicle batteries and renewable energy infrastructure. Indonesia, as one of the world’s largest holders of nickel reserves, has prioritized the downstream processing of the nickel industry as a national development priority and as a contribution to the global clean energy supply chain. This policy is legitimized through national strategic projects and various deregulation measures that accelerate the expansion of the extractive industry</w:t>
      </w:r>
      <w:r w:rsidR="004A09D7">
        <w:rPr>
          <w:rStyle w:val="FootnoteReference"/>
          <w:rFonts w:ascii="Times New Roman" w:eastAsia="Times New Roman" w:hAnsi="Times New Roman" w:cs="Times New Roman"/>
          <w:lang w:val="en-ID"/>
        </w:rPr>
        <w:footnoteReference w:id="1"/>
      </w:r>
      <w:r w:rsidR="004A09D7" w:rsidRPr="00DB4E3C">
        <w:rPr>
          <w:rFonts w:ascii="Times New Roman" w:eastAsia="Times New Roman" w:hAnsi="Times New Roman" w:cs="Times New Roman"/>
          <w:lang w:val="en-ID"/>
        </w:rPr>
        <w:t>.</w:t>
      </w:r>
    </w:p>
    <w:p w14:paraId="1C10608B" w14:textId="14ECC20D" w:rsidR="00330750" w:rsidRDefault="00330750" w:rsidP="00E23ABE">
      <w:pPr>
        <w:spacing w:after="0"/>
        <w:ind w:firstLine="720"/>
        <w:jc w:val="both"/>
        <w:rPr>
          <w:rFonts w:ascii="Times New Roman" w:eastAsia="Times New Roman" w:hAnsi="Times New Roman" w:cs="Times New Roman"/>
          <w:lang w:val="en-ID"/>
        </w:rPr>
      </w:pPr>
      <w:r w:rsidRPr="00330750">
        <w:rPr>
          <w:rFonts w:ascii="Times New Roman" w:eastAsia="Times New Roman" w:hAnsi="Times New Roman" w:cs="Times New Roman"/>
          <w:lang w:val="en-ID"/>
        </w:rPr>
        <w:t>One of the key players in this agenda is PT Vale Indonesia, which operates in East Luwu Regency, South Sulawesi. The company’s ownership structure involves transnational investors and state entities, reflecting the intertwining of domestic interests and global capital in the management of strategic resources. Formally, this nickel mining and processing project is positioned as part of sustainable development and the green energy transition. However, at the local level, the mine’s expansion has raised ecological and social issues, including deforestation, sedimentation of waterways, and encroachment on the living spaces of indigenous communities and farmers</w:t>
      </w:r>
      <w:r w:rsidR="004A09D7" w:rsidRPr="00DB4E3C">
        <w:rPr>
          <w:rFonts w:ascii="Times New Roman" w:eastAsia="Times New Roman" w:hAnsi="Times New Roman" w:cs="Times New Roman"/>
          <w:lang w:val="en-ID"/>
        </w:rPr>
        <w:t>.</w:t>
      </w:r>
    </w:p>
    <w:p w14:paraId="4E8F4D77" w14:textId="31F48C9B" w:rsidR="004A09D7" w:rsidRPr="00330750" w:rsidRDefault="00330750" w:rsidP="00E23ABE">
      <w:pPr>
        <w:spacing w:after="0"/>
        <w:ind w:firstLine="720"/>
        <w:jc w:val="both"/>
        <w:rPr>
          <w:rFonts w:ascii="Times New Roman" w:eastAsia="Times New Roman" w:hAnsi="Times New Roman" w:cs="Times New Roman"/>
          <w:lang w:val="en-ID"/>
        </w:rPr>
      </w:pPr>
      <w:r w:rsidRPr="00330750">
        <w:rPr>
          <w:rFonts w:ascii="Times New Roman" w:eastAsia="Times New Roman" w:hAnsi="Times New Roman" w:cs="Times New Roman"/>
          <w:lang w:val="en-ID"/>
        </w:rPr>
        <w:t>A number of previous studies have addressed the issue of extractive industries from various perspectives. An advocacy report published by Wahana Lingkungan Hidup Indonesia (WALHI) South Sulawesi highlights the ecological impacts and the lack of environmental accountability in mining operations. Another study examines indigenous communities’ resistance to industrial expansion through an approach focused on everyday resistance, as well as policy analysis demonstrating how deregulation and structural reforms can create opportunities for market penetration in the agricultural and natural resource sectors. Additionally, research on environmental governance in East Luwu places greater emphasis on collaboration between local governments and corporations within the framework of</w:t>
      </w:r>
      <w:r w:rsidRPr="00330750">
        <w:rPr>
          <w:rFonts w:ascii="Times New Roman" w:eastAsia="Times New Roman" w:hAnsi="Times New Roman" w:cs="Times New Roman"/>
          <w:i/>
          <w:iCs/>
          <w:lang w:val="en-ID"/>
        </w:rPr>
        <w:t xml:space="preserve"> </w:t>
      </w:r>
      <w:r w:rsidRPr="00330750">
        <w:rPr>
          <w:rFonts w:ascii="Times New Roman" w:eastAsia="Times New Roman" w:hAnsi="Times New Roman" w:cs="Times New Roman"/>
          <w:lang w:val="en-ID"/>
        </w:rPr>
        <w:t>ecological governance</w:t>
      </w:r>
      <w:r w:rsidR="004A09D7" w:rsidRPr="00330750">
        <w:rPr>
          <w:rFonts w:ascii="Times New Roman" w:eastAsia="Times New Roman" w:hAnsi="Times New Roman" w:cs="Times New Roman"/>
          <w:lang w:val="en-ID"/>
        </w:rPr>
        <w:t>.</w:t>
      </w:r>
    </w:p>
    <w:p w14:paraId="6A9BB854" w14:textId="526F6D9C" w:rsidR="004A09D7" w:rsidRPr="00DB4E3C" w:rsidRDefault="00330750" w:rsidP="00E23ABE">
      <w:pPr>
        <w:spacing w:after="0"/>
        <w:ind w:firstLine="720"/>
        <w:jc w:val="both"/>
        <w:rPr>
          <w:rFonts w:ascii="Times New Roman" w:eastAsia="Times New Roman" w:hAnsi="Times New Roman" w:cs="Times New Roman"/>
          <w:lang w:val="en-ID"/>
        </w:rPr>
      </w:pPr>
      <w:r w:rsidRPr="00330750">
        <w:rPr>
          <w:rFonts w:ascii="Times New Roman" w:eastAsia="Times New Roman" w:hAnsi="Times New Roman" w:cs="Times New Roman"/>
          <w:lang w:val="en-ID"/>
        </w:rPr>
        <w:t>Although they provide important empirical contributions, most of these studies remain descriptive or limited to the analysis of local conflicts and the evaluation of administrative policies. The dimensions of power relations operating through the production of green development discourse, as well as how resistance functions as a structured political practice within the context of ecological neoliberalism, have not yet been systematically elaborated. In other words, there are limitations in linking nickel extractivism practices to global economic-political structures and the mechanisms of legitimacy production through energy transition narratives</w:t>
      </w:r>
      <w:r w:rsidR="004A09D7" w:rsidRPr="00DB4E3C">
        <w:rPr>
          <w:rFonts w:ascii="Times New Roman" w:eastAsia="Times New Roman" w:hAnsi="Times New Roman" w:cs="Times New Roman"/>
          <w:lang w:val="en-ID"/>
        </w:rPr>
        <w:t>.</w:t>
      </w:r>
    </w:p>
    <w:p w14:paraId="72FB5025" w14:textId="38EA5874" w:rsidR="004A09D7" w:rsidRDefault="00330750" w:rsidP="00E23ABE">
      <w:pPr>
        <w:spacing w:after="0"/>
        <w:ind w:firstLine="720"/>
        <w:jc w:val="both"/>
        <w:rPr>
          <w:rFonts w:ascii="Times New Roman" w:eastAsia="Times New Roman" w:hAnsi="Times New Roman" w:cs="Times New Roman"/>
          <w:lang w:val="en-ID"/>
        </w:rPr>
      </w:pPr>
      <w:r w:rsidRPr="00330750">
        <w:rPr>
          <w:rFonts w:ascii="Times New Roman" w:eastAsia="Times New Roman" w:hAnsi="Times New Roman" w:cs="Times New Roman"/>
          <w:lang w:val="en-ID"/>
        </w:rPr>
        <w:t xml:space="preserve">This article aims to fill that gap by analyzing the resistance mobilized by WALHI against PT Vale Indonesia’s extractive projects within the framework of ecological </w:t>
      </w:r>
      <w:r w:rsidRPr="00330750">
        <w:rPr>
          <w:rFonts w:ascii="Times New Roman" w:eastAsia="Times New Roman" w:hAnsi="Times New Roman" w:cs="Times New Roman"/>
          <w:lang w:val="en-ID"/>
        </w:rPr>
        <w:lastRenderedPageBreak/>
        <w:t>neoliberalism and power relations theory. This study begins with the question of how power relations between the state, corporations, and local communities are shaped in nickel downstreaming projects, and how resistance is mobilized in response to that configuration. The scientific novelty of this article lies in the integration of Michel Foucault’s analysis of power relations with a political ecology perspective to interpret resistance not merely as a reaction to environmental damage, but as a counter-hegemonic practice within the contestation of green development discourse. The significance of this research lies in its contribution to the development of environmental politics and Critical Security Studies within the context of developing nations, which serve as critical nodes in the global extractive economy</w:t>
      </w:r>
      <w:r w:rsidR="004A09D7" w:rsidRPr="00DB4E3C">
        <w:rPr>
          <w:rFonts w:ascii="Times New Roman" w:eastAsia="Times New Roman" w:hAnsi="Times New Roman" w:cs="Times New Roman"/>
          <w:lang w:val="en-ID"/>
        </w:rPr>
        <w:t>.</w:t>
      </w:r>
    </w:p>
    <w:p w14:paraId="2E3E8F48" w14:textId="525B13AB" w:rsidR="004A09D7" w:rsidRPr="00DB4E3C" w:rsidRDefault="00330750" w:rsidP="00E23ABE">
      <w:pPr>
        <w:spacing w:after="0"/>
        <w:ind w:firstLine="720"/>
        <w:jc w:val="both"/>
        <w:rPr>
          <w:rFonts w:ascii="Times New Roman" w:eastAsia="Times New Roman" w:hAnsi="Times New Roman" w:cs="Times New Roman"/>
          <w:lang w:val="en-ID"/>
        </w:rPr>
      </w:pPr>
      <w:r w:rsidRPr="00330750">
        <w:rPr>
          <w:rFonts w:ascii="Times New Roman" w:eastAsia="Times New Roman" w:hAnsi="Times New Roman" w:cs="Times New Roman"/>
        </w:rPr>
        <w:t>Within the framework of the development of Islamic-based International Relations scholarship, the examination of extractive projects does not stop at structural analysis and power relations, but is also situated within an ethical framework. The Islamic perspective views nature as a trusteeship (amanah) under the stewardship of humanity; thus, exploitative practices that exceed ecological carrying capacity contradict the principle of justice (‘adl) and the prohibition against causing harm (fasad)</w:t>
      </w:r>
      <w:r w:rsidR="004A09D7">
        <w:rPr>
          <w:rStyle w:val="FootnoteReference"/>
          <w:rFonts w:ascii="Times New Roman" w:eastAsia="Times New Roman" w:hAnsi="Times New Roman" w:cs="Times New Roman"/>
        </w:rPr>
        <w:footnoteReference w:id="2"/>
      </w:r>
      <w:r w:rsidR="004A09D7" w:rsidRPr="00C36EDE">
        <w:rPr>
          <w:rFonts w:ascii="Times New Roman" w:eastAsia="Times New Roman" w:hAnsi="Times New Roman" w:cs="Times New Roman"/>
        </w:rPr>
        <w:t xml:space="preserve">. </w:t>
      </w:r>
      <w:r w:rsidRPr="00330750">
        <w:rPr>
          <w:rFonts w:ascii="Times New Roman" w:eastAsia="Times New Roman" w:hAnsi="Times New Roman" w:cs="Times New Roman"/>
        </w:rPr>
        <w:t>Thus, the integration of the Islamization perspective in this study is not intended as a normative justification, but rather as an expansion of the analytical horizon for critiquing ecological neoliberalism within the context of Muslim societies</w:t>
      </w:r>
      <w:r>
        <w:rPr>
          <w:rFonts w:ascii="Times New Roman" w:eastAsia="Times New Roman" w:hAnsi="Times New Roman" w:cs="Times New Roman"/>
        </w:rPr>
        <w:t>.</w:t>
      </w:r>
    </w:p>
    <w:p w14:paraId="310B901A" w14:textId="77777777" w:rsidR="004A09D7" w:rsidRDefault="004A09D7" w:rsidP="00E23ABE">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 </w:t>
      </w:r>
    </w:p>
    <w:p w14:paraId="23A41235" w14:textId="77777777" w:rsidR="004A09D7" w:rsidRPr="00537A43" w:rsidRDefault="004A09D7" w:rsidP="00E23ABE">
      <w:pPr>
        <w:pStyle w:val="Heading1"/>
        <w:spacing w:before="0" w:after="0"/>
        <w:rPr>
          <w:rFonts w:eastAsia="Calibri"/>
          <w:sz w:val="22"/>
          <w:szCs w:val="22"/>
        </w:rPr>
      </w:pPr>
      <w:r w:rsidRPr="00537A43">
        <w:rPr>
          <w:rFonts w:eastAsia="Calibri"/>
          <w:bCs/>
          <w:sz w:val="22"/>
          <w:szCs w:val="22"/>
        </w:rPr>
        <w:t>Literature Review</w:t>
      </w:r>
    </w:p>
    <w:p w14:paraId="685B5025" w14:textId="723C5B56" w:rsidR="004A09D7" w:rsidRPr="0069631F" w:rsidRDefault="004A09D7" w:rsidP="00E23ABE">
      <w:pPr>
        <w:spacing w:after="0"/>
        <w:jc w:val="both"/>
        <w:rPr>
          <w:rFonts w:asciiTheme="majorBidi" w:eastAsia="Times New Roman" w:hAnsiTheme="majorBidi" w:cstheme="majorBidi"/>
          <w:lang w:val="en-ID"/>
        </w:rPr>
      </w:pPr>
      <w:r>
        <w:rPr>
          <w:rFonts w:ascii="Times New Roman" w:eastAsia="Times New Roman" w:hAnsi="Times New Roman" w:cs="Times New Roman"/>
        </w:rPr>
        <w:tab/>
      </w:r>
      <w:r w:rsidR="00330750" w:rsidRPr="00330750">
        <w:rPr>
          <w:rFonts w:ascii="Times New Roman" w:eastAsia="Times New Roman" w:hAnsi="Times New Roman" w:cs="Times New Roman"/>
        </w:rPr>
        <w:t>Studies on the extractive industry and local resistance in Indonesia can be categorized into several main trends. First, advocacy-based research and reports documented by WALHI South Sulawesi regarding the ecological impacts of mining, including deforestation, water pollution, and land conflicts. These reports are important in providing empirical data on environmental damage and the unequal distribution of economic benefits. However, this approach is generally normative and has not yet elaborated on an adequate theoretical framework to explain how power operates in the production of legitimacy for extractive projects</w:t>
      </w:r>
      <w:r>
        <w:rPr>
          <w:rStyle w:val="FootnoteReference"/>
          <w:rFonts w:asciiTheme="majorBidi" w:eastAsia="Times New Roman" w:hAnsiTheme="majorBidi"/>
          <w:lang w:val="en-ID"/>
        </w:rPr>
        <w:footnoteReference w:id="3"/>
      </w:r>
      <w:r w:rsidRPr="0069631F">
        <w:rPr>
          <w:rFonts w:asciiTheme="majorBidi" w:eastAsia="Times New Roman" w:hAnsiTheme="majorBidi" w:cstheme="majorBidi"/>
          <w:lang w:val="en-ID"/>
        </w:rPr>
        <w:t>.</w:t>
      </w:r>
    </w:p>
    <w:p w14:paraId="121E93EE" w14:textId="7B97AAD8" w:rsidR="004A09D7" w:rsidRPr="0069631F" w:rsidRDefault="004A09D7" w:rsidP="00E23ABE">
      <w:pPr>
        <w:spacing w:after="0"/>
        <w:jc w:val="both"/>
        <w:rPr>
          <w:rFonts w:asciiTheme="majorBidi" w:eastAsia="Times New Roman" w:hAnsiTheme="majorBidi" w:cstheme="majorBidi"/>
          <w:lang w:val="en-ID"/>
        </w:rPr>
      </w:pPr>
      <w:r w:rsidRPr="0069631F">
        <w:rPr>
          <w:rFonts w:asciiTheme="majorBidi" w:eastAsia="Times New Roman" w:hAnsiTheme="majorBidi" w:cstheme="majorBidi"/>
          <w:lang w:val="en-ID"/>
        </w:rPr>
        <w:tab/>
      </w:r>
      <w:r w:rsidR="00DC52B1" w:rsidRPr="00DC52B1">
        <w:rPr>
          <w:rFonts w:asciiTheme="majorBidi" w:eastAsia="Times New Roman" w:hAnsiTheme="majorBidi" w:cstheme="majorBidi"/>
          <w:lang w:val="en-ID"/>
        </w:rPr>
        <w:t>Second, studies on community resistance to industrial expansion, particularly those employing an everyday resistance approach or community resistance theory. Research in this category has successfully demonstrated the agency of local communities in defending their living spaces</w:t>
      </w:r>
      <w:r>
        <w:rPr>
          <w:rStyle w:val="FootnoteReference"/>
          <w:rFonts w:asciiTheme="majorBidi" w:eastAsia="Times New Roman" w:hAnsiTheme="majorBidi"/>
          <w:lang w:val="en-ID"/>
        </w:rPr>
        <w:footnoteReference w:id="4"/>
      </w:r>
      <w:r w:rsidRPr="0069631F">
        <w:rPr>
          <w:rFonts w:asciiTheme="majorBidi" w:eastAsia="Times New Roman" w:hAnsiTheme="majorBidi" w:cstheme="majorBidi"/>
          <w:lang w:val="en-ID"/>
        </w:rPr>
        <w:t>.</w:t>
      </w:r>
      <w:r w:rsidR="00DC52B1">
        <w:rPr>
          <w:rFonts w:asciiTheme="majorBidi" w:eastAsia="Times New Roman" w:hAnsiTheme="majorBidi" w:cstheme="majorBidi"/>
          <w:lang w:val="en-ID"/>
        </w:rPr>
        <w:t xml:space="preserve"> </w:t>
      </w:r>
      <w:r w:rsidR="00DC52B1" w:rsidRPr="00DC52B1">
        <w:rPr>
          <w:rFonts w:asciiTheme="majorBidi" w:eastAsia="Times New Roman" w:hAnsiTheme="majorBidi" w:cstheme="majorBidi"/>
          <w:lang w:val="en-ID"/>
        </w:rPr>
        <w:t xml:space="preserve">However, most studies still focus on the context of local-scale agrarian conflicts </w:t>
      </w:r>
      <w:r w:rsidR="00DC52B1" w:rsidRPr="00DC52B1">
        <w:rPr>
          <w:rFonts w:asciiTheme="majorBidi" w:eastAsia="Times New Roman" w:hAnsiTheme="majorBidi" w:cstheme="majorBidi"/>
          <w:lang w:val="en-ID"/>
        </w:rPr>
        <w:lastRenderedPageBreak/>
        <w:t>and have not explicitly linked them to the dynamics of ecological neoliberalism on a global scale</w:t>
      </w:r>
      <w:r w:rsidRPr="0069631F">
        <w:rPr>
          <w:rFonts w:asciiTheme="majorBidi" w:eastAsia="Times New Roman" w:hAnsiTheme="majorBidi" w:cstheme="majorBidi"/>
          <w:lang w:val="en-ID"/>
        </w:rPr>
        <w:t>.</w:t>
      </w:r>
    </w:p>
    <w:p w14:paraId="3A1DC7EF" w14:textId="38E6D5D6" w:rsidR="004A09D7" w:rsidRPr="0069631F" w:rsidRDefault="004A09D7" w:rsidP="00E23ABE">
      <w:pPr>
        <w:spacing w:after="0"/>
        <w:jc w:val="both"/>
        <w:rPr>
          <w:rFonts w:asciiTheme="majorBidi" w:eastAsia="Times New Roman" w:hAnsiTheme="majorBidi" w:cstheme="majorBidi"/>
          <w:lang w:val="en-ID"/>
        </w:rPr>
      </w:pPr>
      <w:r w:rsidRPr="0069631F">
        <w:rPr>
          <w:rFonts w:asciiTheme="majorBidi" w:eastAsia="Times New Roman" w:hAnsiTheme="majorBidi" w:cstheme="majorBidi"/>
          <w:lang w:val="en-ID"/>
        </w:rPr>
        <w:tab/>
      </w:r>
      <w:r w:rsidR="00DC52B1" w:rsidRPr="00DC52B1">
        <w:rPr>
          <w:rFonts w:asciiTheme="majorBidi" w:eastAsia="Times New Roman" w:hAnsiTheme="majorBidi" w:cstheme="majorBidi"/>
          <w:lang w:val="en-ID"/>
        </w:rPr>
        <w:t>Third, studies of extractive industry governance that assess the effectiveness of environmental policies through administrative indicators such as fairness, responsiveness, and accountability</w:t>
      </w:r>
      <w:r>
        <w:rPr>
          <w:rStyle w:val="FootnoteReference"/>
          <w:rFonts w:asciiTheme="majorBidi" w:eastAsia="Times New Roman" w:hAnsiTheme="majorBidi"/>
          <w:lang w:val="en-ID"/>
        </w:rPr>
        <w:footnoteReference w:id="5"/>
      </w:r>
      <w:r w:rsidRPr="0069631F">
        <w:rPr>
          <w:rFonts w:asciiTheme="majorBidi" w:eastAsia="Times New Roman" w:hAnsiTheme="majorBidi" w:cstheme="majorBidi"/>
          <w:lang w:val="en-ID"/>
        </w:rPr>
        <w:t>.</w:t>
      </w:r>
      <w:r w:rsidR="00DC52B1">
        <w:rPr>
          <w:rFonts w:asciiTheme="majorBidi" w:eastAsia="Times New Roman" w:hAnsiTheme="majorBidi" w:cstheme="majorBidi"/>
          <w:lang w:val="en-ID"/>
        </w:rPr>
        <w:t xml:space="preserve"> </w:t>
      </w:r>
      <w:r w:rsidR="00DC52B1" w:rsidRPr="00DC52B1">
        <w:rPr>
          <w:rFonts w:asciiTheme="majorBidi" w:eastAsia="Times New Roman" w:hAnsiTheme="majorBidi" w:cstheme="majorBidi"/>
          <w:lang w:val="en-ID"/>
        </w:rPr>
        <w:t>This approach tends to view the extractive industry through a managerial and collaborative lens, thereby failing to position the discourse on green development as an arena of ideological contestation.</w:t>
      </w:r>
    </w:p>
    <w:p w14:paraId="238BF7B0" w14:textId="04ACF82E" w:rsidR="004A09D7" w:rsidRPr="0069631F" w:rsidRDefault="004A09D7" w:rsidP="00E23ABE">
      <w:pPr>
        <w:spacing w:after="0"/>
        <w:jc w:val="both"/>
        <w:rPr>
          <w:rFonts w:ascii="Times New Roman" w:eastAsia="Times New Roman" w:hAnsi="Times New Roman" w:cs="Times New Roman"/>
          <w:lang w:val="en-ID"/>
        </w:rPr>
      </w:pPr>
      <w:r w:rsidRPr="0069631F">
        <w:rPr>
          <w:rFonts w:asciiTheme="majorBidi" w:eastAsia="Times New Roman" w:hAnsiTheme="majorBidi" w:cstheme="majorBidi"/>
          <w:lang w:val="en-ID"/>
        </w:rPr>
        <w:tab/>
      </w:r>
      <w:r w:rsidR="00DC52B1" w:rsidRPr="00DC52B1">
        <w:rPr>
          <w:rFonts w:asciiTheme="majorBidi" w:eastAsia="Times New Roman" w:hAnsiTheme="majorBidi" w:cstheme="majorBidi"/>
          <w:lang w:val="en-ID"/>
        </w:rPr>
        <w:t>Based on this analysis, this study takes the position that PT Vale Indonesia’s extractive projects are manifestations of ecological neoliberalism—that is, the integration of environmental issues into market logic through the commodification of natural resources. Using Michel Foucault’s theory of power relations, this study focuses its analysis on how the discourses of energy transition, sustainable development, and national strategic projects function as mechanisms for producing “truth” that normalize industrial expansion. The novelty of this study lies in its effort to connect local resistance with the formation of regimes of truth within green capitalism, thereby understanding resistance as a political practice that challenges these structures of domination.</w:t>
      </w:r>
    </w:p>
    <w:p w14:paraId="4BA9E8F0" w14:textId="77777777" w:rsidR="004A09D7" w:rsidRDefault="004A09D7" w:rsidP="00E23ABE">
      <w:pPr>
        <w:spacing w:after="0"/>
        <w:jc w:val="both"/>
        <w:rPr>
          <w:rFonts w:ascii="Times New Roman" w:eastAsia="Times New Roman" w:hAnsi="Times New Roman" w:cs="Times New Roman"/>
        </w:rPr>
      </w:pPr>
    </w:p>
    <w:p w14:paraId="505A1C66" w14:textId="77777777" w:rsidR="004A09D7" w:rsidRPr="00537A43" w:rsidRDefault="004A09D7" w:rsidP="00E23ABE">
      <w:pPr>
        <w:pStyle w:val="Heading1"/>
        <w:spacing w:before="0" w:after="0"/>
        <w:rPr>
          <w:rFonts w:eastAsia="Calibri"/>
          <w:sz w:val="22"/>
          <w:szCs w:val="22"/>
        </w:rPr>
      </w:pPr>
      <w:r w:rsidRPr="00537A43">
        <w:rPr>
          <w:rFonts w:eastAsia="Calibri"/>
          <w:bCs/>
          <w:sz w:val="22"/>
          <w:szCs w:val="22"/>
        </w:rPr>
        <w:t>Methodology</w:t>
      </w:r>
    </w:p>
    <w:p w14:paraId="6D4FEF07" w14:textId="77777777" w:rsidR="00DC52B1" w:rsidRDefault="00DC52B1" w:rsidP="00E23ABE">
      <w:pPr>
        <w:spacing w:after="0"/>
        <w:ind w:firstLine="720"/>
        <w:jc w:val="both"/>
        <w:rPr>
          <w:rFonts w:ascii="Times New Roman" w:eastAsia="Times New Roman" w:hAnsi="Times New Roman" w:cs="Times New Roman"/>
          <w:lang w:val="en-ID"/>
        </w:rPr>
      </w:pPr>
      <w:r w:rsidRPr="00DC52B1">
        <w:rPr>
          <w:rFonts w:ascii="Times New Roman" w:eastAsia="Times New Roman" w:hAnsi="Times New Roman" w:cs="Times New Roman"/>
          <w:lang w:val="en-ID"/>
        </w:rPr>
        <w:t>This study employs a qualitative approach based on a critical paradigm and a case study design. This approach was chosen because the research focuses on the interpretation of resistance practices and the analysis of power relations, which cannot be reduced to quantitative variables. The case study focuses on PT Vale Indonesia’s nickel mining project in East Luwu Regency and the resistance mobilized by WALHI as a civil society actor.</w:t>
      </w:r>
    </w:p>
    <w:p w14:paraId="22A5FB74" w14:textId="4B352AF3" w:rsidR="004A09D7" w:rsidRPr="0069631F" w:rsidRDefault="00DC52B1" w:rsidP="00E23ABE">
      <w:pPr>
        <w:spacing w:after="0"/>
        <w:ind w:firstLine="720"/>
        <w:jc w:val="both"/>
        <w:rPr>
          <w:rFonts w:ascii="Times New Roman" w:eastAsia="Times New Roman" w:hAnsi="Times New Roman" w:cs="Times New Roman"/>
          <w:lang w:val="en-ID"/>
        </w:rPr>
      </w:pPr>
      <w:r w:rsidRPr="00DC52B1">
        <w:rPr>
          <w:rFonts w:ascii="Times New Roman" w:eastAsia="Times New Roman" w:hAnsi="Times New Roman" w:cs="Times New Roman"/>
          <w:lang w:val="en-ID"/>
        </w:rPr>
        <w:t>Data were collected through a documentary study of government regulations, national strategic project documents, company reports, WALHI advocacy reports, court rulings, and academic literature relevant to political ecology and ecological neoliberalism. Additionally, this study utilizes primary data in the form of interviews and observations of the narrative experiences of affected communities, as documented in a previous thesis</w:t>
      </w:r>
      <w:r>
        <w:rPr>
          <w:rFonts w:ascii="Times New Roman" w:eastAsia="Times New Roman" w:hAnsi="Times New Roman" w:cs="Times New Roman"/>
          <w:lang w:val="en-ID"/>
        </w:rPr>
        <w:t>.</w:t>
      </w:r>
    </w:p>
    <w:p w14:paraId="54AC49DC" w14:textId="6CAAC9BD" w:rsidR="004A09D7" w:rsidRPr="0069631F" w:rsidRDefault="00DC52B1" w:rsidP="00E23ABE">
      <w:pPr>
        <w:spacing w:after="0"/>
        <w:ind w:firstLine="720"/>
        <w:jc w:val="both"/>
        <w:rPr>
          <w:rFonts w:ascii="Times New Roman" w:eastAsia="Times New Roman" w:hAnsi="Times New Roman" w:cs="Times New Roman"/>
          <w:lang w:val="en-ID"/>
        </w:rPr>
      </w:pPr>
      <w:r w:rsidRPr="00DC52B1">
        <w:rPr>
          <w:rFonts w:ascii="Times New Roman" w:eastAsia="Times New Roman" w:hAnsi="Times New Roman" w:cs="Times New Roman"/>
          <w:lang w:val="en-ID"/>
        </w:rPr>
        <w:t>Data analysis was conducted using critical discourse analysis to identify the narrative constructions of green development and energy transition in policy and corporate documents. Furthermore, thematic analysis was used to classify the forms of resistance mobilized, including legal advocacy, public campaigns, the production of counter-narratives, and community organizing. Through this combination of approaches, this study seeks to uncover how power operates through the language of policy and how resistance emerges as a structured response to the configuration of ecological neoliberalism</w:t>
      </w:r>
      <w:r w:rsidR="004A09D7" w:rsidRPr="0069631F">
        <w:rPr>
          <w:rFonts w:ascii="Times New Roman" w:eastAsia="Times New Roman" w:hAnsi="Times New Roman" w:cs="Times New Roman"/>
          <w:lang w:val="en-ID"/>
        </w:rPr>
        <w:t>.</w:t>
      </w:r>
    </w:p>
    <w:p w14:paraId="709A6A04" w14:textId="77777777" w:rsidR="004A09D7" w:rsidRPr="00537A43" w:rsidRDefault="004A09D7" w:rsidP="00E23ABE">
      <w:pPr>
        <w:pStyle w:val="Heading1"/>
        <w:spacing w:before="0" w:after="0"/>
        <w:rPr>
          <w:rFonts w:eastAsia="Calibri"/>
          <w:sz w:val="22"/>
          <w:szCs w:val="22"/>
        </w:rPr>
      </w:pPr>
    </w:p>
    <w:p w14:paraId="6EE20746" w14:textId="603786F7" w:rsidR="004A09D7" w:rsidRPr="00537A43" w:rsidRDefault="004A09D7" w:rsidP="00E23ABE">
      <w:pPr>
        <w:pStyle w:val="Heading1"/>
        <w:spacing w:before="0" w:after="0"/>
        <w:rPr>
          <w:rFonts w:eastAsia="Calibri"/>
          <w:sz w:val="22"/>
          <w:szCs w:val="22"/>
        </w:rPr>
      </w:pPr>
      <w:r w:rsidRPr="00537A43">
        <w:rPr>
          <w:rFonts w:eastAsia="Calibri"/>
          <w:bCs/>
          <w:sz w:val="22"/>
          <w:szCs w:val="22"/>
        </w:rPr>
        <w:t>Anal</w:t>
      </w:r>
      <w:r w:rsidR="00DC52B1">
        <w:rPr>
          <w:sz w:val="22"/>
          <w:szCs w:val="22"/>
        </w:rPr>
        <w:t>ysis</w:t>
      </w:r>
    </w:p>
    <w:p w14:paraId="50315C62" w14:textId="77777777" w:rsidR="00DC52B1" w:rsidRDefault="00DC52B1" w:rsidP="00E23ABE">
      <w:pPr>
        <w:spacing w:after="0"/>
        <w:ind w:firstLine="720"/>
        <w:jc w:val="both"/>
        <w:rPr>
          <w:rFonts w:ascii="Times New Roman" w:eastAsia="Times New Roman" w:hAnsi="Times New Roman" w:cs="Times New Roman"/>
        </w:rPr>
      </w:pPr>
      <w:r w:rsidRPr="00DC52B1">
        <w:rPr>
          <w:rFonts w:ascii="Times New Roman" w:eastAsia="Times New Roman" w:hAnsi="Times New Roman" w:cs="Times New Roman"/>
        </w:rPr>
        <w:t>This section presents the results of a research analysis focused on two main dimensions</w:t>
      </w:r>
      <w:r w:rsidR="004A09D7" w:rsidRPr="008759DA">
        <w:rPr>
          <w:rFonts w:ascii="Times New Roman" w:eastAsia="Times New Roman" w:hAnsi="Times New Roman" w:cs="Times New Roman"/>
        </w:rPr>
        <w:t xml:space="preserve">: </w:t>
      </w:r>
    </w:p>
    <w:p w14:paraId="45217391" w14:textId="786184D2" w:rsidR="00DC52B1" w:rsidRPr="00DC52B1" w:rsidRDefault="00DC52B1" w:rsidP="00E23ABE">
      <w:pPr>
        <w:pStyle w:val="ListParagraph"/>
        <w:numPr>
          <w:ilvl w:val="0"/>
          <w:numId w:val="2"/>
        </w:numPr>
        <w:tabs>
          <w:tab w:val="left" w:pos="993"/>
        </w:tabs>
        <w:spacing w:after="0"/>
        <w:ind w:left="1134" w:hanging="425"/>
        <w:jc w:val="both"/>
        <w:rPr>
          <w:rFonts w:ascii="Times New Roman" w:eastAsia="Times New Roman" w:hAnsi="Times New Roman" w:cs="Times New Roman"/>
        </w:rPr>
      </w:pPr>
      <w:r w:rsidRPr="00DC52B1">
        <w:rPr>
          <w:rFonts w:ascii="Times New Roman" w:eastAsia="Times New Roman" w:hAnsi="Times New Roman" w:cs="Times New Roman"/>
        </w:rPr>
        <w:t>T</w:t>
      </w:r>
      <w:r w:rsidRPr="00DC52B1">
        <w:rPr>
          <w:rFonts w:ascii="Times New Roman" w:eastAsia="Times New Roman" w:hAnsi="Times New Roman" w:cs="Times New Roman"/>
        </w:rPr>
        <w:t>he configuration of power relations in nickel extraction projects</w:t>
      </w:r>
    </w:p>
    <w:p w14:paraId="3EDF1891" w14:textId="7671D0E6" w:rsidR="004A09D7" w:rsidRPr="00DC52B1" w:rsidRDefault="00DC52B1" w:rsidP="00E23ABE">
      <w:pPr>
        <w:pStyle w:val="ListParagraph"/>
        <w:numPr>
          <w:ilvl w:val="0"/>
          <w:numId w:val="2"/>
        </w:numPr>
        <w:spacing w:after="0"/>
        <w:ind w:left="993" w:hanging="284"/>
        <w:jc w:val="both"/>
        <w:rPr>
          <w:rFonts w:ascii="Times New Roman" w:eastAsia="Times New Roman" w:hAnsi="Times New Roman" w:cs="Times New Roman"/>
        </w:rPr>
      </w:pPr>
      <w:r w:rsidRPr="00DC52B1">
        <w:rPr>
          <w:rFonts w:ascii="Times New Roman" w:eastAsia="Times New Roman" w:hAnsi="Times New Roman" w:cs="Times New Roman"/>
        </w:rPr>
        <w:t>T</w:t>
      </w:r>
      <w:r w:rsidRPr="00DC52B1">
        <w:rPr>
          <w:rFonts w:ascii="Times New Roman" w:eastAsia="Times New Roman" w:hAnsi="Times New Roman" w:cs="Times New Roman"/>
        </w:rPr>
        <w:t>he forms and strategies of resistance mobilized by local communities and WALHI. The analysis not only describes the ecological impacts but also situates them within the framework of ecological neoliberalism and the production of green development legitimacy.</w:t>
      </w:r>
    </w:p>
    <w:p w14:paraId="0FBE4074" w14:textId="1CFA1D97" w:rsidR="004A09D7" w:rsidRPr="001577E5" w:rsidRDefault="00E23ABE" w:rsidP="00E23ABE">
      <w:pPr>
        <w:pStyle w:val="Heading2"/>
        <w:numPr>
          <w:ilvl w:val="0"/>
          <w:numId w:val="1"/>
        </w:numPr>
        <w:tabs>
          <w:tab w:val="num" w:pos="360"/>
          <w:tab w:val="left" w:pos="851"/>
        </w:tabs>
        <w:ind w:left="993" w:hanging="283"/>
        <w:rPr>
          <w:rFonts w:eastAsia="Times New Roman"/>
          <w:bCs/>
          <w:sz w:val="22"/>
          <w:szCs w:val="22"/>
        </w:rPr>
      </w:pPr>
      <w:r w:rsidRPr="00E23ABE">
        <w:rPr>
          <w:rFonts w:eastAsia="Times New Roman"/>
          <w:bCs/>
          <w:sz w:val="22"/>
          <w:szCs w:val="22"/>
        </w:rPr>
        <w:t>Power Relations and the Production of Legitimacy in Ecological Neoliberalism</w:t>
      </w:r>
    </w:p>
    <w:p w14:paraId="10BB6A73" w14:textId="1BBDE2FD" w:rsidR="004A09D7" w:rsidRPr="00E23ABE" w:rsidRDefault="004A09D7" w:rsidP="00E23ABE">
      <w:pPr>
        <w:pStyle w:val="ListParagraph"/>
        <w:spacing w:after="0"/>
        <w:jc w:val="both"/>
        <w:rPr>
          <w:rFonts w:ascii="Times New Roman" w:eastAsia="Times New Roman" w:hAnsi="Times New Roman" w:cs="Times New Roman"/>
          <w:lang w:val="en-ID"/>
        </w:rPr>
      </w:pPr>
      <w:r>
        <w:rPr>
          <w:rFonts w:ascii="Times New Roman" w:eastAsia="Times New Roman" w:hAnsi="Times New Roman" w:cs="Times New Roman"/>
          <w:sz w:val="24"/>
          <w:szCs w:val="24"/>
          <w:lang w:val="en-ID"/>
        </w:rPr>
        <w:tab/>
      </w:r>
      <w:r w:rsidR="00E23ABE" w:rsidRPr="00E23ABE">
        <w:rPr>
          <w:rFonts w:ascii="Times New Roman" w:eastAsia="Times New Roman" w:hAnsi="Times New Roman" w:cs="Times New Roman"/>
          <w:lang w:val="en-ID"/>
        </w:rPr>
        <w:t>Extractive projects carried out by PT Vale Indonesia reveal a configuration of power relations in which the state acts not merely as a regulator, but also as a facilitator of capital expansion. Research findings indicate that the nickel industry is positioned as a pillar of regional development as well as part of the national downstreaming strategy. The mining sector contributes significantly to the local economic structure, which in turn creates fiscal and political dependence on the continuity of extractive investments</w:t>
      </w:r>
      <w:r w:rsidRPr="00E23ABE">
        <w:rPr>
          <w:rFonts w:ascii="Times New Roman" w:eastAsia="Times New Roman" w:hAnsi="Times New Roman" w:cs="Times New Roman"/>
          <w:lang w:val="en-ID"/>
        </w:rPr>
        <w:t>.</w:t>
      </w:r>
    </w:p>
    <w:p w14:paraId="00EF7C1F" w14:textId="10B3305D" w:rsidR="004A09D7" w:rsidRDefault="004A09D7" w:rsidP="00E23ABE">
      <w:pPr>
        <w:pStyle w:val="ListParagraph"/>
        <w:spacing w:after="0"/>
        <w:jc w:val="both"/>
        <w:rPr>
          <w:rFonts w:ascii="Times New Roman" w:eastAsia="Times New Roman" w:hAnsi="Times New Roman" w:cs="Times New Roman"/>
          <w:lang w:val="en-ID"/>
        </w:rPr>
      </w:pPr>
      <w:r w:rsidRPr="00733E42">
        <w:rPr>
          <w:rFonts w:asciiTheme="majorBidi" w:hAnsiTheme="majorBidi" w:cstheme="majorBidi"/>
          <w:noProof/>
          <w:color w:val="000000" w:themeColor="text1"/>
          <w:sz w:val="7"/>
        </w:rPr>
        <w:drawing>
          <wp:anchor distT="0" distB="0" distL="0" distR="0" simplePos="0" relativeHeight="251659264" behindDoc="1" locked="0" layoutInCell="1" allowOverlap="1" wp14:anchorId="282D86D7" wp14:editId="759AA39E">
            <wp:simplePos x="0" y="0"/>
            <wp:positionH relativeFrom="page">
              <wp:posOffset>2626006</wp:posOffset>
            </wp:positionH>
            <wp:positionV relativeFrom="page">
              <wp:posOffset>6581140</wp:posOffset>
            </wp:positionV>
            <wp:extent cx="3274828" cy="1679945"/>
            <wp:effectExtent l="0" t="0" r="1905"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9" cstate="print"/>
                    <a:stretch>
                      <a:fillRect/>
                    </a:stretch>
                  </pic:blipFill>
                  <pic:spPr>
                    <a:xfrm>
                      <a:off x="0" y="0"/>
                      <a:ext cx="3274828" cy="16799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lang w:val="en-ID"/>
        </w:rPr>
        <w:tab/>
      </w:r>
      <w:r w:rsidR="00E23ABE" w:rsidRPr="00E23ABE">
        <w:rPr>
          <w:rFonts w:ascii="Times New Roman" w:eastAsia="Times New Roman" w:hAnsi="Times New Roman" w:cs="Times New Roman"/>
          <w:lang w:val="en-ID"/>
        </w:rPr>
        <w:t>However, this legitimacy goes hand in hand with measurable ecological degradation. Mining activities have triggered land degradation, increased river sedimentation, and a decline in agricultural productivity among local communities. Remote sensing data indicate that the regions of North Luwu and East Luwu face a disparity between carbon sequestration and emission levels. Average carbon sequestration is only about 1.59 MtCO₂e/year, while emissions reach 4.63 MtCO₂e/year, resulting in net emissions of approximately 3.04 MtCO₂e/year. This imbalance indicates a shift in the region’s ecological function from a carbon sink to a net source of emissions.</w:t>
      </w:r>
    </w:p>
    <w:p w14:paraId="7E796988" w14:textId="68283924" w:rsidR="004A09D7" w:rsidRPr="001852C5" w:rsidRDefault="004A09D7" w:rsidP="00E23ABE">
      <w:pPr>
        <w:pStyle w:val="Caption"/>
        <w:spacing w:after="0" w:line="276" w:lineRule="auto"/>
        <w:jc w:val="center"/>
        <w:rPr>
          <w:rFonts w:asciiTheme="majorBidi" w:hAnsiTheme="majorBidi" w:cstheme="majorBidi"/>
          <w:i w:val="0"/>
          <w:iCs w:val="0"/>
          <w:color w:val="000000" w:themeColor="text1"/>
          <w:sz w:val="22"/>
          <w:szCs w:val="22"/>
        </w:rPr>
      </w:pPr>
      <w:bookmarkStart w:id="0" w:name="_Toc219768276"/>
      <w:bookmarkStart w:id="1" w:name="_Toc219952588"/>
      <w:bookmarkStart w:id="2" w:name="_Toc220147950"/>
      <w:bookmarkStart w:id="3" w:name="_Toc220561699"/>
      <w:r>
        <w:rPr>
          <w:rFonts w:asciiTheme="majorBidi" w:hAnsiTheme="majorBidi" w:cstheme="majorBidi"/>
          <w:i w:val="0"/>
          <w:iCs w:val="0"/>
          <w:color w:val="000000" w:themeColor="text1"/>
          <w:sz w:val="22"/>
          <w:szCs w:val="22"/>
        </w:rPr>
        <w:tab/>
      </w:r>
      <w:r w:rsidRPr="001852C5">
        <w:rPr>
          <w:rFonts w:asciiTheme="majorBidi" w:hAnsiTheme="majorBidi" w:cstheme="majorBidi"/>
          <w:i w:val="0"/>
          <w:iCs w:val="0"/>
          <w:color w:val="000000" w:themeColor="text1"/>
          <w:sz w:val="22"/>
          <w:szCs w:val="22"/>
        </w:rPr>
        <w:t xml:space="preserve">Gambar </w:t>
      </w:r>
      <w:r w:rsidRPr="001852C5">
        <w:rPr>
          <w:rFonts w:asciiTheme="majorBidi" w:hAnsiTheme="majorBidi" w:cstheme="majorBidi"/>
          <w:i w:val="0"/>
          <w:iCs w:val="0"/>
          <w:color w:val="000000" w:themeColor="text1"/>
          <w:sz w:val="22"/>
          <w:szCs w:val="22"/>
        </w:rPr>
        <w:fldChar w:fldCharType="begin"/>
      </w:r>
      <w:r w:rsidRPr="001852C5">
        <w:rPr>
          <w:rFonts w:asciiTheme="majorBidi" w:hAnsiTheme="majorBidi" w:cstheme="majorBidi"/>
          <w:i w:val="0"/>
          <w:iCs w:val="0"/>
          <w:color w:val="000000" w:themeColor="text1"/>
          <w:sz w:val="22"/>
          <w:szCs w:val="22"/>
        </w:rPr>
        <w:instrText xml:space="preserve"> SEQ Gambar_3. \* ARABIC </w:instrText>
      </w:r>
      <w:r w:rsidRPr="001852C5">
        <w:rPr>
          <w:rFonts w:asciiTheme="majorBidi" w:hAnsiTheme="majorBidi" w:cstheme="majorBidi"/>
          <w:i w:val="0"/>
          <w:iCs w:val="0"/>
          <w:color w:val="000000" w:themeColor="text1"/>
          <w:sz w:val="22"/>
          <w:szCs w:val="22"/>
        </w:rPr>
        <w:fldChar w:fldCharType="separate"/>
      </w:r>
      <w:r>
        <w:rPr>
          <w:rFonts w:asciiTheme="majorBidi" w:hAnsiTheme="majorBidi" w:cstheme="majorBidi"/>
          <w:i w:val="0"/>
          <w:iCs w:val="0"/>
          <w:noProof/>
          <w:color w:val="000000" w:themeColor="text1"/>
          <w:sz w:val="22"/>
          <w:szCs w:val="22"/>
        </w:rPr>
        <w:t>1</w:t>
      </w:r>
      <w:r w:rsidRPr="001852C5">
        <w:rPr>
          <w:rFonts w:asciiTheme="majorBidi" w:hAnsiTheme="majorBidi" w:cstheme="majorBidi"/>
          <w:i w:val="0"/>
          <w:iCs w:val="0"/>
          <w:color w:val="000000" w:themeColor="text1"/>
          <w:sz w:val="22"/>
          <w:szCs w:val="22"/>
        </w:rPr>
        <w:fldChar w:fldCharType="end"/>
      </w:r>
      <w:r w:rsidRPr="001852C5">
        <w:rPr>
          <w:rFonts w:asciiTheme="majorBidi" w:hAnsiTheme="majorBidi" w:cstheme="majorBidi"/>
          <w:i w:val="0"/>
          <w:iCs w:val="0"/>
          <w:color w:val="000000" w:themeColor="text1"/>
          <w:sz w:val="22"/>
          <w:szCs w:val="22"/>
        </w:rPr>
        <w:t xml:space="preserve">. </w:t>
      </w:r>
      <w:bookmarkEnd w:id="0"/>
      <w:bookmarkEnd w:id="1"/>
      <w:bookmarkEnd w:id="2"/>
      <w:bookmarkEnd w:id="3"/>
      <w:r w:rsidR="00E23ABE" w:rsidRPr="00E23ABE">
        <w:rPr>
          <w:rFonts w:asciiTheme="majorBidi" w:hAnsiTheme="majorBidi" w:cstheme="majorBidi"/>
          <w:i w:val="0"/>
          <w:iCs w:val="0"/>
          <w:color w:val="000000" w:themeColor="text1"/>
          <w:sz w:val="22"/>
          <w:szCs w:val="22"/>
        </w:rPr>
        <w:t>Carbon Sequestration and Emissions in North Luwu and East Luwu</w:t>
      </w:r>
    </w:p>
    <w:p w14:paraId="3FB9E095" w14:textId="58E981FA" w:rsidR="00E23ABE" w:rsidRDefault="00E23ABE" w:rsidP="00E23ABE">
      <w:pPr>
        <w:pStyle w:val="ListParagraph"/>
        <w:spacing w:after="0"/>
        <w:jc w:val="center"/>
        <w:rPr>
          <w:rFonts w:ascii="Times New Roman" w:eastAsia="Times New Roman" w:hAnsi="Times New Roman" w:cs="Times New Roman"/>
          <w:lang w:val="en-ID"/>
        </w:rPr>
      </w:pPr>
      <w:r w:rsidRPr="00E23ABE">
        <w:rPr>
          <w:rFonts w:ascii="Times New Roman" w:eastAsia="Times New Roman" w:hAnsi="Times New Roman" w:cs="Times New Roman"/>
          <w:lang w:val="en-ID"/>
        </w:rPr>
        <w:t>Source: WALHI South Sulawesi Policy Paper</w:t>
      </w:r>
    </w:p>
    <w:p w14:paraId="1D5CA101" w14:textId="77777777" w:rsidR="00E23ABE" w:rsidRDefault="00E23ABE" w:rsidP="00E23ABE">
      <w:pPr>
        <w:pStyle w:val="ListParagraph"/>
        <w:spacing w:after="0"/>
        <w:jc w:val="center"/>
        <w:rPr>
          <w:rFonts w:ascii="Times New Roman" w:eastAsia="Times New Roman" w:hAnsi="Times New Roman" w:cs="Times New Roman"/>
          <w:lang w:val="en-ID"/>
        </w:rPr>
      </w:pPr>
    </w:p>
    <w:p w14:paraId="2E21B2D0" w14:textId="125AD85D" w:rsidR="004A09D7" w:rsidRDefault="004A09D7" w:rsidP="00A40D9F">
      <w:pPr>
        <w:pStyle w:val="ListParagraph"/>
        <w:spacing w:after="0"/>
        <w:jc w:val="both"/>
        <w:rPr>
          <w:rFonts w:asciiTheme="majorBidi" w:eastAsia="Times New Roman" w:hAnsiTheme="majorBidi" w:cstheme="majorBidi"/>
          <w:lang w:val="en-ID"/>
        </w:rPr>
      </w:pPr>
      <w:r>
        <w:rPr>
          <w:rFonts w:ascii="Times New Roman" w:eastAsia="Times New Roman" w:hAnsi="Times New Roman" w:cs="Times New Roman"/>
          <w:lang w:val="en-ID"/>
        </w:rPr>
        <w:lastRenderedPageBreak/>
        <w:tab/>
      </w:r>
      <w:r w:rsidR="00E23ABE" w:rsidRPr="00E23ABE">
        <w:rPr>
          <w:rFonts w:ascii="Times New Roman" w:eastAsia="Times New Roman" w:hAnsi="Times New Roman" w:cs="Times New Roman"/>
          <w:lang w:val="en-ID"/>
        </w:rPr>
        <w:t>Regionally, this pattern is not an isolated phenomenon. A mapping of the impacts of nickel smelters across various regions of Sulawesi reveals similar patterns: air pollution, water contamination, vegetation damage, and adverse effects on public health. These findings indicate that the case in East Luwu is part of a structural pattern within the national extractive industry, not a local anomaly</w:t>
      </w:r>
      <w:r>
        <w:rPr>
          <w:rStyle w:val="FootnoteReference"/>
          <w:rFonts w:asciiTheme="majorBidi" w:eastAsia="Times New Roman" w:hAnsiTheme="majorBidi"/>
          <w:lang w:val="en-ID"/>
        </w:rPr>
        <w:footnoteReference w:id="6"/>
      </w:r>
      <w:r w:rsidRPr="00537A43">
        <w:rPr>
          <w:rFonts w:asciiTheme="majorBidi" w:eastAsia="Times New Roman" w:hAnsiTheme="majorBidi" w:cstheme="majorBidi"/>
          <w:lang w:val="en-ID"/>
        </w:rPr>
        <w:t>.</w:t>
      </w:r>
    </w:p>
    <w:p w14:paraId="5DD5945A" w14:textId="1375E49D" w:rsidR="004A09D7" w:rsidRPr="00537A43" w:rsidRDefault="004A09D7" w:rsidP="00A40D9F">
      <w:pPr>
        <w:pStyle w:val="ListParagraph"/>
        <w:spacing w:after="0"/>
        <w:jc w:val="both"/>
        <w:rPr>
          <w:rFonts w:asciiTheme="majorBidi" w:eastAsia="Times New Roman" w:hAnsiTheme="majorBidi" w:cstheme="majorBidi"/>
          <w:lang w:val="en-ID"/>
        </w:rPr>
      </w:pPr>
      <w:r>
        <w:rPr>
          <w:rFonts w:asciiTheme="majorBidi" w:eastAsia="Times New Roman" w:hAnsiTheme="majorBidi" w:cstheme="majorBidi"/>
          <w:lang w:val="en-ID"/>
        </w:rPr>
        <w:tab/>
      </w:r>
      <w:r w:rsidR="00A40D9F" w:rsidRPr="00A40D9F">
        <w:rPr>
          <w:rFonts w:asciiTheme="majorBidi" w:eastAsia="Times New Roman" w:hAnsiTheme="majorBidi" w:cstheme="majorBidi"/>
          <w:lang w:val="en-ID"/>
        </w:rPr>
        <w:t>On a broader scale, this pattern is also linked to international economic and political dynamics. Indonesia’s nickel industry, including PT Vale Indonesia’s operations, is embedded within a global supply chain that underpins the electric vehicle industry and renewable energy technologies. This position places the company within a transnational corporate configuration connected to flows of Foreign Direct Investment (FDI) and the integration of global strategic commodity markets</w:t>
      </w:r>
      <w:r>
        <w:rPr>
          <w:rStyle w:val="FootnoteReference"/>
          <w:rFonts w:asciiTheme="majorBidi" w:eastAsia="Times New Roman" w:hAnsiTheme="majorBidi"/>
        </w:rPr>
        <w:footnoteReference w:id="7"/>
      </w:r>
      <w:r w:rsidRPr="001577E5">
        <w:rPr>
          <w:rFonts w:asciiTheme="majorBidi" w:eastAsia="Times New Roman" w:hAnsiTheme="majorBidi" w:cstheme="majorBidi"/>
        </w:rPr>
        <w:t>.</w:t>
      </w:r>
      <w:r w:rsidR="00A40D9F" w:rsidRPr="00A40D9F">
        <w:t xml:space="preserve"> </w:t>
      </w:r>
      <w:r w:rsidR="00A40D9F" w:rsidRPr="00A40D9F">
        <w:rPr>
          <w:rFonts w:asciiTheme="majorBidi" w:eastAsia="Times New Roman" w:hAnsiTheme="majorBidi" w:cstheme="majorBidi"/>
        </w:rPr>
        <w:t>Thus, mining expansion is not driven solely by regional development needs, but also by global demand for energy transition minerals. In this context, the state acts as a mediator ensuring policy stability and investment security for the interests of global capital, so that the power relations formed are not merely domestic in nature, but integrated into the structure of transnational green capitalism</w:t>
      </w:r>
      <w:r w:rsidRPr="001577E5">
        <w:rPr>
          <w:rFonts w:asciiTheme="majorBidi" w:eastAsia="Times New Roman" w:hAnsiTheme="majorBidi" w:cstheme="majorBidi"/>
        </w:rPr>
        <w:t>.</w:t>
      </w:r>
    </w:p>
    <w:p w14:paraId="65A922C6" w14:textId="6D614B00" w:rsidR="004A09D7" w:rsidRDefault="004A09D7" w:rsidP="00A40D9F">
      <w:pPr>
        <w:pStyle w:val="ListParagraph"/>
        <w:spacing w:after="0"/>
        <w:jc w:val="both"/>
        <w:rPr>
          <w:rFonts w:ascii="Times New Roman" w:eastAsia="Times New Roman" w:hAnsi="Times New Roman" w:cs="Times New Roman"/>
          <w:lang w:val="en-ID"/>
        </w:rPr>
      </w:pPr>
      <w:r>
        <w:rPr>
          <w:rFonts w:asciiTheme="majorBidi" w:eastAsia="Times New Roman" w:hAnsiTheme="majorBidi" w:cstheme="majorBidi"/>
          <w:lang w:val="en-ID"/>
        </w:rPr>
        <w:tab/>
      </w:r>
      <w:r w:rsidR="00A40D9F" w:rsidRPr="00A40D9F">
        <w:rPr>
          <w:rFonts w:asciiTheme="majorBidi" w:eastAsia="Times New Roman" w:hAnsiTheme="majorBidi" w:cstheme="majorBidi"/>
          <w:lang w:val="en-ID"/>
        </w:rPr>
        <w:t>The primary distinction of this study from previous research lies in its analysis of ecological impacts as part of the regime of truth surrounding green development. While earlier studies tended to frame conflicts as issues of governance or weak oversight, this research demonstrates that the discourse on the energy transition and “responsible” mining functions as a mechanism for normalizing capital expansion. Legitimacy is produced through official statements by local governments praising corporations as models of sustainable mining, as well as through educational initiatives that have the potential to become instruments for controlling the public narrative. Thus, ecological neoliberalism operates not only through economic instruments but also through the production of discourses that shape public perceptions of sustainability</w:t>
      </w:r>
      <w:r w:rsidRPr="00537A43">
        <w:rPr>
          <w:rFonts w:ascii="Times New Roman" w:eastAsia="Times New Roman" w:hAnsi="Times New Roman" w:cs="Times New Roman"/>
          <w:lang w:val="en-ID"/>
        </w:rPr>
        <w:t>.</w:t>
      </w:r>
    </w:p>
    <w:p w14:paraId="24A7FD38" w14:textId="3A29DEDB" w:rsidR="004A09D7" w:rsidRDefault="004A09D7" w:rsidP="00A40D9F">
      <w:pPr>
        <w:pStyle w:val="ListParagraph"/>
        <w:spacing w:after="0"/>
        <w:jc w:val="both"/>
        <w:rPr>
          <w:rFonts w:ascii="Times New Roman" w:eastAsia="Times New Roman" w:hAnsi="Times New Roman" w:cs="Times New Roman"/>
        </w:rPr>
      </w:pPr>
      <w:r>
        <w:rPr>
          <w:rFonts w:ascii="Times New Roman" w:eastAsia="Times New Roman" w:hAnsi="Times New Roman" w:cs="Times New Roman"/>
          <w:lang w:val="en-ID"/>
        </w:rPr>
        <w:tab/>
      </w:r>
      <w:r w:rsidR="00A40D9F" w:rsidRPr="00A40D9F">
        <w:rPr>
          <w:rFonts w:ascii="Times New Roman" w:eastAsia="Times New Roman" w:hAnsi="Times New Roman" w:cs="Times New Roman"/>
          <w:lang w:val="en-ID"/>
        </w:rPr>
        <w:t>From the perspective of the Islamization of science, this configuration of power relations can also be interpreted as a deviation from the principle of resource management based on collective responsibility. When the state facilitates capital expansion without ensuring the protection of communities’ living spaces and ecological balance, such practices potentially conflict with the principle of distributive justice in Islamic ethics. This perspective broadens the analysis of power relations by adding an ethical dimension to the governance of natural resources</w:t>
      </w:r>
      <w:r w:rsidRPr="00830EDE">
        <w:rPr>
          <w:rFonts w:ascii="Times New Roman" w:eastAsia="Times New Roman" w:hAnsi="Times New Roman" w:cs="Times New Roman"/>
        </w:rPr>
        <w:t>.</w:t>
      </w:r>
    </w:p>
    <w:p w14:paraId="5BAA0769" w14:textId="77777777" w:rsidR="004A09D7" w:rsidRPr="001577E5" w:rsidRDefault="004A09D7" w:rsidP="00E23ABE">
      <w:pPr>
        <w:pStyle w:val="ListParagraph"/>
        <w:spacing w:after="0"/>
        <w:jc w:val="both"/>
        <w:rPr>
          <w:rFonts w:ascii="Times New Roman" w:eastAsia="Times New Roman" w:hAnsi="Times New Roman" w:cs="Times New Roman"/>
          <w:lang w:val="en-ID"/>
        </w:rPr>
      </w:pPr>
    </w:p>
    <w:p w14:paraId="24EB3E95" w14:textId="42551C20" w:rsidR="004A09D7" w:rsidRPr="001577E5" w:rsidRDefault="00A40D9F" w:rsidP="00E23ABE">
      <w:pPr>
        <w:pStyle w:val="Heading2"/>
        <w:numPr>
          <w:ilvl w:val="0"/>
          <w:numId w:val="1"/>
        </w:numPr>
        <w:tabs>
          <w:tab w:val="num" w:pos="360"/>
          <w:tab w:val="left" w:pos="851"/>
        </w:tabs>
        <w:spacing w:before="0"/>
        <w:ind w:left="993" w:hanging="283"/>
        <w:rPr>
          <w:rFonts w:eastAsia="Calibri"/>
          <w:color w:val="auto"/>
          <w:sz w:val="22"/>
          <w:szCs w:val="22"/>
        </w:rPr>
      </w:pPr>
      <w:r w:rsidRPr="00A40D9F">
        <w:rPr>
          <w:rFonts w:eastAsia="Calibri"/>
          <w:color w:val="auto"/>
          <w:sz w:val="22"/>
          <w:szCs w:val="22"/>
        </w:rPr>
        <w:lastRenderedPageBreak/>
        <w:t>Strategies and the Transformation of Local Resistance</w:t>
      </w:r>
    </w:p>
    <w:p w14:paraId="5EF6FEBE" w14:textId="77777777" w:rsidR="00A40D9F" w:rsidRPr="00A40D9F" w:rsidRDefault="004A09D7" w:rsidP="00A40D9F">
      <w:pPr>
        <w:spacing w:after="0"/>
        <w:ind w:left="709"/>
        <w:jc w:val="both"/>
        <w:rPr>
          <w:rFonts w:asciiTheme="majorBidi" w:eastAsia="Times New Roman" w:hAnsiTheme="majorBidi" w:cstheme="majorBidi"/>
          <w:lang w:val="en-ID"/>
        </w:rPr>
      </w:pPr>
      <w:r>
        <w:rPr>
          <w:rFonts w:asciiTheme="majorBidi" w:eastAsia="Times New Roman" w:hAnsiTheme="majorBidi" w:cstheme="majorBidi"/>
          <w:lang w:val="en-ID"/>
        </w:rPr>
        <w:tab/>
      </w:r>
      <w:r>
        <w:rPr>
          <w:rFonts w:asciiTheme="majorBidi" w:eastAsia="Times New Roman" w:hAnsiTheme="majorBidi" w:cstheme="majorBidi"/>
          <w:lang w:val="en-ID"/>
        </w:rPr>
        <w:tab/>
      </w:r>
      <w:r w:rsidR="00A40D9F" w:rsidRPr="00A40D9F">
        <w:rPr>
          <w:rFonts w:asciiTheme="majorBidi" w:eastAsia="Times New Roman" w:hAnsiTheme="majorBidi" w:cstheme="majorBidi"/>
          <w:lang w:val="en-ID"/>
        </w:rPr>
        <w:t>The second finding indicates that the resistance of the East Luwu community is not sporadic, but rather develops gradually and in an organized manner. Initial resistance emerged in the form of collective actions such as statements of position, demonstrations, blocking access to production sites, and submitting letters of objection to the local government. These actions demonstrate that the community no longer positions itself as an object of development, but as a political subject claiming ecological and cultural rights over its territory.</w:t>
      </w:r>
    </w:p>
    <w:p w14:paraId="1874E18C" w14:textId="44B41E3A" w:rsidR="004A09D7" w:rsidRPr="00A40D9F" w:rsidRDefault="00A40D9F" w:rsidP="00A40D9F">
      <w:pPr>
        <w:spacing w:after="0"/>
        <w:ind w:left="709"/>
        <w:jc w:val="both"/>
      </w:pPr>
      <w:r w:rsidRPr="00A40D9F">
        <w:rPr>
          <w:rFonts w:asciiTheme="majorBidi" w:eastAsia="Times New Roman" w:hAnsiTheme="majorBidi" w:cstheme="majorBidi"/>
          <w:lang w:val="en-ID"/>
        </w:rPr>
        <w:tab/>
      </w:r>
      <w:r w:rsidRPr="00A40D9F">
        <w:rPr>
          <w:rFonts w:asciiTheme="majorBidi" w:eastAsia="Times New Roman" w:hAnsiTheme="majorBidi" w:cstheme="majorBidi"/>
          <w:lang w:val="en-ID"/>
        </w:rPr>
        <w:tab/>
        <w:t>Social mobilization subsequently expanded through collaboration with Wahana Lingkungan Hidup Indonesia (WALHI) South Sulawesi, the National Executive of WALHI, Monagabay Indonesia, and the Alliance of Indigenous Peoples of the Archipelago (AMAN). This collaboration strengthened the resistance through the production of ecological data, legal assistance, public campaigns, and the drafting of policy papers submitted to national forums</w:t>
      </w:r>
      <w:r w:rsidR="004A09D7">
        <w:rPr>
          <w:rStyle w:val="FootnoteReference"/>
          <w:rFonts w:asciiTheme="majorBidi" w:eastAsia="Times New Roman" w:hAnsiTheme="majorBidi"/>
          <w:lang w:val="en-ID"/>
        </w:rPr>
        <w:footnoteReference w:id="8"/>
      </w:r>
      <w:r w:rsidR="004A09D7">
        <w:rPr>
          <w:rFonts w:asciiTheme="majorBidi" w:eastAsia="Times New Roman" w:hAnsiTheme="majorBidi" w:cstheme="majorBidi"/>
          <w:lang w:val="en-ID"/>
        </w:rPr>
        <w:t>.</w:t>
      </w:r>
      <w:r>
        <w:rPr>
          <w:rFonts w:asciiTheme="majorBidi" w:eastAsia="Times New Roman" w:hAnsiTheme="majorBidi" w:cstheme="majorBidi"/>
          <w:lang w:val="en-ID"/>
        </w:rPr>
        <w:t xml:space="preserve"> </w:t>
      </w:r>
      <w:r w:rsidRPr="00A40D9F">
        <w:rPr>
          <w:rFonts w:asciiTheme="majorBidi" w:eastAsia="Times New Roman" w:hAnsiTheme="majorBidi" w:cstheme="majorBidi"/>
          <w:lang w:val="en-ID"/>
        </w:rPr>
        <w:t>With this support, the community’s ecological experiences are translated into the language of policy and law, ensuring that criticism of extractive projects does not stop at the local level but enters the national debate on the green economy</w:t>
      </w:r>
      <w:r w:rsidR="004A09D7" w:rsidRPr="00C0475F">
        <w:rPr>
          <w:rFonts w:asciiTheme="majorBidi" w:eastAsia="Times New Roman" w:hAnsiTheme="majorBidi" w:cstheme="majorBidi"/>
          <w:lang w:val="en-ID"/>
        </w:rPr>
        <w:t>.</w:t>
      </w:r>
    </w:p>
    <w:p w14:paraId="0131A8CE" w14:textId="77777777" w:rsidR="00A40D9F" w:rsidRPr="00A40D9F" w:rsidRDefault="004A09D7" w:rsidP="00A40D9F">
      <w:pPr>
        <w:spacing w:after="0"/>
        <w:ind w:left="709"/>
        <w:jc w:val="both"/>
        <w:rPr>
          <w:rFonts w:asciiTheme="majorBidi" w:eastAsia="Times New Roman" w:hAnsiTheme="majorBidi" w:cstheme="majorBidi"/>
          <w:lang w:val="en-ID"/>
        </w:rPr>
      </w:pPr>
      <w:r>
        <w:rPr>
          <w:rFonts w:asciiTheme="majorBidi" w:eastAsia="Times New Roman" w:hAnsiTheme="majorBidi" w:cstheme="majorBidi"/>
          <w:lang w:val="en-ID"/>
        </w:rPr>
        <w:tab/>
      </w:r>
      <w:r>
        <w:rPr>
          <w:rFonts w:asciiTheme="majorBidi" w:eastAsia="Times New Roman" w:hAnsiTheme="majorBidi" w:cstheme="majorBidi"/>
          <w:lang w:val="en-ID"/>
        </w:rPr>
        <w:tab/>
      </w:r>
      <w:r w:rsidR="00A40D9F" w:rsidRPr="00A40D9F">
        <w:rPr>
          <w:rFonts w:asciiTheme="majorBidi" w:eastAsia="Times New Roman" w:hAnsiTheme="majorBidi" w:cstheme="majorBidi"/>
          <w:lang w:val="en-ID"/>
        </w:rPr>
        <w:t>Unlike studies of resistance that generally emphasize agrarian conflicts or community-based identity resistance, this research demonstrates that resistance operates simultaneously on three levels: the practical level (collective action), the institutional level (legal and policy advocacy), and the discursive level (counter-narratives to the energy transition discourse). The integration of these three levels demonstrates that resistance is not merely a form of rejection but a counter-hegemonic practice against the green development regime.</w:t>
      </w:r>
    </w:p>
    <w:p w14:paraId="692593B7" w14:textId="77777777" w:rsidR="00A40D9F" w:rsidRPr="00A40D9F" w:rsidRDefault="00A40D9F" w:rsidP="00A40D9F">
      <w:pPr>
        <w:spacing w:after="0"/>
        <w:ind w:left="709"/>
        <w:jc w:val="both"/>
        <w:rPr>
          <w:rFonts w:asciiTheme="majorBidi" w:eastAsia="Times New Roman" w:hAnsiTheme="majorBidi" w:cstheme="majorBidi"/>
          <w:lang w:val="en-ID"/>
        </w:rPr>
      </w:pPr>
      <w:r w:rsidRPr="00A40D9F">
        <w:rPr>
          <w:rFonts w:asciiTheme="majorBidi" w:eastAsia="Times New Roman" w:hAnsiTheme="majorBidi" w:cstheme="majorBidi"/>
          <w:lang w:val="en-ID"/>
        </w:rPr>
        <w:t xml:space="preserve">        From this perspective, local resistance cannot be understood as anti-development. Rather, it is an effort to redefine the meaning of sustainability and ecological justice amidst the dominance of neoliberalism. This finding expands the literature on political ecology by demonstrating that resistance practices in the transition minerals sector possess a more complex strategic dimension than conventional resource conflicts.</w:t>
      </w:r>
    </w:p>
    <w:p w14:paraId="56FD809D" w14:textId="61A0CC1D" w:rsidR="00A40D9F" w:rsidRPr="00830EDE" w:rsidRDefault="00A40D9F" w:rsidP="00A40D9F">
      <w:pPr>
        <w:spacing w:after="0"/>
        <w:ind w:left="709"/>
        <w:jc w:val="both"/>
        <w:rPr>
          <w:rFonts w:asciiTheme="majorBidi" w:eastAsia="Times New Roman" w:hAnsiTheme="majorBidi" w:cstheme="majorBidi"/>
        </w:rPr>
      </w:pPr>
      <w:r w:rsidRPr="00A40D9F">
        <w:rPr>
          <w:rFonts w:asciiTheme="majorBidi" w:eastAsia="Times New Roman" w:hAnsiTheme="majorBidi" w:cstheme="majorBidi"/>
          <w:lang w:val="en-ID"/>
        </w:rPr>
        <w:t xml:space="preserve">        Community resistance in this context also carries an ethical dimension that transcends mere economic or political claims. Within the framework of Fiqh Bi’ah, efforts to preserve living spaces can be understood as part of the moral responsibility to safeguard the sustainability of creation. Thus, ecological resistance functions not only as a counter-hegemonic practice but also as an articulation of ecological justice values that resonate within the Islamic ethical tradition.</w:t>
      </w:r>
    </w:p>
    <w:p w14:paraId="5453CA58" w14:textId="4CF87BA0" w:rsidR="004A09D7" w:rsidRPr="00C0475F" w:rsidRDefault="004A09D7" w:rsidP="00E23ABE">
      <w:pPr>
        <w:spacing w:after="0"/>
        <w:ind w:left="709"/>
        <w:jc w:val="both"/>
        <w:rPr>
          <w:rFonts w:asciiTheme="majorBidi" w:eastAsia="Times New Roman" w:hAnsiTheme="majorBidi" w:cstheme="majorBidi"/>
          <w:lang w:val="en-ID"/>
        </w:rPr>
      </w:pPr>
      <w:r w:rsidRPr="00830EDE">
        <w:rPr>
          <w:rFonts w:asciiTheme="majorBidi" w:eastAsia="Times New Roman" w:hAnsiTheme="majorBidi" w:cstheme="majorBidi"/>
        </w:rPr>
        <w:t>.</w:t>
      </w:r>
    </w:p>
    <w:p w14:paraId="2D867DDE" w14:textId="77777777" w:rsidR="004A09D7" w:rsidRDefault="004A09D7" w:rsidP="00E23ABE">
      <w:pPr>
        <w:spacing w:after="0"/>
        <w:jc w:val="both"/>
        <w:rPr>
          <w:rFonts w:ascii="Times New Roman" w:eastAsia="Times New Roman" w:hAnsi="Times New Roman" w:cs="Times New Roman"/>
          <w:b/>
          <w:bCs/>
        </w:rPr>
      </w:pPr>
    </w:p>
    <w:p w14:paraId="1B9776B5" w14:textId="0175C52F" w:rsidR="004A09D7" w:rsidRPr="001577E5" w:rsidRDefault="00A40D9F" w:rsidP="00E23ABE">
      <w:pPr>
        <w:pStyle w:val="Heading1"/>
        <w:spacing w:before="0" w:after="0"/>
        <w:rPr>
          <w:rFonts w:eastAsia="Calibri"/>
          <w:sz w:val="22"/>
          <w:szCs w:val="22"/>
        </w:rPr>
      </w:pPr>
      <w:r>
        <w:rPr>
          <w:rFonts w:eastAsia="Calibri"/>
          <w:sz w:val="22"/>
          <w:szCs w:val="22"/>
        </w:rPr>
        <w:lastRenderedPageBreak/>
        <w:t>Conclusion</w:t>
      </w:r>
    </w:p>
    <w:p w14:paraId="0C078716" w14:textId="77777777" w:rsidR="00A40D9F" w:rsidRPr="00A40D9F" w:rsidRDefault="004A09D7" w:rsidP="00A40D9F">
      <w:pPr>
        <w:spacing w:after="0"/>
        <w:jc w:val="both"/>
        <w:rPr>
          <w:rFonts w:ascii="Times New Roman" w:eastAsia="Times New Roman" w:hAnsi="Times New Roman" w:cs="Times New Roman"/>
        </w:rPr>
      </w:pPr>
      <w:r>
        <w:rPr>
          <w:rFonts w:ascii="Times New Roman" w:eastAsia="Times New Roman" w:hAnsi="Times New Roman" w:cs="Times New Roman"/>
        </w:rPr>
        <w:tab/>
      </w:r>
      <w:r w:rsidR="00A40D9F" w:rsidRPr="00A40D9F">
        <w:rPr>
          <w:rFonts w:ascii="Times New Roman" w:eastAsia="Times New Roman" w:hAnsi="Times New Roman" w:cs="Times New Roman"/>
        </w:rPr>
        <w:t>This study demonstrates that PT Vale Indonesia’s extractive projects represent a configuration of ecological neoliberalism that operates through power relations among the state, corporations, and global capital structures. The state no longer acts merely as a regulator but also as a facilitator of investment expansion through the legitimization of downstream processing and the narrative of the green energy transition. In this context, the nickel industry is positioned as a strategic interest for national development as well as a component of the global supply chain for electric vehicles and renewable energy. This positioning reveals that the mining expansion in East Luwu does not exist as a purely local dynamic but is integrated into the architecture of transnational green capitalism, which drives increased mineral production in the name of global decarbonization.</w:t>
      </w:r>
    </w:p>
    <w:p w14:paraId="2FF95C69" w14:textId="77777777" w:rsidR="00A40D9F" w:rsidRDefault="00A40D9F" w:rsidP="00A40D9F">
      <w:pPr>
        <w:spacing w:after="0"/>
        <w:jc w:val="both"/>
        <w:rPr>
          <w:rFonts w:asciiTheme="majorBidi" w:eastAsia="Times New Roman" w:hAnsiTheme="majorBidi" w:cstheme="majorBidi"/>
          <w:lang w:val="en-ID"/>
        </w:rPr>
      </w:pPr>
      <w:r w:rsidRPr="00A40D9F">
        <w:rPr>
          <w:rFonts w:ascii="Times New Roman" w:eastAsia="Times New Roman" w:hAnsi="Times New Roman" w:cs="Times New Roman"/>
        </w:rPr>
        <w:tab/>
        <w:t>At the same time, empirical findings reveal significant ecological imbalances. Land degradation, disruption of hydrological systems, and an imbalance between carbon sequestration capacity and emission levels indicate that an area that once functioned as a carbon sink has shifted into a net source of emissions. This pattern is also found in various nickel-mining regions across Sulawesi, meaning the case of East Luwu reflects a structural pattern, not merely an administrative anomaly or technical failure. Thus, the discourse on sustainable mining and green development functions as a normalization mechanism that obscures the structural dimensions of power relations in natural resource management</w:t>
      </w:r>
      <w:r>
        <w:rPr>
          <w:rFonts w:ascii="Times New Roman" w:eastAsia="Times New Roman" w:hAnsi="Times New Roman" w:cs="Times New Roman"/>
        </w:rPr>
        <w:t>.</w:t>
      </w:r>
    </w:p>
    <w:p w14:paraId="673D5B9F" w14:textId="73571AA9" w:rsidR="004A09D7" w:rsidRPr="00A40D9F" w:rsidRDefault="00A40D9F" w:rsidP="00A40D9F">
      <w:pPr>
        <w:spacing w:after="0"/>
        <w:jc w:val="both"/>
        <w:rPr>
          <w:rFonts w:asciiTheme="majorBidi" w:eastAsia="Times New Roman" w:hAnsiTheme="majorBidi" w:cstheme="majorBidi"/>
          <w:lang w:val="en-ID"/>
        </w:rPr>
      </w:pPr>
      <w:r>
        <w:rPr>
          <w:rFonts w:asciiTheme="majorBidi" w:eastAsia="Times New Roman" w:hAnsiTheme="majorBidi" w:cstheme="majorBidi"/>
          <w:lang w:val="en-ID"/>
        </w:rPr>
        <w:tab/>
      </w:r>
      <w:r w:rsidRPr="00A40D9F">
        <w:rPr>
          <w:rFonts w:asciiTheme="majorBidi" w:eastAsia="Times New Roman" w:hAnsiTheme="majorBidi" w:cstheme="majorBidi"/>
          <w:lang w:val="en-ID"/>
        </w:rPr>
        <w:t>Within the framework of the Islamization of science, this study expands the analysis of political ecology by adding an ethical dimension to resource management. The Islamic perspective views nature as a trust that must be managed fairly and responsibly; thus, exploitation that exceeds ecological carrying capacity raises both moral and structural issues. The integration of this perspective is not intended to replace economic-political analysis, but rather to enrich the interpretation of ecological neoliberalism within the context of Muslim societies. Thus, this study contributes to the development of a more reflective International Relations, by linking global capital structures, domestic dynamics, and ethical horizons within a cohesive analytical framework.</w:t>
      </w:r>
    </w:p>
    <w:p w14:paraId="37F0C418" w14:textId="77777777" w:rsidR="004A09D7" w:rsidRDefault="004A09D7" w:rsidP="00E23ABE">
      <w:pPr>
        <w:spacing w:after="0"/>
        <w:jc w:val="both"/>
        <w:rPr>
          <w:rFonts w:ascii="Times New Roman" w:eastAsia="Times New Roman" w:hAnsi="Times New Roman" w:cs="Times New Roman"/>
          <w:b/>
          <w:bCs/>
        </w:rPr>
      </w:pPr>
    </w:p>
    <w:p w14:paraId="2A9FA4B0" w14:textId="37E1864C" w:rsidR="004A09D7" w:rsidRPr="004D2394" w:rsidRDefault="004A09D7" w:rsidP="00E23ABE">
      <w:pPr>
        <w:pStyle w:val="Heading1"/>
        <w:spacing w:before="0" w:after="0"/>
        <w:rPr>
          <w:rFonts w:eastAsia="Calibri"/>
          <w:sz w:val="22"/>
          <w:szCs w:val="22"/>
        </w:rPr>
      </w:pPr>
      <w:r>
        <w:rPr>
          <w:sz w:val="22"/>
          <w:szCs w:val="22"/>
        </w:rPr>
        <w:t>R</w:t>
      </w:r>
      <w:r w:rsidRPr="001577E5">
        <w:rPr>
          <w:rFonts w:eastAsia="Calibri"/>
          <w:sz w:val="22"/>
          <w:szCs w:val="22"/>
        </w:rPr>
        <w:t>efere</w:t>
      </w:r>
      <w:r w:rsidR="00A40D9F">
        <w:rPr>
          <w:rFonts w:eastAsia="Calibri"/>
          <w:sz w:val="22"/>
          <w:szCs w:val="22"/>
        </w:rPr>
        <w:t>nces</w:t>
      </w:r>
    </w:p>
    <w:p w14:paraId="497DB0DB" w14:textId="34ED8AB6" w:rsidR="004A09D7" w:rsidRDefault="004A09D7" w:rsidP="00E23ABE">
      <w:pPr>
        <w:spacing w:after="0"/>
        <w:ind w:left="720"/>
        <w:jc w:val="both"/>
        <w:rPr>
          <w:rFonts w:ascii="Times New Roman" w:eastAsia="Times New Roman" w:hAnsi="Times New Roman" w:cs="Times New Roman"/>
        </w:rPr>
      </w:pPr>
      <w:r>
        <w:rPr>
          <w:rFonts w:ascii="Times New Roman" w:eastAsia="Times New Roman" w:hAnsi="Times New Roman" w:cs="Times New Roman"/>
        </w:rPr>
        <w:t>B</w:t>
      </w:r>
      <w:r w:rsidR="00A40D9F">
        <w:rPr>
          <w:rFonts w:ascii="Times New Roman" w:eastAsia="Times New Roman" w:hAnsi="Times New Roman" w:cs="Times New Roman"/>
        </w:rPr>
        <w:t>ook</w:t>
      </w:r>
      <w:r>
        <w:rPr>
          <w:rFonts w:ascii="Times New Roman" w:eastAsia="Times New Roman" w:hAnsi="Times New Roman" w:cs="Times New Roman"/>
        </w:rPr>
        <w:t>:</w:t>
      </w:r>
    </w:p>
    <w:p w14:paraId="75F68EE2" w14:textId="77777777" w:rsidR="004A09D7" w:rsidRDefault="004A09D7" w:rsidP="00E23ABE">
      <w:pPr>
        <w:pBdr>
          <w:top w:val="nil"/>
          <w:left w:val="nil"/>
          <w:bottom w:val="nil"/>
          <w:right w:val="nil"/>
          <w:between w:val="nil"/>
        </w:pBdr>
        <w:spacing w:after="0"/>
        <w:ind w:left="1440" w:hanging="720"/>
        <w:rPr>
          <w:rFonts w:ascii="Times New Roman" w:eastAsia="Times New Roman" w:hAnsi="Times New Roman" w:cs="Times New Roman"/>
          <w:color w:val="000000"/>
        </w:rPr>
      </w:pPr>
      <w:r w:rsidRPr="001577E5">
        <w:rPr>
          <w:rFonts w:asciiTheme="majorBidi" w:hAnsiTheme="majorBidi" w:cstheme="majorBidi"/>
        </w:rPr>
        <w:t>Ahmad Sarip Saputra, Ida Rohmah Susiani, dan Nur Syam, “Hifdh Al-</w:t>
      </w:r>
      <w:proofErr w:type="gramStart"/>
      <w:r w:rsidRPr="001577E5">
        <w:rPr>
          <w:rFonts w:asciiTheme="majorBidi" w:hAnsiTheme="majorBidi" w:cstheme="majorBidi"/>
        </w:rPr>
        <w:t>Bi‘</w:t>
      </w:r>
      <w:proofErr w:type="gramEnd"/>
      <w:r w:rsidRPr="001577E5">
        <w:rPr>
          <w:rFonts w:asciiTheme="majorBidi" w:hAnsiTheme="majorBidi" w:cstheme="majorBidi"/>
        </w:rPr>
        <w:t>ah as Part of Maqasid Al-</w:t>
      </w:r>
      <w:proofErr w:type="gramStart"/>
      <w:r w:rsidRPr="001577E5">
        <w:rPr>
          <w:rFonts w:asciiTheme="majorBidi" w:hAnsiTheme="majorBidi" w:cstheme="majorBidi"/>
        </w:rPr>
        <w:t>Shari‘</w:t>
      </w:r>
      <w:proofErr w:type="gramEnd"/>
      <w:r w:rsidRPr="001577E5">
        <w:rPr>
          <w:rFonts w:asciiTheme="majorBidi" w:hAnsiTheme="majorBidi" w:cstheme="majorBidi"/>
        </w:rPr>
        <w:t xml:space="preserve">ah: Yusuf Al-Qardawi’s Perspective on the Environment in </w:t>
      </w:r>
      <w:r w:rsidRPr="001577E5">
        <w:rPr>
          <w:rFonts w:asciiTheme="majorBidi" w:hAnsiTheme="majorBidi" w:cstheme="majorBidi"/>
          <w:i/>
          <w:iCs/>
        </w:rPr>
        <w:t>Ri’ayat al-</w:t>
      </w:r>
      <w:proofErr w:type="gramStart"/>
      <w:r w:rsidRPr="001577E5">
        <w:rPr>
          <w:rFonts w:asciiTheme="majorBidi" w:hAnsiTheme="majorBidi" w:cstheme="majorBidi"/>
          <w:i/>
          <w:iCs/>
        </w:rPr>
        <w:t>Bi‘</w:t>
      </w:r>
      <w:proofErr w:type="gramEnd"/>
      <w:r w:rsidRPr="001577E5">
        <w:rPr>
          <w:rFonts w:asciiTheme="majorBidi" w:hAnsiTheme="majorBidi" w:cstheme="majorBidi"/>
          <w:i/>
          <w:iCs/>
        </w:rPr>
        <w:t xml:space="preserve">ah fi </w:t>
      </w:r>
      <w:proofErr w:type="gramStart"/>
      <w:r w:rsidRPr="001577E5">
        <w:rPr>
          <w:rFonts w:asciiTheme="majorBidi" w:hAnsiTheme="majorBidi" w:cstheme="majorBidi"/>
          <w:i/>
          <w:iCs/>
        </w:rPr>
        <w:t>Shari‘</w:t>
      </w:r>
      <w:proofErr w:type="gramEnd"/>
      <w:r w:rsidRPr="001577E5">
        <w:rPr>
          <w:rFonts w:asciiTheme="majorBidi" w:hAnsiTheme="majorBidi" w:cstheme="majorBidi"/>
          <w:i/>
          <w:iCs/>
        </w:rPr>
        <w:t>ah al-Islam</w:t>
      </w:r>
      <w:r w:rsidRPr="001577E5">
        <w:rPr>
          <w:rFonts w:asciiTheme="majorBidi" w:hAnsiTheme="majorBidi" w:cstheme="majorBidi"/>
        </w:rPr>
        <w:t xml:space="preserve"> Book,” </w:t>
      </w:r>
      <w:r w:rsidRPr="001577E5">
        <w:rPr>
          <w:rFonts w:asciiTheme="majorBidi" w:hAnsiTheme="majorBidi" w:cstheme="majorBidi"/>
          <w:i/>
          <w:iCs/>
        </w:rPr>
        <w:t>AIP Conference Proceedings</w:t>
      </w:r>
      <w:r w:rsidRPr="001577E5">
        <w:rPr>
          <w:rFonts w:asciiTheme="majorBidi" w:hAnsiTheme="majorBidi" w:cstheme="majorBidi"/>
        </w:rPr>
        <w:t xml:space="preserve"> 2353 (2021): 030106.</w:t>
      </w:r>
    </w:p>
    <w:p w14:paraId="0ED45F54" w14:textId="0D6AF41B" w:rsidR="004A09D7" w:rsidRDefault="004A09D7" w:rsidP="00E23ABE">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J</w:t>
      </w:r>
      <w:r w:rsidR="00A40D9F">
        <w:rPr>
          <w:rFonts w:ascii="Times New Roman" w:eastAsia="Times New Roman" w:hAnsi="Times New Roman" w:cs="Times New Roman"/>
          <w:color w:val="000000"/>
        </w:rPr>
        <w:t>ournal</w:t>
      </w:r>
      <w:r>
        <w:rPr>
          <w:rFonts w:ascii="Times New Roman" w:eastAsia="Times New Roman" w:hAnsi="Times New Roman" w:cs="Times New Roman"/>
          <w:color w:val="000000"/>
        </w:rPr>
        <w:t>:</w:t>
      </w:r>
    </w:p>
    <w:p w14:paraId="0459CA4C" w14:textId="7625FC13" w:rsidR="004A09D7" w:rsidRDefault="007A31C7" w:rsidP="00E23ABE">
      <w:pPr>
        <w:pStyle w:val="FootnoteText"/>
        <w:spacing w:line="276" w:lineRule="auto"/>
        <w:ind w:left="1440" w:hanging="731"/>
        <w:jc w:val="both"/>
        <w:rPr>
          <w:rFonts w:asciiTheme="majorBidi" w:hAnsiTheme="majorBidi" w:cstheme="majorBidi"/>
          <w:color w:val="000000" w:themeColor="text1"/>
        </w:rPr>
      </w:pPr>
      <w:r w:rsidRPr="007A31C7">
        <w:rPr>
          <w:rFonts w:asciiTheme="majorBidi" w:hAnsiTheme="majorBidi" w:cstheme="majorBidi"/>
          <w:color w:val="000000" w:themeColor="text1"/>
        </w:rPr>
        <w:t>Antara. “Minister of Energy and Mineral Resources: Preliminary Agreement on the Divestment of 14 Percent of Vale’s Shares Has Been Signed.” Makassar.antaranews.com, November 27, 2023. Accessed July 20, 2025.</w:t>
      </w:r>
    </w:p>
    <w:p w14:paraId="03B2829B" w14:textId="1BC03327" w:rsidR="004A09D7" w:rsidRDefault="007A31C7" w:rsidP="00E23ABE">
      <w:pPr>
        <w:pStyle w:val="FootnoteText"/>
        <w:spacing w:line="276" w:lineRule="auto"/>
        <w:ind w:left="1440" w:hanging="731"/>
        <w:jc w:val="both"/>
        <w:rPr>
          <w:rFonts w:asciiTheme="majorBidi" w:hAnsiTheme="majorBidi" w:cstheme="majorBidi"/>
          <w:color w:val="000000" w:themeColor="text1"/>
        </w:rPr>
      </w:pPr>
      <w:r w:rsidRPr="007A31C7">
        <w:rPr>
          <w:rFonts w:asciiTheme="majorBidi" w:hAnsiTheme="majorBidi" w:cstheme="majorBidi"/>
          <w:color w:val="000000" w:themeColor="text1"/>
        </w:rPr>
        <w:lastRenderedPageBreak/>
        <w:t>Brand, Ulrich, and Markus Wissen. “</w:t>
      </w:r>
      <w:r w:rsidRPr="007A31C7">
        <w:rPr>
          <w:rFonts w:asciiTheme="majorBidi" w:hAnsiTheme="majorBidi" w:cstheme="majorBidi"/>
          <w:i/>
          <w:iCs/>
          <w:color w:val="000000" w:themeColor="text1"/>
        </w:rPr>
        <w:t>Global Environmental Politics and the Imperial Mode of Living: Articulations of State–Capital Relations in the Multiple Crisis.</w:t>
      </w:r>
      <w:r w:rsidRPr="007A31C7">
        <w:rPr>
          <w:rFonts w:asciiTheme="majorBidi" w:hAnsiTheme="majorBidi" w:cstheme="majorBidi"/>
          <w:color w:val="000000" w:themeColor="text1"/>
        </w:rPr>
        <w:t>” Globalizations 9, no. 4 (2012): 547–560.</w:t>
      </w:r>
    </w:p>
    <w:p w14:paraId="7249223D" w14:textId="6E34D8D8" w:rsidR="004A09D7" w:rsidRPr="001577E5" w:rsidRDefault="007A31C7" w:rsidP="00E23ABE">
      <w:pPr>
        <w:pStyle w:val="FootnoteText"/>
        <w:spacing w:line="276" w:lineRule="auto"/>
        <w:ind w:left="1440" w:hanging="731"/>
        <w:jc w:val="both"/>
        <w:rPr>
          <w:rFonts w:asciiTheme="majorBidi" w:hAnsiTheme="majorBidi" w:cstheme="majorBidi"/>
        </w:rPr>
      </w:pPr>
      <w:r w:rsidRPr="007A31C7">
        <w:rPr>
          <w:rFonts w:asciiTheme="majorBidi" w:hAnsiTheme="majorBidi" w:cstheme="majorBidi"/>
          <w:color w:val="000000" w:themeColor="text1"/>
        </w:rPr>
        <w:t>Congge, Umiati, and Sanchai Gohwong. “</w:t>
      </w:r>
      <w:r w:rsidRPr="007A31C7">
        <w:rPr>
          <w:rFonts w:asciiTheme="majorBidi" w:hAnsiTheme="majorBidi" w:cstheme="majorBidi"/>
          <w:i/>
          <w:iCs/>
          <w:color w:val="000000" w:themeColor="text1"/>
        </w:rPr>
        <w:t>Local Development and Environmental Governance: Experiences from the Extractive Industry in East Luwu, Indonesia</w:t>
      </w:r>
      <w:r w:rsidRPr="007A31C7">
        <w:rPr>
          <w:rFonts w:asciiTheme="majorBidi" w:hAnsiTheme="majorBidi" w:cstheme="majorBidi"/>
          <w:color w:val="000000" w:themeColor="text1"/>
        </w:rPr>
        <w:t>.” Otoritas: Journal of Public Administration, 2023</w:t>
      </w:r>
      <w:r w:rsidR="004A09D7" w:rsidRPr="001577E5">
        <w:rPr>
          <w:rFonts w:asciiTheme="majorBidi" w:hAnsiTheme="majorBidi" w:cstheme="majorBidi"/>
          <w:color w:val="000000" w:themeColor="text1"/>
        </w:rPr>
        <w:t>.</w:t>
      </w:r>
    </w:p>
    <w:p w14:paraId="7AB36542" w14:textId="41275DD3" w:rsidR="004A09D7" w:rsidRDefault="007A31C7" w:rsidP="00E23ABE">
      <w:pPr>
        <w:pStyle w:val="FootnoteText"/>
        <w:spacing w:line="276" w:lineRule="auto"/>
        <w:ind w:left="1440" w:right="144" w:hanging="731"/>
        <w:jc w:val="both"/>
        <w:rPr>
          <w:rFonts w:asciiTheme="majorBidi" w:hAnsiTheme="majorBidi" w:cstheme="majorBidi"/>
          <w:color w:val="000000" w:themeColor="text1"/>
        </w:rPr>
      </w:pPr>
      <w:r w:rsidRPr="007A31C7">
        <w:rPr>
          <w:rFonts w:asciiTheme="majorBidi" w:hAnsiTheme="majorBidi" w:cstheme="majorBidi"/>
          <w:color w:val="000000" w:themeColor="text1"/>
        </w:rPr>
        <w:t>WALHI South Sulawesi. Policy Paper: Sulawesi, a Pollution Hub. Makassar: WALHI South Sulawesi, 2024</w:t>
      </w:r>
      <w:r w:rsidR="004A09D7" w:rsidRPr="001577E5">
        <w:rPr>
          <w:rFonts w:asciiTheme="majorBidi" w:hAnsiTheme="majorBidi" w:cstheme="majorBidi"/>
          <w:color w:val="000000" w:themeColor="text1"/>
        </w:rPr>
        <w:t>.</w:t>
      </w:r>
    </w:p>
    <w:p w14:paraId="4F4092C8" w14:textId="1E85638C" w:rsidR="004A09D7" w:rsidRDefault="007A31C7" w:rsidP="00E23ABE">
      <w:pPr>
        <w:pStyle w:val="FootnoteText"/>
        <w:spacing w:line="276" w:lineRule="auto"/>
        <w:ind w:left="1440" w:hanging="731"/>
        <w:jc w:val="both"/>
        <w:rPr>
          <w:rFonts w:asciiTheme="majorBidi" w:hAnsiTheme="majorBidi" w:cstheme="majorBidi"/>
          <w:color w:val="000000" w:themeColor="text1"/>
        </w:rPr>
      </w:pPr>
      <w:r w:rsidRPr="007A31C7">
        <w:rPr>
          <w:rFonts w:asciiTheme="majorBidi" w:hAnsiTheme="majorBidi" w:cstheme="majorBidi"/>
          <w:color w:val="000000" w:themeColor="text1"/>
        </w:rPr>
        <w:t xml:space="preserve">Dadi, Yulius. </w:t>
      </w:r>
      <w:r w:rsidRPr="007A31C7">
        <w:rPr>
          <w:rFonts w:asciiTheme="majorBidi" w:hAnsiTheme="majorBidi" w:cstheme="majorBidi"/>
          <w:i/>
          <w:iCs/>
          <w:color w:val="000000" w:themeColor="text1"/>
        </w:rPr>
        <w:t>Resistance of the Dhawe Indigenous Community to the Nagekeo Local Government’s Decision on the Conversion of Mbay Kiri Land into Salt Industry Land</w:t>
      </w:r>
      <w:r w:rsidRPr="007A31C7">
        <w:rPr>
          <w:rFonts w:asciiTheme="majorBidi" w:hAnsiTheme="majorBidi" w:cstheme="majorBidi"/>
          <w:color w:val="000000" w:themeColor="text1"/>
        </w:rPr>
        <w:t>. Thesis, Widya Mandira Catholic University, 2022</w:t>
      </w:r>
      <w:r w:rsidR="004A09D7" w:rsidRPr="001577E5">
        <w:rPr>
          <w:rFonts w:asciiTheme="majorBidi" w:hAnsiTheme="majorBidi" w:cstheme="majorBidi"/>
          <w:color w:val="000000" w:themeColor="text1"/>
        </w:rPr>
        <w:t>.</w:t>
      </w:r>
    </w:p>
    <w:p w14:paraId="7B4BDB98" w14:textId="501578B4" w:rsidR="004A09D7" w:rsidRPr="004D2394" w:rsidRDefault="007A31C7" w:rsidP="00E23ABE">
      <w:pPr>
        <w:pStyle w:val="FootnoteText"/>
        <w:spacing w:line="276" w:lineRule="auto"/>
        <w:ind w:left="1440" w:hanging="731"/>
        <w:jc w:val="both"/>
        <w:rPr>
          <w:rFonts w:asciiTheme="majorBidi" w:hAnsiTheme="majorBidi" w:cstheme="majorBidi"/>
        </w:rPr>
      </w:pPr>
      <w:r w:rsidRPr="007A31C7">
        <w:rPr>
          <w:rFonts w:asciiTheme="majorBidi" w:hAnsiTheme="majorBidi" w:cstheme="majorBidi"/>
        </w:rPr>
        <w:t xml:space="preserve">Udeh, E., Ibrahim, D., &amp; Sesay, B. (2025). The Relationship between Foreign Direct Investment and Economic Growth: A Review of the Literature (1994–2023). </w:t>
      </w:r>
      <w:r w:rsidRPr="007A31C7">
        <w:rPr>
          <w:rFonts w:asciiTheme="majorBidi" w:hAnsiTheme="majorBidi" w:cstheme="majorBidi"/>
          <w:i/>
          <w:iCs/>
        </w:rPr>
        <w:t>International Journal</w:t>
      </w:r>
      <w:r>
        <w:rPr>
          <w:rFonts w:asciiTheme="majorBidi" w:hAnsiTheme="majorBidi" w:cstheme="majorBidi"/>
          <w:i/>
          <w:iCs/>
        </w:rPr>
        <w:t> </w:t>
      </w:r>
      <w:r w:rsidRPr="007A31C7">
        <w:rPr>
          <w:rFonts w:asciiTheme="majorBidi" w:hAnsiTheme="majorBidi" w:cstheme="majorBidi"/>
          <w:i/>
          <w:iCs/>
        </w:rPr>
        <w:t>of</w:t>
      </w:r>
      <w:r>
        <w:rPr>
          <w:rFonts w:asciiTheme="majorBidi" w:hAnsiTheme="majorBidi" w:cstheme="majorBidi"/>
          <w:i/>
          <w:iCs/>
        </w:rPr>
        <w:t> </w:t>
      </w:r>
      <w:r w:rsidRPr="007A31C7">
        <w:rPr>
          <w:rFonts w:asciiTheme="majorBidi" w:hAnsiTheme="majorBidi" w:cstheme="majorBidi"/>
          <w:i/>
          <w:iCs/>
        </w:rPr>
        <w:t>Science</w:t>
      </w:r>
      <w:r>
        <w:rPr>
          <w:rFonts w:asciiTheme="majorBidi" w:hAnsiTheme="majorBidi" w:cstheme="majorBidi"/>
          <w:i/>
          <w:iCs/>
        </w:rPr>
        <w:t> </w:t>
      </w:r>
      <w:r w:rsidRPr="007A31C7">
        <w:rPr>
          <w:rFonts w:asciiTheme="majorBidi" w:hAnsiTheme="majorBidi" w:cstheme="majorBidi"/>
          <w:i/>
          <w:iCs/>
        </w:rPr>
        <w:t>and</w:t>
      </w:r>
      <w:r>
        <w:rPr>
          <w:rFonts w:asciiTheme="majorBidi" w:hAnsiTheme="majorBidi" w:cstheme="majorBidi"/>
          <w:i/>
          <w:iCs/>
        </w:rPr>
        <w:t> </w:t>
      </w:r>
      <w:r w:rsidRPr="007A31C7">
        <w:rPr>
          <w:rFonts w:asciiTheme="majorBidi" w:hAnsiTheme="majorBidi" w:cstheme="majorBidi"/>
          <w:i/>
          <w:iCs/>
        </w:rPr>
        <w:t>Management</w:t>
      </w:r>
      <w:r>
        <w:rPr>
          <w:rFonts w:asciiTheme="majorBidi" w:hAnsiTheme="majorBidi" w:cstheme="majorBidi"/>
          <w:i/>
          <w:iCs/>
        </w:rPr>
        <w:t> </w:t>
      </w:r>
      <w:r w:rsidRPr="007A31C7">
        <w:rPr>
          <w:rFonts w:asciiTheme="majorBidi" w:hAnsiTheme="majorBidi" w:cstheme="majorBidi"/>
          <w:i/>
          <w:iCs/>
        </w:rPr>
        <w:t>Studies</w:t>
      </w:r>
      <w:r>
        <w:rPr>
          <w:rFonts w:asciiTheme="majorBidi" w:hAnsiTheme="majorBidi" w:cstheme="majorBidi"/>
          <w:i/>
          <w:iCs/>
        </w:rPr>
        <w:t> </w:t>
      </w:r>
      <w:r w:rsidRPr="007A31C7">
        <w:rPr>
          <w:rFonts w:asciiTheme="majorBidi" w:hAnsiTheme="majorBidi" w:cstheme="majorBidi"/>
          <w:i/>
          <w:iCs/>
        </w:rPr>
        <w:t>(IJSMS).</w:t>
      </w:r>
      <w:r>
        <w:rPr>
          <w:rFonts w:asciiTheme="majorBidi" w:hAnsiTheme="majorBidi" w:cstheme="majorBidi"/>
        </w:rPr>
        <w:t> </w:t>
      </w:r>
      <w:r w:rsidRPr="007A31C7">
        <w:rPr>
          <w:rFonts w:asciiTheme="majorBidi" w:hAnsiTheme="majorBidi" w:cstheme="majorBidi"/>
        </w:rPr>
        <w:t>https://doi.org/10.51386/25815946/ijsms-v8i1p107</w:t>
      </w:r>
      <w:r w:rsidR="004A09D7" w:rsidRPr="001577E5">
        <w:rPr>
          <w:rFonts w:asciiTheme="majorBidi" w:hAnsiTheme="majorBidi" w:cstheme="majorBidi"/>
        </w:rPr>
        <w:t>.</w:t>
      </w:r>
    </w:p>
    <w:p w14:paraId="2834475D" w14:textId="08291F04" w:rsidR="004A09D7" w:rsidRPr="001577E5" w:rsidRDefault="007A31C7" w:rsidP="00E23ABE">
      <w:pPr>
        <w:pStyle w:val="FootnoteText"/>
        <w:spacing w:line="276" w:lineRule="auto"/>
        <w:ind w:left="1440" w:hanging="731"/>
        <w:jc w:val="both"/>
        <w:rPr>
          <w:rFonts w:asciiTheme="majorBidi" w:hAnsiTheme="majorBidi" w:cstheme="majorBidi"/>
        </w:rPr>
      </w:pPr>
      <w:r w:rsidRPr="007A31C7">
        <w:rPr>
          <w:rFonts w:asciiTheme="majorBidi" w:hAnsiTheme="majorBidi" w:cstheme="majorBidi"/>
        </w:rPr>
        <w:t>WALHI South Sulawesi. “Regional Parliament Holds Public Hearing; WALHI South Sulawesi Outlines Impacts and Calls to Halt PT Vale’s Mining Operations in the Sorowako Block.” March 3, 2022</w:t>
      </w:r>
    </w:p>
    <w:p w14:paraId="78A2790C" w14:textId="610A3ADF" w:rsidR="004A09D7" w:rsidRPr="001577E5" w:rsidRDefault="007A31C7" w:rsidP="00E23ABE">
      <w:pPr>
        <w:pStyle w:val="FootnoteText"/>
        <w:spacing w:line="276" w:lineRule="auto"/>
        <w:ind w:left="1440" w:hanging="731"/>
        <w:jc w:val="both"/>
        <w:rPr>
          <w:rFonts w:asciiTheme="majorBidi" w:hAnsiTheme="majorBidi" w:cstheme="majorBidi"/>
        </w:rPr>
      </w:pPr>
      <w:r w:rsidRPr="007A31C7">
        <w:rPr>
          <w:rFonts w:asciiTheme="majorBidi" w:hAnsiTheme="majorBidi" w:cstheme="majorBidi"/>
        </w:rPr>
        <w:t>Wahana Lingkungan Hidup Indonesia (WALHI), Minutes of WALHI’s Advocacy Meeting with the Ministry of Industry of the Republic of Indonesia, Jakarta, May 21, 2025</w:t>
      </w:r>
      <w:r w:rsidR="004A09D7" w:rsidRPr="001577E5">
        <w:rPr>
          <w:rFonts w:asciiTheme="majorBidi" w:hAnsiTheme="majorBidi" w:cstheme="majorBidi"/>
        </w:rPr>
        <w:t>.</w:t>
      </w:r>
    </w:p>
    <w:p w14:paraId="0C0ABF64" w14:textId="610EF7EF" w:rsidR="004A09D7" w:rsidRPr="001577E5" w:rsidRDefault="00BD05E7" w:rsidP="00E23ABE">
      <w:pPr>
        <w:pStyle w:val="FootnoteText"/>
        <w:spacing w:line="276" w:lineRule="auto"/>
        <w:ind w:left="1440" w:hanging="731"/>
        <w:jc w:val="both"/>
        <w:rPr>
          <w:rFonts w:asciiTheme="majorBidi" w:hAnsiTheme="majorBidi" w:cstheme="majorBidi"/>
        </w:rPr>
      </w:pPr>
      <w:r w:rsidRPr="00BD05E7">
        <w:rPr>
          <w:rFonts w:asciiTheme="majorBidi" w:hAnsiTheme="majorBidi" w:cstheme="majorBidi"/>
        </w:rPr>
        <w:t xml:space="preserve">Wahana Lingkungan Hidup Indonesia Across Sulawesi, </w:t>
      </w:r>
      <w:r w:rsidRPr="00BD05E7">
        <w:rPr>
          <w:rFonts w:asciiTheme="majorBidi" w:hAnsiTheme="majorBidi" w:cstheme="majorBidi"/>
          <w:i/>
          <w:iCs/>
        </w:rPr>
        <w:t>WALHI Across Sulawesi Calls on President Prabowo for a Mining Permit Moratorium Along with Seven Recommendations,</w:t>
      </w:r>
      <w:r w:rsidRPr="00BD05E7">
        <w:rPr>
          <w:rFonts w:asciiTheme="majorBidi" w:hAnsiTheme="majorBidi" w:cstheme="majorBidi"/>
        </w:rPr>
        <w:t xml:space="preserve"> WALHI Central Sulawesi, October 22, 2024.</w:t>
      </w:r>
    </w:p>
    <w:p w14:paraId="135D26E3" w14:textId="77777777" w:rsidR="004A09D7" w:rsidRDefault="004A09D7" w:rsidP="00E23ABE">
      <w:pPr>
        <w:spacing w:after="0"/>
        <w:jc w:val="both"/>
        <w:rPr>
          <w:rFonts w:ascii="Times New Roman" w:eastAsia="Times New Roman" w:hAnsi="Times New Roman" w:cs="Times New Roman"/>
        </w:rPr>
      </w:pPr>
    </w:p>
    <w:p w14:paraId="77A997D8" w14:textId="77777777" w:rsidR="004A09D7" w:rsidRDefault="004A09D7" w:rsidP="00E23ABE">
      <w:pPr>
        <w:spacing w:after="0"/>
        <w:jc w:val="both"/>
        <w:rPr>
          <w:rFonts w:ascii="Times New Roman" w:eastAsia="Times New Roman" w:hAnsi="Times New Roman" w:cs="Times New Roman"/>
        </w:rPr>
      </w:pPr>
    </w:p>
    <w:p w14:paraId="40334150" w14:textId="77777777" w:rsidR="00BD5D1E" w:rsidRDefault="00BD5D1E" w:rsidP="00E23ABE"/>
    <w:sectPr w:rsidR="00BD5D1E" w:rsidSect="006679A7">
      <w:headerReference w:type="default" r:id="rId10"/>
      <w:footerReference w:type="default" r:id="rId11"/>
      <w:type w:val="evenPage"/>
      <w:pgSz w:w="12240" w:h="15840"/>
      <w:pgMar w:top="2268" w:right="1701" w:bottom="1701" w:left="226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5E53" w14:textId="77777777" w:rsidR="00701E3F" w:rsidRDefault="00701E3F" w:rsidP="004A09D7">
      <w:pPr>
        <w:spacing w:after="0" w:line="240" w:lineRule="auto"/>
      </w:pPr>
      <w:r>
        <w:separator/>
      </w:r>
    </w:p>
  </w:endnote>
  <w:endnote w:type="continuationSeparator" w:id="0">
    <w:p w14:paraId="1E993F2E" w14:textId="77777777" w:rsidR="00701E3F" w:rsidRDefault="00701E3F" w:rsidP="004A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482A" w14:textId="77777777" w:rsidR="004A09D7" w:rsidRDefault="004A09D7">
    <w:pPr>
      <w:spacing w:after="0"/>
      <w:jc w:val="center"/>
    </w:pPr>
    <w:r>
      <w:t>1</w:t>
    </w:r>
  </w:p>
  <w:p w14:paraId="068A62D4" w14:textId="77777777" w:rsidR="004A09D7" w:rsidRDefault="004A09D7">
    <w:pPr>
      <w:jc w:val="center"/>
      <w:rPr>
        <w:rFonts w:ascii="Times New Roman" w:eastAsia="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BE72" w14:textId="77777777" w:rsidR="006679A7" w:rsidRDefault="00667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7D84" w14:textId="77777777" w:rsidR="00701E3F" w:rsidRDefault="00701E3F" w:rsidP="004A09D7">
      <w:pPr>
        <w:spacing w:after="0" w:line="240" w:lineRule="auto"/>
      </w:pPr>
      <w:r>
        <w:separator/>
      </w:r>
    </w:p>
  </w:footnote>
  <w:footnote w:type="continuationSeparator" w:id="0">
    <w:p w14:paraId="663C7AD5" w14:textId="77777777" w:rsidR="00701E3F" w:rsidRDefault="00701E3F" w:rsidP="004A09D7">
      <w:pPr>
        <w:spacing w:after="0" w:line="240" w:lineRule="auto"/>
      </w:pPr>
      <w:r>
        <w:continuationSeparator/>
      </w:r>
    </w:p>
  </w:footnote>
  <w:footnote w:id="1">
    <w:p w14:paraId="772A1FE3" w14:textId="77777777" w:rsidR="004A09D7" w:rsidRPr="001577E5" w:rsidRDefault="004A09D7" w:rsidP="004A09D7">
      <w:pPr>
        <w:pStyle w:val="FootnoteText"/>
        <w:jc w:val="both"/>
        <w:rPr>
          <w:rFonts w:asciiTheme="majorBidi" w:hAnsiTheme="majorBidi" w:cstheme="majorBidi"/>
        </w:rPr>
      </w:pPr>
      <w:r w:rsidRPr="001577E5">
        <w:rPr>
          <w:rStyle w:val="FootnoteReference"/>
          <w:rFonts w:asciiTheme="majorBidi" w:hAnsiTheme="majorBidi" w:cstheme="majorBidi"/>
        </w:rPr>
        <w:footnoteRef/>
      </w:r>
      <w:r w:rsidRPr="001577E5">
        <w:rPr>
          <w:rFonts w:asciiTheme="majorBidi" w:hAnsiTheme="majorBidi" w:cstheme="majorBidi"/>
        </w:rPr>
        <w:t xml:space="preserve"> </w:t>
      </w:r>
      <w:r w:rsidRPr="001577E5">
        <w:rPr>
          <w:rFonts w:asciiTheme="majorBidi" w:hAnsiTheme="majorBidi" w:cstheme="majorBidi"/>
          <w:color w:val="000000" w:themeColor="text1"/>
        </w:rPr>
        <w:t xml:space="preserve">Brand, Ulrich, dan Markus Wissen. “Global Environmental Politics and the Imperial Mode of Living: Articulations of State–Capital Relations in the Multiple Crisis.” </w:t>
      </w:r>
      <w:r w:rsidRPr="001577E5">
        <w:rPr>
          <w:rFonts w:asciiTheme="majorBidi" w:hAnsiTheme="majorBidi" w:cstheme="majorBidi"/>
          <w:i/>
          <w:iCs/>
          <w:color w:val="000000" w:themeColor="text1"/>
        </w:rPr>
        <w:t>Globalizations</w:t>
      </w:r>
      <w:r w:rsidRPr="001577E5">
        <w:rPr>
          <w:rFonts w:asciiTheme="majorBidi" w:hAnsiTheme="majorBidi" w:cstheme="majorBidi"/>
          <w:color w:val="000000" w:themeColor="text1"/>
        </w:rPr>
        <w:t xml:space="preserve"> 9, no. 4 (2012): 547–560.</w:t>
      </w:r>
    </w:p>
  </w:footnote>
  <w:footnote w:id="2">
    <w:p w14:paraId="3FD99305" w14:textId="77777777" w:rsidR="004A09D7" w:rsidRPr="001577E5" w:rsidRDefault="004A09D7" w:rsidP="004A09D7">
      <w:pPr>
        <w:pStyle w:val="FootnoteText"/>
        <w:jc w:val="both"/>
        <w:rPr>
          <w:rFonts w:asciiTheme="majorBidi" w:hAnsiTheme="majorBidi" w:cstheme="majorBidi"/>
        </w:rPr>
      </w:pPr>
      <w:r w:rsidRPr="001577E5">
        <w:rPr>
          <w:rStyle w:val="FootnoteReference"/>
          <w:rFonts w:asciiTheme="majorBidi" w:hAnsiTheme="majorBidi" w:cstheme="majorBidi"/>
        </w:rPr>
        <w:footnoteRef/>
      </w:r>
      <w:r w:rsidRPr="001577E5">
        <w:rPr>
          <w:rFonts w:asciiTheme="majorBidi" w:hAnsiTheme="majorBidi" w:cstheme="majorBidi"/>
        </w:rPr>
        <w:t xml:space="preserve"> Ahmad Sarip Saputra, Ida Rohmah Susiani, dan Nur Syam, “Hifdh Al-</w:t>
      </w:r>
      <w:proofErr w:type="gramStart"/>
      <w:r w:rsidRPr="001577E5">
        <w:rPr>
          <w:rFonts w:asciiTheme="majorBidi" w:hAnsiTheme="majorBidi" w:cstheme="majorBidi"/>
        </w:rPr>
        <w:t>Bi‘</w:t>
      </w:r>
      <w:proofErr w:type="gramEnd"/>
      <w:r w:rsidRPr="001577E5">
        <w:rPr>
          <w:rFonts w:asciiTheme="majorBidi" w:hAnsiTheme="majorBidi" w:cstheme="majorBidi"/>
        </w:rPr>
        <w:t>ah as Part of Maqasid Al-</w:t>
      </w:r>
      <w:proofErr w:type="gramStart"/>
      <w:r w:rsidRPr="001577E5">
        <w:rPr>
          <w:rFonts w:asciiTheme="majorBidi" w:hAnsiTheme="majorBidi" w:cstheme="majorBidi"/>
        </w:rPr>
        <w:t>Shari‘</w:t>
      </w:r>
      <w:proofErr w:type="gramEnd"/>
      <w:r w:rsidRPr="001577E5">
        <w:rPr>
          <w:rFonts w:asciiTheme="majorBidi" w:hAnsiTheme="majorBidi" w:cstheme="majorBidi"/>
        </w:rPr>
        <w:t xml:space="preserve">ah: Yusuf Al-Qardawi’s Perspective on the Environment in </w:t>
      </w:r>
      <w:r w:rsidRPr="001577E5">
        <w:rPr>
          <w:rFonts w:asciiTheme="majorBidi" w:hAnsiTheme="majorBidi" w:cstheme="majorBidi"/>
          <w:i/>
          <w:iCs/>
        </w:rPr>
        <w:t>Ri’ayat al-</w:t>
      </w:r>
      <w:proofErr w:type="gramStart"/>
      <w:r w:rsidRPr="001577E5">
        <w:rPr>
          <w:rFonts w:asciiTheme="majorBidi" w:hAnsiTheme="majorBidi" w:cstheme="majorBidi"/>
          <w:i/>
          <w:iCs/>
        </w:rPr>
        <w:t>Bi‘</w:t>
      </w:r>
      <w:proofErr w:type="gramEnd"/>
      <w:r w:rsidRPr="001577E5">
        <w:rPr>
          <w:rFonts w:asciiTheme="majorBidi" w:hAnsiTheme="majorBidi" w:cstheme="majorBidi"/>
          <w:i/>
          <w:iCs/>
        </w:rPr>
        <w:t xml:space="preserve">ah fi </w:t>
      </w:r>
      <w:proofErr w:type="gramStart"/>
      <w:r w:rsidRPr="001577E5">
        <w:rPr>
          <w:rFonts w:asciiTheme="majorBidi" w:hAnsiTheme="majorBidi" w:cstheme="majorBidi"/>
          <w:i/>
          <w:iCs/>
        </w:rPr>
        <w:t>Shari‘</w:t>
      </w:r>
      <w:proofErr w:type="gramEnd"/>
      <w:r w:rsidRPr="001577E5">
        <w:rPr>
          <w:rFonts w:asciiTheme="majorBidi" w:hAnsiTheme="majorBidi" w:cstheme="majorBidi"/>
          <w:i/>
          <w:iCs/>
        </w:rPr>
        <w:t>ah al-Islam</w:t>
      </w:r>
      <w:r w:rsidRPr="001577E5">
        <w:rPr>
          <w:rFonts w:asciiTheme="majorBidi" w:hAnsiTheme="majorBidi" w:cstheme="majorBidi"/>
        </w:rPr>
        <w:t xml:space="preserve"> Book,” </w:t>
      </w:r>
      <w:r w:rsidRPr="001577E5">
        <w:rPr>
          <w:rFonts w:asciiTheme="majorBidi" w:hAnsiTheme="majorBidi" w:cstheme="majorBidi"/>
          <w:i/>
          <w:iCs/>
        </w:rPr>
        <w:t>AIP Conference Proceedings</w:t>
      </w:r>
      <w:r w:rsidRPr="001577E5">
        <w:rPr>
          <w:rFonts w:asciiTheme="majorBidi" w:hAnsiTheme="majorBidi" w:cstheme="majorBidi"/>
        </w:rPr>
        <w:t xml:space="preserve"> 2353 (2021): 030106.</w:t>
      </w:r>
    </w:p>
  </w:footnote>
  <w:footnote w:id="3">
    <w:p w14:paraId="18EA04C7" w14:textId="57CA097A" w:rsidR="004A09D7" w:rsidRPr="001577E5" w:rsidRDefault="004A09D7" w:rsidP="004A09D7">
      <w:pPr>
        <w:pStyle w:val="FootnoteText"/>
        <w:jc w:val="both"/>
        <w:rPr>
          <w:rFonts w:asciiTheme="majorBidi" w:hAnsiTheme="majorBidi" w:cstheme="majorBidi"/>
        </w:rPr>
      </w:pPr>
      <w:r w:rsidRPr="001577E5">
        <w:rPr>
          <w:rStyle w:val="FootnoteReference"/>
          <w:rFonts w:asciiTheme="majorBidi" w:hAnsiTheme="majorBidi" w:cstheme="majorBidi"/>
        </w:rPr>
        <w:footnoteRef/>
      </w:r>
      <w:r w:rsidRPr="001577E5">
        <w:rPr>
          <w:rFonts w:asciiTheme="majorBidi" w:hAnsiTheme="majorBidi" w:cstheme="majorBidi"/>
        </w:rPr>
        <w:t xml:space="preserve"> </w:t>
      </w:r>
      <w:r w:rsidR="00BD05E7" w:rsidRPr="00BD05E7">
        <w:rPr>
          <w:rFonts w:asciiTheme="majorBidi" w:hAnsiTheme="majorBidi" w:cstheme="majorBidi"/>
        </w:rPr>
        <w:t>WALHI South Sulawesi. “Regional Parliament Holds Public Hearing; WALHI South Sulawesi Outlines Impacts and Calls to Halt PT Vale’s Mining Operations in the Sorowako Block.” March 3, 2022</w:t>
      </w:r>
      <w:r w:rsidR="00BD05E7">
        <w:rPr>
          <w:rFonts w:asciiTheme="majorBidi" w:hAnsiTheme="majorBidi" w:cstheme="majorBidi"/>
          <w:color w:val="000000" w:themeColor="text1"/>
        </w:rPr>
        <w:t>.</w:t>
      </w:r>
    </w:p>
  </w:footnote>
  <w:footnote w:id="4">
    <w:p w14:paraId="64C61797" w14:textId="4769E578" w:rsidR="004A09D7" w:rsidRPr="001577E5" w:rsidRDefault="004A09D7" w:rsidP="004A09D7">
      <w:pPr>
        <w:pStyle w:val="FootnoteText"/>
        <w:jc w:val="both"/>
        <w:rPr>
          <w:rFonts w:asciiTheme="majorBidi" w:hAnsiTheme="majorBidi" w:cstheme="majorBidi"/>
        </w:rPr>
      </w:pPr>
      <w:r w:rsidRPr="001577E5">
        <w:rPr>
          <w:rStyle w:val="FootnoteReference"/>
          <w:rFonts w:asciiTheme="majorBidi" w:hAnsiTheme="majorBidi" w:cstheme="majorBidi"/>
        </w:rPr>
        <w:footnoteRef/>
      </w:r>
      <w:r w:rsidRPr="001577E5">
        <w:rPr>
          <w:rFonts w:asciiTheme="majorBidi" w:hAnsiTheme="majorBidi" w:cstheme="majorBidi"/>
        </w:rPr>
        <w:t xml:space="preserve"> </w:t>
      </w:r>
      <w:r w:rsidR="00BD05E7" w:rsidRPr="00BD05E7">
        <w:rPr>
          <w:rFonts w:asciiTheme="majorBidi" w:hAnsiTheme="majorBidi" w:cstheme="majorBidi"/>
        </w:rPr>
        <w:t xml:space="preserve">Dadi, Yulius. </w:t>
      </w:r>
      <w:r w:rsidR="00BD05E7" w:rsidRPr="00BD05E7">
        <w:rPr>
          <w:rFonts w:asciiTheme="majorBidi" w:hAnsiTheme="majorBidi" w:cstheme="majorBidi"/>
          <w:i/>
          <w:iCs/>
        </w:rPr>
        <w:t>Resistance of the Dhawe Indigenous Community to the Nagekeo Local Government’s Decision on the Conversion of Mbay Kiri Land into Salt Industry Land</w:t>
      </w:r>
      <w:r w:rsidR="00BD05E7" w:rsidRPr="00BD05E7">
        <w:rPr>
          <w:rFonts w:asciiTheme="majorBidi" w:hAnsiTheme="majorBidi" w:cstheme="majorBidi"/>
        </w:rPr>
        <w:t>. Thesis, Widya Mandira Catholic University, 2022</w:t>
      </w:r>
      <w:r w:rsidRPr="001577E5">
        <w:rPr>
          <w:rFonts w:asciiTheme="majorBidi" w:hAnsiTheme="majorBidi" w:cstheme="majorBidi"/>
          <w:color w:val="000000" w:themeColor="text1"/>
        </w:rPr>
        <w:t>.</w:t>
      </w:r>
    </w:p>
  </w:footnote>
  <w:footnote w:id="5">
    <w:p w14:paraId="1E83D8C5" w14:textId="62F29D86" w:rsidR="004A09D7" w:rsidRPr="00BD05E7" w:rsidRDefault="004A09D7" w:rsidP="00BD05E7">
      <w:pPr>
        <w:pStyle w:val="FootnoteText"/>
        <w:jc w:val="both"/>
        <w:rPr>
          <w:rFonts w:asciiTheme="majorBidi" w:hAnsiTheme="majorBidi" w:cstheme="majorBidi"/>
          <w:i/>
          <w:iCs/>
        </w:rPr>
      </w:pPr>
      <w:r w:rsidRPr="001577E5">
        <w:rPr>
          <w:rStyle w:val="FootnoteReference"/>
          <w:rFonts w:asciiTheme="majorBidi" w:hAnsiTheme="majorBidi" w:cstheme="majorBidi"/>
        </w:rPr>
        <w:footnoteRef/>
      </w:r>
      <w:r w:rsidRPr="001577E5">
        <w:rPr>
          <w:rFonts w:asciiTheme="majorBidi" w:hAnsiTheme="majorBidi" w:cstheme="majorBidi"/>
        </w:rPr>
        <w:t xml:space="preserve"> </w:t>
      </w:r>
      <w:r w:rsidRPr="001577E5">
        <w:rPr>
          <w:rFonts w:asciiTheme="majorBidi" w:hAnsiTheme="majorBidi" w:cstheme="majorBidi"/>
          <w:color w:val="000000" w:themeColor="text1"/>
        </w:rPr>
        <w:t>C</w:t>
      </w:r>
      <w:r w:rsidR="00BD05E7" w:rsidRPr="00BD05E7">
        <w:t xml:space="preserve"> </w:t>
      </w:r>
      <w:r w:rsidR="00BD05E7" w:rsidRPr="00BD05E7">
        <w:rPr>
          <w:rFonts w:asciiTheme="majorBidi" w:hAnsiTheme="majorBidi" w:cstheme="majorBidi"/>
          <w:color w:val="000000" w:themeColor="text1"/>
        </w:rPr>
        <w:t xml:space="preserve">Congge, Umiati, and Sanchai Gohwong. “Local Development and Environmental Governance: Experiences from the Extractive Industry in East Luwu, Indonesia.” </w:t>
      </w:r>
      <w:r w:rsidR="00BD05E7" w:rsidRPr="00BD05E7">
        <w:rPr>
          <w:rFonts w:asciiTheme="majorBidi" w:hAnsiTheme="majorBidi" w:cstheme="majorBidi"/>
          <w:i/>
          <w:iCs/>
          <w:color w:val="000000" w:themeColor="text1"/>
        </w:rPr>
        <w:t>Otoritas: Journal of Public Administration, 2023</w:t>
      </w:r>
      <w:r w:rsidRPr="00BD05E7">
        <w:rPr>
          <w:rFonts w:asciiTheme="majorBidi" w:hAnsiTheme="majorBidi" w:cstheme="majorBidi"/>
          <w:i/>
          <w:iCs/>
          <w:color w:val="000000" w:themeColor="text1"/>
        </w:rPr>
        <w:t>.</w:t>
      </w:r>
    </w:p>
  </w:footnote>
  <w:footnote w:id="6">
    <w:p w14:paraId="3330B526" w14:textId="5BBDFCD8" w:rsidR="004A09D7" w:rsidRPr="001577E5" w:rsidRDefault="004A09D7" w:rsidP="00BD05E7">
      <w:pPr>
        <w:pStyle w:val="FootnoteText"/>
        <w:jc w:val="both"/>
        <w:rPr>
          <w:rFonts w:asciiTheme="majorBidi" w:hAnsiTheme="majorBidi" w:cstheme="majorBidi"/>
        </w:rPr>
      </w:pPr>
      <w:r w:rsidRPr="001577E5">
        <w:rPr>
          <w:rStyle w:val="FootnoteReference"/>
          <w:rFonts w:asciiTheme="majorBidi" w:hAnsiTheme="majorBidi" w:cstheme="majorBidi"/>
        </w:rPr>
        <w:footnoteRef/>
      </w:r>
      <w:r w:rsidRPr="001577E5">
        <w:rPr>
          <w:rFonts w:asciiTheme="majorBidi" w:hAnsiTheme="majorBidi" w:cstheme="majorBidi"/>
        </w:rPr>
        <w:t xml:space="preserve"> </w:t>
      </w:r>
      <w:r w:rsidR="00BD05E7" w:rsidRPr="00BD05E7">
        <w:rPr>
          <w:rFonts w:asciiTheme="majorBidi" w:hAnsiTheme="majorBidi" w:cstheme="majorBidi"/>
        </w:rPr>
        <w:t>Wahana Lingkungan Hidup Indonesia (WALHI), Minutes of WALHI’s Advocacy Meeting with the Ministry of Industry of the Republic of Indonesia, Jakarta, May 21, 2025</w:t>
      </w:r>
      <w:r w:rsidRPr="001577E5">
        <w:rPr>
          <w:rFonts w:asciiTheme="majorBidi" w:hAnsiTheme="majorBidi" w:cstheme="majorBidi"/>
        </w:rPr>
        <w:t>.</w:t>
      </w:r>
    </w:p>
  </w:footnote>
  <w:footnote w:id="7">
    <w:p w14:paraId="6EA25063" w14:textId="77777777" w:rsidR="004A09D7" w:rsidRPr="001577E5" w:rsidRDefault="004A09D7" w:rsidP="00BD05E7">
      <w:pPr>
        <w:pStyle w:val="FootnoteText"/>
        <w:jc w:val="both"/>
        <w:rPr>
          <w:rFonts w:asciiTheme="majorBidi" w:hAnsiTheme="majorBidi" w:cstheme="majorBidi"/>
        </w:rPr>
      </w:pPr>
      <w:r w:rsidRPr="001577E5">
        <w:rPr>
          <w:rStyle w:val="FootnoteReference"/>
          <w:rFonts w:asciiTheme="majorBidi" w:hAnsiTheme="majorBidi" w:cstheme="majorBidi"/>
        </w:rPr>
        <w:footnoteRef/>
      </w:r>
      <w:r w:rsidRPr="001577E5">
        <w:rPr>
          <w:rFonts w:asciiTheme="majorBidi" w:hAnsiTheme="majorBidi" w:cstheme="majorBidi"/>
        </w:rPr>
        <w:t xml:space="preserve"> Udeh, E., Ibrahim, D., &amp; Sesay, B. (2025). The Relationship between Foreign Direct Investment and Economic Growth: A Review of the Literature (1994-2023). </w:t>
      </w:r>
      <w:r w:rsidRPr="001577E5">
        <w:rPr>
          <w:rFonts w:asciiTheme="majorBidi" w:hAnsiTheme="majorBidi" w:cstheme="majorBidi"/>
          <w:i/>
          <w:iCs/>
        </w:rPr>
        <w:t>International Journal of Science and Management Studies (IJSMS)</w:t>
      </w:r>
      <w:r w:rsidRPr="001577E5">
        <w:rPr>
          <w:rFonts w:asciiTheme="majorBidi" w:hAnsiTheme="majorBidi" w:cstheme="majorBidi"/>
        </w:rPr>
        <w:t>. https://doi.org/10.51386/25815946/ijsms-v8i1p107.</w:t>
      </w:r>
    </w:p>
  </w:footnote>
  <w:footnote w:id="8">
    <w:p w14:paraId="63F2E125" w14:textId="39B98F6C" w:rsidR="004A09D7" w:rsidRPr="001577E5" w:rsidRDefault="004A09D7" w:rsidP="004A09D7">
      <w:pPr>
        <w:pStyle w:val="FootnoteText"/>
        <w:jc w:val="both"/>
        <w:rPr>
          <w:rFonts w:asciiTheme="majorBidi" w:hAnsiTheme="majorBidi" w:cstheme="majorBidi"/>
        </w:rPr>
      </w:pPr>
      <w:r w:rsidRPr="001577E5">
        <w:rPr>
          <w:rStyle w:val="FootnoteReference"/>
          <w:rFonts w:asciiTheme="majorBidi" w:hAnsiTheme="majorBidi" w:cstheme="majorBidi"/>
        </w:rPr>
        <w:footnoteRef/>
      </w:r>
      <w:r w:rsidR="00BD05E7">
        <w:rPr>
          <w:rFonts w:asciiTheme="majorBidi" w:hAnsiTheme="majorBidi" w:cstheme="majorBidi"/>
        </w:rPr>
        <w:t xml:space="preserve"> </w:t>
      </w:r>
      <w:r w:rsidR="00BD05E7" w:rsidRPr="00BD05E7">
        <w:rPr>
          <w:rFonts w:asciiTheme="majorBidi" w:hAnsiTheme="majorBidi" w:cstheme="majorBidi"/>
        </w:rPr>
        <w:t>Wahana Lingkungan Hidup Indonesia Across Sulawesi</w:t>
      </w:r>
      <w:r w:rsidR="00BD05E7" w:rsidRPr="00BD05E7">
        <w:rPr>
          <w:rFonts w:asciiTheme="majorBidi" w:hAnsiTheme="majorBidi" w:cstheme="majorBidi"/>
          <w:i/>
          <w:iCs/>
        </w:rPr>
        <w:t>, WALHI Across Sulawesi Calls on President Prabowo for a Mining Permit Moratorium Along with Seven Recommendations</w:t>
      </w:r>
      <w:r w:rsidR="00BD05E7" w:rsidRPr="00BD05E7">
        <w:rPr>
          <w:rFonts w:asciiTheme="majorBidi" w:hAnsiTheme="majorBidi" w:cstheme="majorBidi"/>
        </w:rPr>
        <w:t>, WALHI Central Sulawesi, October 22,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B60B" w14:textId="77777777" w:rsidR="004A09D7" w:rsidRDefault="004A09D7">
    <w:pPr>
      <w:spacing w:after="0"/>
    </w:pPr>
    <w:r>
      <w:t>5 | Hafizh Mahmud Sulaiman</w:t>
    </w:r>
  </w:p>
  <w:p w14:paraId="0E6DA482" w14:textId="77777777" w:rsidR="004A09D7" w:rsidRDefault="004A09D7">
    <w:pPr>
      <w:rPr>
        <w:rFonts w:ascii="Times New Roman" w:eastAsia="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637751"/>
      <w:docPartObj>
        <w:docPartGallery w:val="Page Numbers (Top of Page)"/>
        <w:docPartUnique/>
      </w:docPartObj>
    </w:sdtPr>
    <w:sdtEndPr>
      <w:rPr>
        <w:noProof/>
      </w:rPr>
    </w:sdtEndPr>
    <w:sdtContent>
      <w:p w14:paraId="41FA9EC6" w14:textId="3380811B" w:rsidR="006679A7" w:rsidRDefault="006679A7">
        <w:pPr>
          <w:pStyle w:val="Header"/>
        </w:pPr>
        <w:r>
          <w:fldChar w:fldCharType="begin"/>
        </w:r>
        <w:r>
          <w:instrText xml:space="preserve"> PAGE   \* MERGEFORMAT </w:instrText>
        </w:r>
        <w:r>
          <w:fldChar w:fldCharType="separate"/>
        </w:r>
        <w:r>
          <w:rPr>
            <w:noProof/>
          </w:rPr>
          <w:t>2</w:t>
        </w:r>
        <w:r>
          <w:rPr>
            <w:noProof/>
          </w:rPr>
          <w:fldChar w:fldCharType="end"/>
        </w:r>
        <w:r>
          <w:rPr>
            <w:noProof/>
          </w:rPr>
          <w:t xml:space="preserve"> | Hafizh Mahmud Sulaiman</w:t>
        </w:r>
      </w:p>
    </w:sdtContent>
  </w:sdt>
  <w:p w14:paraId="01F8F648" w14:textId="77777777" w:rsidR="006679A7" w:rsidRDefault="006679A7">
    <w:pPr>
      <w:rPr>
        <w:rFonts w:ascii="Times New Roman" w:eastAsia="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F0CD1"/>
    <w:multiLevelType w:val="hybridMultilevel"/>
    <w:tmpl w:val="CA5CE5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82214F5"/>
    <w:multiLevelType w:val="hybridMultilevel"/>
    <w:tmpl w:val="526666B6"/>
    <w:lvl w:ilvl="0" w:tplc="5000613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43026269">
    <w:abstractNumId w:val="1"/>
  </w:num>
  <w:num w:numId="2" w16cid:durableId="154883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7"/>
    <w:rsid w:val="000A2DCB"/>
    <w:rsid w:val="000B38B6"/>
    <w:rsid w:val="000B6DD3"/>
    <w:rsid w:val="000E01F0"/>
    <w:rsid w:val="00173D91"/>
    <w:rsid w:val="00174134"/>
    <w:rsid w:val="0018437C"/>
    <w:rsid w:val="001A36BC"/>
    <w:rsid w:val="001D03D5"/>
    <w:rsid w:val="002455D7"/>
    <w:rsid w:val="002E5D7C"/>
    <w:rsid w:val="00330750"/>
    <w:rsid w:val="003601D5"/>
    <w:rsid w:val="003C0DFB"/>
    <w:rsid w:val="00417395"/>
    <w:rsid w:val="0043188D"/>
    <w:rsid w:val="00494731"/>
    <w:rsid w:val="004A09D7"/>
    <w:rsid w:val="004B46DD"/>
    <w:rsid w:val="004C1F6A"/>
    <w:rsid w:val="004E1375"/>
    <w:rsid w:val="004E70C7"/>
    <w:rsid w:val="0052463B"/>
    <w:rsid w:val="00553244"/>
    <w:rsid w:val="0057388F"/>
    <w:rsid w:val="005858A6"/>
    <w:rsid w:val="005D4965"/>
    <w:rsid w:val="006063AE"/>
    <w:rsid w:val="006679A7"/>
    <w:rsid w:val="006F4437"/>
    <w:rsid w:val="00701E3F"/>
    <w:rsid w:val="00736918"/>
    <w:rsid w:val="0075634B"/>
    <w:rsid w:val="00761840"/>
    <w:rsid w:val="007A31C7"/>
    <w:rsid w:val="008222BE"/>
    <w:rsid w:val="00837A93"/>
    <w:rsid w:val="00873DAA"/>
    <w:rsid w:val="008B2F68"/>
    <w:rsid w:val="008D3394"/>
    <w:rsid w:val="008E19EE"/>
    <w:rsid w:val="00912E8B"/>
    <w:rsid w:val="009B74E1"/>
    <w:rsid w:val="00A14041"/>
    <w:rsid w:val="00A40D9F"/>
    <w:rsid w:val="00AC669D"/>
    <w:rsid w:val="00B11E98"/>
    <w:rsid w:val="00B562E4"/>
    <w:rsid w:val="00B74E37"/>
    <w:rsid w:val="00B86AF2"/>
    <w:rsid w:val="00BD05E7"/>
    <w:rsid w:val="00BD5D1E"/>
    <w:rsid w:val="00BF296E"/>
    <w:rsid w:val="00C06998"/>
    <w:rsid w:val="00CA76CF"/>
    <w:rsid w:val="00CB1C6B"/>
    <w:rsid w:val="00D36AF2"/>
    <w:rsid w:val="00D45F6B"/>
    <w:rsid w:val="00D52258"/>
    <w:rsid w:val="00D66ADF"/>
    <w:rsid w:val="00D75767"/>
    <w:rsid w:val="00D807BD"/>
    <w:rsid w:val="00DA65D7"/>
    <w:rsid w:val="00DC52B1"/>
    <w:rsid w:val="00E23ABE"/>
    <w:rsid w:val="00E8378F"/>
    <w:rsid w:val="00E926B9"/>
    <w:rsid w:val="00ED4D9F"/>
    <w:rsid w:val="00EE7F94"/>
    <w:rsid w:val="00F447BA"/>
    <w:rsid w:val="00FE70F4"/>
    <w:rsid w:val="00FF5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FF9E7"/>
  <w15:chartTrackingRefBased/>
  <w15:docId w15:val="{42D4DD4F-38AB-4700-A76C-67CB2463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9D7"/>
    <w:pPr>
      <w:spacing w:after="200" w:line="276" w:lineRule="auto"/>
    </w:pPr>
    <w:rPr>
      <w:rFonts w:ascii="Calibri" w:eastAsia="Calibri" w:hAnsi="Calibri" w:cs="Calibri"/>
      <w:kern w:val="0"/>
      <w:lang w:eastAsia="en-ID"/>
      <w14:ligatures w14:val="none"/>
    </w:rPr>
  </w:style>
  <w:style w:type="paragraph" w:styleId="Heading1">
    <w:name w:val="heading 1"/>
    <w:basedOn w:val="Normal"/>
    <w:next w:val="Normal"/>
    <w:link w:val="Heading1Char"/>
    <w:uiPriority w:val="9"/>
    <w:qFormat/>
    <w:rsid w:val="00B74E37"/>
    <w:pPr>
      <w:keepNext/>
      <w:keepLines/>
      <w:spacing w:before="360" w:after="80"/>
      <w:outlineLvl w:val="0"/>
    </w:pPr>
    <w:rPr>
      <w:rFonts w:asciiTheme="majorBidi" w:eastAsiaTheme="majorEastAsia" w:hAnsiTheme="majorBidi" w:cstheme="majorBidi"/>
      <w:b/>
      <w:color w:val="000000" w:themeColor="text1"/>
      <w:sz w:val="24"/>
      <w:szCs w:val="40"/>
      <w:lang w:bidi="ar-AE"/>
    </w:rPr>
  </w:style>
  <w:style w:type="paragraph" w:styleId="Heading2">
    <w:name w:val="heading 2"/>
    <w:basedOn w:val="Normal"/>
    <w:next w:val="Normal"/>
    <w:link w:val="Heading2Char"/>
    <w:uiPriority w:val="9"/>
    <w:unhideWhenUsed/>
    <w:qFormat/>
    <w:rsid w:val="00B74E37"/>
    <w:pPr>
      <w:keepNext/>
      <w:keepLines/>
      <w:spacing w:before="160" w:after="80"/>
      <w:outlineLvl w:val="1"/>
    </w:pPr>
    <w:rPr>
      <w:rFonts w:asciiTheme="majorBidi" w:eastAsiaTheme="majorEastAsia" w:hAnsiTheme="majorBidi" w:cstheme="majorBidi"/>
      <w:b/>
      <w:color w:val="000000" w:themeColor="text1"/>
      <w:sz w:val="24"/>
      <w:szCs w:val="32"/>
      <w:lang w:bidi="ar-AE"/>
    </w:rPr>
  </w:style>
  <w:style w:type="paragraph" w:styleId="Heading3">
    <w:name w:val="heading 3"/>
    <w:basedOn w:val="Normal"/>
    <w:next w:val="Normal"/>
    <w:link w:val="Heading3Char"/>
    <w:uiPriority w:val="9"/>
    <w:unhideWhenUsed/>
    <w:qFormat/>
    <w:rsid w:val="00B74E37"/>
    <w:pPr>
      <w:keepNext/>
      <w:keepLines/>
      <w:spacing w:before="160" w:after="80"/>
      <w:outlineLvl w:val="2"/>
    </w:pPr>
    <w:rPr>
      <w:rFonts w:asciiTheme="majorBidi" w:eastAsiaTheme="majorEastAsia" w:hAnsiTheme="majorBidi" w:cstheme="majorBidi"/>
      <w:b/>
      <w:color w:val="000000" w:themeColor="text1"/>
      <w:sz w:val="24"/>
      <w:szCs w:val="28"/>
      <w:lang w:bidi="ar-AE"/>
    </w:rPr>
  </w:style>
  <w:style w:type="paragraph" w:styleId="Heading4">
    <w:name w:val="heading 4"/>
    <w:basedOn w:val="Normal"/>
    <w:next w:val="Normal"/>
    <w:link w:val="Heading4Char"/>
    <w:uiPriority w:val="9"/>
    <w:semiHidden/>
    <w:unhideWhenUsed/>
    <w:qFormat/>
    <w:rsid w:val="004A09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A09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A0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7"/>
    <w:rPr>
      <w:rFonts w:asciiTheme="majorBidi" w:eastAsiaTheme="majorEastAsia" w:hAnsiTheme="majorBidi" w:cstheme="majorBidi"/>
      <w:b/>
      <w:color w:val="000000" w:themeColor="text1"/>
      <w:sz w:val="24"/>
      <w:szCs w:val="40"/>
      <w:lang w:bidi="ar-AE"/>
    </w:rPr>
  </w:style>
  <w:style w:type="character" w:customStyle="1" w:styleId="Heading2Char">
    <w:name w:val="Heading 2 Char"/>
    <w:basedOn w:val="DefaultParagraphFont"/>
    <w:link w:val="Heading2"/>
    <w:uiPriority w:val="9"/>
    <w:rsid w:val="00B74E37"/>
    <w:rPr>
      <w:rFonts w:asciiTheme="majorBidi" w:eastAsiaTheme="majorEastAsia" w:hAnsiTheme="majorBidi" w:cstheme="majorBidi"/>
      <w:b/>
      <w:color w:val="000000" w:themeColor="text1"/>
      <w:sz w:val="24"/>
      <w:szCs w:val="32"/>
      <w:lang w:bidi="ar-AE"/>
    </w:rPr>
  </w:style>
  <w:style w:type="character" w:customStyle="1" w:styleId="Heading3Char">
    <w:name w:val="Heading 3 Char"/>
    <w:basedOn w:val="DefaultParagraphFont"/>
    <w:link w:val="Heading3"/>
    <w:uiPriority w:val="9"/>
    <w:rsid w:val="00B74E37"/>
    <w:rPr>
      <w:rFonts w:asciiTheme="majorBidi" w:eastAsiaTheme="majorEastAsia" w:hAnsiTheme="majorBidi" w:cstheme="majorBidi"/>
      <w:b/>
      <w:color w:val="000000" w:themeColor="text1"/>
      <w:sz w:val="24"/>
      <w:szCs w:val="28"/>
      <w:lang w:bidi="ar-AE"/>
    </w:rPr>
  </w:style>
  <w:style w:type="character" w:customStyle="1" w:styleId="Heading4Char">
    <w:name w:val="Heading 4 Char"/>
    <w:basedOn w:val="DefaultParagraphFont"/>
    <w:link w:val="Heading4"/>
    <w:uiPriority w:val="9"/>
    <w:semiHidden/>
    <w:rsid w:val="004A09D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A09D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A0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9D7"/>
    <w:rPr>
      <w:rFonts w:eastAsiaTheme="majorEastAsia" w:cstheme="majorBidi"/>
      <w:color w:val="272727" w:themeColor="text1" w:themeTint="D8"/>
    </w:rPr>
  </w:style>
  <w:style w:type="paragraph" w:styleId="Title">
    <w:name w:val="Title"/>
    <w:basedOn w:val="Normal"/>
    <w:next w:val="Normal"/>
    <w:link w:val="TitleChar"/>
    <w:uiPriority w:val="10"/>
    <w:qFormat/>
    <w:rsid w:val="004A0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9D7"/>
    <w:pPr>
      <w:spacing w:before="160"/>
      <w:jc w:val="center"/>
    </w:pPr>
    <w:rPr>
      <w:i/>
      <w:iCs/>
      <w:color w:val="404040" w:themeColor="text1" w:themeTint="BF"/>
    </w:rPr>
  </w:style>
  <w:style w:type="character" w:customStyle="1" w:styleId="QuoteChar">
    <w:name w:val="Quote Char"/>
    <w:basedOn w:val="DefaultParagraphFont"/>
    <w:link w:val="Quote"/>
    <w:uiPriority w:val="29"/>
    <w:rsid w:val="004A09D7"/>
    <w:rPr>
      <w:i/>
      <w:iCs/>
      <w:color w:val="404040" w:themeColor="text1" w:themeTint="BF"/>
    </w:rPr>
  </w:style>
  <w:style w:type="paragraph" w:styleId="ListParagraph">
    <w:name w:val="List Paragraph"/>
    <w:basedOn w:val="Normal"/>
    <w:uiPriority w:val="34"/>
    <w:qFormat/>
    <w:rsid w:val="004A09D7"/>
    <w:pPr>
      <w:ind w:left="720"/>
      <w:contextualSpacing/>
    </w:pPr>
  </w:style>
  <w:style w:type="character" w:styleId="IntenseEmphasis">
    <w:name w:val="Intense Emphasis"/>
    <w:basedOn w:val="DefaultParagraphFont"/>
    <w:uiPriority w:val="21"/>
    <w:qFormat/>
    <w:rsid w:val="004A09D7"/>
    <w:rPr>
      <w:i/>
      <w:iCs/>
      <w:color w:val="2E74B5" w:themeColor="accent1" w:themeShade="BF"/>
    </w:rPr>
  </w:style>
  <w:style w:type="paragraph" w:styleId="IntenseQuote">
    <w:name w:val="Intense Quote"/>
    <w:basedOn w:val="Normal"/>
    <w:next w:val="Normal"/>
    <w:link w:val="IntenseQuoteChar"/>
    <w:uiPriority w:val="30"/>
    <w:qFormat/>
    <w:rsid w:val="004A09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09D7"/>
    <w:rPr>
      <w:i/>
      <w:iCs/>
      <w:color w:val="2E74B5" w:themeColor="accent1" w:themeShade="BF"/>
    </w:rPr>
  </w:style>
  <w:style w:type="character" w:styleId="IntenseReference">
    <w:name w:val="Intense Reference"/>
    <w:basedOn w:val="DefaultParagraphFont"/>
    <w:uiPriority w:val="32"/>
    <w:qFormat/>
    <w:rsid w:val="004A09D7"/>
    <w:rPr>
      <w:b/>
      <w:bCs/>
      <w:smallCaps/>
      <w:color w:val="2E74B5" w:themeColor="accent1" w:themeShade="BF"/>
      <w:spacing w:val="5"/>
    </w:rPr>
  </w:style>
  <w:style w:type="paragraph" w:styleId="FootnoteText">
    <w:name w:val="footnote text"/>
    <w:basedOn w:val="Normal"/>
    <w:link w:val="FootnoteTextChar"/>
    <w:uiPriority w:val="99"/>
    <w:unhideWhenUsed/>
    <w:rsid w:val="004A09D7"/>
    <w:pPr>
      <w:spacing w:after="0" w:line="240" w:lineRule="auto"/>
    </w:pPr>
    <w:rPr>
      <w:sz w:val="20"/>
      <w:szCs w:val="20"/>
    </w:rPr>
  </w:style>
  <w:style w:type="character" w:customStyle="1" w:styleId="FootnoteTextChar">
    <w:name w:val="Footnote Text Char"/>
    <w:basedOn w:val="DefaultParagraphFont"/>
    <w:link w:val="FootnoteText"/>
    <w:uiPriority w:val="99"/>
    <w:rsid w:val="004A09D7"/>
    <w:rPr>
      <w:rFonts w:ascii="Calibri" w:eastAsia="Calibri" w:hAnsi="Calibri" w:cs="Calibri"/>
      <w:kern w:val="0"/>
      <w:sz w:val="20"/>
      <w:szCs w:val="20"/>
      <w:lang w:eastAsia="en-ID"/>
      <w14:ligatures w14:val="none"/>
    </w:rPr>
  </w:style>
  <w:style w:type="character" w:styleId="FootnoteReference">
    <w:name w:val="footnote reference"/>
    <w:basedOn w:val="DefaultParagraphFont"/>
    <w:uiPriority w:val="99"/>
    <w:semiHidden/>
    <w:unhideWhenUsed/>
    <w:rsid w:val="004A09D7"/>
    <w:rPr>
      <w:vertAlign w:val="superscript"/>
    </w:rPr>
  </w:style>
  <w:style w:type="paragraph" w:styleId="Caption">
    <w:name w:val="caption"/>
    <w:basedOn w:val="Normal"/>
    <w:next w:val="Normal"/>
    <w:uiPriority w:val="35"/>
    <w:unhideWhenUsed/>
    <w:qFormat/>
    <w:rsid w:val="004A09D7"/>
    <w:pPr>
      <w:spacing w:line="240" w:lineRule="auto"/>
    </w:pPr>
    <w:rPr>
      <w:rFonts w:asciiTheme="minorHAnsi" w:eastAsiaTheme="minorHAnsi" w:hAnsiTheme="minorHAnsi" w:cstheme="minorBidi"/>
      <w:i/>
      <w:iCs/>
      <w:color w:val="44546A" w:themeColor="text2"/>
      <w:kern w:val="2"/>
      <w:sz w:val="18"/>
      <w:szCs w:val="18"/>
      <w:lang w:eastAsia="en-US" w:bidi="ar-AE"/>
      <w14:ligatures w14:val="standardContextual"/>
    </w:rPr>
  </w:style>
  <w:style w:type="paragraph" w:styleId="Header">
    <w:name w:val="header"/>
    <w:basedOn w:val="Normal"/>
    <w:link w:val="HeaderChar"/>
    <w:uiPriority w:val="99"/>
    <w:unhideWhenUsed/>
    <w:rsid w:val="00667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9A7"/>
    <w:rPr>
      <w:rFonts w:ascii="Calibri" w:eastAsia="Calibri" w:hAnsi="Calibri" w:cs="Calibri"/>
      <w:kern w:val="0"/>
      <w:lang w:eastAsia="en-ID"/>
      <w14:ligatures w14:val="none"/>
    </w:rPr>
  </w:style>
  <w:style w:type="paragraph" w:styleId="Footer">
    <w:name w:val="footer"/>
    <w:basedOn w:val="Normal"/>
    <w:link w:val="FooterChar"/>
    <w:uiPriority w:val="99"/>
    <w:unhideWhenUsed/>
    <w:rsid w:val="00667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9A7"/>
    <w:rPr>
      <w:rFonts w:ascii="Calibri" w:eastAsia="Calibri" w:hAnsi="Calibri" w:cs="Calibri"/>
      <w:kern w:val="0"/>
      <w:lang w:eastAsia="en-ID"/>
      <w14:ligatures w14:val="none"/>
    </w:rPr>
  </w:style>
  <w:style w:type="paragraph" w:styleId="NormalWeb">
    <w:name w:val="Normal (Web)"/>
    <w:basedOn w:val="Normal"/>
    <w:uiPriority w:val="99"/>
    <w:semiHidden/>
    <w:unhideWhenUsed/>
    <w:rsid w:val="00A40D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3558</Words>
  <Characters>20283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hafizhmahmud22@gmail.com</dc:creator>
  <cp:keywords/>
  <dc:description/>
  <cp:lastModifiedBy>hafizhmahmud22@gmail.com</cp:lastModifiedBy>
  <cp:revision>3</cp:revision>
  <dcterms:created xsi:type="dcterms:W3CDTF">2026-03-03T02:11:00Z</dcterms:created>
  <dcterms:modified xsi:type="dcterms:W3CDTF">2026-04-15T10:04:00Z</dcterms:modified>
</cp:coreProperties>
</file>