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39C4" w14:textId="77777777" w:rsidR="00101077" w:rsidRPr="0079329A" w:rsidRDefault="00101077" w:rsidP="0079329A">
      <w:pPr>
        <w:spacing w:line="276" w:lineRule="auto"/>
        <w:jc w:val="center"/>
        <w:rPr>
          <w:rFonts w:ascii="Times New Roman" w:hAnsi="Times New Roman" w:cs="Times New Roman"/>
          <w:b/>
          <w:bCs/>
          <w:sz w:val="22"/>
          <w:szCs w:val="22"/>
        </w:rPr>
      </w:pPr>
      <w:r w:rsidRPr="0079329A">
        <w:rPr>
          <w:rFonts w:ascii="Times New Roman" w:hAnsi="Times New Roman" w:cs="Times New Roman"/>
          <w:b/>
          <w:bCs/>
          <w:sz w:val="22"/>
          <w:szCs w:val="22"/>
        </w:rPr>
        <w:t>THE ROLE OF UNIVERSITY SPORTS IN PROMOTING COMPETENCY-BASED LEARNING OUTCOMES AMONG STUDENTS IN KENYAN UNIVERSITIES.</w:t>
      </w:r>
    </w:p>
    <w:p w14:paraId="1FA2B20B" w14:textId="64C985CB" w:rsidR="00C33641" w:rsidRPr="0079329A" w:rsidRDefault="00101077" w:rsidP="0079329A">
      <w:pPr>
        <w:spacing w:line="276" w:lineRule="auto"/>
        <w:jc w:val="center"/>
        <w:rPr>
          <w:rFonts w:ascii="Times New Roman" w:hAnsi="Times New Roman" w:cs="Times New Roman"/>
          <w:b/>
          <w:bCs/>
          <w:sz w:val="22"/>
          <w:szCs w:val="22"/>
        </w:rPr>
      </w:pPr>
      <w:r w:rsidRPr="0079329A">
        <w:rPr>
          <w:rFonts w:ascii="Times New Roman" w:hAnsi="Times New Roman" w:cs="Times New Roman"/>
          <w:b/>
          <w:bCs/>
          <w:sz w:val="22"/>
          <w:szCs w:val="22"/>
        </w:rPr>
        <w:t/>
      </w:r>
    </w:p>
    <w:p w14:paraId="7B6D8D9C" w14:textId="09346407" w:rsidR="00343C02" w:rsidRDefault="00000000" w:rsidP="00343C02">
      <w:pPr>
        <w:spacing w:line="240" w:lineRule="auto"/>
        <w:ind w:left="283"/>
        <w:jc w:val="center"/>
        <w:rPr>
          <w:rFonts w:ascii="Times New Roman" w:hAnsi="Times New Roman" w:cs="Times New Roman"/>
          <w:sz w:val="22"/>
          <w:szCs w:val="22"/>
        </w:rPr>
      </w:pPr>
      <w:r w:rsidRPr="0079329A">
        <w:rPr>
          <w:rFonts w:ascii="Times New Roman" w:hAnsi="Times New Roman" w:cs="Times New Roman"/>
          <w:sz w:val="22"/>
          <w:szCs w:val="22"/>
        </w:rPr>
        <w:t/>
      </w:r>
      <w:r w:rsidR="00343C02">
        <w:rPr>
          <w:rFonts w:ascii="Times New Roman" w:hAnsi="Times New Roman" w:cs="Times New Roman"/>
          <w:sz w:val="22"/>
          <w:szCs w:val="22"/>
        </w:rPr>
        <w:t/>
      </w:r>
      <w:r w:rsidRPr="0079329A">
        <w:rPr>
          <w:rFonts w:ascii="Times New Roman" w:hAnsi="Times New Roman" w:cs="Times New Roman"/>
          <w:sz w:val="22"/>
          <w:szCs w:val="22"/>
        </w:rPr>
        <w:t xml:space="preserve"/>
      </w:r>
    </w:p>
    <w:p w14:paraId="6283BDCE" w14:textId="5BEBC139" w:rsidR="00343C02" w:rsidRDefault="00343C02" w:rsidP="00343C02">
      <w:pPr>
        <w:spacing w:line="240" w:lineRule="auto"/>
        <w:ind w:left="283"/>
        <w:jc w:val="center"/>
      </w:pPr>
      <w:r>
        <w:rPr>
          <w:rFonts w:ascii="Times New Roman" w:hAnsi="Times New Roman" w:cs="Times New Roman"/>
          <w:sz w:val="22"/>
          <w:szCs w:val="22"/>
        </w:rPr>
        <w:t/>
      </w:r>
      <w:r w:rsidR="0071644E">
        <w:rPr>
          <w:rFonts w:ascii="Times New Roman" w:eastAsia="Times New Roman" w:hAnsi="Times New Roman" w:cs="Times New Roman"/>
          <w:color w:val="0000FF"/>
          <w:sz w:val="22"/>
          <w:szCs w:val="22"/>
          <w:u w:val="single" w:color="0000FF"/>
        </w:rPr>
        <w:t/>
      </w:r>
      <w:r>
        <w:rPr>
          <w:rFonts w:ascii="Times New Roman" w:eastAsia="Times New Roman" w:hAnsi="Times New Roman" w:cs="Times New Roman"/>
          <w:color w:val="0000FF"/>
          <w:sz w:val="22"/>
          <w:szCs w:val="22"/>
          <w:u w:val="single" w:color="0000FF"/>
        </w:rPr>
        <w:t xml:space="preserve"/>
      </w:r>
      <w:r w:rsidRPr="0079329A">
        <w:rPr>
          <w:rFonts w:ascii="Times New Roman" w:hAnsi="Times New Roman" w:cs="Times New Roman"/>
          <w:sz w:val="22"/>
          <w:szCs w:val="22"/>
        </w:rPr>
        <w:t/>
      </w:r>
      <w:r>
        <w:rPr>
          <w:rFonts w:ascii="Times New Roman" w:hAnsi="Times New Roman" w:cs="Times New Roman"/>
          <w:sz w:val="22"/>
          <w:szCs w:val="22"/>
        </w:rPr>
        <w:t xml:space="preserve"/>
      </w:r>
      <w:r>
        <w:rPr>
          <w:rFonts w:ascii="Times New Roman" w:eastAsia="Times New Roman" w:hAnsi="Times New Roman" w:cs="Times New Roman"/>
          <w:color w:val="0000FF"/>
          <w:sz w:val="22"/>
          <w:szCs w:val="22"/>
          <w:u w:val="single" w:color="0000FF"/>
        </w:rPr>
        <w:t xml:space="preserve"/>
      </w:r>
      <w:hyperlink r:id="rId7" w:history="1">
        <w:r w:rsidRPr="00E65EFB">
          <w:rPr>
            <w:rStyle w:val="Hyperlink"/>
            <w:rFonts w:ascii="Times New Roman" w:eastAsia="Times New Roman" w:hAnsi="Times New Roman" w:cs="Times New Roman"/>
            <w:sz w:val="22"/>
            <w:szCs w:val="22"/>
          </w:rPr>
          <w:t/>
        </w:r>
      </w:hyperlink>
    </w:p>
    <w:p w14:paraId="2F449FBE" w14:textId="44754FC7" w:rsidR="00343C02" w:rsidRDefault="00343C02" w:rsidP="00343C02">
      <w:pPr>
        <w:spacing w:line="240" w:lineRule="auto"/>
        <w:ind w:left="283"/>
        <w:jc w:val="center"/>
      </w:pPr>
      <w:r>
        <w:t/>
      </w:r>
      <w:r>
        <w:t/>
      </w:r>
      <w:r>
        <w:t/>
      </w:r>
      <w:r>
        <w:t xml:space="preserve"/>
      </w:r>
      <w:hyperlink r:id="rId8" w:history="1">
        <w:r w:rsidRPr="0054684E">
          <w:rPr>
            <w:rStyle w:val="Hyperlink"/>
          </w:rPr>
          <w:t/>
        </w:r>
      </w:hyperlink>
    </w:p>
    <w:p w14:paraId="30494DDF" w14:textId="6DFC757E" w:rsidR="00C33641" w:rsidRPr="0079329A" w:rsidRDefault="00000000" w:rsidP="00343C02">
      <w:pPr>
        <w:pStyle w:val="Heading1"/>
        <w:spacing w:line="276" w:lineRule="auto"/>
        <w:ind w:left="-5" w:right="0"/>
        <w:jc w:val="center"/>
        <w:rPr>
          <w:rFonts w:ascii="Times New Roman" w:hAnsi="Times New Roman" w:cs="Times New Roman"/>
          <w:sz w:val="22"/>
          <w:szCs w:val="22"/>
        </w:rPr>
      </w:pPr>
      <w:r w:rsidRPr="0079329A">
        <w:rPr>
          <w:rFonts w:ascii="Times New Roman" w:hAnsi="Times New Roman" w:cs="Times New Roman"/>
          <w:sz w:val="22"/>
          <w:szCs w:val="22"/>
        </w:rPr>
        <w:t>Abstract</w:t>
      </w:r>
    </w:p>
    <w:p w14:paraId="06C839D0" w14:textId="77777777" w:rsidR="00101077" w:rsidRPr="0079329A" w:rsidRDefault="00101077" w:rsidP="0079329A">
      <w:pPr>
        <w:spacing w:after="262" w:line="276" w:lineRule="auto"/>
        <w:ind w:left="-5" w:right="0"/>
        <w:rPr>
          <w:rFonts w:ascii="Times New Roman" w:hAnsi="Times New Roman" w:cs="Times New Roman"/>
          <w:i/>
          <w:iCs/>
          <w:sz w:val="22"/>
          <w:szCs w:val="22"/>
        </w:rPr>
      </w:pPr>
      <w:r w:rsidRPr="0079329A">
        <w:rPr>
          <w:rFonts w:ascii="Times New Roman" w:hAnsi="Times New Roman" w:cs="Times New Roman"/>
          <w:i/>
          <w:iCs/>
          <w:sz w:val="22"/>
          <w:szCs w:val="22"/>
        </w:rPr>
        <w:t>This study examined the role of university sports in promoting competency-based learning outcomes among students in Kenyan universities amid ongoing national reforms in higher education under the competency-based education framework. Despite policy directives from the Commission for University Education (CUE), university sports programmes remain largely detached from academic learning systems and continue to emphasize competitive performance rather than structured skill development. The study specifically assessed competency development, practical skills acquisition, and institutional influences on sports-based learning. A mixed-methods convergent design was adopted, involving 169 respondents drawn from student-athletes, sports directors, and coaches in selected public and private universities. Data were collected using structured questionnaires and analyzed using descriptive statistics, one-sample t-tests, chi-square tests, and thematic analysis. Findings revealed that university sports significantly enhance self-discipline, tactical decision-making, and conflict resolution skills (p &lt; 0.001), but have limited influence on adaptive grit. Practical skills acquisition was uneven, with strong competence in theoretical planning (66.8% agreement) but weak performance in applied roles such as officiating (78.1% disagreement) and injury assessment (52.1% disagreement). Institutional analysis indicated that material constraints, particularly inadequate sports-science infrastructure, significantly hinder competency integration (M = 3.66, p &lt; 0.001), while other factors remained statistically neutral. The study concludes that university sports contribute meaningfully to selected competencies but remain structurally misaligned with competency-based education objectives. It recommends integration of experiential learning frameworks, investment in sports-science facilities, and policy reforms to formally recognize sports participation as a credit-bearing academic component.</w:t>
      </w:r>
    </w:p>
    <w:p w14:paraId="4A5E843A" w14:textId="6475E173" w:rsidR="00101077" w:rsidRPr="0079329A" w:rsidRDefault="00101077" w:rsidP="0079329A">
      <w:pPr>
        <w:spacing w:after="95" w:line="276" w:lineRule="auto"/>
        <w:ind w:left="-5" w:right="0"/>
        <w:rPr>
          <w:rFonts w:ascii="Times New Roman" w:hAnsi="Times New Roman" w:cs="Times New Roman"/>
          <w:sz w:val="22"/>
          <w:szCs w:val="22"/>
        </w:rPr>
      </w:pPr>
      <w:r w:rsidRPr="0079329A">
        <w:rPr>
          <w:rFonts w:ascii="Times New Roman" w:hAnsi="Times New Roman" w:cs="Times New Roman"/>
          <w:b/>
          <w:sz w:val="22"/>
          <w:szCs w:val="22"/>
        </w:rPr>
        <w:t>Keywords</w:t>
      </w:r>
      <w:r w:rsidRPr="0079329A">
        <w:rPr>
          <w:rFonts w:ascii="Times New Roman" w:hAnsi="Times New Roman" w:cs="Times New Roman"/>
          <w:sz w:val="22"/>
          <w:szCs w:val="22"/>
        </w:rPr>
        <w:t>: Competency-based education; university sports; sports science infrastructure.</w:t>
      </w:r>
    </w:p>
    <w:p w14:paraId="59991182" w14:textId="1A6DF121" w:rsidR="00101077" w:rsidRPr="0079329A" w:rsidRDefault="00101077" w:rsidP="0079329A">
      <w:pPr>
        <w:spacing w:after="262" w:line="276" w:lineRule="auto"/>
        <w:ind w:left="-5" w:right="0"/>
        <w:rPr>
          <w:rFonts w:ascii="Times New Roman" w:hAnsi="Times New Roman" w:cs="Times New Roman"/>
          <w:sz w:val="22"/>
          <w:szCs w:val="22"/>
        </w:rPr>
      </w:pPr>
      <w:r w:rsidRPr="0079329A">
        <w:rPr>
          <w:rFonts w:ascii="Times New Roman" w:hAnsi="Times New Roman" w:cs="Times New Roman"/>
          <w:i/>
          <w:iCs/>
          <w:sz w:val="22"/>
          <w:szCs w:val="22"/>
        </w:rPr>
        <w:t>.</w:t>
      </w:r>
    </w:p>
    <w:p w14:paraId="5BBE949C" w14:textId="77777777" w:rsidR="0079329A" w:rsidRDefault="0079329A" w:rsidP="0079329A">
      <w:pPr>
        <w:pStyle w:val="Heading1"/>
        <w:spacing w:line="276" w:lineRule="auto"/>
        <w:ind w:left="-5" w:right="0"/>
        <w:rPr>
          <w:rFonts w:ascii="Times New Roman" w:hAnsi="Times New Roman" w:cs="Times New Roman"/>
          <w:sz w:val="22"/>
          <w:szCs w:val="22"/>
        </w:rPr>
        <w:sectPr w:rsidR="0079329A" w:rsidSect="0079329A">
          <w:headerReference w:type="even" r:id="rId9"/>
          <w:headerReference w:type="default" r:id="rId10"/>
          <w:footerReference w:type="even" r:id="rId11"/>
          <w:footerReference w:type="default" r:id="rId12"/>
          <w:headerReference w:type="first" r:id="rId13"/>
          <w:footerReference w:type="first" r:id="rId14"/>
          <w:type w:val="continuous"/>
          <w:pgSz w:w="12240" w:h="15840"/>
          <w:pgMar w:top="1571" w:right="1435" w:bottom="1501" w:left="1440" w:header="720" w:footer="720" w:gutter="0"/>
          <w:cols w:space="464"/>
        </w:sectPr>
      </w:pPr>
    </w:p>
    <w:p w14:paraId="366374A8" w14:textId="77777777" w:rsidR="00C33641" w:rsidRPr="0079329A" w:rsidRDefault="00000000" w:rsidP="0079329A">
      <w:pPr>
        <w:pStyle w:val="Heading1"/>
        <w:spacing w:line="276" w:lineRule="auto"/>
        <w:ind w:left="-5" w:right="0"/>
        <w:rPr>
          <w:rFonts w:ascii="Times New Roman" w:hAnsi="Times New Roman" w:cs="Times New Roman"/>
          <w:sz w:val="22"/>
          <w:szCs w:val="22"/>
        </w:rPr>
      </w:pPr>
      <w:r w:rsidRPr="0079329A">
        <w:rPr>
          <w:rFonts w:ascii="Times New Roman" w:hAnsi="Times New Roman" w:cs="Times New Roman"/>
          <w:sz w:val="22"/>
          <w:szCs w:val="22"/>
        </w:rPr>
        <w:t xml:space="preserve">Introduction </w:t>
      </w:r>
    </w:p>
    <w:p w14:paraId="207F1D3C" w14:textId="77777777" w:rsidR="00C33641" w:rsidRPr="0079329A" w:rsidRDefault="00000000" w:rsidP="0079329A">
      <w:pPr>
        <w:spacing w:line="276" w:lineRule="auto"/>
        <w:ind w:left="-5" w:right="0"/>
        <w:rPr>
          <w:rFonts w:ascii="Times New Roman" w:hAnsi="Times New Roman" w:cs="Times New Roman"/>
          <w:sz w:val="22"/>
          <w:szCs w:val="22"/>
        </w:rPr>
      </w:pPr>
      <w:r w:rsidRPr="0079329A">
        <w:rPr>
          <w:rFonts w:ascii="Times New Roman" w:hAnsi="Times New Roman" w:cs="Times New Roman"/>
          <w:sz w:val="22"/>
          <w:szCs w:val="22"/>
        </w:rPr>
        <w:t xml:space="preserve">Geography education in rural Kenya faces persistent challenges. Despite global advances in educational technology, many classrooms still rely on rote memorization, limiting engagement and skills development (Odera, 2016). This study examines how Geo-technologies, Geographic Information Systems (GIS), Global Positioning Systems (GPS), and remote sensing can transform Geography learning in Siaya County, a pioneer in </w:t>
      </w:r>
      <w:r w:rsidRPr="0079329A">
        <w:rPr>
          <w:rFonts w:ascii="Times New Roman" w:hAnsi="Times New Roman" w:cs="Times New Roman"/>
          <w:sz w:val="22"/>
          <w:szCs w:val="22"/>
        </w:rPr>
        <w:t xml:space="preserve">NEPAD’s digital education program, but where integration remains limited. </w:t>
      </w:r>
    </w:p>
    <w:p w14:paraId="660B842C" w14:textId="77777777" w:rsidR="00101077" w:rsidRPr="0079329A" w:rsidRDefault="00101077"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Globally, contemporary higher education systems are undergoing a paradigm shift, transitioning from traditional, rote-learning formats toward learner-centered, Competency-Based Education (CBE) models. International bodies such as the United Nations Educational, Scientific and Cultural Organization (UNESCO) have championed this evolution, recognizing that the demands of the </w:t>
      </w:r>
      <w:r w:rsidRPr="0079329A">
        <w:rPr>
          <w:rFonts w:ascii="Times New Roman" w:hAnsi="Times New Roman" w:cs="Times New Roman"/>
          <w:sz w:val="22"/>
          <w:szCs w:val="22"/>
        </w:rPr>
        <w:lastRenderedPageBreak/>
        <w:t xml:space="preserve">modern global labor market require graduates who possess practical skills, emotional intelligence, and adaptable problem-solving capabilities rather than just theoretical knowledge (Sangwa, 2025). Within this educational realignment, university sports programmes have emerged as a critical pedagogical platform. Far from being simple extracurricular distractions, structured athletic frameworks are increasingly utilized globally to foster core competencies like collaborative teamwork, ethical leadership, strategic decision-making, and personal resilience (Staurowsky </w:t>
      </w:r>
      <w:r w:rsidRPr="0079329A">
        <w:rPr>
          <w:rFonts w:ascii="Times New Roman" w:hAnsi="Times New Roman" w:cs="Times New Roman"/>
          <w:i/>
          <w:iCs/>
          <w:sz w:val="22"/>
          <w:szCs w:val="22"/>
        </w:rPr>
        <w:t>et al</w:t>
      </w:r>
      <w:r w:rsidRPr="0079329A">
        <w:rPr>
          <w:rFonts w:ascii="Times New Roman" w:hAnsi="Times New Roman" w:cs="Times New Roman"/>
          <w:sz w:val="22"/>
          <w:szCs w:val="22"/>
        </w:rPr>
        <w:t xml:space="preserve">., 2020). These global developments demonstrate that intentional integration between academic curricular frameworks and physical education is vital to achieving holistic student growth. </w:t>
      </w:r>
    </w:p>
    <w:p w14:paraId="62DA87EA" w14:textId="77777777" w:rsidR="00101077" w:rsidRPr="0079329A" w:rsidRDefault="00101077"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In European higher education, the concept of Sport Education has been heavily institutionalized to bridge the gap between academic theory and physical application (Aldous and Brown, 2021). By organizing university sports tournaments around cooperative models where students assume diverse roles; such as coaches, technical analysts, fitness trainers, and media content managers; universities systematically build operational and professional competencies. Studies across continental sports science programmes indicate that this experiential environment significantly enhances a student's sense of accountability, self-regulation, and workplace readiness. These findings highlight that university athletic departments function as practical, experiential learning laboratories where student-athletes can practice and perfect the exact competencies demanded by modern industries (Gomez and Echague, 2026).</w:t>
      </w:r>
    </w:p>
    <w:p w14:paraId="749D067A" w14:textId="77777777" w:rsidR="00101077" w:rsidRPr="0079329A" w:rsidRDefault="00101077"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Across many Asian higher education setups, including systems in Japan, South Korea, and Singapore, university physical education curricula are closely aligned with national workforce wellness strategies. These countries use university sports as an intentional tool to build social intelligence, physical literacy, and cognitive focus </w:t>
      </w:r>
      <w:r w:rsidRPr="0079329A">
        <w:rPr>
          <w:rFonts w:ascii="Times New Roman" w:hAnsi="Times New Roman" w:cs="Times New Roman"/>
          <w:sz w:val="22"/>
          <w:szCs w:val="22"/>
        </w:rPr>
        <w:t>among young adults. Empirical assessments indicate that embedding clear learning outcomes within university sports clubs builds strong cross-functional soft skills and high mental endurance, since success depends on collaborative strategy, emotional control, and iterative learning under pressure. This international integration emphasizes that utilizing sports to promote competency-based learning outcomes is essential to enriching the contemporary higher education experience and building well-rounded citizens (Soh, 2023).</w:t>
      </w:r>
    </w:p>
    <w:p w14:paraId="470E7ACB" w14:textId="77777777" w:rsidR="00101077" w:rsidRPr="0079329A" w:rsidRDefault="00101077"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Within the African higher education landscape, the pedagogical potential of university sports remains largely underutilized and structurally isolated from core academic programs. Historically, competitive sports in African universities have been managed through an entertainment or purely recreational framework, focusing on trophies and athletic prestige rather than student skill development (Kohe, 2018). Research in West and South African universities reveals that sports departments frequently operate in administrative silos, separated from academic faculties. This division prevents universities from tracking how sports participation helps develop critical, transferable professional skills, causing institutions to miss valuable opportunities to enhance student employment outcomes (Sanders, 2018; Ringstead, 2025)</w:t>
      </w:r>
    </w:p>
    <w:p w14:paraId="11899CFC" w14:textId="77777777" w:rsidR="00101077" w:rsidRPr="0079329A" w:rsidRDefault="00101077"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In East Africa, higher education regulatory bodies have initiated macro-level curricular reforms aimed at integrating competence-led learning outcomes to address rising graduate unemployment rates. However, translating these regional policy directives into practical campus-level athletic execution remains a major bottleneck in country like Tanzania Machange, 2016 highlight that outdated administrative structures and a lack of formalized Sport Education models often mean that university sports are viewed as non-academic pastimes rather than formal educational tools. This administrative disconnect underlines the urgent need for East African higher education institutions </w:t>
      </w:r>
      <w:r w:rsidRPr="0079329A">
        <w:rPr>
          <w:rFonts w:ascii="Times New Roman" w:hAnsi="Times New Roman" w:cs="Times New Roman"/>
          <w:sz w:val="22"/>
          <w:szCs w:val="22"/>
        </w:rPr>
        <w:lastRenderedPageBreak/>
        <w:t>to redesign their athletic programmes as formal pathways for practical skill acquisition (Machange, 2016).</w:t>
      </w:r>
    </w:p>
    <w:p w14:paraId="67581DDA" w14:textId="77777777" w:rsidR="00101077" w:rsidRPr="0079329A" w:rsidRDefault="00101077"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According to Mulumba (2025) on cross-border students’ perceptions of institutional capacity and educational services in public and private universities in Uganda, institutional capacity is a key determinant of students’ satisfaction with higher education service delivery. The study found significant differences between public and private universities in perceived institutional capacity and quality of educational services, particularly in libraries, computer laboratories, health services, accommodation, research support, teaching quality, and community engagement, although no significant differences were observed in sports services. It further established a significant relationship between institutional capacity and students’ satisfaction with educational services, leading to the conclusion that most cross-border students were generally dissatisfied with institutional capacity and service provision in universities. The study therefore recommended strengthening institutional infrastructure, improving accommodation standards, enhancing ICT and library resources, reinforcing quality assurance mechanisms in teaching, and expanding student support services to improve the overall quality of higher education in Ugandan universities (Mulumba, 2025).</w:t>
      </w:r>
    </w:p>
    <w:p w14:paraId="3A7E17C7" w14:textId="77777777" w:rsidR="00101077" w:rsidRPr="0079329A" w:rsidRDefault="00101077"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According to Kubai, Mwangi, and Owiti (2021) on university education academic policies and students’ sports talent development in Kenya, there is a significant relationship between institutional academic policies and the development of students’ sports talent in universities. The study found that although universities are expected to support sports talent development, existing academic policies tend to prioritize academic achievement over sports, thereby limiting the effective nurturing of athletic talent. Statistical analysis confirmed a significant relationship between policy implementation and sports talent </w:t>
      </w:r>
      <w:r w:rsidRPr="0079329A">
        <w:rPr>
          <w:rFonts w:ascii="Times New Roman" w:hAnsi="Times New Roman" w:cs="Times New Roman"/>
          <w:sz w:val="22"/>
          <w:szCs w:val="22"/>
        </w:rPr>
        <w:t xml:space="preserve">development (χ²(16) = 97.397, p ≤ 0.05), although the strength of the relationship was found to be moderate and inversely related (Cramer’s V = 0.253; Pearson’s r = -0.004). The study therefore concluded that current university policies do not sufficiently support sports talent development and recommended policy reforms to strengthen and realign university academic frameworks to better promote student participation and excellence in sports within Kenyan universities (Kubai </w:t>
      </w:r>
      <w:r w:rsidRPr="0079329A">
        <w:rPr>
          <w:rFonts w:ascii="Times New Roman" w:hAnsi="Times New Roman" w:cs="Times New Roman"/>
          <w:i/>
          <w:iCs/>
          <w:sz w:val="22"/>
          <w:szCs w:val="22"/>
        </w:rPr>
        <w:t>et al</w:t>
      </w:r>
      <w:r w:rsidRPr="0079329A">
        <w:rPr>
          <w:rFonts w:ascii="Times New Roman" w:hAnsi="Times New Roman" w:cs="Times New Roman"/>
          <w:sz w:val="22"/>
          <w:szCs w:val="22"/>
        </w:rPr>
        <w:t>., 2021).</w:t>
      </w:r>
    </w:p>
    <w:p w14:paraId="1262F022" w14:textId="77777777" w:rsidR="00101077" w:rsidRPr="0079329A" w:rsidRDefault="00101077"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According to Mauki, Kitur, Ireri, and Ngala (n.d.) on competency-based curriculum implementation and the role of universities in Kenya, the shift toward competency-based education (CBE) represents a major reform in the Kenyan education system aimed at aligning learning outcomes with real-world competencies and societal needs. The study explains that CBE, introduced by the Kenya Institute of Curriculum Development (KICD) and the Ministry of Education, emphasizes the acquisition of practical skills, behavioral competencies, and problem-solving abilities necessary for effective performance in real-life contexts. It further highlights that universities have a critical role in ensuring continuity and alignment of the curriculum across all levels of education by revising academic programmes, teaching approaches, and assessment systems. The study concludes that successful implementation of CBE requires coordinated efforts across educational levels, with universities expected to adapt their curricula to support competency development and national development goals in Kenya (Mauki </w:t>
      </w:r>
      <w:r w:rsidRPr="0079329A">
        <w:rPr>
          <w:rFonts w:ascii="Times New Roman" w:hAnsi="Times New Roman" w:cs="Times New Roman"/>
          <w:i/>
          <w:iCs/>
          <w:sz w:val="22"/>
          <w:szCs w:val="22"/>
        </w:rPr>
        <w:t>et al</w:t>
      </w:r>
      <w:r w:rsidRPr="0079329A">
        <w:rPr>
          <w:rFonts w:ascii="Times New Roman" w:hAnsi="Times New Roman" w:cs="Times New Roman"/>
          <w:sz w:val="22"/>
          <w:szCs w:val="22"/>
        </w:rPr>
        <w:t xml:space="preserve">., n.d.). This structural separation means that while the Kenyan government emphasizes hands-on learning, university sports programmes rarely operate with clear, competency-based learning rubrics. Many Kenyan higher education institutions operate without formal guidelines that connect active sports participation to practical training in physical education, sports medicine, or event management. Consequently, the wealth of </w:t>
      </w:r>
      <w:r w:rsidRPr="0079329A">
        <w:rPr>
          <w:rFonts w:ascii="Times New Roman" w:hAnsi="Times New Roman" w:cs="Times New Roman"/>
          <w:sz w:val="22"/>
          <w:szCs w:val="22"/>
        </w:rPr>
        <w:lastRenderedPageBreak/>
        <w:t>practical leadership, communication, and organizational skills that students gain on the sports pitch remains unmeasured, uncertified, and completely isolated from their academic profiles. This gap demands a thorough investigation to realign university sports as an active tool for skill development and comprehensive sport education.</w:t>
      </w:r>
    </w:p>
    <w:p w14:paraId="43127CCA" w14:textId="77777777" w:rsidR="0079329A" w:rsidRDefault="0079329A" w:rsidP="0079329A">
      <w:pPr>
        <w:spacing w:line="276" w:lineRule="auto"/>
        <w:rPr>
          <w:rFonts w:ascii="Times New Roman" w:hAnsi="Times New Roman" w:cs="Times New Roman"/>
          <w:b/>
          <w:bCs/>
          <w:sz w:val="22"/>
          <w:szCs w:val="22"/>
        </w:rPr>
      </w:pPr>
    </w:p>
    <w:p w14:paraId="78A2FCB9" w14:textId="6F419C34" w:rsidR="00101077" w:rsidRPr="0079329A" w:rsidRDefault="00101077"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Statement of the Problem</w:t>
      </w:r>
    </w:p>
    <w:p w14:paraId="1FC64423" w14:textId="77777777" w:rsidR="00101077" w:rsidRPr="0079329A" w:rsidRDefault="00101077"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Despite the national shift toward competency-based learning paradigms in Kenya and statutory directives from the Commission for University Education (CUE) to institutionalize practical skill acquisition, university sports programmes remain pedagogically isolated from core academic frameworks. Contemporary university athletic structures continue to run on traditional, recreational models that prioritize competitive tournament wins and elite athletic prestige while ignoring the broader learning opportunities within sports. This administrative and pedagogical disconnect leaves university sports operating in a vacuum, where the vast potential to develop key soft skills; such as leadership, ethical decision-making, emotional intelligence, and teamwork; is completely unmeasured, uncertified, and underutilized. Within specialized Sport Education programmes, there is an acute shortage of structured frameworks that allow students to gain practical experience in technical roles like coaching, officiating, sports therapy, and event management. This deficit is worsened by rigid institutional barriers, including inadequate equipment, a lack of certified technical trainers, and sports budgets that do not support academic integration. Consequently, university sports are often reduced to simple pastimes, failing to contribute meaningfully to the national agenda of producing employment-ready graduates with practical skills. If left unaddressed, this systemic division will continue to weaken the objectives of the competency-based curriculum in higher </w:t>
      </w:r>
      <w:r w:rsidRPr="0079329A">
        <w:rPr>
          <w:rFonts w:ascii="Times New Roman" w:hAnsi="Times New Roman" w:cs="Times New Roman"/>
          <w:sz w:val="22"/>
          <w:szCs w:val="22"/>
        </w:rPr>
        <w:t>education, stall professional development within Kenyan sports management, and deny students a vital space for practical, holistic education.</w:t>
      </w:r>
    </w:p>
    <w:p w14:paraId="1430C12B" w14:textId="374A1BA3" w:rsidR="00101077" w:rsidRPr="0079329A" w:rsidRDefault="00101077"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Objectives of the Study</w:t>
      </w:r>
    </w:p>
    <w:p w14:paraId="2D6F48EB" w14:textId="31131648" w:rsidR="00101077" w:rsidRPr="0079329A" w:rsidRDefault="00101077"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General Objective</w:t>
      </w:r>
    </w:p>
    <w:p w14:paraId="214D1EFD" w14:textId="77777777" w:rsidR="00101077" w:rsidRPr="0079329A" w:rsidRDefault="00101077"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To examine the role of university sports in promoting competency-based learning outcomes among students in Kenyan universities.</w:t>
      </w:r>
    </w:p>
    <w:p w14:paraId="26AA8B8E" w14:textId="444A885F" w:rsidR="00101077" w:rsidRPr="0079329A" w:rsidRDefault="00101077"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Research Hypotheses</w:t>
      </w:r>
    </w:p>
    <w:p w14:paraId="77B89089" w14:textId="77777777" w:rsidR="00101077" w:rsidRPr="0079329A" w:rsidRDefault="00101077" w:rsidP="0079329A">
      <w:pPr>
        <w:numPr>
          <w:ilvl w:val="0"/>
          <w:numId w:val="1"/>
        </w:numPr>
        <w:spacing w:after="160" w:line="276" w:lineRule="auto"/>
        <w:ind w:right="0"/>
        <w:rPr>
          <w:rFonts w:ascii="Times New Roman" w:hAnsi="Times New Roman" w:cs="Times New Roman"/>
          <w:sz w:val="22"/>
          <w:szCs w:val="22"/>
        </w:rPr>
      </w:pPr>
      <w:r w:rsidRPr="0079329A">
        <w:rPr>
          <w:rFonts w:ascii="Times New Roman" w:hAnsi="Times New Roman" w:cs="Times New Roman"/>
          <w:sz w:val="22"/>
          <w:szCs w:val="22"/>
        </w:rPr>
        <w:t>H</w:t>
      </w:r>
      <w:r w:rsidRPr="0079329A">
        <w:rPr>
          <w:rFonts w:ascii="Times New Roman" w:hAnsi="Times New Roman" w:cs="Times New Roman"/>
          <w:sz w:val="22"/>
          <w:szCs w:val="22"/>
          <w:vertAlign w:val="subscript"/>
        </w:rPr>
        <w:t>0</w:t>
      </w:r>
      <w:r w:rsidRPr="0079329A">
        <w:rPr>
          <w:rFonts w:ascii="Times New Roman" w:hAnsi="Times New Roman" w:cs="Times New Roman"/>
          <w:sz w:val="22"/>
          <w:szCs w:val="22"/>
        </w:rPr>
        <w:t>1: University sports programmes do not significantly contribute to the development of competency-based learning outcomes among Kenyan university students.</w:t>
      </w:r>
    </w:p>
    <w:p w14:paraId="7E8DE2AF" w14:textId="77777777" w:rsidR="00101077" w:rsidRPr="0079329A" w:rsidRDefault="00101077" w:rsidP="0079329A">
      <w:pPr>
        <w:numPr>
          <w:ilvl w:val="0"/>
          <w:numId w:val="1"/>
        </w:numPr>
        <w:spacing w:after="160" w:line="276" w:lineRule="auto"/>
        <w:ind w:right="0"/>
        <w:rPr>
          <w:rFonts w:ascii="Times New Roman" w:hAnsi="Times New Roman" w:cs="Times New Roman"/>
          <w:sz w:val="22"/>
          <w:szCs w:val="22"/>
        </w:rPr>
      </w:pPr>
      <w:r w:rsidRPr="0079329A">
        <w:rPr>
          <w:rFonts w:ascii="Times New Roman" w:hAnsi="Times New Roman" w:cs="Times New Roman"/>
          <w:sz w:val="22"/>
          <w:szCs w:val="22"/>
        </w:rPr>
        <w:t>H</w:t>
      </w:r>
      <w:r w:rsidRPr="0079329A">
        <w:rPr>
          <w:rFonts w:ascii="Times New Roman" w:hAnsi="Times New Roman" w:cs="Times New Roman"/>
          <w:sz w:val="22"/>
          <w:szCs w:val="22"/>
          <w:vertAlign w:val="subscript"/>
        </w:rPr>
        <w:t>0</w:t>
      </w:r>
      <w:r w:rsidRPr="0079329A">
        <w:rPr>
          <w:rFonts w:ascii="Times New Roman" w:hAnsi="Times New Roman" w:cs="Times New Roman"/>
          <w:sz w:val="22"/>
          <w:szCs w:val="22"/>
        </w:rPr>
        <w:t>2: University sports programmes do not significantly enhance practical skills acquisition within specialized Sport Education programmes.</w:t>
      </w:r>
    </w:p>
    <w:p w14:paraId="16BE7D92" w14:textId="285B98A4" w:rsidR="00101077" w:rsidRPr="0079329A" w:rsidRDefault="00101077" w:rsidP="0079329A">
      <w:pPr>
        <w:numPr>
          <w:ilvl w:val="0"/>
          <w:numId w:val="1"/>
        </w:numPr>
        <w:spacing w:after="160" w:line="276" w:lineRule="auto"/>
        <w:ind w:right="0"/>
        <w:rPr>
          <w:rFonts w:ascii="Times New Roman" w:hAnsi="Times New Roman" w:cs="Times New Roman"/>
          <w:sz w:val="22"/>
          <w:szCs w:val="22"/>
        </w:rPr>
      </w:pPr>
      <w:r w:rsidRPr="0079329A">
        <w:rPr>
          <w:rFonts w:ascii="Times New Roman" w:hAnsi="Times New Roman" w:cs="Times New Roman"/>
          <w:sz w:val="22"/>
          <w:szCs w:val="22"/>
        </w:rPr>
        <w:t>H</w:t>
      </w:r>
      <w:r w:rsidRPr="0079329A">
        <w:rPr>
          <w:rFonts w:ascii="Times New Roman" w:hAnsi="Times New Roman" w:cs="Times New Roman"/>
          <w:sz w:val="22"/>
          <w:szCs w:val="22"/>
          <w:vertAlign w:val="subscript"/>
        </w:rPr>
        <w:t>0</w:t>
      </w:r>
      <w:r w:rsidRPr="0079329A">
        <w:rPr>
          <w:rFonts w:ascii="Times New Roman" w:hAnsi="Times New Roman" w:cs="Times New Roman"/>
          <w:sz w:val="22"/>
          <w:szCs w:val="22"/>
        </w:rPr>
        <w:t>3: Institutional factors do not significantly influence the integration of competency-based learning through university sports programmes.</w:t>
      </w:r>
    </w:p>
    <w:p w14:paraId="737A47F8" w14:textId="77777777" w:rsidR="00101077" w:rsidRPr="0079329A" w:rsidRDefault="00101077"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LITERATURE REVIEW</w:t>
      </w:r>
    </w:p>
    <w:p w14:paraId="1BE10D30" w14:textId="5CFB947B" w:rsidR="00101077" w:rsidRPr="0079329A" w:rsidRDefault="00101077"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Kolb’s Experiential Learning Theory</w:t>
      </w:r>
    </w:p>
    <w:p w14:paraId="23C3B30C" w14:textId="77777777" w:rsidR="00101077" w:rsidRPr="0079329A" w:rsidRDefault="00101077"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The primary theoretical foundation for this study is Kolb’s (1984) Experiential Learning Theory (ELT). This model defines learning as the process whereby knowledge is created through the transformation of experience, operating in a four-stage cyclical loop: Concrete Experience, Reflective Observation, Abstract Conceptualization, and Active Experimentation. In tertiary sports, student-athletes do not just absorb abstract definitions of teamwork or stress management from a textbook; they encounter them directly on the pitch during high-stakes competitive situations. ELT establishes that sports function as an immersive learning environment where on-field trials directly build durable </w:t>
      </w:r>
      <w:r w:rsidRPr="0079329A">
        <w:rPr>
          <w:rFonts w:ascii="Times New Roman" w:hAnsi="Times New Roman" w:cs="Times New Roman"/>
          <w:sz w:val="22"/>
          <w:szCs w:val="22"/>
        </w:rPr>
        <w:lastRenderedPageBreak/>
        <w:t xml:space="preserve">behavioral competencies (Wang </w:t>
      </w:r>
      <w:r w:rsidRPr="0079329A">
        <w:rPr>
          <w:rFonts w:ascii="Times New Roman" w:hAnsi="Times New Roman" w:cs="Times New Roman"/>
          <w:i/>
          <w:iCs/>
          <w:sz w:val="22"/>
          <w:szCs w:val="22"/>
        </w:rPr>
        <w:t>et al</w:t>
      </w:r>
      <w:r w:rsidRPr="0079329A">
        <w:rPr>
          <w:rFonts w:ascii="Times New Roman" w:hAnsi="Times New Roman" w:cs="Times New Roman"/>
          <w:sz w:val="22"/>
          <w:szCs w:val="22"/>
        </w:rPr>
        <w:t>., 2025). Applying ELT allows the researcher to analyze the direct pathways through which active sports participation translates into measurable, competency-based outcomes, which directly addresses the development of competency-based learning outcomes and practical skills acquisition within specialized Sport Education programmes. When a student takes on active roles in sport education setups; such as coaching a varsity team, officiating a match, or coordinating a regional tournament; they move continuously through the experiential loop. They encounter real-time logistical or tactical problems, reflect on performance outcomes, conceptualize new strategic solutions, and immediately test those ideas in the next match. This study uses Kolb’s framework to demonstrate that structured university sports provide a valuable, practical laboratory for building transferable soft skills.</w:t>
      </w:r>
    </w:p>
    <w:p w14:paraId="322540DE" w14:textId="77777777" w:rsidR="0079329A" w:rsidRDefault="0079329A" w:rsidP="0079329A">
      <w:pPr>
        <w:spacing w:line="276" w:lineRule="auto"/>
        <w:rPr>
          <w:rFonts w:ascii="Times New Roman" w:hAnsi="Times New Roman" w:cs="Times New Roman"/>
          <w:b/>
          <w:bCs/>
          <w:sz w:val="22"/>
          <w:szCs w:val="22"/>
        </w:rPr>
      </w:pPr>
    </w:p>
    <w:p w14:paraId="25B88736" w14:textId="4834F198" w:rsidR="00101077" w:rsidRPr="0079329A" w:rsidRDefault="00101077"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Resource Dependence Theory</w:t>
      </w:r>
    </w:p>
    <w:p w14:paraId="3327F0C5" w14:textId="77777777" w:rsidR="00101077" w:rsidRPr="0079329A" w:rsidRDefault="00101077"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To complement the pedagogical focus of ELT, this study uses Resource Dependence Theory (RDT), developed by Pfeffer and Salancik (1978), as a supporting framework. RDT argues that the behavior and strategic choices of an organization are significantly influenced by its dependence on external resources, such as funding, specialized personnel, and physical infrastructure (Droll, 2013). Within higher education, university sports departments do not operate in a vacuum; they depend on financial allocations from central university administrations, infrastructure standards set by regulatory bodies, and competitive frameworks provided by the Kenya University Sports Federation (KUSF). This minor theory provides the analytical tools required to address integration of competency-based learning through university sports programmes; which investigates the institutional factors that influence the integration of competency-based learning through </w:t>
      </w:r>
      <w:r w:rsidRPr="0079329A">
        <w:rPr>
          <w:rFonts w:ascii="Times New Roman" w:hAnsi="Times New Roman" w:cs="Times New Roman"/>
          <w:sz w:val="22"/>
          <w:szCs w:val="22"/>
        </w:rPr>
        <w:t>university sports. RDT helps explain why sports departments often face bureaucratic inertia and struggle to align with modern academic reforms. When an institution’s funding metrics heavily prioritize academic research over practical sports science investments, the athletic department is forced to run on minimal budgets. This resource scarcity leaves them unable to purchase specialized sports training equipment or hire certified technical coaches. By applying RDT, this study examines how resource allocation power dynamics shape, and sometimes restrict, the implementation of competence-led sports education.</w:t>
      </w:r>
    </w:p>
    <w:p w14:paraId="1E4C7A5A" w14:textId="14368A7C" w:rsidR="00101077" w:rsidRPr="0079329A" w:rsidRDefault="00101077" w:rsidP="0079329A">
      <w:pPr>
        <w:pStyle w:val="Heading2"/>
        <w:spacing w:line="276" w:lineRule="auto"/>
        <w:rPr>
          <w:rFonts w:ascii="Times New Roman" w:hAnsi="Times New Roman" w:cs="Times New Roman"/>
          <w:sz w:val="22"/>
          <w:szCs w:val="22"/>
        </w:rPr>
      </w:pPr>
      <w:bookmarkStart w:id="0" w:name="_Toc230185033"/>
      <w:r w:rsidRPr="0079329A">
        <w:rPr>
          <w:rFonts w:ascii="Times New Roman" w:hAnsi="Times New Roman" w:cs="Times New Roman"/>
          <w:sz w:val="22"/>
          <w:szCs w:val="22"/>
        </w:rPr>
        <w:t>Empirical Review</w:t>
      </w:r>
      <w:bookmarkEnd w:id="0"/>
    </w:p>
    <w:p w14:paraId="76FE9ECA" w14:textId="7A5E7189" w:rsidR="00101077" w:rsidRPr="0079329A" w:rsidRDefault="00101077"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Contribution of University Sports to Learning Outcomes</w:t>
      </w:r>
    </w:p>
    <w:p w14:paraId="211EB242" w14:textId="77777777" w:rsidR="00101077" w:rsidRPr="0079329A" w:rsidRDefault="00101077"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According to Liu and Taresh (2024), sports participation has a significant positive influence on college students’ learning outcomes across multiple universities. The study found that moderate participation in sports is strongly associated with improved academic performance, better mental health, and enhanced time management skills among students. In addition, qualitative findings showed that engagement in sports contributes to the development of self-confidence, teamwork abilities, and stress management skills, all of which indirectly support academic success. However, the study also noted that excessive involvement in sports may negatively affect students’ study time and academic balance. Overall, the authors concluded that sports participation plays a complementary role in higher education by enhancing both cognitive and psychosocial aspects of student development, while emphasizing the need for balanced engagement policies within universities to maximize learning outcomes</w:t>
      </w:r>
    </w:p>
    <w:p w14:paraId="31A93FA8" w14:textId="77777777" w:rsidR="00101077" w:rsidRPr="0079329A" w:rsidRDefault="00101077"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According to Cameron </w:t>
      </w:r>
      <w:r w:rsidRPr="0079329A">
        <w:rPr>
          <w:rFonts w:ascii="Times New Roman" w:hAnsi="Times New Roman" w:cs="Times New Roman"/>
          <w:i/>
          <w:iCs/>
          <w:sz w:val="22"/>
          <w:szCs w:val="22"/>
        </w:rPr>
        <w:t>et al</w:t>
      </w:r>
      <w:r w:rsidRPr="0079329A">
        <w:rPr>
          <w:rFonts w:ascii="Times New Roman" w:hAnsi="Times New Roman" w:cs="Times New Roman"/>
          <w:sz w:val="22"/>
          <w:szCs w:val="22"/>
        </w:rPr>
        <w:t>., 2018, there is no significant disadvantage in learning outcomes between widening participation (WP) and non-</w:t>
      </w:r>
      <w:r w:rsidRPr="0079329A">
        <w:rPr>
          <w:rFonts w:ascii="Times New Roman" w:hAnsi="Times New Roman" w:cs="Times New Roman"/>
          <w:sz w:val="22"/>
          <w:szCs w:val="22"/>
        </w:rPr>
        <w:lastRenderedPageBreak/>
        <w:t xml:space="preserve">widening participation students in university sports degree programmes. The study found that students from WP backgrounds were equally likely to achieve good degrees and secure graduate or sports-related employment compared to their non-WP peers, indicating comparable levels of academic learning gain and post-graduation success. This suggests that inclusive admission strategies in sports-related higher education do not negatively affect academic performance or graduate outcomes. </w:t>
      </w:r>
    </w:p>
    <w:p w14:paraId="44FBD3EB" w14:textId="77777777" w:rsidR="00101077" w:rsidRPr="0079329A" w:rsidRDefault="00101077"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According to Bessa </w:t>
      </w:r>
      <w:r w:rsidRPr="0079329A">
        <w:rPr>
          <w:rFonts w:ascii="Times New Roman" w:hAnsi="Times New Roman" w:cs="Times New Roman"/>
          <w:i/>
          <w:iCs/>
          <w:sz w:val="22"/>
          <w:szCs w:val="22"/>
        </w:rPr>
        <w:t>et al</w:t>
      </w:r>
      <w:r w:rsidRPr="0079329A">
        <w:rPr>
          <w:rFonts w:ascii="Times New Roman" w:hAnsi="Times New Roman" w:cs="Times New Roman"/>
          <w:sz w:val="22"/>
          <w:szCs w:val="22"/>
        </w:rPr>
        <w:t xml:space="preserve">., 2021, instructional models in Physical Education significantly influence students’ learning outcomes when comparing Sport Education (SE) and Traditional Teaching (TT) approaches. The systematic review found that both SE and TT contribute to improvements in motor, cognitive, personal, and social skill development; however, Sport Education consistently produces superior outcomes across most learning domains. The findings by Bessa </w:t>
      </w:r>
      <w:r w:rsidRPr="0079329A">
        <w:rPr>
          <w:rFonts w:ascii="Times New Roman" w:hAnsi="Times New Roman" w:cs="Times New Roman"/>
          <w:i/>
          <w:iCs/>
          <w:sz w:val="22"/>
          <w:szCs w:val="22"/>
        </w:rPr>
        <w:t>et al</w:t>
      </w:r>
      <w:r w:rsidRPr="0079329A">
        <w:rPr>
          <w:rFonts w:ascii="Times New Roman" w:hAnsi="Times New Roman" w:cs="Times New Roman"/>
          <w:sz w:val="22"/>
          <w:szCs w:val="22"/>
        </w:rPr>
        <w:t>., 2021 indicate that SE is more effective in enhancing teamwork, engagement, and holistic skill development compared to traditional instructional methods. Despite this advantage, the study also notes that both teaching approaches can yield positive learning gains depending on implementation quality. The authors therefore recommend stronger methodological designs and improved fidelity in future studies to better understand how different pedagogical models influence student learning outcomes in Physical Education contexts.</w:t>
      </w:r>
    </w:p>
    <w:p w14:paraId="0BFDA794" w14:textId="77777777" w:rsidR="00101077" w:rsidRPr="0079329A" w:rsidRDefault="00101077"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The use of student-centred, project-based learning (PBL) in sports-related statistics courses significantly improves students’ learning outcomes and quantitative analysis skills. The study by Lu, 2023 found that many university students initially struggle with statistics due to abstract content, negative attitudes, and limited mathematical confidence; however, integrating sports-related examples and collaborative group projects helps make statistical concepts more practical and </w:t>
      </w:r>
      <w:r w:rsidRPr="0079329A">
        <w:rPr>
          <w:rFonts w:ascii="Times New Roman" w:hAnsi="Times New Roman" w:cs="Times New Roman"/>
          <w:sz w:val="22"/>
          <w:szCs w:val="22"/>
        </w:rPr>
        <w:t xml:space="preserve">engaging. Results showed that PBL not only enhances students’ understanding of statistical theories but also improves their ability to apply quantitative tools in real-world sports, leisure, and tourism contexts. The study further emphasized that traditional lecture-based approaches are less effective in developing core analytical competencies, while interactive, problem-solving-based instruction fosters higher learning efficiency and engagement. </w:t>
      </w:r>
    </w:p>
    <w:p w14:paraId="1D129E00" w14:textId="77777777" w:rsidR="00101077" w:rsidRPr="0079329A" w:rsidRDefault="00101077"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Student engagement has a significant influence on learning outcomes among undergraduate sports science students in Ethiopia. The study by Tadesse (2021), found that students exhibited above-average levels of engagement and learning achievement, with engagement factors showing statistically significant relationships with learning outcomes. Although the relationships were generally low to moderate, regression analysis indicated that student engagement independently and jointly explained between 17% and 50% of the variation in learning outcomes (p &lt; .001), demonstrating meaningful predictive effects. The study by Tadesse (2021), further revealed differential effects of various engagement dimensions on academic performance, suggesting that not all forms of engagement contribute equally to learning outcomes. </w:t>
      </w:r>
    </w:p>
    <w:p w14:paraId="6E44398B" w14:textId="77777777" w:rsidR="00101077" w:rsidRPr="0079329A" w:rsidRDefault="00101077"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According to Tadesse and Edo (2021) carried out a study on the relationships between student engagement and learning outcomes in undergraduate sports science programs in Ethiopia, student engagement plays a significant role in shaping learning outcomes among university students. The study found that undergraduate sports science students exhibited above-average levels of engagement and learning outcomes, with statistically significant relationships between engagement factors and academic outcomes. Although the relationships were generally low to moderate, they were still meaningful, with engagement dimensions independently and jointly explaining between 17% and 50% of the variation </w:t>
      </w:r>
      <w:r w:rsidRPr="0079329A">
        <w:rPr>
          <w:rFonts w:ascii="Times New Roman" w:hAnsi="Times New Roman" w:cs="Times New Roman"/>
          <w:sz w:val="22"/>
          <w:szCs w:val="22"/>
        </w:rPr>
        <w:lastRenderedPageBreak/>
        <w:t>in learning outcomes (p &lt; 0.001). The study further emphasized the importance of student–teacher relationships, instructional quality, and active participation in enhancing academic success. It concluded that higher education institutions should strengthen engagement-driven teaching strategies, improve faculty development, and increase academic rigor to promote better learning outcomes among sports science students in Ethiopian universities (Tadesse &amp; Edo, 2021).</w:t>
      </w:r>
    </w:p>
    <w:p w14:paraId="756639F7" w14:textId="77777777" w:rsidR="0079329A" w:rsidRDefault="0079329A" w:rsidP="0079329A">
      <w:pPr>
        <w:spacing w:line="276" w:lineRule="auto"/>
        <w:rPr>
          <w:rFonts w:ascii="Times New Roman" w:hAnsi="Times New Roman" w:cs="Times New Roman"/>
          <w:b/>
          <w:bCs/>
          <w:sz w:val="22"/>
          <w:szCs w:val="22"/>
        </w:rPr>
      </w:pPr>
    </w:p>
    <w:p w14:paraId="4A6077A4" w14:textId="34F3508E" w:rsidR="00101077" w:rsidRPr="0079329A" w:rsidRDefault="00101077"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The Role of University Sports in Practical Skills Acquisition in Sport Education</w:t>
      </w:r>
    </w:p>
    <w:p w14:paraId="71DAA904" w14:textId="77777777" w:rsidR="00101077" w:rsidRPr="0079329A" w:rsidRDefault="00101077"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The pedagogical value of Sport Education programs depends heavily on the availability of structured pathways for practical skills acquisition. Globally, sport education models move beyond teaching basic physical fitness to train students in specialized, technical roles such as sports coaching, athletic officiating, physical therapy, and sports event management. According to Ushkarenko </w:t>
      </w:r>
      <w:r w:rsidRPr="0079329A">
        <w:rPr>
          <w:rFonts w:ascii="Times New Roman" w:hAnsi="Times New Roman" w:cs="Times New Roman"/>
          <w:i/>
          <w:iCs/>
          <w:sz w:val="22"/>
          <w:szCs w:val="22"/>
        </w:rPr>
        <w:t>et al</w:t>
      </w:r>
      <w:r w:rsidRPr="0079329A">
        <w:rPr>
          <w:rFonts w:ascii="Times New Roman" w:hAnsi="Times New Roman" w:cs="Times New Roman"/>
          <w:sz w:val="22"/>
          <w:szCs w:val="22"/>
        </w:rPr>
        <w:t xml:space="preserve">., 2024, the development of professional competencies in sports management is strongly influenced by the quality and diversity of knowledge sources used in training programs. The study by Ushkarenko </w:t>
      </w:r>
      <w:r w:rsidRPr="0079329A">
        <w:rPr>
          <w:rFonts w:ascii="Times New Roman" w:hAnsi="Times New Roman" w:cs="Times New Roman"/>
          <w:i/>
          <w:iCs/>
          <w:sz w:val="22"/>
          <w:szCs w:val="22"/>
        </w:rPr>
        <w:t>et al</w:t>
      </w:r>
      <w:r w:rsidRPr="0079329A">
        <w:rPr>
          <w:rFonts w:ascii="Times New Roman" w:hAnsi="Times New Roman" w:cs="Times New Roman"/>
          <w:sz w:val="22"/>
          <w:szCs w:val="22"/>
        </w:rPr>
        <w:t xml:space="preserve">., 2024 highlights that while university education remains a foundational source of theoretical knowledge, it is often insufficient in providing adequate practical experience required in the sports industry. To bridge this gap, the authors emphasize the importance of integrating internships, volunteer programs, professional associations, conferences, and online learning platforms into sports management education. The study by Ushkarenko </w:t>
      </w:r>
      <w:r w:rsidRPr="0079329A">
        <w:rPr>
          <w:rFonts w:ascii="Times New Roman" w:hAnsi="Times New Roman" w:cs="Times New Roman"/>
          <w:i/>
          <w:iCs/>
          <w:sz w:val="22"/>
          <w:szCs w:val="22"/>
        </w:rPr>
        <w:t>et al</w:t>
      </w:r>
      <w:r w:rsidRPr="0079329A">
        <w:rPr>
          <w:rFonts w:ascii="Times New Roman" w:hAnsi="Times New Roman" w:cs="Times New Roman"/>
          <w:sz w:val="22"/>
          <w:szCs w:val="22"/>
        </w:rPr>
        <w:t xml:space="preserve">., 2024 further notes that digital technologies and modern educational tools are increasingly shaping the field, requiring continuous updating of curricula to align with international standards. </w:t>
      </w:r>
    </w:p>
    <w:p w14:paraId="6C92E182" w14:textId="77777777" w:rsidR="00101077" w:rsidRPr="0079329A" w:rsidRDefault="00101077"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Mental practice plays a significant role in the acquisition and enhancement of motor skills, particularly within sports training and surgical </w:t>
      </w:r>
      <w:r w:rsidRPr="0079329A">
        <w:rPr>
          <w:rFonts w:ascii="Times New Roman" w:hAnsi="Times New Roman" w:cs="Times New Roman"/>
          <w:sz w:val="22"/>
          <w:szCs w:val="22"/>
        </w:rPr>
        <w:t xml:space="preserve">education contexts. The study by Rogers (2006), explains that mental practice; defined as the cognitive rehearsal of a task without physical movement; has been widely documented in sports literature as an effective method for improving performance, skill acquisition, and emotional preparedness in high-pressure situations. It further notes that mental imagery techniques, including “covert rehearsal” and “imaginary practice,” can enhance learning outcomes by strengthening cognitive understanding of movement patterns and improving execution accuracy. The study by Rogers (2006),concludes that integrating mental practice into training programs supports both technical skill development and psychological readiness, making it a valuable tool for improving performance in sports and other skill-based professional fields (Rogers, 2006).  </w:t>
      </w:r>
    </w:p>
    <w:p w14:paraId="59E21729" w14:textId="77777777" w:rsidR="00101077" w:rsidRPr="0079329A" w:rsidRDefault="00101077"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According to Temirkhanov </w:t>
      </w:r>
      <w:r w:rsidRPr="0079329A">
        <w:rPr>
          <w:rFonts w:ascii="Times New Roman" w:hAnsi="Times New Roman" w:cs="Times New Roman"/>
          <w:i/>
          <w:iCs/>
          <w:sz w:val="22"/>
          <w:szCs w:val="22"/>
        </w:rPr>
        <w:t>et al</w:t>
      </w:r>
      <w:r w:rsidRPr="0079329A">
        <w:rPr>
          <w:rFonts w:ascii="Times New Roman" w:hAnsi="Times New Roman" w:cs="Times New Roman"/>
          <w:sz w:val="22"/>
          <w:szCs w:val="22"/>
        </w:rPr>
        <w:t xml:space="preserve">. (2024), collaborative learning plays a significant role in enhancing student engagement and the acquisition of practical skills among prospective physical education and sports students. The study by Temirkhanov </w:t>
      </w:r>
      <w:r w:rsidRPr="0079329A">
        <w:rPr>
          <w:rFonts w:ascii="Times New Roman" w:hAnsi="Times New Roman" w:cs="Times New Roman"/>
          <w:i/>
          <w:iCs/>
          <w:sz w:val="22"/>
          <w:szCs w:val="22"/>
        </w:rPr>
        <w:t>et al</w:t>
      </w:r>
      <w:r w:rsidRPr="0079329A">
        <w:rPr>
          <w:rFonts w:ascii="Times New Roman" w:hAnsi="Times New Roman" w:cs="Times New Roman"/>
          <w:sz w:val="22"/>
          <w:szCs w:val="22"/>
        </w:rPr>
        <w:t>. (2024), found that collaborative learning has a positive and statistically significant association with practical skills acquisition, as well as with mediating factors such as self-efficacy and perceived value-benefits. Sport science graduates generally perceive university education as beneficial in developing key employability and work-related skills. Stronger development of personal and interactive skills compared to business or managerial competencies, suggesting that university sport science programmes are more effective in fostering interpersonal and communication abilities than technical employment skills. While university experiences contribute positively to graduate skill development, there remains a need for more structured approaches to ensure balanced development of both soft and professional competencies relevant to the sports industry (Sleap &amp; Reed, 2007).</w:t>
      </w:r>
    </w:p>
    <w:p w14:paraId="519F5F21" w14:textId="77777777" w:rsidR="00101077" w:rsidRPr="0079329A" w:rsidRDefault="00101077"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lastRenderedPageBreak/>
        <w:t xml:space="preserve">According to Choo </w:t>
      </w:r>
      <w:r w:rsidRPr="0079329A">
        <w:rPr>
          <w:rFonts w:ascii="Times New Roman" w:hAnsi="Times New Roman" w:cs="Times New Roman"/>
          <w:i/>
          <w:iCs/>
          <w:sz w:val="22"/>
          <w:szCs w:val="22"/>
        </w:rPr>
        <w:t>et al</w:t>
      </w:r>
      <w:r w:rsidRPr="0079329A">
        <w:rPr>
          <w:rFonts w:ascii="Times New Roman" w:hAnsi="Times New Roman" w:cs="Times New Roman"/>
          <w:sz w:val="22"/>
          <w:szCs w:val="22"/>
        </w:rPr>
        <w:t xml:space="preserve">. (2024), skill acquisition interventions significantly influence the learning of sports-related skills, although the current evidence base remains concentrated on a limited range of contexts and sports. Choo </w:t>
      </w:r>
      <w:r w:rsidRPr="0079329A">
        <w:rPr>
          <w:rFonts w:ascii="Times New Roman" w:hAnsi="Times New Roman" w:cs="Times New Roman"/>
          <w:i/>
          <w:iCs/>
          <w:sz w:val="22"/>
          <w:szCs w:val="22"/>
        </w:rPr>
        <w:t>et al</w:t>
      </w:r>
      <w:r w:rsidRPr="0079329A">
        <w:rPr>
          <w:rFonts w:ascii="Times New Roman" w:hAnsi="Times New Roman" w:cs="Times New Roman"/>
          <w:sz w:val="22"/>
          <w:szCs w:val="22"/>
        </w:rPr>
        <w:t xml:space="preserve">. (2024) noted limitations in the literature, including small sample sizes, inconsistent methodologies, short-term retention testing, and a lack of diversity in sports contexts. The study by Choo </w:t>
      </w:r>
      <w:r w:rsidRPr="0079329A">
        <w:rPr>
          <w:rFonts w:ascii="Times New Roman" w:hAnsi="Times New Roman" w:cs="Times New Roman"/>
          <w:i/>
          <w:iCs/>
          <w:sz w:val="22"/>
          <w:szCs w:val="22"/>
        </w:rPr>
        <w:t>et al</w:t>
      </w:r>
      <w:r w:rsidRPr="0079329A">
        <w:rPr>
          <w:rFonts w:ascii="Times New Roman" w:hAnsi="Times New Roman" w:cs="Times New Roman"/>
          <w:sz w:val="22"/>
          <w:szCs w:val="22"/>
        </w:rPr>
        <w:t>. (2024); concludes that while skill acquisition interventions are generally effective in improving motor learning, more rigorous and diverse empirical research is needed to strengthen the evidence base and guide effective application in real-world sports settings (Choo et al., 2024).</w:t>
      </w:r>
    </w:p>
    <w:p w14:paraId="6A1149A8" w14:textId="77777777" w:rsidR="00101077" w:rsidRPr="0079329A" w:rsidRDefault="00101077"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According to Hastie </w:t>
      </w:r>
      <w:r w:rsidRPr="0079329A">
        <w:rPr>
          <w:rFonts w:ascii="Times New Roman" w:hAnsi="Times New Roman" w:cs="Times New Roman"/>
          <w:i/>
          <w:iCs/>
          <w:sz w:val="22"/>
          <w:szCs w:val="22"/>
        </w:rPr>
        <w:t>et al</w:t>
      </w:r>
      <w:r w:rsidRPr="0079329A">
        <w:rPr>
          <w:rFonts w:ascii="Times New Roman" w:hAnsi="Times New Roman" w:cs="Times New Roman"/>
          <w:sz w:val="22"/>
          <w:szCs w:val="22"/>
        </w:rPr>
        <w:t xml:space="preserve">., 2013, Sport Education as a pedagogical model is more effective than traditional teacher-directed instruction in enhancing students’ skill execution and content knowledge in physical education contexts. The study found that although both Sport Education and traditional teaching groups improved significantly over time, students taught under the Sport Education model demonstrated superior performance in both technical skill execution and athletic technique in track and field events. Additionally, only the Sport Education group showed significant improvements in content knowledge, which was attributed to its emphasis on formal competition, team affiliation, and accountability in roles such as officiating. In contrast, the traditional instruction group showed no significant improvement when assessed at standard instructional time intervals. (Hastie </w:t>
      </w:r>
      <w:r w:rsidRPr="0079329A">
        <w:rPr>
          <w:rFonts w:ascii="Times New Roman" w:hAnsi="Times New Roman" w:cs="Times New Roman"/>
          <w:i/>
          <w:iCs/>
          <w:sz w:val="22"/>
          <w:szCs w:val="22"/>
        </w:rPr>
        <w:t>et al.,</w:t>
      </w:r>
      <w:r w:rsidRPr="0079329A">
        <w:rPr>
          <w:rFonts w:ascii="Times New Roman" w:hAnsi="Times New Roman" w:cs="Times New Roman"/>
          <w:sz w:val="22"/>
          <w:szCs w:val="22"/>
        </w:rPr>
        <w:t xml:space="preserve"> 2013).</w:t>
      </w:r>
    </w:p>
    <w:p w14:paraId="489C11EB" w14:textId="77777777" w:rsidR="0079329A" w:rsidRDefault="0079329A" w:rsidP="0079329A">
      <w:pPr>
        <w:spacing w:line="276" w:lineRule="auto"/>
        <w:rPr>
          <w:rFonts w:ascii="Times New Roman" w:hAnsi="Times New Roman" w:cs="Times New Roman"/>
          <w:b/>
          <w:bCs/>
          <w:sz w:val="22"/>
          <w:szCs w:val="22"/>
        </w:rPr>
      </w:pPr>
    </w:p>
    <w:p w14:paraId="3443959D" w14:textId="123CFBFF" w:rsidR="00101077" w:rsidRPr="0079329A" w:rsidRDefault="00101077"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Institutional Factors Influencing the Integration of Competency-Based Learning</w:t>
      </w:r>
    </w:p>
    <w:p w14:paraId="1FCF6AE0" w14:textId="77777777" w:rsidR="00101077" w:rsidRPr="0079329A" w:rsidRDefault="00101077"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According to the study by Molina </w:t>
      </w:r>
      <w:r w:rsidRPr="0079329A">
        <w:rPr>
          <w:rFonts w:ascii="Times New Roman" w:hAnsi="Times New Roman" w:cs="Times New Roman"/>
          <w:i/>
          <w:iCs/>
          <w:sz w:val="22"/>
          <w:szCs w:val="22"/>
        </w:rPr>
        <w:t>et al</w:t>
      </w:r>
      <w:r w:rsidRPr="0079329A">
        <w:rPr>
          <w:rFonts w:ascii="Times New Roman" w:hAnsi="Times New Roman" w:cs="Times New Roman"/>
          <w:sz w:val="22"/>
          <w:szCs w:val="22"/>
        </w:rPr>
        <w:t xml:space="preserve">. (2024), sports sciences education in Spain is increasingly being redefined through the integration of competency-based learning to better align </w:t>
      </w:r>
      <w:r w:rsidRPr="0079329A">
        <w:rPr>
          <w:rFonts w:ascii="Times New Roman" w:hAnsi="Times New Roman" w:cs="Times New Roman"/>
          <w:sz w:val="22"/>
          <w:szCs w:val="22"/>
        </w:rPr>
        <w:t xml:space="preserve">academic training with labour market demands and sustainable employment outcomes. The study argues that modern sports education must move beyond traditional knowledge transmission to incorporate both generic and discipline-specific competencies that prepare graduates for a rapidly changing professional environment influenced by automation and artificial intelligence. </w:t>
      </w:r>
    </w:p>
    <w:p w14:paraId="4F21F008" w14:textId="26684BA0" w:rsidR="00101077" w:rsidRPr="0079329A" w:rsidRDefault="00101077"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According to Sabba (2025), teaching competencies play a crucial role in achieving effective learning outcomes in physical education and sports in secondary schools, with notable differences observed between Algeria and Qatar. The study by Sabba found that while teachers in both countries reported confidence in lesson planning and delivery, significant disparities existed in the use of technology and student engagement strategies, with Qatar demonstrating more advanced integration of STEM-based instructional practices. The findings further revealed that professional development programmes had a stronger impact in Qatar compared to Algeria, where socio-economic constraints limited the effectiveness of competency-based instructional reforms. </w:t>
      </w:r>
    </w:p>
    <w:p w14:paraId="640248E2" w14:textId="77777777" w:rsidR="00101077" w:rsidRPr="0079329A" w:rsidRDefault="00101077"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According to Kinoti </w:t>
      </w:r>
      <w:r w:rsidRPr="0079329A">
        <w:rPr>
          <w:rFonts w:ascii="Times New Roman" w:hAnsi="Times New Roman" w:cs="Times New Roman"/>
          <w:i/>
          <w:iCs/>
          <w:sz w:val="22"/>
          <w:szCs w:val="22"/>
        </w:rPr>
        <w:t>et al</w:t>
      </w:r>
      <w:r w:rsidRPr="0079329A">
        <w:rPr>
          <w:rFonts w:ascii="Times New Roman" w:hAnsi="Times New Roman" w:cs="Times New Roman"/>
          <w:sz w:val="22"/>
          <w:szCs w:val="22"/>
        </w:rPr>
        <w:t xml:space="preserve">. (2025), institutional factors significantly influence the successful implementation of Competency-Based Education and Training (CBET) in Meru County, Kenya. The study found that although some institutions reported adequate teaching and learning resources, there were major challenges including a lack of clear implementation guidelines, insufficient CBET-specific policies, inadequate learning infrastructure, and weak monitoring and evaluation systems. These institutional gaps were found to hinder the effective delivery of competency-based programmes across training institutions. The results further revealed a positive but weak correlation between institutional factors and CBET implementation (r = .286, p &lt; .001), indicating that improvements in institutional support could enhance implementation outcomes. The authors therefore recommend the provision of </w:t>
      </w:r>
      <w:r w:rsidRPr="0079329A">
        <w:rPr>
          <w:rFonts w:ascii="Times New Roman" w:hAnsi="Times New Roman" w:cs="Times New Roman"/>
          <w:sz w:val="22"/>
          <w:szCs w:val="22"/>
        </w:rPr>
        <w:lastRenderedPageBreak/>
        <w:t xml:space="preserve">adequate resources, development of clear policy frameworks, strengthened monitoring and evaluation mechanisms, and enhanced collaboration with government and industry stakeholders to improve CBET implementation effectiveness in Kenyan institutions (Kinoti </w:t>
      </w:r>
      <w:r w:rsidRPr="0079329A">
        <w:rPr>
          <w:rFonts w:ascii="Times New Roman" w:hAnsi="Times New Roman" w:cs="Times New Roman"/>
          <w:i/>
          <w:iCs/>
          <w:sz w:val="22"/>
          <w:szCs w:val="22"/>
        </w:rPr>
        <w:t>et al</w:t>
      </w:r>
      <w:r w:rsidRPr="0079329A">
        <w:rPr>
          <w:rFonts w:ascii="Times New Roman" w:hAnsi="Times New Roman" w:cs="Times New Roman"/>
          <w:sz w:val="22"/>
          <w:szCs w:val="22"/>
        </w:rPr>
        <w:t>., 2025).</w:t>
      </w:r>
    </w:p>
    <w:p w14:paraId="4F4484F5" w14:textId="17C1FD41" w:rsidR="00101077" w:rsidRPr="0079329A" w:rsidRDefault="00101077"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In another study by Kinoti (2023); on the implementation of Competency-Based Education and Training (CBET) in Technical and Vocational Education and Training (TVET) institutions in Meru County, Kenya is influenced by trainee, trainer, and institutional factors. The study found significant positive correlations between trainee factors (r = .276, p &lt; .001), trainer factors (r = .232, p &lt; .001), and institutional factors (r = .286, p &lt; .001) with CBET implementation, indicating that all three dimensions play an important role in determining how effectively CBET is executed. However, the findings also revealed persistent challenges such as inadequate infrastructure, insufficient funding, lack of qualified trainers, and limited institutional readiness, which hinder effective implementation. The study concluded that improving trainee preparedness, strengthening trainer competencies through continuous professional development, and enhancing institutional support systems—such as clear policies, adequate resources, and stakeholder collaboration—are essential for successful CBET implementation in Kenyan TVET institutions (Kinoti, 2023).</w:t>
      </w:r>
    </w:p>
    <w:p w14:paraId="286BE602" w14:textId="7FD4B004" w:rsidR="00101077" w:rsidRPr="0079329A" w:rsidRDefault="00101077" w:rsidP="0079329A">
      <w:pPr>
        <w:spacing w:line="276" w:lineRule="auto"/>
        <w:ind w:left="-5" w:right="0"/>
        <w:rPr>
          <w:rFonts w:ascii="Times New Roman" w:hAnsi="Times New Roman" w:cs="Times New Roman"/>
          <w:sz w:val="22"/>
          <w:szCs w:val="22"/>
        </w:rPr>
      </w:pPr>
      <w:r w:rsidRPr="0079329A">
        <w:rPr>
          <w:rFonts w:ascii="Times New Roman" w:hAnsi="Times New Roman" w:cs="Times New Roman"/>
          <w:sz w:val="22"/>
          <w:szCs w:val="22"/>
        </w:rPr>
        <w:t>This study provided actionable frameworks for university academic registrars to translate field-level sports experiences into competency-led academic credits, while offering structural insights to help the Commission for University Education (CUE) and Ministry of Education link higher education athletic funding to measurable graduate workforce readiness.</w:t>
      </w:r>
    </w:p>
    <w:p w14:paraId="61D69310" w14:textId="77777777" w:rsidR="00101077" w:rsidRPr="0079329A" w:rsidRDefault="00101077" w:rsidP="0079329A">
      <w:pPr>
        <w:spacing w:line="276" w:lineRule="auto"/>
        <w:ind w:left="-5" w:right="0"/>
        <w:rPr>
          <w:rFonts w:ascii="Times New Roman" w:hAnsi="Times New Roman" w:cs="Times New Roman"/>
          <w:sz w:val="22"/>
          <w:szCs w:val="22"/>
        </w:rPr>
      </w:pPr>
    </w:p>
    <w:p w14:paraId="40AC8377" w14:textId="77777777" w:rsidR="00C33641" w:rsidRPr="0079329A" w:rsidRDefault="00000000" w:rsidP="0079329A">
      <w:pPr>
        <w:pStyle w:val="Heading1"/>
        <w:spacing w:line="276" w:lineRule="auto"/>
        <w:ind w:left="-5" w:right="0"/>
        <w:rPr>
          <w:rFonts w:ascii="Times New Roman" w:hAnsi="Times New Roman" w:cs="Times New Roman"/>
          <w:sz w:val="22"/>
          <w:szCs w:val="22"/>
        </w:rPr>
      </w:pPr>
      <w:r w:rsidRPr="0079329A">
        <w:rPr>
          <w:rFonts w:ascii="Times New Roman" w:hAnsi="Times New Roman" w:cs="Times New Roman"/>
          <w:sz w:val="22"/>
          <w:szCs w:val="22"/>
        </w:rPr>
        <w:t>Materials and Methods</w:t>
      </w:r>
      <w:r w:rsidRPr="0079329A">
        <w:rPr>
          <w:rFonts w:ascii="Times New Roman" w:hAnsi="Times New Roman" w:cs="Times New Roman"/>
          <w:b w:val="0"/>
          <w:sz w:val="22"/>
          <w:szCs w:val="22"/>
        </w:rPr>
        <w:t xml:space="preserve"> </w:t>
      </w:r>
    </w:p>
    <w:p w14:paraId="4F0FDD92" w14:textId="081D572C" w:rsidR="0079329A" w:rsidRPr="0079329A" w:rsidRDefault="00101077"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This study adopted a mixed-methods research design anchored on a convergent parallel approach to examine the role of university sports in promoting competency-based learning outcomes among students in Kenyan universities. Both quantitative and qualitative data were collected concurrently, analyzed independently, and integrated during interpretation to enhance triangulation and depth of understanding. The study was conducted in selected public and private universities in Kenya, chosen to capture institutional variations in sports governance, resource allocation, and implementation of competency-based education (CBE) within athletic programmes. The target population comprised student-athletes, sports directors, and coaches involved in university sports structures. A purposive sampling technique was used to select 169 respondents, ensuring inclusion of information-rich participants with direct experience in sports administration and participation. Data were collected using a structured questionnaire containing Likert-scale items and open-ended questions addressing competency development, practical skills acquisition, and institutional factors. Validity was established through expert review, while reliability was confirmed using Cronbach’s alpha coefficients exceeding 0.78. Quantitative data were analyzed using descriptive statistics, one-sample t-tests, chi-square tests of homogeneity and goodness-of-fit, and effect size measures including Cramér’s V. Qualitative data were analyzed thematically. Ethical considerations, including informed consent, confidentiality, and voluntary participation, were strictly observed throughout the study. This methodological approach enabled a comprehensive assessment of how university sports contribute to competency-based learning within Kenyan higher education institutions.</w:t>
      </w:r>
    </w:p>
    <w:p w14:paraId="7070C6E8" w14:textId="77777777" w:rsidR="0079329A" w:rsidRPr="0079329A" w:rsidRDefault="0079329A" w:rsidP="0079329A">
      <w:pPr>
        <w:pStyle w:val="Heading1"/>
        <w:spacing w:line="276" w:lineRule="auto"/>
        <w:rPr>
          <w:rFonts w:ascii="Times New Roman" w:hAnsi="Times New Roman" w:cs="Times New Roman"/>
          <w:sz w:val="22"/>
          <w:szCs w:val="22"/>
        </w:rPr>
      </w:pPr>
      <w:r w:rsidRPr="0079329A">
        <w:rPr>
          <w:rFonts w:ascii="Times New Roman" w:hAnsi="Times New Roman" w:cs="Times New Roman"/>
          <w:sz w:val="22"/>
          <w:szCs w:val="22"/>
        </w:rPr>
        <w:lastRenderedPageBreak/>
        <w:t>DATA ANALYSIS</w:t>
      </w:r>
    </w:p>
    <w:p w14:paraId="318BA440"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For Chapter Four, the biodata table should present frequencies and percentages for categorical variables, while the institutional priority allocation should be summarized separately using means and standard deviations because it is a continuous variable distributed across 100 points.</w:t>
      </w:r>
    </w:p>
    <w:p w14:paraId="3DA9F446" w14:textId="77777777" w:rsidR="0079329A" w:rsidRDefault="0079329A" w:rsidP="0079329A">
      <w:pPr>
        <w:pStyle w:val="Heading2"/>
        <w:spacing w:line="276" w:lineRule="auto"/>
        <w:rPr>
          <w:rFonts w:ascii="Times New Roman" w:hAnsi="Times New Roman" w:cs="Times New Roman"/>
          <w:sz w:val="22"/>
          <w:szCs w:val="22"/>
        </w:rPr>
      </w:pPr>
    </w:p>
    <w:p w14:paraId="5528E95D" w14:textId="60AF3C52" w:rsidR="0079329A" w:rsidRPr="0079329A" w:rsidRDefault="0079329A" w:rsidP="0079329A">
      <w:pPr>
        <w:pStyle w:val="Heading2"/>
        <w:spacing w:line="276" w:lineRule="auto"/>
        <w:rPr>
          <w:rFonts w:ascii="Times New Roman" w:hAnsi="Times New Roman" w:cs="Times New Roman"/>
          <w:sz w:val="22"/>
          <w:szCs w:val="22"/>
        </w:rPr>
      </w:pPr>
      <w:r w:rsidRPr="0079329A">
        <w:rPr>
          <w:rFonts w:ascii="Times New Roman" w:hAnsi="Times New Roman" w:cs="Times New Roman"/>
          <w:sz w:val="22"/>
          <w:szCs w:val="22"/>
        </w:rPr>
        <w:t>Biodata information</w:t>
      </w:r>
    </w:p>
    <w:p w14:paraId="1D8D84E1" w14:textId="68A5E692" w:rsidR="0079329A" w:rsidRPr="0079329A" w:rsidRDefault="0079329A" w:rsidP="0079329A">
      <w:pPr>
        <w:pStyle w:val="Heading3"/>
        <w:spacing w:line="276" w:lineRule="auto"/>
        <w:rPr>
          <w:rFonts w:ascii="Times New Roman" w:hAnsi="Times New Roman" w:cs="Times New Roman"/>
          <w:sz w:val="22"/>
          <w:szCs w:val="22"/>
        </w:rPr>
      </w:pPr>
      <w:r w:rsidRPr="0079329A">
        <w:rPr>
          <w:rFonts w:ascii="Times New Roman" w:hAnsi="Times New Roman" w:cs="Times New Roman"/>
          <w:sz w:val="22"/>
          <w:szCs w:val="22"/>
        </w:rPr>
        <w:t>Demographic information</w:t>
      </w:r>
    </w:p>
    <w:p w14:paraId="592F7B63" w14:textId="77777777" w:rsidR="0079329A" w:rsidRPr="0079329A" w:rsidRDefault="0079329A" w:rsidP="0079329A">
      <w:pPr>
        <w:pStyle w:val="Caption"/>
        <w:keepNext/>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Table 4. </w:t>
      </w:r>
      <w:r w:rsidRPr="0079329A">
        <w:rPr>
          <w:rFonts w:ascii="Times New Roman" w:hAnsi="Times New Roman" w:cs="Times New Roman"/>
          <w:sz w:val="22"/>
          <w:szCs w:val="22"/>
        </w:rPr>
        <w:fldChar w:fldCharType="begin"/>
      </w:r>
      <w:r w:rsidRPr="0079329A">
        <w:rPr>
          <w:rFonts w:ascii="Times New Roman" w:hAnsi="Times New Roman" w:cs="Times New Roman"/>
          <w:sz w:val="22"/>
          <w:szCs w:val="22"/>
        </w:rPr>
        <w:instrText xml:space="preserve"> SEQ Table_4. \* ARABIC </w:instrText>
      </w:r>
      <w:r w:rsidRPr="0079329A">
        <w:rPr>
          <w:rFonts w:ascii="Times New Roman" w:hAnsi="Times New Roman" w:cs="Times New Roman"/>
          <w:sz w:val="22"/>
          <w:szCs w:val="22"/>
        </w:rPr>
        <w:fldChar w:fldCharType="separate"/>
      </w:r>
      <w:r w:rsidRPr="0079329A">
        <w:rPr>
          <w:rFonts w:ascii="Times New Roman" w:hAnsi="Times New Roman" w:cs="Times New Roman"/>
          <w:noProof/>
          <w:sz w:val="22"/>
          <w:szCs w:val="22"/>
        </w:rPr>
        <w:t>1</w:t>
      </w:r>
      <w:r w:rsidRPr="0079329A">
        <w:rPr>
          <w:rFonts w:ascii="Times New Roman" w:hAnsi="Times New Roman" w:cs="Times New Roman"/>
          <w:sz w:val="22"/>
          <w:szCs w:val="22"/>
        </w:rPr>
        <w:fldChar w:fldCharType="end"/>
      </w:r>
      <w:r w:rsidRPr="0079329A">
        <w:rPr>
          <w:rFonts w:ascii="Times New Roman" w:hAnsi="Times New Roman" w:cs="Times New Roman"/>
          <w:sz w:val="22"/>
          <w:szCs w:val="22"/>
        </w:rPr>
        <w:t xml:space="preserve"> Demographic and Institutional Characteristics of Respondents (N = 169)</w:t>
      </w:r>
    </w:p>
    <w:p w14:paraId="1F64DD58" w14:textId="77777777" w:rsidR="0079329A" w:rsidRDefault="0079329A" w:rsidP="0079329A">
      <w:pPr>
        <w:spacing w:line="276" w:lineRule="auto"/>
        <w:rPr>
          <w:rFonts w:ascii="Times New Roman" w:hAnsi="Times New Roman" w:cs="Times New Roman"/>
          <w:b/>
          <w:bCs/>
          <w:sz w:val="22"/>
          <w:szCs w:val="22"/>
        </w:rPr>
        <w:sectPr w:rsidR="0079329A" w:rsidSect="0079329A">
          <w:type w:val="continuous"/>
          <w:pgSz w:w="12240" w:h="15840"/>
          <w:pgMar w:top="1571" w:right="1435" w:bottom="1501" w:left="1440" w:header="720" w:footer="720" w:gutter="0"/>
          <w:cols w:num="2" w:space="464"/>
        </w:sectPr>
      </w:pPr>
    </w:p>
    <w:tbl>
      <w:tblPr>
        <w:tblW w:w="9588" w:type="dxa"/>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59"/>
        <w:gridCol w:w="2814"/>
        <w:gridCol w:w="2254"/>
        <w:gridCol w:w="2361"/>
      </w:tblGrid>
      <w:tr w:rsidR="0079329A" w:rsidRPr="0079329A" w14:paraId="3CB7C3D2" w14:textId="77777777" w:rsidTr="0079329A">
        <w:trPr>
          <w:trHeight w:val="629"/>
          <w:tblHeader/>
          <w:tblCellSpacing w:w="15" w:type="dxa"/>
        </w:trPr>
        <w:tc>
          <w:tcPr>
            <w:tcW w:w="2114" w:type="dxa"/>
            <w:tcBorders>
              <w:top w:val="single" w:sz="4" w:space="0" w:color="auto"/>
              <w:bottom w:val="single" w:sz="4" w:space="0" w:color="auto"/>
            </w:tcBorders>
            <w:vAlign w:val="center"/>
            <w:hideMark/>
          </w:tcPr>
          <w:p w14:paraId="0D9D6207"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Variable</w:t>
            </w:r>
          </w:p>
        </w:tc>
        <w:tc>
          <w:tcPr>
            <w:tcW w:w="2784" w:type="dxa"/>
            <w:tcBorders>
              <w:top w:val="single" w:sz="4" w:space="0" w:color="auto"/>
              <w:bottom w:val="single" w:sz="4" w:space="0" w:color="auto"/>
            </w:tcBorders>
            <w:vAlign w:val="center"/>
            <w:hideMark/>
          </w:tcPr>
          <w:p w14:paraId="69C670F2"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Category</w:t>
            </w:r>
          </w:p>
        </w:tc>
        <w:tc>
          <w:tcPr>
            <w:tcW w:w="2224" w:type="dxa"/>
            <w:tcBorders>
              <w:top w:val="single" w:sz="4" w:space="0" w:color="auto"/>
              <w:bottom w:val="single" w:sz="4" w:space="0" w:color="auto"/>
            </w:tcBorders>
            <w:vAlign w:val="center"/>
            <w:hideMark/>
          </w:tcPr>
          <w:p w14:paraId="7CE7DBE9"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Frequency (n)</w:t>
            </w:r>
          </w:p>
        </w:tc>
        <w:tc>
          <w:tcPr>
            <w:tcW w:w="2316" w:type="dxa"/>
            <w:tcBorders>
              <w:top w:val="single" w:sz="4" w:space="0" w:color="auto"/>
              <w:bottom w:val="single" w:sz="4" w:space="0" w:color="auto"/>
            </w:tcBorders>
            <w:vAlign w:val="center"/>
            <w:hideMark/>
          </w:tcPr>
          <w:p w14:paraId="65EC7E57"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Percentage (%)</w:t>
            </w:r>
          </w:p>
        </w:tc>
      </w:tr>
      <w:tr w:rsidR="0079329A" w:rsidRPr="0079329A" w14:paraId="0C31F481" w14:textId="77777777" w:rsidTr="0079329A">
        <w:trPr>
          <w:trHeight w:val="887"/>
          <w:tblCellSpacing w:w="15" w:type="dxa"/>
        </w:trPr>
        <w:tc>
          <w:tcPr>
            <w:tcW w:w="2114" w:type="dxa"/>
            <w:vAlign w:val="center"/>
            <w:hideMark/>
          </w:tcPr>
          <w:p w14:paraId="70E01E8F"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Type of University</w:t>
            </w:r>
          </w:p>
        </w:tc>
        <w:tc>
          <w:tcPr>
            <w:tcW w:w="2784" w:type="dxa"/>
            <w:vAlign w:val="center"/>
            <w:hideMark/>
          </w:tcPr>
          <w:p w14:paraId="61015AE5"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Public University</w:t>
            </w:r>
          </w:p>
        </w:tc>
        <w:tc>
          <w:tcPr>
            <w:tcW w:w="2224" w:type="dxa"/>
            <w:vAlign w:val="center"/>
            <w:hideMark/>
          </w:tcPr>
          <w:p w14:paraId="0C08E247"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21</w:t>
            </w:r>
          </w:p>
        </w:tc>
        <w:tc>
          <w:tcPr>
            <w:tcW w:w="2316" w:type="dxa"/>
            <w:vAlign w:val="center"/>
            <w:hideMark/>
          </w:tcPr>
          <w:p w14:paraId="4BDD8486"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12.4</w:t>
            </w:r>
          </w:p>
        </w:tc>
      </w:tr>
      <w:tr w:rsidR="0079329A" w:rsidRPr="0079329A" w14:paraId="536F7992" w14:textId="77777777" w:rsidTr="0079329A">
        <w:trPr>
          <w:trHeight w:val="629"/>
          <w:tblCellSpacing w:w="15" w:type="dxa"/>
        </w:trPr>
        <w:tc>
          <w:tcPr>
            <w:tcW w:w="2114" w:type="dxa"/>
            <w:vAlign w:val="center"/>
            <w:hideMark/>
          </w:tcPr>
          <w:p w14:paraId="737DBAF2" w14:textId="77777777" w:rsidR="0079329A" w:rsidRPr="0079329A" w:rsidRDefault="0079329A" w:rsidP="0079329A">
            <w:pPr>
              <w:spacing w:line="276" w:lineRule="auto"/>
              <w:rPr>
                <w:rFonts w:ascii="Times New Roman" w:hAnsi="Times New Roman" w:cs="Times New Roman"/>
                <w:sz w:val="22"/>
                <w:szCs w:val="22"/>
              </w:rPr>
            </w:pPr>
          </w:p>
        </w:tc>
        <w:tc>
          <w:tcPr>
            <w:tcW w:w="2784" w:type="dxa"/>
            <w:vAlign w:val="center"/>
            <w:hideMark/>
          </w:tcPr>
          <w:p w14:paraId="3979DE0F"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Private University</w:t>
            </w:r>
          </w:p>
        </w:tc>
        <w:tc>
          <w:tcPr>
            <w:tcW w:w="2224" w:type="dxa"/>
            <w:vAlign w:val="center"/>
            <w:hideMark/>
          </w:tcPr>
          <w:p w14:paraId="1348C0F1"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148</w:t>
            </w:r>
          </w:p>
        </w:tc>
        <w:tc>
          <w:tcPr>
            <w:tcW w:w="2316" w:type="dxa"/>
            <w:vAlign w:val="center"/>
            <w:hideMark/>
          </w:tcPr>
          <w:p w14:paraId="691E88B5"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87.6</w:t>
            </w:r>
          </w:p>
        </w:tc>
      </w:tr>
      <w:tr w:rsidR="0079329A" w:rsidRPr="0079329A" w14:paraId="428EFAAD" w14:textId="77777777" w:rsidTr="0079329A">
        <w:trPr>
          <w:trHeight w:val="370"/>
          <w:tblCellSpacing w:w="15" w:type="dxa"/>
        </w:trPr>
        <w:tc>
          <w:tcPr>
            <w:tcW w:w="2114" w:type="dxa"/>
            <w:vAlign w:val="center"/>
            <w:hideMark/>
          </w:tcPr>
          <w:p w14:paraId="7697AC81" w14:textId="77777777" w:rsidR="0079329A" w:rsidRPr="0079329A" w:rsidRDefault="0079329A" w:rsidP="0079329A">
            <w:pPr>
              <w:spacing w:line="276" w:lineRule="auto"/>
              <w:rPr>
                <w:rFonts w:ascii="Times New Roman" w:hAnsi="Times New Roman" w:cs="Times New Roman"/>
                <w:sz w:val="22"/>
                <w:szCs w:val="22"/>
              </w:rPr>
            </w:pPr>
          </w:p>
        </w:tc>
        <w:tc>
          <w:tcPr>
            <w:tcW w:w="2784" w:type="dxa"/>
            <w:vAlign w:val="center"/>
            <w:hideMark/>
          </w:tcPr>
          <w:p w14:paraId="33C1C23B"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b/>
                <w:bCs/>
                <w:sz w:val="22"/>
                <w:szCs w:val="22"/>
              </w:rPr>
              <w:t>Total</w:t>
            </w:r>
          </w:p>
        </w:tc>
        <w:tc>
          <w:tcPr>
            <w:tcW w:w="2224" w:type="dxa"/>
            <w:vAlign w:val="center"/>
            <w:hideMark/>
          </w:tcPr>
          <w:p w14:paraId="2B452488"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b/>
                <w:bCs/>
                <w:sz w:val="22"/>
                <w:szCs w:val="22"/>
              </w:rPr>
              <w:t>169</w:t>
            </w:r>
          </w:p>
        </w:tc>
        <w:tc>
          <w:tcPr>
            <w:tcW w:w="2316" w:type="dxa"/>
            <w:vAlign w:val="center"/>
            <w:hideMark/>
          </w:tcPr>
          <w:p w14:paraId="169739BE"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b/>
                <w:bCs/>
                <w:sz w:val="22"/>
                <w:szCs w:val="22"/>
              </w:rPr>
              <w:t>100.0</w:t>
            </w:r>
          </w:p>
        </w:tc>
      </w:tr>
      <w:tr w:rsidR="0079329A" w:rsidRPr="0079329A" w14:paraId="37E70184" w14:textId="77777777" w:rsidTr="0079329A">
        <w:trPr>
          <w:trHeight w:val="899"/>
          <w:tblCellSpacing w:w="15" w:type="dxa"/>
        </w:trPr>
        <w:tc>
          <w:tcPr>
            <w:tcW w:w="2114" w:type="dxa"/>
            <w:tcBorders>
              <w:top w:val="single" w:sz="4" w:space="0" w:color="auto"/>
              <w:bottom w:val="single" w:sz="4" w:space="0" w:color="auto"/>
            </w:tcBorders>
            <w:vAlign w:val="center"/>
            <w:hideMark/>
          </w:tcPr>
          <w:p w14:paraId="023391B9"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Current Role</w:t>
            </w:r>
          </w:p>
        </w:tc>
        <w:tc>
          <w:tcPr>
            <w:tcW w:w="2784" w:type="dxa"/>
            <w:tcBorders>
              <w:top w:val="single" w:sz="4" w:space="0" w:color="auto"/>
              <w:bottom w:val="single" w:sz="4" w:space="0" w:color="auto"/>
            </w:tcBorders>
            <w:vAlign w:val="center"/>
            <w:hideMark/>
          </w:tcPr>
          <w:p w14:paraId="0F6A15A4"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Sports Director/P.E. Director</w:t>
            </w:r>
          </w:p>
        </w:tc>
        <w:tc>
          <w:tcPr>
            <w:tcW w:w="2224" w:type="dxa"/>
            <w:tcBorders>
              <w:top w:val="single" w:sz="4" w:space="0" w:color="auto"/>
              <w:bottom w:val="single" w:sz="4" w:space="0" w:color="auto"/>
            </w:tcBorders>
            <w:vAlign w:val="center"/>
            <w:hideMark/>
          </w:tcPr>
          <w:p w14:paraId="73CCE73B"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8</w:t>
            </w:r>
          </w:p>
        </w:tc>
        <w:tc>
          <w:tcPr>
            <w:tcW w:w="2316" w:type="dxa"/>
            <w:tcBorders>
              <w:top w:val="single" w:sz="4" w:space="0" w:color="auto"/>
              <w:bottom w:val="single" w:sz="4" w:space="0" w:color="auto"/>
            </w:tcBorders>
            <w:vAlign w:val="center"/>
            <w:hideMark/>
          </w:tcPr>
          <w:p w14:paraId="16CFAB30"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4.7</w:t>
            </w:r>
          </w:p>
        </w:tc>
      </w:tr>
      <w:tr w:rsidR="0079329A" w:rsidRPr="0079329A" w14:paraId="4B5E0FA2" w14:textId="77777777" w:rsidTr="0079329A">
        <w:trPr>
          <w:trHeight w:val="629"/>
          <w:tblCellSpacing w:w="15" w:type="dxa"/>
        </w:trPr>
        <w:tc>
          <w:tcPr>
            <w:tcW w:w="2114" w:type="dxa"/>
            <w:vAlign w:val="center"/>
            <w:hideMark/>
          </w:tcPr>
          <w:p w14:paraId="3431FDD2" w14:textId="77777777" w:rsidR="0079329A" w:rsidRPr="0079329A" w:rsidRDefault="0079329A" w:rsidP="0079329A">
            <w:pPr>
              <w:spacing w:line="276" w:lineRule="auto"/>
              <w:rPr>
                <w:rFonts w:ascii="Times New Roman" w:hAnsi="Times New Roman" w:cs="Times New Roman"/>
                <w:sz w:val="22"/>
                <w:szCs w:val="22"/>
              </w:rPr>
            </w:pPr>
          </w:p>
        </w:tc>
        <w:tc>
          <w:tcPr>
            <w:tcW w:w="2784" w:type="dxa"/>
            <w:vAlign w:val="center"/>
            <w:hideMark/>
          </w:tcPr>
          <w:p w14:paraId="7CE32519"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Coach/Trainer</w:t>
            </w:r>
          </w:p>
        </w:tc>
        <w:tc>
          <w:tcPr>
            <w:tcW w:w="2224" w:type="dxa"/>
            <w:vAlign w:val="center"/>
            <w:hideMark/>
          </w:tcPr>
          <w:p w14:paraId="311318AF"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5</w:t>
            </w:r>
          </w:p>
        </w:tc>
        <w:tc>
          <w:tcPr>
            <w:tcW w:w="2316" w:type="dxa"/>
            <w:vAlign w:val="center"/>
            <w:hideMark/>
          </w:tcPr>
          <w:p w14:paraId="44A6BAEE"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3.0</w:t>
            </w:r>
          </w:p>
        </w:tc>
      </w:tr>
      <w:tr w:rsidR="0079329A" w:rsidRPr="0079329A" w14:paraId="459FE39E" w14:textId="77777777" w:rsidTr="0079329A">
        <w:trPr>
          <w:trHeight w:val="629"/>
          <w:tblCellSpacing w:w="15" w:type="dxa"/>
        </w:trPr>
        <w:tc>
          <w:tcPr>
            <w:tcW w:w="2114" w:type="dxa"/>
            <w:vAlign w:val="center"/>
            <w:hideMark/>
          </w:tcPr>
          <w:p w14:paraId="728A8527" w14:textId="77777777" w:rsidR="0079329A" w:rsidRPr="0079329A" w:rsidRDefault="0079329A" w:rsidP="0079329A">
            <w:pPr>
              <w:spacing w:line="276" w:lineRule="auto"/>
              <w:rPr>
                <w:rFonts w:ascii="Times New Roman" w:hAnsi="Times New Roman" w:cs="Times New Roman"/>
                <w:sz w:val="22"/>
                <w:szCs w:val="22"/>
              </w:rPr>
            </w:pPr>
          </w:p>
        </w:tc>
        <w:tc>
          <w:tcPr>
            <w:tcW w:w="2784" w:type="dxa"/>
            <w:vAlign w:val="center"/>
            <w:hideMark/>
          </w:tcPr>
          <w:p w14:paraId="47231810"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Student-Athlete</w:t>
            </w:r>
          </w:p>
        </w:tc>
        <w:tc>
          <w:tcPr>
            <w:tcW w:w="2224" w:type="dxa"/>
            <w:vAlign w:val="center"/>
            <w:hideMark/>
          </w:tcPr>
          <w:p w14:paraId="285EF10F"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156</w:t>
            </w:r>
          </w:p>
        </w:tc>
        <w:tc>
          <w:tcPr>
            <w:tcW w:w="2316" w:type="dxa"/>
            <w:vAlign w:val="center"/>
            <w:hideMark/>
          </w:tcPr>
          <w:p w14:paraId="5D529EB8"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92.3</w:t>
            </w:r>
          </w:p>
        </w:tc>
      </w:tr>
      <w:tr w:rsidR="0079329A" w:rsidRPr="0079329A" w14:paraId="3D49559D" w14:textId="77777777" w:rsidTr="0079329A">
        <w:trPr>
          <w:trHeight w:val="370"/>
          <w:tblCellSpacing w:w="15" w:type="dxa"/>
        </w:trPr>
        <w:tc>
          <w:tcPr>
            <w:tcW w:w="2114" w:type="dxa"/>
            <w:vAlign w:val="center"/>
            <w:hideMark/>
          </w:tcPr>
          <w:p w14:paraId="21EBF805" w14:textId="77777777" w:rsidR="0079329A" w:rsidRPr="0079329A" w:rsidRDefault="0079329A" w:rsidP="0079329A">
            <w:pPr>
              <w:spacing w:line="276" w:lineRule="auto"/>
              <w:rPr>
                <w:rFonts w:ascii="Times New Roman" w:hAnsi="Times New Roman" w:cs="Times New Roman"/>
                <w:sz w:val="22"/>
                <w:szCs w:val="22"/>
              </w:rPr>
            </w:pPr>
          </w:p>
        </w:tc>
        <w:tc>
          <w:tcPr>
            <w:tcW w:w="2784" w:type="dxa"/>
            <w:vAlign w:val="center"/>
            <w:hideMark/>
          </w:tcPr>
          <w:p w14:paraId="7496A690"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b/>
                <w:bCs/>
                <w:sz w:val="22"/>
                <w:szCs w:val="22"/>
              </w:rPr>
              <w:t>Total</w:t>
            </w:r>
          </w:p>
        </w:tc>
        <w:tc>
          <w:tcPr>
            <w:tcW w:w="2224" w:type="dxa"/>
            <w:vAlign w:val="center"/>
            <w:hideMark/>
          </w:tcPr>
          <w:p w14:paraId="5280DED8"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b/>
                <w:bCs/>
                <w:sz w:val="22"/>
                <w:szCs w:val="22"/>
              </w:rPr>
              <w:t>169</w:t>
            </w:r>
          </w:p>
        </w:tc>
        <w:tc>
          <w:tcPr>
            <w:tcW w:w="2316" w:type="dxa"/>
            <w:vAlign w:val="center"/>
            <w:hideMark/>
          </w:tcPr>
          <w:p w14:paraId="34F1DA1D"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b/>
                <w:bCs/>
                <w:sz w:val="22"/>
                <w:szCs w:val="22"/>
              </w:rPr>
              <w:t>100.0</w:t>
            </w:r>
          </w:p>
        </w:tc>
      </w:tr>
    </w:tbl>
    <w:p w14:paraId="7B8C3D3A" w14:textId="77777777" w:rsidR="0079329A" w:rsidRDefault="0079329A" w:rsidP="0079329A">
      <w:pPr>
        <w:spacing w:line="276" w:lineRule="auto"/>
        <w:rPr>
          <w:rFonts w:ascii="Times New Roman" w:hAnsi="Times New Roman" w:cs="Times New Roman"/>
          <w:b/>
          <w:bCs/>
          <w:sz w:val="22"/>
          <w:szCs w:val="22"/>
        </w:rPr>
        <w:sectPr w:rsidR="0079329A" w:rsidSect="0079329A">
          <w:type w:val="continuous"/>
          <w:pgSz w:w="12240" w:h="15840"/>
          <w:pgMar w:top="1571" w:right="1435" w:bottom="1501" w:left="1440" w:header="720" w:footer="720" w:gutter="0"/>
          <w:cols w:space="464"/>
        </w:sectPr>
      </w:pPr>
    </w:p>
    <w:p w14:paraId="41664206" w14:textId="77777777" w:rsidR="0079329A" w:rsidRPr="0079329A" w:rsidRDefault="0079329A" w:rsidP="0079329A">
      <w:pPr>
        <w:spacing w:line="276" w:lineRule="auto"/>
        <w:rPr>
          <w:rFonts w:ascii="Times New Roman" w:hAnsi="Times New Roman" w:cs="Times New Roman"/>
          <w:b/>
          <w:bCs/>
          <w:sz w:val="22"/>
          <w:szCs w:val="22"/>
        </w:rPr>
      </w:pPr>
    </w:p>
    <w:p w14:paraId="106D7989" w14:textId="3C0CFD24"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Table 4.1 presents the demographic and institutional characteristics of the respondents. The majority of participants were drawn from private universities (87.6%), while public universities accounted for 12.4% of the sample. Regarding respondent roles, student-athletes constituted the largest proportion (92.3%), followed by sports directors or physical education directors (4.7%) </w:t>
      </w:r>
      <w:r w:rsidRPr="0079329A">
        <w:rPr>
          <w:rFonts w:ascii="Times New Roman" w:hAnsi="Times New Roman" w:cs="Times New Roman"/>
          <w:sz w:val="22"/>
          <w:szCs w:val="22"/>
        </w:rPr>
        <w:t>and coaches/trainers (3.0%). These findings indicate that the study predominantly captured perspectives from student-athletes enrolled in private universities.</w:t>
      </w:r>
    </w:p>
    <w:p w14:paraId="6292E54F" w14:textId="59583481" w:rsidR="0079329A" w:rsidRPr="0079329A" w:rsidRDefault="0079329A" w:rsidP="0079329A">
      <w:pPr>
        <w:pStyle w:val="Heading3"/>
        <w:spacing w:line="276" w:lineRule="auto"/>
        <w:rPr>
          <w:rFonts w:ascii="Times New Roman" w:hAnsi="Times New Roman" w:cs="Times New Roman"/>
          <w:sz w:val="22"/>
          <w:szCs w:val="22"/>
        </w:rPr>
      </w:pPr>
      <w:r w:rsidRPr="0079329A">
        <w:rPr>
          <w:rFonts w:ascii="Times New Roman" w:hAnsi="Times New Roman" w:cs="Times New Roman"/>
          <w:sz w:val="22"/>
          <w:szCs w:val="22"/>
        </w:rPr>
        <w:t>Institutional Priority Allocation Across University Functions (N = 169)</w:t>
      </w:r>
    </w:p>
    <w:p w14:paraId="3873F731" w14:textId="77777777" w:rsidR="0079329A" w:rsidRPr="0079329A" w:rsidRDefault="0079329A" w:rsidP="0079329A">
      <w:pPr>
        <w:pStyle w:val="Caption"/>
        <w:keepNext/>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Table 4. </w:t>
      </w:r>
      <w:r w:rsidRPr="0079329A">
        <w:rPr>
          <w:rFonts w:ascii="Times New Roman" w:hAnsi="Times New Roman" w:cs="Times New Roman"/>
          <w:sz w:val="22"/>
          <w:szCs w:val="22"/>
        </w:rPr>
        <w:fldChar w:fldCharType="begin"/>
      </w:r>
      <w:r w:rsidRPr="0079329A">
        <w:rPr>
          <w:rFonts w:ascii="Times New Roman" w:hAnsi="Times New Roman" w:cs="Times New Roman"/>
          <w:sz w:val="22"/>
          <w:szCs w:val="22"/>
        </w:rPr>
        <w:instrText xml:space="preserve"> SEQ Table_4. \* ARABIC </w:instrText>
      </w:r>
      <w:r w:rsidRPr="0079329A">
        <w:rPr>
          <w:rFonts w:ascii="Times New Roman" w:hAnsi="Times New Roman" w:cs="Times New Roman"/>
          <w:sz w:val="22"/>
          <w:szCs w:val="22"/>
        </w:rPr>
        <w:fldChar w:fldCharType="separate"/>
      </w:r>
      <w:r w:rsidRPr="0079329A">
        <w:rPr>
          <w:rFonts w:ascii="Times New Roman" w:hAnsi="Times New Roman" w:cs="Times New Roman"/>
          <w:noProof/>
          <w:sz w:val="22"/>
          <w:szCs w:val="22"/>
        </w:rPr>
        <w:t>2</w:t>
      </w:r>
      <w:r w:rsidRPr="0079329A">
        <w:rPr>
          <w:rFonts w:ascii="Times New Roman" w:hAnsi="Times New Roman" w:cs="Times New Roman"/>
          <w:sz w:val="22"/>
          <w:szCs w:val="22"/>
        </w:rPr>
        <w:fldChar w:fldCharType="end"/>
      </w:r>
      <w:r w:rsidRPr="0079329A">
        <w:rPr>
          <w:rFonts w:ascii="Times New Roman" w:hAnsi="Times New Roman" w:cs="Times New Roman"/>
          <w:sz w:val="22"/>
          <w:szCs w:val="22"/>
        </w:rPr>
        <w:t xml:space="preserve"> Demographic and Institutional Characteristics of Respondents (N = 169)</w:t>
      </w:r>
    </w:p>
    <w:p w14:paraId="77AAD558" w14:textId="77777777" w:rsidR="0079329A" w:rsidRDefault="0079329A" w:rsidP="0079329A">
      <w:pPr>
        <w:spacing w:line="276" w:lineRule="auto"/>
        <w:rPr>
          <w:rFonts w:ascii="Times New Roman" w:hAnsi="Times New Roman" w:cs="Times New Roman"/>
          <w:b/>
          <w:bCs/>
          <w:sz w:val="22"/>
          <w:szCs w:val="22"/>
        </w:rPr>
        <w:sectPr w:rsidR="0079329A" w:rsidSect="0079329A">
          <w:type w:val="continuous"/>
          <w:pgSz w:w="12240" w:h="15840"/>
          <w:pgMar w:top="1571" w:right="1435" w:bottom="1501" w:left="1440" w:header="720" w:footer="720" w:gutter="0"/>
          <w:cols w:num="2" w:space="464"/>
        </w:sectPr>
      </w:pPr>
    </w:p>
    <w:tbl>
      <w:tblPr>
        <w:tblW w:w="9552"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883"/>
        <w:gridCol w:w="1151"/>
        <w:gridCol w:w="518"/>
      </w:tblGrid>
      <w:tr w:rsidR="0079329A" w:rsidRPr="0079329A" w14:paraId="38811801" w14:textId="77777777" w:rsidTr="0079329A">
        <w:trPr>
          <w:trHeight w:val="158"/>
          <w:tblHeader/>
          <w:tblCellSpacing w:w="15" w:type="dxa"/>
        </w:trPr>
        <w:tc>
          <w:tcPr>
            <w:tcW w:w="0" w:type="auto"/>
            <w:tcBorders>
              <w:top w:val="single" w:sz="4" w:space="0" w:color="auto"/>
              <w:bottom w:val="single" w:sz="4" w:space="0" w:color="auto"/>
            </w:tcBorders>
            <w:vAlign w:val="center"/>
            <w:hideMark/>
          </w:tcPr>
          <w:p w14:paraId="53DEF76E"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Priority Area</w:t>
            </w:r>
          </w:p>
        </w:tc>
        <w:tc>
          <w:tcPr>
            <w:tcW w:w="0" w:type="auto"/>
            <w:tcBorders>
              <w:top w:val="single" w:sz="4" w:space="0" w:color="auto"/>
              <w:bottom w:val="single" w:sz="4" w:space="0" w:color="auto"/>
            </w:tcBorders>
            <w:vAlign w:val="center"/>
            <w:hideMark/>
          </w:tcPr>
          <w:p w14:paraId="2BC70EA1"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Mean (%)</w:t>
            </w:r>
          </w:p>
        </w:tc>
        <w:tc>
          <w:tcPr>
            <w:tcW w:w="0" w:type="auto"/>
            <w:tcBorders>
              <w:top w:val="single" w:sz="4" w:space="0" w:color="auto"/>
              <w:bottom w:val="single" w:sz="4" w:space="0" w:color="auto"/>
            </w:tcBorders>
            <w:vAlign w:val="center"/>
            <w:hideMark/>
          </w:tcPr>
          <w:p w14:paraId="0E88FDE6"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SD</w:t>
            </w:r>
          </w:p>
        </w:tc>
      </w:tr>
      <w:tr w:rsidR="0079329A" w:rsidRPr="0079329A" w14:paraId="551177DC" w14:textId="77777777" w:rsidTr="0079329A">
        <w:trPr>
          <w:trHeight w:val="223"/>
          <w:tblCellSpacing w:w="15" w:type="dxa"/>
        </w:trPr>
        <w:tc>
          <w:tcPr>
            <w:tcW w:w="0" w:type="auto"/>
            <w:vAlign w:val="center"/>
            <w:hideMark/>
          </w:tcPr>
          <w:p w14:paraId="4B82A1B9"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Traditional classroom lectures, theory infrastructure, and research publications</w:t>
            </w:r>
          </w:p>
        </w:tc>
        <w:tc>
          <w:tcPr>
            <w:tcW w:w="0" w:type="auto"/>
            <w:vAlign w:val="center"/>
            <w:hideMark/>
          </w:tcPr>
          <w:p w14:paraId="6D831B5C"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44.6</w:t>
            </w:r>
          </w:p>
        </w:tc>
        <w:tc>
          <w:tcPr>
            <w:tcW w:w="0" w:type="auto"/>
            <w:vAlign w:val="center"/>
            <w:hideMark/>
          </w:tcPr>
          <w:p w14:paraId="59BD7A80"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11.1</w:t>
            </w:r>
          </w:p>
        </w:tc>
      </w:tr>
      <w:tr w:rsidR="0079329A" w:rsidRPr="0079329A" w14:paraId="60C3881C" w14:textId="77777777" w:rsidTr="0079329A">
        <w:trPr>
          <w:trHeight w:val="225"/>
          <w:tblCellSpacing w:w="15" w:type="dxa"/>
        </w:trPr>
        <w:tc>
          <w:tcPr>
            <w:tcW w:w="0" w:type="auto"/>
            <w:vAlign w:val="center"/>
            <w:hideMark/>
          </w:tcPr>
          <w:p w14:paraId="1A301A53"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Elite competitive sports tournaments, travel, and trophy acquisition</w:t>
            </w:r>
          </w:p>
        </w:tc>
        <w:tc>
          <w:tcPr>
            <w:tcW w:w="0" w:type="auto"/>
            <w:vAlign w:val="center"/>
            <w:hideMark/>
          </w:tcPr>
          <w:p w14:paraId="426EAF1B"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21.7</w:t>
            </w:r>
          </w:p>
        </w:tc>
        <w:tc>
          <w:tcPr>
            <w:tcW w:w="0" w:type="auto"/>
            <w:vAlign w:val="center"/>
            <w:hideMark/>
          </w:tcPr>
          <w:p w14:paraId="2B406731"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12.1</w:t>
            </w:r>
          </w:p>
        </w:tc>
      </w:tr>
      <w:tr w:rsidR="0079329A" w:rsidRPr="0079329A" w14:paraId="0266A97D" w14:textId="77777777" w:rsidTr="0079329A">
        <w:trPr>
          <w:trHeight w:val="158"/>
          <w:tblCellSpacing w:w="15" w:type="dxa"/>
        </w:trPr>
        <w:tc>
          <w:tcPr>
            <w:tcW w:w="0" w:type="auto"/>
            <w:vAlign w:val="center"/>
            <w:hideMark/>
          </w:tcPr>
          <w:p w14:paraId="484974AF"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lastRenderedPageBreak/>
              <w:t>Competency-based sports equipment procurement</w:t>
            </w:r>
          </w:p>
        </w:tc>
        <w:tc>
          <w:tcPr>
            <w:tcW w:w="0" w:type="auto"/>
            <w:vAlign w:val="center"/>
            <w:hideMark/>
          </w:tcPr>
          <w:p w14:paraId="450E4799"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18.1</w:t>
            </w:r>
          </w:p>
        </w:tc>
        <w:tc>
          <w:tcPr>
            <w:tcW w:w="0" w:type="auto"/>
            <w:vAlign w:val="center"/>
            <w:hideMark/>
          </w:tcPr>
          <w:p w14:paraId="4FDD933F"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6.4</w:t>
            </w:r>
          </w:p>
        </w:tc>
      </w:tr>
      <w:tr w:rsidR="0079329A" w:rsidRPr="0079329A" w14:paraId="16432B42" w14:textId="77777777" w:rsidTr="0079329A">
        <w:trPr>
          <w:trHeight w:val="158"/>
          <w:tblCellSpacing w:w="15" w:type="dxa"/>
        </w:trPr>
        <w:tc>
          <w:tcPr>
            <w:tcW w:w="0" w:type="auto"/>
            <w:vAlign w:val="center"/>
            <w:hideMark/>
          </w:tcPr>
          <w:p w14:paraId="3780CC78"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Professional development, technical certifications, and coaching clinics</w:t>
            </w:r>
          </w:p>
        </w:tc>
        <w:tc>
          <w:tcPr>
            <w:tcW w:w="0" w:type="auto"/>
            <w:vAlign w:val="center"/>
            <w:hideMark/>
          </w:tcPr>
          <w:p w14:paraId="6330E9F1"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15.6</w:t>
            </w:r>
          </w:p>
        </w:tc>
        <w:tc>
          <w:tcPr>
            <w:tcW w:w="0" w:type="auto"/>
            <w:vAlign w:val="center"/>
            <w:hideMark/>
          </w:tcPr>
          <w:p w14:paraId="668BA4EE"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5.5</w:t>
            </w:r>
          </w:p>
        </w:tc>
      </w:tr>
      <w:tr w:rsidR="0079329A" w:rsidRPr="0079329A" w14:paraId="40F6F8FE" w14:textId="77777777" w:rsidTr="0079329A">
        <w:trPr>
          <w:trHeight w:val="93"/>
          <w:tblCellSpacing w:w="15" w:type="dxa"/>
        </w:trPr>
        <w:tc>
          <w:tcPr>
            <w:tcW w:w="0" w:type="auto"/>
            <w:vAlign w:val="center"/>
            <w:hideMark/>
          </w:tcPr>
          <w:p w14:paraId="29DF52ED"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b/>
                <w:bCs/>
                <w:sz w:val="22"/>
                <w:szCs w:val="22"/>
              </w:rPr>
              <w:t>Total</w:t>
            </w:r>
          </w:p>
        </w:tc>
        <w:tc>
          <w:tcPr>
            <w:tcW w:w="0" w:type="auto"/>
            <w:vAlign w:val="center"/>
            <w:hideMark/>
          </w:tcPr>
          <w:p w14:paraId="777D20AA"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b/>
                <w:bCs/>
                <w:sz w:val="22"/>
                <w:szCs w:val="22"/>
              </w:rPr>
              <w:t>100.0</w:t>
            </w:r>
          </w:p>
        </w:tc>
        <w:tc>
          <w:tcPr>
            <w:tcW w:w="0" w:type="auto"/>
            <w:vAlign w:val="center"/>
            <w:hideMark/>
          </w:tcPr>
          <w:p w14:paraId="165B2068"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w:t>
            </w:r>
          </w:p>
        </w:tc>
      </w:tr>
    </w:tbl>
    <w:p w14:paraId="6FC77B24" w14:textId="77777777" w:rsidR="0079329A" w:rsidRDefault="0079329A" w:rsidP="0079329A">
      <w:pPr>
        <w:spacing w:line="276" w:lineRule="auto"/>
        <w:rPr>
          <w:rFonts w:ascii="Times New Roman" w:hAnsi="Times New Roman" w:cs="Times New Roman"/>
          <w:i/>
          <w:iCs/>
          <w:sz w:val="22"/>
          <w:szCs w:val="22"/>
        </w:rPr>
        <w:sectPr w:rsidR="0079329A" w:rsidSect="0079329A">
          <w:type w:val="continuous"/>
          <w:pgSz w:w="12240" w:h="15840"/>
          <w:pgMar w:top="1571" w:right="1435" w:bottom="1501" w:left="1440" w:header="720" w:footer="720" w:gutter="0"/>
          <w:cols w:space="464"/>
        </w:sectPr>
      </w:pPr>
    </w:p>
    <w:p w14:paraId="5DBAFF7D"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i/>
          <w:iCs/>
          <w:sz w:val="22"/>
          <w:szCs w:val="22"/>
        </w:rPr>
        <w:t>Note.</w:t>
      </w:r>
      <w:r w:rsidRPr="0079329A">
        <w:rPr>
          <w:rFonts w:ascii="Times New Roman" w:hAnsi="Times New Roman" w:cs="Times New Roman"/>
          <w:sz w:val="22"/>
          <w:szCs w:val="22"/>
        </w:rPr>
        <w:t xml:space="preserve"> Respondents distributed 100 points across the four institutional priority areas to reflect perceived university management priorities. Values represent mean percentage allocations and standard deviations across all respondents.</w:t>
      </w:r>
    </w:p>
    <w:p w14:paraId="69E848BB"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Table 4.2 presents respondents' perceptions of how universities allocate institutional priorities across key academic and sports-related functions. Traditional classroom lectures, theory infrastructure, and research publications received the highest mean allocation (M = 44.6%, SD = 11.1), indicating that universities place substantial emphasis on academic activities. Elite competitive sports tournaments, travel, and trophy acquisition ranked second (M = 21.7%, SD = 12.1), suggesting a moderate institutional focus on competitive sporting success.</w:t>
      </w:r>
    </w:p>
    <w:p w14:paraId="0F3B2479"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Competency-based sports equipment procurement received a mean allocation of 18.1% (SD = 6.4), while professional development, technical certifications, and coaching clinics received the lowest allocation (M = 15.6%, SD = 5.5). These findings suggest that although sports-related activities receive some level of institutional attention, investments in sports equipment, coaching development, and technical capacity building are comparatively less prioritised. Overall, the results indicate that universities are perceived to allocate a greater share of resources to academic functions than to sports development and professional training initiatives.</w:t>
      </w:r>
    </w:p>
    <w:p w14:paraId="6AF2F711" w14:textId="77777777" w:rsidR="0079329A" w:rsidRPr="0079329A" w:rsidRDefault="0079329A" w:rsidP="0079329A">
      <w:pPr>
        <w:spacing w:line="276" w:lineRule="auto"/>
        <w:rPr>
          <w:rFonts w:ascii="Times New Roman" w:hAnsi="Times New Roman" w:cs="Times New Roman"/>
          <w:sz w:val="22"/>
          <w:szCs w:val="22"/>
        </w:rPr>
      </w:pPr>
    </w:p>
    <w:p w14:paraId="5FC51020" w14:textId="27E31E51" w:rsidR="0079329A" w:rsidRPr="0079329A" w:rsidRDefault="0079329A" w:rsidP="0079329A">
      <w:pPr>
        <w:pStyle w:val="Heading2"/>
        <w:spacing w:line="276" w:lineRule="auto"/>
        <w:ind w:left="0" w:firstLine="0"/>
        <w:rPr>
          <w:rFonts w:ascii="Times New Roman" w:hAnsi="Times New Roman" w:cs="Times New Roman"/>
          <w:sz w:val="22"/>
          <w:szCs w:val="22"/>
        </w:rPr>
      </w:pPr>
      <w:r w:rsidRPr="0079329A">
        <w:rPr>
          <w:rFonts w:ascii="Times New Roman" w:hAnsi="Times New Roman" w:cs="Times New Roman"/>
          <w:sz w:val="22"/>
          <w:szCs w:val="22"/>
        </w:rPr>
        <w:t>Competency-Based Learning Outcomes</w:t>
      </w:r>
    </w:p>
    <w:p w14:paraId="260887AC" w14:textId="4F0EE104" w:rsidR="0079329A" w:rsidRPr="0079329A" w:rsidRDefault="0079329A" w:rsidP="0079329A">
      <w:pPr>
        <w:pStyle w:val="Heading3"/>
        <w:spacing w:line="276" w:lineRule="auto"/>
        <w:rPr>
          <w:rFonts w:ascii="Times New Roman" w:hAnsi="Times New Roman" w:cs="Times New Roman"/>
          <w:sz w:val="22"/>
          <w:szCs w:val="22"/>
        </w:rPr>
      </w:pPr>
      <w:r w:rsidRPr="0079329A">
        <w:rPr>
          <w:rFonts w:ascii="Times New Roman" w:hAnsi="Times New Roman" w:cs="Times New Roman"/>
          <w:sz w:val="22"/>
          <w:szCs w:val="22"/>
        </w:rPr>
        <w:t>Competency development through sport participation</w:t>
      </w:r>
    </w:p>
    <w:p w14:paraId="52CBFCC1" w14:textId="77777777" w:rsidR="0079329A" w:rsidRDefault="0079329A" w:rsidP="0079329A">
      <w:pPr>
        <w:pStyle w:val="NormalWeb"/>
        <w:keepNext/>
        <w:spacing w:line="276" w:lineRule="auto"/>
        <w:rPr>
          <w:sz w:val="22"/>
          <w:szCs w:val="22"/>
        </w:rPr>
        <w:sectPr w:rsidR="0079329A" w:rsidSect="0079329A">
          <w:type w:val="continuous"/>
          <w:pgSz w:w="12240" w:h="15840"/>
          <w:pgMar w:top="1571" w:right="1435" w:bottom="1501" w:left="1440" w:header="720" w:footer="720" w:gutter="0"/>
          <w:cols w:num="2" w:space="464"/>
        </w:sectPr>
      </w:pPr>
    </w:p>
    <w:p w14:paraId="76AC4882" w14:textId="77777777" w:rsidR="0079329A" w:rsidRDefault="0079329A" w:rsidP="0079329A">
      <w:pPr>
        <w:pStyle w:val="NormalWeb"/>
        <w:keepNext/>
        <w:spacing w:line="276" w:lineRule="auto"/>
        <w:rPr>
          <w:sz w:val="22"/>
          <w:szCs w:val="22"/>
        </w:rPr>
        <w:sectPr w:rsidR="0079329A" w:rsidSect="0079329A">
          <w:type w:val="continuous"/>
          <w:pgSz w:w="12240" w:h="15840"/>
          <w:pgMar w:top="1571" w:right="1435" w:bottom="1501" w:left="1440" w:header="720" w:footer="720" w:gutter="0"/>
          <w:cols w:space="464"/>
        </w:sectPr>
      </w:pPr>
      <w:r w:rsidRPr="0079329A">
        <w:rPr>
          <w:noProof/>
          <w:sz w:val="22"/>
          <w:szCs w:val="22"/>
        </w:rPr>
        <w:lastRenderedPageBreak/>
        <w:drawing>
          <wp:inline distT="0" distB="0" distL="0" distR="0" wp14:anchorId="3590BACE" wp14:editId="7A4ABD37">
            <wp:extent cx="4532243" cy="4531849"/>
            <wp:effectExtent l="0" t="0" r="1905" b="2540"/>
            <wp:docPr id="551555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0951" cy="4580553"/>
                    </a:xfrm>
                    <a:prstGeom prst="rect">
                      <a:avLst/>
                    </a:prstGeom>
                    <a:noFill/>
                    <a:ln>
                      <a:noFill/>
                    </a:ln>
                  </pic:spPr>
                </pic:pic>
              </a:graphicData>
            </a:graphic>
          </wp:inline>
        </w:drawing>
      </w:r>
    </w:p>
    <w:p w14:paraId="3049A87A" w14:textId="77777777" w:rsidR="0079329A" w:rsidRPr="0079329A" w:rsidRDefault="0079329A" w:rsidP="0079329A">
      <w:pPr>
        <w:pStyle w:val="NormalWeb"/>
        <w:keepNext/>
        <w:spacing w:line="276" w:lineRule="auto"/>
        <w:rPr>
          <w:sz w:val="22"/>
          <w:szCs w:val="22"/>
        </w:rPr>
      </w:pPr>
    </w:p>
    <w:p w14:paraId="14D125BE" w14:textId="77777777" w:rsidR="0079329A" w:rsidRPr="0079329A" w:rsidRDefault="0079329A" w:rsidP="0079329A">
      <w:pPr>
        <w:pStyle w:val="Caption"/>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Figure 4. </w:t>
      </w:r>
      <w:r w:rsidRPr="0079329A">
        <w:rPr>
          <w:rFonts w:ascii="Times New Roman" w:hAnsi="Times New Roman" w:cs="Times New Roman"/>
          <w:sz w:val="22"/>
          <w:szCs w:val="22"/>
        </w:rPr>
        <w:fldChar w:fldCharType="begin"/>
      </w:r>
      <w:r w:rsidRPr="0079329A">
        <w:rPr>
          <w:rFonts w:ascii="Times New Roman" w:hAnsi="Times New Roman" w:cs="Times New Roman"/>
          <w:sz w:val="22"/>
          <w:szCs w:val="22"/>
        </w:rPr>
        <w:instrText xml:space="preserve"> SEQ Figure_4. \* ARABIC </w:instrText>
      </w:r>
      <w:r w:rsidRPr="0079329A">
        <w:rPr>
          <w:rFonts w:ascii="Times New Roman" w:hAnsi="Times New Roman" w:cs="Times New Roman"/>
          <w:sz w:val="22"/>
          <w:szCs w:val="22"/>
        </w:rPr>
        <w:fldChar w:fldCharType="separate"/>
      </w:r>
      <w:r w:rsidRPr="0079329A">
        <w:rPr>
          <w:rFonts w:ascii="Times New Roman" w:hAnsi="Times New Roman" w:cs="Times New Roman"/>
          <w:noProof/>
          <w:sz w:val="22"/>
          <w:szCs w:val="22"/>
        </w:rPr>
        <w:t>1</w:t>
      </w:r>
      <w:r w:rsidRPr="0079329A">
        <w:rPr>
          <w:rFonts w:ascii="Times New Roman" w:hAnsi="Times New Roman" w:cs="Times New Roman"/>
          <w:sz w:val="22"/>
          <w:szCs w:val="22"/>
        </w:rPr>
        <w:fldChar w:fldCharType="end"/>
      </w:r>
      <w:r w:rsidRPr="0079329A">
        <w:rPr>
          <w:rFonts w:ascii="Times New Roman" w:hAnsi="Times New Roman" w:cs="Times New Roman"/>
          <w:sz w:val="22"/>
          <w:szCs w:val="22"/>
        </w:rPr>
        <w:t xml:space="preserve"> Competency development through sport participation</w:t>
      </w:r>
    </w:p>
    <w:p w14:paraId="36A1A033"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According to figure 4.1, the violin plot shows a concentration of responses within the Agree and Strongly Agree categories, with a median of 4 (Agree). The distribution on Self-Discipline and Professional Rule Adherence is negatively skewed, indicating that most respondents perceive sports participation as effective in developing self-discipline and adherence to professional rules. Only a few responses fall within the disagreement categories.</w:t>
      </w:r>
    </w:p>
    <w:p w14:paraId="718B8483"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Based on Real-Time Tactical Adjustments Under Pressure; the indicator exhibits the strongest concentration of positive responses. The </w:t>
      </w:r>
      <w:r w:rsidRPr="0079329A">
        <w:rPr>
          <w:rFonts w:ascii="Times New Roman" w:hAnsi="Times New Roman" w:cs="Times New Roman"/>
          <w:sz w:val="22"/>
          <w:szCs w:val="22"/>
        </w:rPr>
        <w:t>distribution is heavily clustered around Agree and Strongly Agree, with a median of 4 and the highest mean score among all competencies (M = 3.62). The findings suggest strong consensus that sports participation enhances tactical decision-making and problem-solving under pressure.</w:t>
      </w:r>
    </w:p>
    <w:p w14:paraId="10679A71"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The distribution on managing Team Crises and Resolving Peer Conflicts is centred around Neutral and Agree, with a median of 3 (Neutral). While many respondents viewed sports as beneficial for developing conflict-resolution and teamwork skills, opinions were more varied compared to the previous competencies. The plot indicates moderate positive perceptions with some variability in responses.</w:t>
      </w:r>
    </w:p>
    <w:p w14:paraId="719C9679"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The violin plot on Adaptive Grit in Overcoming Physical and Mental Setbacks displays a relatively </w:t>
      </w:r>
      <w:r w:rsidRPr="0079329A">
        <w:rPr>
          <w:rFonts w:ascii="Times New Roman" w:hAnsi="Times New Roman" w:cs="Times New Roman"/>
          <w:sz w:val="22"/>
          <w:szCs w:val="22"/>
        </w:rPr>
        <w:lastRenderedPageBreak/>
        <w:t>symmetrical distribution spread across the response categories, with a median of 3 (Neutral). Responses are evenly distributed between disagreement, neutrality, and agreement, indicating no clear consensus regarding the role of sports in developing resilience and adaptive grit. This pattern is consistent with the non-significant t-test result.</w:t>
      </w:r>
    </w:p>
    <w:p w14:paraId="1F458D5B"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Overall, the violin plots indicate that sports participation is most strongly associated with the </w:t>
      </w:r>
      <w:r w:rsidRPr="0079329A">
        <w:rPr>
          <w:rFonts w:ascii="Times New Roman" w:hAnsi="Times New Roman" w:cs="Times New Roman"/>
          <w:sz w:val="22"/>
          <w:szCs w:val="22"/>
        </w:rPr>
        <w:t>development of tactical decision-making and self-discipline. Perceptions regarding conflict resolution are moderately positive, while views on adaptive grit remain largely neutral. The findings suggest that respondents recognize sports as an important contributor to personal and professional competencies, although its influence on resilience is less certain.</w:t>
      </w:r>
    </w:p>
    <w:p w14:paraId="4A4C9707" w14:textId="7337A846" w:rsidR="0079329A" w:rsidRPr="0079329A" w:rsidRDefault="0079329A" w:rsidP="0079329A">
      <w:pPr>
        <w:pStyle w:val="Heading3"/>
        <w:spacing w:line="276" w:lineRule="auto"/>
        <w:rPr>
          <w:rFonts w:ascii="Times New Roman" w:hAnsi="Times New Roman" w:cs="Times New Roman"/>
          <w:sz w:val="22"/>
          <w:szCs w:val="22"/>
        </w:rPr>
      </w:pPr>
      <w:r w:rsidRPr="0079329A">
        <w:rPr>
          <w:rFonts w:ascii="Times New Roman" w:hAnsi="Times New Roman" w:cs="Times New Roman"/>
          <w:sz w:val="22"/>
          <w:szCs w:val="22"/>
        </w:rPr>
        <w:t>Inferential Statistics for Core Competency Indicators (N = 169)</w:t>
      </w:r>
    </w:p>
    <w:p w14:paraId="2049EEFA" w14:textId="77777777" w:rsidR="0070756F" w:rsidRDefault="0070756F" w:rsidP="0079329A">
      <w:pPr>
        <w:spacing w:line="276" w:lineRule="auto"/>
        <w:rPr>
          <w:rFonts w:ascii="Times New Roman" w:hAnsi="Times New Roman" w:cs="Times New Roman"/>
          <w:b/>
          <w:bCs/>
          <w:sz w:val="22"/>
          <w:szCs w:val="22"/>
        </w:rPr>
        <w:sectPr w:rsidR="0070756F" w:rsidSect="0079329A">
          <w:type w:val="continuous"/>
          <w:pgSz w:w="12240" w:h="15840"/>
          <w:pgMar w:top="1571" w:right="1435" w:bottom="1501" w:left="1440" w:header="720" w:footer="720" w:gutter="0"/>
          <w:cols w:num="2" w:space="464"/>
        </w:sect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402"/>
        <w:gridCol w:w="851"/>
        <w:gridCol w:w="850"/>
        <w:gridCol w:w="567"/>
        <w:gridCol w:w="851"/>
        <w:gridCol w:w="567"/>
        <w:gridCol w:w="425"/>
        <w:gridCol w:w="992"/>
        <w:gridCol w:w="709"/>
      </w:tblGrid>
      <w:tr w:rsidR="0079329A" w:rsidRPr="0079329A" w14:paraId="3A9EB0DD" w14:textId="77777777" w:rsidTr="00773421">
        <w:trPr>
          <w:tblHeader/>
          <w:tblCellSpacing w:w="15" w:type="dxa"/>
        </w:trPr>
        <w:tc>
          <w:tcPr>
            <w:tcW w:w="3357" w:type="dxa"/>
            <w:tcBorders>
              <w:top w:val="single" w:sz="4" w:space="0" w:color="auto"/>
              <w:bottom w:val="single" w:sz="4" w:space="0" w:color="auto"/>
            </w:tcBorders>
            <w:vAlign w:val="center"/>
            <w:hideMark/>
          </w:tcPr>
          <w:p w14:paraId="774ABF81"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Competency Indicator</w:t>
            </w:r>
          </w:p>
        </w:tc>
        <w:tc>
          <w:tcPr>
            <w:tcW w:w="821" w:type="dxa"/>
            <w:tcBorders>
              <w:top w:val="single" w:sz="4" w:space="0" w:color="auto"/>
              <w:bottom w:val="single" w:sz="4" w:space="0" w:color="auto"/>
            </w:tcBorders>
            <w:vAlign w:val="center"/>
            <w:hideMark/>
          </w:tcPr>
          <w:p w14:paraId="09A1C183"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N</w:t>
            </w:r>
          </w:p>
        </w:tc>
        <w:tc>
          <w:tcPr>
            <w:tcW w:w="820" w:type="dxa"/>
            <w:tcBorders>
              <w:top w:val="single" w:sz="4" w:space="0" w:color="auto"/>
              <w:bottom w:val="single" w:sz="4" w:space="0" w:color="auto"/>
            </w:tcBorders>
            <w:vAlign w:val="center"/>
            <w:hideMark/>
          </w:tcPr>
          <w:p w14:paraId="1D8965A1"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Mean</w:t>
            </w:r>
          </w:p>
        </w:tc>
        <w:tc>
          <w:tcPr>
            <w:tcW w:w="537" w:type="dxa"/>
            <w:tcBorders>
              <w:top w:val="single" w:sz="4" w:space="0" w:color="auto"/>
              <w:bottom w:val="single" w:sz="4" w:space="0" w:color="auto"/>
            </w:tcBorders>
            <w:vAlign w:val="center"/>
            <w:hideMark/>
          </w:tcPr>
          <w:p w14:paraId="3B0C9D51"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SD</w:t>
            </w:r>
          </w:p>
        </w:tc>
        <w:tc>
          <w:tcPr>
            <w:tcW w:w="821" w:type="dxa"/>
            <w:tcBorders>
              <w:top w:val="single" w:sz="4" w:space="0" w:color="auto"/>
              <w:bottom w:val="single" w:sz="4" w:space="0" w:color="auto"/>
            </w:tcBorders>
            <w:vAlign w:val="center"/>
            <w:hideMark/>
          </w:tcPr>
          <w:p w14:paraId="6DFBFF5E"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Median</w:t>
            </w:r>
          </w:p>
        </w:tc>
        <w:tc>
          <w:tcPr>
            <w:tcW w:w="537" w:type="dxa"/>
            <w:tcBorders>
              <w:top w:val="single" w:sz="4" w:space="0" w:color="auto"/>
              <w:bottom w:val="single" w:sz="4" w:space="0" w:color="auto"/>
            </w:tcBorders>
            <w:vAlign w:val="center"/>
            <w:hideMark/>
          </w:tcPr>
          <w:p w14:paraId="7780BC45"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T</w:t>
            </w:r>
          </w:p>
        </w:tc>
        <w:tc>
          <w:tcPr>
            <w:tcW w:w="395" w:type="dxa"/>
            <w:tcBorders>
              <w:top w:val="single" w:sz="4" w:space="0" w:color="auto"/>
              <w:bottom w:val="single" w:sz="4" w:space="0" w:color="auto"/>
            </w:tcBorders>
            <w:vAlign w:val="center"/>
            <w:hideMark/>
          </w:tcPr>
          <w:p w14:paraId="20C39E7A"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df</w:t>
            </w:r>
          </w:p>
        </w:tc>
        <w:tc>
          <w:tcPr>
            <w:tcW w:w="962" w:type="dxa"/>
            <w:tcBorders>
              <w:top w:val="single" w:sz="4" w:space="0" w:color="auto"/>
              <w:bottom w:val="single" w:sz="4" w:space="0" w:color="auto"/>
            </w:tcBorders>
            <w:vAlign w:val="center"/>
            <w:hideMark/>
          </w:tcPr>
          <w:p w14:paraId="0BA36818"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p-value</w:t>
            </w:r>
          </w:p>
        </w:tc>
        <w:tc>
          <w:tcPr>
            <w:tcW w:w="664" w:type="dxa"/>
            <w:tcBorders>
              <w:top w:val="single" w:sz="4" w:space="0" w:color="auto"/>
              <w:bottom w:val="single" w:sz="4" w:space="0" w:color="auto"/>
            </w:tcBorders>
            <w:vAlign w:val="center"/>
            <w:hideMark/>
          </w:tcPr>
          <w:p w14:paraId="16DD15EC"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95% CI</w:t>
            </w:r>
          </w:p>
        </w:tc>
      </w:tr>
      <w:tr w:rsidR="0079329A" w:rsidRPr="0079329A" w14:paraId="7E670FCB" w14:textId="77777777" w:rsidTr="00773421">
        <w:trPr>
          <w:tblCellSpacing w:w="15" w:type="dxa"/>
        </w:trPr>
        <w:tc>
          <w:tcPr>
            <w:tcW w:w="3357" w:type="dxa"/>
            <w:vAlign w:val="center"/>
            <w:hideMark/>
          </w:tcPr>
          <w:p w14:paraId="74F3D59D"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Self-discipline and adherence to professional rules</w:t>
            </w:r>
          </w:p>
        </w:tc>
        <w:tc>
          <w:tcPr>
            <w:tcW w:w="821" w:type="dxa"/>
            <w:vAlign w:val="center"/>
            <w:hideMark/>
          </w:tcPr>
          <w:p w14:paraId="4956E53D"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169</w:t>
            </w:r>
          </w:p>
        </w:tc>
        <w:tc>
          <w:tcPr>
            <w:tcW w:w="820" w:type="dxa"/>
            <w:vAlign w:val="center"/>
            <w:hideMark/>
          </w:tcPr>
          <w:p w14:paraId="25A54315"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3.45</w:t>
            </w:r>
          </w:p>
        </w:tc>
        <w:tc>
          <w:tcPr>
            <w:tcW w:w="537" w:type="dxa"/>
            <w:vAlign w:val="center"/>
            <w:hideMark/>
          </w:tcPr>
          <w:p w14:paraId="500B4203"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1.42</w:t>
            </w:r>
          </w:p>
        </w:tc>
        <w:tc>
          <w:tcPr>
            <w:tcW w:w="821" w:type="dxa"/>
            <w:vAlign w:val="center"/>
            <w:hideMark/>
          </w:tcPr>
          <w:p w14:paraId="5AF04E92"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4</w:t>
            </w:r>
          </w:p>
        </w:tc>
        <w:tc>
          <w:tcPr>
            <w:tcW w:w="537" w:type="dxa"/>
            <w:vAlign w:val="center"/>
            <w:hideMark/>
          </w:tcPr>
          <w:p w14:paraId="50031CF1"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4.15</w:t>
            </w:r>
          </w:p>
        </w:tc>
        <w:tc>
          <w:tcPr>
            <w:tcW w:w="395" w:type="dxa"/>
            <w:vAlign w:val="center"/>
            <w:hideMark/>
          </w:tcPr>
          <w:p w14:paraId="227A2497"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168</w:t>
            </w:r>
          </w:p>
        </w:tc>
        <w:tc>
          <w:tcPr>
            <w:tcW w:w="962" w:type="dxa"/>
            <w:vAlign w:val="center"/>
            <w:hideMark/>
          </w:tcPr>
          <w:p w14:paraId="42DA82EE"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&lt; .001</w:t>
            </w:r>
          </w:p>
        </w:tc>
        <w:tc>
          <w:tcPr>
            <w:tcW w:w="664" w:type="dxa"/>
            <w:vAlign w:val="center"/>
            <w:hideMark/>
          </w:tcPr>
          <w:p w14:paraId="53DDC8A4"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[3.24, 3.66]</w:t>
            </w:r>
          </w:p>
        </w:tc>
      </w:tr>
      <w:tr w:rsidR="0079329A" w:rsidRPr="0079329A" w14:paraId="5542F75E" w14:textId="77777777" w:rsidTr="00773421">
        <w:trPr>
          <w:tblCellSpacing w:w="15" w:type="dxa"/>
        </w:trPr>
        <w:tc>
          <w:tcPr>
            <w:tcW w:w="3357" w:type="dxa"/>
            <w:vAlign w:val="center"/>
            <w:hideMark/>
          </w:tcPr>
          <w:p w14:paraId="52D5E53E"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Real-time tactical adjustments under pressure</w:t>
            </w:r>
          </w:p>
        </w:tc>
        <w:tc>
          <w:tcPr>
            <w:tcW w:w="821" w:type="dxa"/>
            <w:vAlign w:val="center"/>
            <w:hideMark/>
          </w:tcPr>
          <w:p w14:paraId="72C85728"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169</w:t>
            </w:r>
          </w:p>
        </w:tc>
        <w:tc>
          <w:tcPr>
            <w:tcW w:w="820" w:type="dxa"/>
            <w:vAlign w:val="center"/>
            <w:hideMark/>
          </w:tcPr>
          <w:p w14:paraId="0AC49F5B"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3.62</w:t>
            </w:r>
          </w:p>
        </w:tc>
        <w:tc>
          <w:tcPr>
            <w:tcW w:w="537" w:type="dxa"/>
            <w:vAlign w:val="center"/>
            <w:hideMark/>
          </w:tcPr>
          <w:p w14:paraId="3422296C"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1.17</w:t>
            </w:r>
          </w:p>
        </w:tc>
        <w:tc>
          <w:tcPr>
            <w:tcW w:w="821" w:type="dxa"/>
            <w:vAlign w:val="center"/>
            <w:hideMark/>
          </w:tcPr>
          <w:p w14:paraId="1D9BD307"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4</w:t>
            </w:r>
          </w:p>
        </w:tc>
        <w:tc>
          <w:tcPr>
            <w:tcW w:w="537" w:type="dxa"/>
            <w:vAlign w:val="center"/>
            <w:hideMark/>
          </w:tcPr>
          <w:p w14:paraId="7DFB6F42"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6.88</w:t>
            </w:r>
          </w:p>
        </w:tc>
        <w:tc>
          <w:tcPr>
            <w:tcW w:w="395" w:type="dxa"/>
            <w:vAlign w:val="center"/>
            <w:hideMark/>
          </w:tcPr>
          <w:p w14:paraId="31E82E43"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168</w:t>
            </w:r>
          </w:p>
        </w:tc>
        <w:tc>
          <w:tcPr>
            <w:tcW w:w="962" w:type="dxa"/>
            <w:vAlign w:val="center"/>
            <w:hideMark/>
          </w:tcPr>
          <w:p w14:paraId="3343A0C6"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&lt; .001</w:t>
            </w:r>
          </w:p>
        </w:tc>
        <w:tc>
          <w:tcPr>
            <w:tcW w:w="664" w:type="dxa"/>
            <w:vAlign w:val="center"/>
            <w:hideMark/>
          </w:tcPr>
          <w:p w14:paraId="447B9D01"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[3.44, 3.80]</w:t>
            </w:r>
          </w:p>
        </w:tc>
      </w:tr>
      <w:tr w:rsidR="0079329A" w:rsidRPr="0079329A" w14:paraId="2801ADB4" w14:textId="77777777" w:rsidTr="00773421">
        <w:trPr>
          <w:tblCellSpacing w:w="15" w:type="dxa"/>
        </w:trPr>
        <w:tc>
          <w:tcPr>
            <w:tcW w:w="3357" w:type="dxa"/>
            <w:vAlign w:val="center"/>
            <w:hideMark/>
          </w:tcPr>
          <w:p w14:paraId="0518C059"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Managing team crises and resolving peer conflicts</w:t>
            </w:r>
          </w:p>
        </w:tc>
        <w:tc>
          <w:tcPr>
            <w:tcW w:w="821" w:type="dxa"/>
            <w:vAlign w:val="center"/>
            <w:hideMark/>
          </w:tcPr>
          <w:p w14:paraId="2197B8BA"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169</w:t>
            </w:r>
          </w:p>
        </w:tc>
        <w:tc>
          <w:tcPr>
            <w:tcW w:w="820" w:type="dxa"/>
            <w:vAlign w:val="center"/>
            <w:hideMark/>
          </w:tcPr>
          <w:p w14:paraId="5496795B"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3.38</w:t>
            </w:r>
          </w:p>
        </w:tc>
        <w:tc>
          <w:tcPr>
            <w:tcW w:w="537" w:type="dxa"/>
            <w:vAlign w:val="center"/>
            <w:hideMark/>
          </w:tcPr>
          <w:p w14:paraId="2BBA8455"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1.15</w:t>
            </w:r>
          </w:p>
        </w:tc>
        <w:tc>
          <w:tcPr>
            <w:tcW w:w="821" w:type="dxa"/>
            <w:vAlign w:val="center"/>
            <w:hideMark/>
          </w:tcPr>
          <w:p w14:paraId="2D73766A"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3</w:t>
            </w:r>
          </w:p>
        </w:tc>
        <w:tc>
          <w:tcPr>
            <w:tcW w:w="537" w:type="dxa"/>
            <w:vAlign w:val="center"/>
            <w:hideMark/>
          </w:tcPr>
          <w:p w14:paraId="41928990"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4.32</w:t>
            </w:r>
          </w:p>
        </w:tc>
        <w:tc>
          <w:tcPr>
            <w:tcW w:w="395" w:type="dxa"/>
            <w:vAlign w:val="center"/>
            <w:hideMark/>
          </w:tcPr>
          <w:p w14:paraId="2DB436F9"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168</w:t>
            </w:r>
          </w:p>
        </w:tc>
        <w:tc>
          <w:tcPr>
            <w:tcW w:w="962" w:type="dxa"/>
            <w:vAlign w:val="center"/>
            <w:hideMark/>
          </w:tcPr>
          <w:p w14:paraId="75ADCA3E"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&lt; .001</w:t>
            </w:r>
          </w:p>
        </w:tc>
        <w:tc>
          <w:tcPr>
            <w:tcW w:w="664" w:type="dxa"/>
            <w:vAlign w:val="center"/>
            <w:hideMark/>
          </w:tcPr>
          <w:p w14:paraId="273499EC"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[3.21, 3.55]</w:t>
            </w:r>
          </w:p>
        </w:tc>
      </w:tr>
      <w:tr w:rsidR="0079329A" w:rsidRPr="0079329A" w14:paraId="7D762C55" w14:textId="77777777" w:rsidTr="00773421">
        <w:trPr>
          <w:tblCellSpacing w:w="15" w:type="dxa"/>
        </w:trPr>
        <w:tc>
          <w:tcPr>
            <w:tcW w:w="3357" w:type="dxa"/>
            <w:vAlign w:val="center"/>
            <w:hideMark/>
          </w:tcPr>
          <w:p w14:paraId="6371AA5B"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Adaptive grit to process physical and mental setbacks</w:t>
            </w:r>
          </w:p>
        </w:tc>
        <w:tc>
          <w:tcPr>
            <w:tcW w:w="821" w:type="dxa"/>
            <w:vAlign w:val="center"/>
            <w:hideMark/>
          </w:tcPr>
          <w:p w14:paraId="1AA14857"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169</w:t>
            </w:r>
          </w:p>
        </w:tc>
        <w:tc>
          <w:tcPr>
            <w:tcW w:w="820" w:type="dxa"/>
            <w:vAlign w:val="center"/>
            <w:hideMark/>
          </w:tcPr>
          <w:p w14:paraId="3860FEEF"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3.14</w:t>
            </w:r>
          </w:p>
        </w:tc>
        <w:tc>
          <w:tcPr>
            <w:tcW w:w="537" w:type="dxa"/>
            <w:vAlign w:val="center"/>
            <w:hideMark/>
          </w:tcPr>
          <w:p w14:paraId="7C20DBAE"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1.37</w:t>
            </w:r>
          </w:p>
        </w:tc>
        <w:tc>
          <w:tcPr>
            <w:tcW w:w="821" w:type="dxa"/>
            <w:vAlign w:val="center"/>
            <w:hideMark/>
          </w:tcPr>
          <w:p w14:paraId="13989FA5"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3</w:t>
            </w:r>
          </w:p>
        </w:tc>
        <w:tc>
          <w:tcPr>
            <w:tcW w:w="537" w:type="dxa"/>
            <w:vAlign w:val="center"/>
            <w:hideMark/>
          </w:tcPr>
          <w:p w14:paraId="6131331D"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1.34</w:t>
            </w:r>
          </w:p>
        </w:tc>
        <w:tc>
          <w:tcPr>
            <w:tcW w:w="395" w:type="dxa"/>
            <w:vAlign w:val="center"/>
            <w:hideMark/>
          </w:tcPr>
          <w:p w14:paraId="3782C5E3"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168</w:t>
            </w:r>
          </w:p>
        </w:tc>
        <w:tc>
          <w:tcPr>
            <w:tcW w:w="962" w:type="dxa"/>
            <w:vAlign w:val="center"/>
            <w:hideMark/>
          </w:tcPr>
          <w:p w14:paraId="2EEE73F3"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.182</w:t>
            </w:r>
          </w:p>
        </w:tc>
        <w:tc>
          <w:tcPr>
            <w:tcW w:w="664" w:type="dxa"/>
            <w:vAlign w:val="center"/>
            <w:hideMark/>
          </w:tcPr>
          <w:p w14:paraId="0CE30CFE"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[2.93, 3.35]</w:t>
            </w:r>
          </w:p>
        </w:tc>
      </w:tr>
    </w:tbl>
    <w:p w14:paraId="4F61BA5F" w14:textId="77777777" w:rsidR="0070756F" w:rsidRDefault="0070756F" w:rsidP="0079329A">
      <w:pPr>
        <w:spacing w:line="276" w:lineRule="auto"/>
        <w:rPr>
          <w:rFonts w:ascii="Times New Roman" w:hAnsi="Times New Roman" w:cs="Times New Roman"/>
          <w:i/>
          <w:iCs/>
          <w:sz w:val="22"/>
          <w:szCs w:val="22"/>
        </w:rPr>
        <w:sectPr w:rsidR="0070756F" w:rsidSect="0070756F">
          <w:type w:val="continuous"/>
          <w:pgSz w:w="12240" w:h="15840"/>
          <w:pgMar w:top="1571" w:right="1435" w:bottom="1501" w:left="1440" w:header="720" w:footer="720" w:gutter="0"/>
          <w:cols w:space="464"/>
        </w:sectPr>
      </w:pPr>
    </w:p>
    <w:p w14:paraId="398FC4B2"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i/>
          <w:iCs/>
          <w:sz w:val="22"/>
          <w:szCs w:val="22"/>
        </w:rPr>
        <w:t>Note.</w:t>
      </w:r>
      <w:r w:rsidRPr="0079329A">
        <w:rPr>
          <w:rFonts w:ascii="Times New Roman" w:hAnsi="Times New Roman" w:cs="Times New Roman"/>
          <w:sz w:val="22"/>
          <w:szCs w:val="22"/>
        </w:rPr>
        <w:t xml:space="preserve"> Likert scale: 1 = Strongly Disagree, 2 = Disagree, 3 = Neutral, 4 = Agree, and 5 = Strongly Agree. One-sample t-tests compared the mean response for each competency indicator against the neutral midpoint of 3. The chi-square test of homogeneity examined whether the distribution of responses differed across the four competency indicators.</w:t>
      </w:r>
    </w:p>
    <w:p w14:paraId="5B79B867"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The one-sample t-test results indicate that respondents generally perceived sports participation as contributing positively to several core competencies. Self-discipline and adherence to professional rules recorded a mean score significantly above the neutral midpoint (M = 3.45, SD = 1.42), suggesting that respondents agreed that sports participation promotes discipline and compliance with professional standards. Similarly, real-time tactical adjustments under pressure </w:t>
      </w:r>
      <w:r w:rsidRPr="0079329A">
        <w:rPr>
          <w:rFonts w:ascii="Times New Roman" w:hAnsi="Times New Roman" w:cs="Times New Roman"/>
          <w:sz w:val="22"/>
          <w:szCs w:val="22"/>
        </w:rPr>
        <w:t>attained the highest mean score (M = 3.62, SD = 1.17), indicating strong agreement that sports enhance decision-making and problem-solving abilities in dynamic situations.</w:t>
      </w:r>
    </w:p>
    <w:p w14:paraId="67A43C27"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Managing team crises and resolving peer conflicts also yielded a mean score significantly higher than the neutral value (M = 3.38, SD = 1.15), demonstrating that respondents viewed sports participation as beneficial in developing teamwork, conflict resolution, and leadership skills. In contrast, adaptive grit to process physical and mental setbacks produced a mean score that was not significantly different from the neutral midpoint (M = 3.14, SD = 1.37, p = .182), suggesting uncertainty among respondents regarding the extent to which sports participation fosters resilience in overcoming challenges.</w:t>
      </w:r>
    </w:p>
    <w:p w14:paraId="22A4A439" w14:textId="393F767F" w:rsidR="0079329A" w:rsidRPr="0079329A" w:rsidRDefault="0079329A" w:rsidP="0079329A">
      <w:pPr>
        <w:pStyle w:val="Heading3"/>
        <w:spacing w:line="276" w:lineRule="auto"/>
        <w:rPr>
          <w:rFonts w:ascii="Times New Roman" w:hAnsi="Times New Roman" w:cs="Times New Roman"/>
          <w:sz w:val="22"/>
          <w:szCs w:val="22"/>
        </w:rPr>
      </w:pPr>
      <w:r w:rsidRPr="0079329A">
        <w:rPr>
          <w:rFonts w:ascii="Times New Roman" w:hAnsi="Times New Roman" w:cs="Times New Roman"/>
          <w:sz w:val="22"/>
          <w:szCs w:val="22"/>
        </w:rPr>
        <w:lastRenderedPageBreak/>
        <w:t>Chi-square Test of Homogeneity Across Competencies</w:t>
      </w:r>
    </w:p>
    <w:p w14:paraId="213CE272" w14:textId="77777777" w:rsidR="0079329A" w:rsidRPr="0079329A" w:rsidRDefault="0079329A" w:rsidP="0079329A">
      <w:pPr>
        <w:pStyle w:val="Caption"/>
        <w:keepNext/>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Table 4. </w:t>
      </w:r>
      <w:r w:rsidRPr="0079329A">
        <w:rPr>
          <w:rFonts w:ascii="Times New Roman" w:hAnsi="Times New Roman" w:cs="Times New Roman"/>
          <w:sz w:val="22"/>
          <w:szCs w:val="22"/>
        </w:rPr>
        <w:fldChar w:fldCharType="begin"/>
      </w:r>
      <w:r w:rsidRPr="0079329A">
        <w:rPr>
          <w:rFonts w:ascii="Times New Roman" w:hAnsi="Times New Roman" w:cs="Times New Roman"/>
          <w:sz w:val="22"/>
          <w:szCs w:val="22"/>
        </w:rPr>
        <w:instrText xml:space="preserve"> SEQ Table_4. \* ARABIC </w:instrText>
      </w:r>
      <w:r w:rsidRPr="0079329A">
        <w:rPr>
          <w:rFonts w:ascii="Times New Roman" w:hAnsi="Times New Roman" w:cs="Times New Roman"/>
          <w:sz w:val="22"/>
          <w:szCs w:val="22"/>
        </w:rPr>
        <w:fldChar w:fldCharType="separate"/>
      </w:r>
      <w:r w:rsidRPr="0079329A">
        <w:rPr>
          <w:rFonts w:ascii="Times New Roman" w:hAnsi="Times New Roman" w:cs="Times New Roman"/>
          <w:noProof/>
          <w:sz w:val="22"/>
          <w:szCs w:val="22"/>
        </w:rPr>
        <w:t>3</w:t>
      </w:r>
      <w:r w:rsidRPr="0079329A">
        <w:rPr>
          <w:rFonts w:ascii="Times New Roman" w:hAnsi="Times New Roman" w:cs="Times New Roman"/>
          <w:sz w:val="22"/>
          <w:szCs w:val="22"/>
        </w:rPr>
        <w:fldChar w:fldCharType="end"/>
      </w:r>
      <w:r w:rsidRPr="0079329A">
        <w:rPr>
          <w:rFonts w:ascii="Times New Roman" w:hAnsi="Times New Roman" w:cs="Times New Roman"/>
          <w:sz w:val="22"/>
          <w:szCs w:val="22"/>
        </w:rPr>
        <w:t xml:space="preserve"> Chi-square test</w:t>
      </w:r>
    </w:p>
    <w:p w14:paraId="52B1C3B9" w14:textId="77777777" w:rsidR="0070756F" w:rsidRDefault="0070756F" w:rsidP="0079329A">
      <w:pPr>
        <w:spacing w:line="276" w:lineRule="auto"/>
        <w:rPr>
          <w:rFonts w:ascii="Times New Roman" w:hAnsi="Times New Roman" w:cs="Times New Roman"/>
          <w:sz w:val="22"/>
          <w:szCs w:val="22"/>
        </w:rPr>
        <w:sectPr w:rsidR="0070756F" w:rsidSect="0079329A">
          <w:type w:val="continuous"/>
          <w:pgSz w:w="12240" w:h="15840"/>
          <w:pgMar w:top="1571" w:right="1435" w:bottom="1501" w:left="1440" w:header="720" w:footer="720" w:gutter="0"/>
          <w:cols w:num="2" w:space="464"/>
        </w:sectPr>
      </w:pPr>
    </w:p>
    <w:tbl>
      <w:tblPr>
        <w:tblW w:w="921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420"/>
        <w:gridCol w:w="2611"/>
        <w:gridCol w:w="1184"/>
      </w:tblGrid>
      <w:tr w:rsidR="0079329A" w:rsidRPr="0079329A" w14:paraId="1F435F25" w14:textId="77777777" w:rsidTr="0070756F">
        <w:trPr>
          <w:trHeight w:val="770"/>
          <w:tblHeader/>
          <w:tblCellSpacing w:w="15" w:type="dxa"/>
        </w:trPr>
        <w:tc>
          <w:tcPr>
            <w:tcW w:w="0" w:type="auto"/>
            <w:tcBorders>
              <w:top w:val="single" w:sz="4" w:space="0" w:color="auto"/>
              <w:bottom w:val="single" w:sz="4" w:space="0" w:color="auto"/>
            </w:tcBorders>
            <w:vAlign w:val="center"/>
            <w:hideMark/>
          </w:tcPr>
          <w:p w14:paraId="37C7EAAF"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χ²</w:t>
            </w:r>
          </w:p>
        </w:tc>
        <w:tc>
          <w:tcPr>
            <w:tcW w:w="0" w:type="auto"/>
            <w:tcBorders>
              <w:top w:val="single" w:sz="4" w:space="0" w:color="auto"/>
              <w:bottom w:val="single" w:sz="4" w:space="0" w:color="auto"/>
            </w:tcBorders>
            <w:vAlign w:val="center"/>
            <w:hideMark/>
          </w:tcPr>
          <w:p w14:paraId="0B83090E"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df</w:t>
            </w:r>
          </w:p>
        </w:tc>
        <w:tc>
          <w:tcPr>
            <w:tcW w:w="1139" w:type="dxa"/>
            <w:tcBorders>
              <w:top w:val="single" w:sz="4" w:space="0" w:color="auto"/>
              <w:bottom w:val="single" w:sz="4" w:space="0" w:color="auto"/>
            </w:tcBorders>
            <w:vAlign w:val="center"/>
            <w:hideMark/>
          </w:tcPr>
          <w:p w14:paraId="3CFF0A85"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p-value</w:t>
            </w:r>
          </w:p>
        </w:tc>
      </w:tr>
      <w:tr w:rsidR="0079329A" w:rsidRPr="0079329A" w14:paraId="10BE25DB" w14:textId="77777777" w:rsidTr="0070756F">
        <w:trPr>
          <w:trHeight w:val="787"/>
          <w:tblCellSpacing w:w="15" w:type="dxa"/>
        </w:trPr>
        <w:tc>
          <w:tcPr>
            <w:tcW w:w="0" w:type="auto"/>
            <w:vAlign w:val="center"/>
            <w:hideMark/>
          </w:tcPr>
          <w:p w14:paraId="76A5C536"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12.57</w:t>
            </w:r>
          </w:p>
        </w:tc>
        <w:tc>
          <w:tcPr>
            <w:tcW w:w="0" w:type="auto"/>
            <w:vAlign w:val="center"/>
            <w:hideMark/>
          </w:tcPr>
          <w:p w14:paraId="508BA05A"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12</w:t>
            </w:r>
          </w:p>
        </w:tc>
        <w:tc>
          <w:tcPr>
            <w:tcW w:w="1139" w:type="dxa"/>
            <w:vAlign w:val="center"/>
            <w:hideMark/>
          </w:tcPr>
          <w:p w14:paraId="179380BA"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.401</w:t>
            </w:r>
          </w:p>
        </w:tc>
      </w:tr>
    </w:tbl>
    <w:p w14:paraId="08AE6508" w14:textId="77777777" w:rsidR="0070756F" w:rsidRDefault="0070756F" w:rsidP="0079329A">
      <w:pPr>
        <w:spacing w:line="276" w:lineRule="auto"/>
        <w:rPr>
          <w:rFonts w:ascii="Times New Roman" w:hAnsi="Times New Roman" w:cs="Times New Roman"/>
          <w:sz w:val="22"/>
          <w:szCs w:val="22"/>
        </w:rPr>
        <w:sectPr w:rsidR="0070756F" w:rsidSect="0070756F">
          <w:type w:val="continuous"/>
          <w:pgSz w:w="12240" w:h="15840"/>
          <w:pgMar w:top="1571" w:right="1435" w:bottom="1501" w:left="1440" w:header="720" w:footer="720" w:gutter="0"/>
          <w:cols w:space="464"/>
        </w:sectPr>
      </w:pPr>
    </w:p>
    <w:p w14:paraId="69BF0491"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The chi-square test of homogeneity revealed no statistically significant differences in the distribution of Likert-scale responses across the four competency indicators, χ²(12) = 12.57, p = .401. This finding indicates that respondents exhibited broadly similar patterns of agreement and disagreement across all competency domains. Although tactical decision-making and self-discipline recorded slightly higher mean scores, the overall response distributions did not differ significantly. The findings demonstrate that sports participation is perceived to contribute positively </w:t>
      </w:r>
      <w:r w:rsidRPr="0079329A">
        <w:rPr>
          <w:rFonts w:ascii="Times New Roman" w:hAnsi="Times New Roman" w:cs="Times New Roman"/>
          <w:sz w:val="22"/>
          <w:szCs w:val="22"/>
        </w:rPr>
        <w:t>to self-discipline, tactical decision-making, and conflict-resolution skills. However, perceptions regarding the development of adaptive grit remain neutral. The non-significant chi-square test further suggests that these competency domains share a relatively similar pattern of respondent perceptions, highlighting the broad developmental value of sports participation among university students.</w:t>
      </w:r>
    </w:p>
    <w:p w14:paraId="601F2FDA" w14:textId="584D96BF" w:rsidR="0079329A" w:rsidRPr="0079329A" w:rsidRDefault="0079329A" w:rsidP="0079329A">
      <w:pPr>
        <w:pStyle w:val="Heading2"/>
        <w:spacing w:line="276" w:lineRule="auto"/>
        <w:rPr>
          <w:rFonts w:ascii="Times New Roman" w:hAnsi="Times New Roman" w:cs="Times New Roman"/>
          <w:sz w:val="22"/>
          <w:szCs w:val="22"/>
        </w:rPr>
      </w:pPr>
      <w:r w:rsidRPr="0079329A">
        <w:rPr>
          <w:rFonts w:ascii="Times New Roman" w:hAnsi="Times New Roman" w:cs="Times New Roman"/>
          <w:sz w:val="22"/>
          <w:szCs w:val="22"/>
        </w:rPr>
        <w:t>Practical Skills Acquisition</w:t>
      </w:r>
    </w:p>
    <w:p w14:paraId="277B9DBB" w14:textId="09C61BDB" w:rsidR="0079329A" w:rsidRPr="0079329A" w:rsidRDefault="0079329A" w:rsidP="0079329A">
      <w:pPr>
        <w:pStyle w:val="Heading3"/>
        <w:spacing w:line="276" w:lineRule="auto"/>
        <w:rPr>
          <w:rFonts w:ascii="Times New Roman" w:hAnsi="Times New Roman" w:cs="Times New Roman"/>
          <w:sz w:val="22"/>
          <w:szCs w:val="22"/>
        </w:rPr>
      </w:pPr>
      <w:r w:rsidRPr="0079329A">
        <w:rPr>
          <w:rFonts w:ascii="Times New Roman" w:hAnsi="Times New Roman" w:cs="Times New Roman"/>
          <w:sz w:val="22"/>
          <w:szCs w:val="22"/>
        </w:rPr>
        <w:t>Technical application in sport education</w:t>
      </w:r>
    </w:p>
    <w:p w14:paraId="01781849" w14:textId="77777777" w:rsidR="0079329A" w:rsidRDefault="0079329A" w:rsidP="0079329A">
      <w:pPr>
        <w:keepNext/>
        <w:spacing w:line="276" w:lineRule="auto"/>
        <w:rPr>
          <w:rFonts w:ascii="Times New Roman" w:hAnsi="Times New Roman" w:cs="Times New Roman"/>
          <w:sz w:val="22"/>
          <w:szCs w:val="22"/>
        </w:rPr>
        <w:sectPr w:rsidR="0079329A" w:rsidSect="0079329A">
          <w:type w:val="continuous"/>
          <w:pgSz w:w="12240" w:h="15840"/>
          <w:pgMar w:top="1571" w:right="1435" w:bottom="1501" w:left="1440" w:header="720" w:footer="720" w:gutter="0"/>
          <w:cols w:num="2" w:space="464"/>
        </w:sectPr>
      </w:pPr>
    </w:p>
    <w:p w14:paraId="774852DA" w14:textId="77777777" w:rsidR="0079329A" w:rsidRDefault="0079329A" w:rsidP="0079329A">
      <w:pPr>
        <w:keepNext/>
        <w:spacing w:line="276" w:lineRule="auto"/>
        <w:rPr>
          <w:rFonts w:ascii="Times New Roman" w:hAnsi="Times New Roman" w:cs="Times New Roman"/>
          <w:sz w:val="22"/>
          <w:szCs w:val="22"/>
        </w:rPr>
        <w:sectPr w:rsidR="0079329A" w:rsidSect="0079329A">
          <w:type w:val="continuous"/>
          <w:pgSz w:w="12240" w:h="15840"/>
          <w:pgMar w:top="1571" w:right="1435" w:bottom="1501" w:left="1440" w:header="720" w:footer="720" w:gutter="0"/>
          <w:cols w:space="464"/>
        </w:sectPr>
      </w:pPr>
      <w:r w:rsidRPr="0079329A">
        <w:rPr>
          <w:rFonts w:ascii="Times New Roman" w:hAnsi="Times New Roman" w:cs="Times New Roman"/>
          <w:b/>
          <w:bCs/>
          <w:noProof/>
          <w:sz w:val="22"/>
          <w:szCs w:val="22"/>
        </w:rPr>
        <w:drawing>
          <wp:inline distT="0" distB="0" distL="0" distR="0" wp14:anchorId="226CC1A1" wp14:editId="2AFA4491">
            <wp:extent cx="5708602" cy="2281997"/>
            <wp:effectExtent l="0" t="0" r="6985" b="4445"/>
            <wp:docPr id="11392659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5419" cy="2292717"/>
                    </a:xfrm>
                    <a:prstGeom prst="rect">
                      <a:avLst/>
                    </a:prstGeom>
                    <a:noFill/>
                    <a:ln>
                      <a:noFill/>
                    </a:ln>
                  </pic:spPr>
                </pic:pic>
              </a:graphicData>
            </a:graphic>
          </wp:inline>
        </w:drawing>
      </w:r>
    </w:p>
    <w:p w14:paraId="4C5ED91D" w14:textId="77777777" w:rsidR="0079329A" w:rsidRPr="0079329A" w:rsidRDefault="0079329A" w:rsidP="0079329A">
      <w:pPr>
        <w:keepNext/>
        <w:spacing w:line="276" w:lineRule="auto"/>
        <w:rPr>
          <w:rFonts w:ascii="Times New Roman" w:hAnsi="Times New Roman" w:cs="Times New Roman"/>
          <w:sz w:val="22"/>
          <w:szCs w:val="22"/>
        </w:rPr>
      </w:pPr>
    </w:p>
    <w:p w14:paraId="6DBC00A1" w14:textId="77777777" w:rsidR="0079329A" w:rsidRPr="0079329A" w:rsidRDefault="0079329A" w:rsidP="0079329A">
      <w:pPr>
        <w:pStyle w:val="Caption"/>
        <w:spacing w:line="276" w:lineRule="auto"/>
        <w:jc w:val="both"/>
        <w:rPr>
          <w:rFonts w:ascii="Times New Roman" w:hAnsi="Times New Roman" w:cs="Times New Roman"/>
          <w:b/>
          <w:bCs/>
          <w:sz w:val="22"/>
          <w:szCs w:val="22"/>
        </w:rPr>
      </w:pPr>
      <w:r w:rsidRPr="0079329A">
        <w:rPr>
          <w:rFonts w:ascii="Times New Roman" w:hAnsi="Times New Roman" w:cs="Times New Roman"/>
          <w:sz w:val="22"/>
          <w:szCs w:val="22"/>
        </w:rPr>
        <w:t xml:space="preserve">Figure 4. </w:t>
      </w:r>
      <w:r w:rsidRPr="0079329A">
        <w:rPr>
          <w:rFonts w:ascii="Times New Roman" w:hAnsi="Times New Roman" w:cs="Times New Roman"/>
          <w:sz w:val="22"/>
          <w:szCs w:val="22"/>
        </w:rPr>
        <w:fldChar w:fldCharType="begin"/>
      </w:r>
      <w:r w:rsidRPr="0079329A">
        <w:rPr>
          <w:rFonts w:ascii="Times New Roman" w:hAnsi="Times New Roman" w:cs="Times New Roman"/>
          <w:sz w:val="22"/>
          <w:szCs w:val="22"/>
        </w:rPr>
        <w:instrText xml:space="preserve"> SEQ Figure_4. \* ARABIC </w:instrText>
      </w:r>
      <w:r w:rsidRPr="0079329A">
        <w:rPr>
          <w:rFonts w:ascii="Times New Roman" w:hAnsi="Times New Roman" w:cs="Times New Roman"/>
          <w:sz w:val="22"/>
          <w:szCs w:val="22"/>
        </w:rPr>
        <w:fldChar w:fldCharType="separate"/>
      </w:r>
      <w:r w:rsidRPr="0079329A">
        <w:rPr>
          <w:rFonts w:ascii="Times New Roman" w:hAnsi="Times New Roman" w:cs="Times New Roman"/>
          <w:noProof/>
          <w:sz w:val="22"/>
          <w:szCs w:val="22"/>
        </w:rPr>
        <w:t>2</w:t>
      </w:r>
      <w:r w:rsidRPr="0079329A">
        <w:rPr>
          <w:rFonts w:ascii="Times New Roman" w:hAnsi="Times New Roman" w:cs="Times New Roman"/>
          <w:sz w:val="22"/>
          <w:szCs w:val="22"/>
        </w:rPr>
        <w:fldChar w:fldCharType="end"/>
      </w:r>
      <w:r w:rsidRPr="0079329A">
        <w:rPr>
          <w:rFonts w:ascii="Times New Roman" w:hAnsi="Times New Roman" w:cs="Times New Roman"/>
          <w:sz w:val="22"/>
          <w:szCs w:val="22"/>
        </w:rPr>
        <w:t xml:space="preserve"> Technical application in sport education</w:t>
      </w:r>
    </w:p>
    <w:p w14:paraId="60710B2F"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The heatmap on figure 4.2 displays row percentages for three technical skill indicators among sport education students (N = 169 per </w:t>
      </w:r>
      <w:r w:rsidRPr="0079329A">
        <w:rPr>
          <w:rFonts w:ascii="Times New Roman" w:hAnsi="Times New Roman" w:cs="Times New Roman"/>
          <w:sz w:val="22"/>
          <w:szCs w:val="22"/>
        </w:rPr>
        <w:t xml:space="preserve">indicator). Each row sums to 100%, and colour intensity reflects the proportion of respondents selecting each Likert category (red = high percentage, light green = low percentage). The Likert categories are ordered from Strongly Disagree (SD) to Strongly Agree (SA). The heatmap shows a predominantly negative perception for this skill. The highest percentages </w:t>
      </w:r>
      <w:r w:rsidRPr="0079329A">
        <w:rPr>
          <w:rFonts w:ascii="Times New Roman" w:hAnsi="Times New Roman" w:cs="Times New Roman"/>
          <w:sz w:val="22"/>
          <w:szCs w:val="22"/>
        </w:rPr>
        <w:lastRenderedPageBreak/>
        <w:t xml:space="preserve">are in the disagreement categories: 30.8% Strongly Disagree and 21.3% Disagree, totalling 52.1%. Neutral responses account for 18.9%, while only 16.6% Agree and 12.4% Strongly Agree. The red/orange tiles on the left side confirm that most respondents do not believe trainee sports therapists adequately assess, manage, or log athletic injuries during KUSF fixtures. In contrast, this indicator displays a strongly positive skew. The largest proportion is in Strongly Agree (40.8%) and Agree (26.0%), together representing 66.8% of respondents. Only 7.1% Strongly Disagree and 18.9% Disagree, with 7.1% Neutral. The green tiles on the right side of the heatmap indicate that students are perceived as competent in designing, </w:t>
      </w:r>
      <w:r w:rsidRPr="0079329A">
        <w:rPr>
          <w:rFonts w:ascii="Times New Roman" w:hAnsi="Times New Roman" w:cs="Times New Roman"/>
          <w:sz w:val="22"/>
          <w:szCs w:val="22"/>
        </w:rPr>
        <w:t>executing, and monitoring physical conditioning periodization plans.</w:t>
      </w:r>
    </w:p>
    <w:p w14:paraId="6BC6FD16"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This skill shows overwhelming disagreement. The combined Strongly Disagree (42.6%) and Disagree (35.5%) account for 78.1% of respondents. Only 9.5% Neutral, 9.5% Agree, and 3.0% Strongly Agree. The dark red tiles on the left side highlight that sport education students are not seen as capable of running internal leagues as head referees and match commissioners.</w:t>
      </w:r>
    </w:p>
    <w:p w14:paraId="4BE82E3A" w14:textId="5E25455E" w:rsidR="0079329A" w:rsidRPr="0079329A" w:rsidRDefault="0079329A" w:rsidP="0079329A">
      <w:pPr>
        <w:pStyle w:val="Heading3"/>
        <w:spacing w:line="276" w:lineRule="auto"/>
        <w:rPr>
          <w:rFonts w:ascii="Times New Roman" w:hAnsi="Times New Roman" w:cs="Times New Roman"/>
          <w:sz w:val="22"/>
          <w:szCs w:val="22"/>
        </w:rPr>
      </w:pPr>
      <w:r w:rsidRPr="0079329A">
        <w:rPr>
          <w:rFonts w:ascii="Times New Roman" w:hAnsi="Times New Roman" w:cs="Times New Roman"/>
          <w:sz w:val="22"/>
          <w:szCs w:val="22"/>
        </w:rPr>
        <w:t>Chi‑square Test of Homogeneity</w:t>
      </w:r>
    </w:p>
    <w:p w14:paraId="25423D04" w14:textId="77777777" w:rsidR="0079329A" w:rsidRPr="0079329A" w:rsidRDefault="0079329A" w:rsidP="0079329A">
      <w:pPr>
        <w:pStyle w:val="Caption"/>
        <w:keepNext/>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Table 4. </w:t>
      </w:r>
      <w:r w:rsidRPr="0079329A">
        <w:rPr>
          <w:rFonts w:ascii="Times New Roman" w:hAnsi="Times New Roman" w:cs="Times New Roman"/>
          <w:sz w:val="22"/>
          <w:szCs w:val="22"/>
        </w:rPr>
        <w:fldChar w:fldCharType="begin"/>
      </w:r>
      <w:r w:rsidRPr="0079329A">
        <w:rPr>
          <w:rFonts w:ascii="Times New Roman" w:hAnsi="Times New Roman" w:cs="Times New Roman"/>
          <w:sz w:val="22"/>
          <w:szCs w:val="22"/>
        </w:rPr>
        <w:instrText xml:space="preserve"> SEQ Table_4. \* ARABIC </w:instrText>
      </w:r>
      <w:r w:rsidRPr="0079329A">
        <w:rPr>
          <w:rFonts w:ascii="Times New Roman" w:hAnsi="Times New Roman" w:cs="Times New Roman"/>
          <w:sz w:val="22"/>
          <w:szCs w:val="22"/>
        </w:rPr>
        <w:fldChar w:fldCharType="separate"/>
      </w:r>
      <w:r w:rsidRPr="0079329A">
        <w:rPr>
          <w:rFonts w:ascii="Times New Roman" w:hAnsi="Times New Roman" w:cs="Times New Roman"/>
          <w:noProof/>
          <w:sz w:val="22"/>
          <w:szCs w:val="22"/>
        </w:rPr>
        <w:t>4</w:t>
      </w:r>
      <w:r w:rsidRPr="0079329A">
        <w:rPr>
          <w:rFonts w:ascii="Times New Roman" w:hAnsi="Times New Roman" w:cs="Times New Roman"/>
          <w:sz w:val="22"/>
          <w:szCs w:val="22"/>
        </w:rPr>
        <w:fldChar w:fldCharType="end"/>
      </w:r>
      <w:r w:rsidRPr="0079329A">
        <w:rPr>
          <w:rFonts w:ascii="Times New Roman" w:hAnsi="Times New Roman" w:cs="Times New Roman"/>
          <w:sz w:val="22"/>
          <w:szCs w:val="22"/>
        </w:rPr>
        <w:t xml:space="preserve"> Chi-square Test of Homogeneity for Technical Skill Application</w:t>
      </w:r>
    </w:p>
    <w:p w14:paraId="44C5E1A6" w14:textId="77777777" w:rsidR="0079329A" w:rsidRDefault="0079329A" w:rsidP="0079329A">
      <w:pPr>
        <w:spacing w:line="276" w:lineRule="auto"/>
        <w:rPr>
          <w:rFonts w:ascii="Times New Roman" w:hAnsi="Times New Roman" w:cs="Times New Roman"/>
          <w:b/>
          <w:bCs/>
          <w:sz w:val="22"/>
          <w:szCs w:val="22"/>
        </w:rPr>
        <w:sectPr w:rsidR="0079329A" w:rsidSect="0079329A">
          <w:type w:val="continuous"/>
          <w:pgSz w:w="12240" w:h="15840"/>
          <w:pgMar w:top="1571" w:right="1435" w:bottom="1501" w:left="1440" w:header="720" w:footer="720" w:gutter="0"/>
          <w:cols w:num="2" w:space="464"/>
        </w:sectPr>
      </w:pPr>
    </w:p>
    <w:tbl>
      <w:tblPr>
        <w:tblW w:w="9020"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599"/>
        <w:gridCol w:w="841"/>
        <w:gridCol w:w="322"/>
        <w:gridCol w:w="957"/>
        <w:gridCol w:w="1481"/>
        <w:gridCol w:w="1820"/>
      </w:tblGrid>
      <w:tr w:rsidR="0079329A" w:rsidRPr="0079329A" w14:paraId="67591EE2" w14:textId="77777777" w:rsidTr="0079329A">
        <w:trPr>
          <w:trHeight w:val="757"/>
          <w:tblHeader/>
          <w:tblCellSpacing w:w="15" w:type="dxa"/>
        </w:trPr>
        <w:tc>
          <w:tcPr>
            <w:tcW w:w="0" w:type="auto"/>
            <w:tcBorders>
              <w:top w:val="single" w:sz="4" w:space="0" w:color="auto"/>
              <w:bottom w:val="single" w:sz="4" w:space="0" w:color="auto"/>
            </w:tcBorders>
            <w:vAlign w:val="center"/>
            <w:hideMark/>
          </w:tcPr>
          <w:p w14:paraId="792B830A"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Test</w:t>
            </w:r>
          </w:p>
        </w:tc>
        <w:tc>
          <w:tcPr>
            <w:tcW w:w="0" w:type="auto"/>
            <w:tcBorders>
              <w:top w:val="single" w:sz="4" w:space="0" w:color="auto"/>
              <w:bottom w:val="single" w:sz="4" w:space="0" w:color="auto"/>
            </w:tcBorders>
            <w:vAlign w:val="center"/>
            <w:hideMark/>
          </w:tcPr>
          <w:p w14:paraId="154F0681"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χ²</w:t>
            </w:r>
          </w:p>
        </w:tc>
        <w:tc>
          <w:tcPr>
            <w:tcW w:w="0" w:type="auto"/>
            <w:tcBorders>
              <w:top w:val="single" w:sz="4" w:space="0" w:color="auto"/>
              <w:bottom w:val="single" w:sz="4" w:space="0" w:color="auto"/>
            </w:tcBorders>
            <w:vAlign w:val="center"/>
            <w:hideMark/>
          </w:tcPr>
          <w:p w14:paraId="13B93DAF"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df</w:t>
            </w:r>
          </w:p>
        </w:tc>
        <w:tc>
          <w:tcPr>
            <w:tcW w:w="0" w:type="auto"/>
            <w:tcBorders>
              <w:top w:val="single" w:sz="4" w:space="0" w:color="auto"/>
              <w:bottom w:val="single" w:sz="4" w:space="0" w:color="auto"/>
            </w:tcBorders>
            <w:vAlign w:val="center"/>
            <w:hideMark/>
          </w:tcPr>
          <w:p w14:paraId="44802C9A"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p-value</w:t>
            </w:r>
          </w:p>
        </w:tc>
        <w:tc>
          <w:tcPr>
            <w:tcW w:w="0" w:type="auto"/>
            <w:tcBorders>
              <w:top w:val="single" w:sz="4" w:space="0" w:color="auto"/>
              <w:bottom w:val="single" w:sz="4" w:space="0" w:color="auto"/>
            </w:tcBorders>
            <w:vAlign w:val="center"/>
            <w:hideMark/>
          </w:tcPr>
          <w:p w14:paraId="043BFB79"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Cramér’s V</w:t>
            </w:r>
          </w:p>
        </w:tc>
        <w:tc>
          <w:tcPr>
            <w:tcW w:w="0" w:type="auto"/>
            <w:tcBorders>
              <w:top w:val="single" w:sz="4" w:space="0" w:color="auto"/>
              <w:bottom w:val="single" w:sz="4" w:space="0" w:color="auto"/>
            </w:tcBorders>
            <w:vAlign w:val="center"/>
            <w:hideMark/>
          </w:tcPr>
          <w:p w14:paraId="0C2AF72D"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Effect Size</w:t>
            </w:r>
          </w:p>
        </w:tc>
      </w:tr>
      <w:tr w:rsidR="0079329A" w:rsidRPr="0079329A" w14:paraId="7278BDE8" w14:textId="77777777" w:rsidTr="0079329A">
        <w:trPr>
          <w:trHeight w:val="988"/>
          <w:tblCellSpacing w:w="15" w:type="dxa"/>
        </w:trPr>
        <w:tc>
          <w:tcPr>
            <w:tcW w:w="0" w:type="auto"/>
            <w:vAlign w:val="center"/>
            <w:hideMark/>
          </w:tcPr>
          <w:p w14:paraId="6102C461"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Chi-square test of homogeneity</w:t>
            </w:r>
          </w:p>
        </w:tc>
        <w:tc>
          <w:tcPr>
            <w:tcW w:w="0" w:type="auto"/>
            <w:vAlign w:val="center"/>
            <w:hideMark/>
          </w:tcPr>
          <w:p w14:paraId="423495E1"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186.42</w:t>
            </w:r>
          </w:p>
        </w:tc>
        <w:tc>
          <w:tcPr>
            <w:tcW w:w="0" w:type="auto"/>
            <w:vAlign w:val="center"/>
            <w:hideMark/>
          </w:tcPr>
          <w:p w14:paraId="7666AE01"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8</w:t>
            </w:r>
          </w:p>
        </w:tc>
        <w:tc>
          <w:tcPr>
            <w:tcW w:w="0" w:type="auto"/>
            <w:vAlign w:val="center"/>
            <w:hideMark/>
          </w:tcPr>
          <w:p w14:paraId="5C2E5153"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&lt; 0.001</w:t>
            </w:r>
          </w:p>
        </w:tc>
        <w:tc>
          <w:tcPr>
            <w:tcW w:w="0" w:type="auto"/>
            <w:vAlign w:val="center"/>
            <w:hideMark/>
          </w:tcPr>
          <w:p w14:paraId="77F2CBD1"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0.43</w:t>
            </w:r>
          </w:p>
        </w:tc>
        <w:tc>
          <w:tcPr>
            <w:tcW w:w="0" w:type="auto"/>
            <w:vAlign w:val="center"/>
            <w:hideMark/>
          </w:tcPr>
          <w:p w14:paraId="38821BFE"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Medium–Large</w:t>
            </w:r>
          </w:p>
        </w:tc>
      </w:tr>
    </w:tbl>
    <w:p w14:paraId="766E63CF" w14:textId="77777777" w:rsidR="0079329A" w:rsidRDefault="0079329A" w:rsidP="0079329A">
      <w:pPr>
        <w:spacing w:line="276" w:lineRule="auto"/>
        <w:rPr>
          <w:rFonts w:ascii="Times New Roman" w:hAnsi="Times New Roman" w:cs="Times New Roman"/>
          <w:sz w:val="22"/>
          <w:szCs w:val="22"/>
        </w:rPr>
        <w:sectPr w:rsidR="0079329A" w:rsidSect="0079329A">
          <w:type w:val="continuous"/>
          <w:pgSz w:w="12240" w:h="15840"/>
          <w:pgMar w:top="1571" w:right="1435" w:bottom="1501" w:left="1440" w:header="720" w:footer="720" w:gutter="0"/>
          <w:cols w:space="464"/>
        </w:sectPr>
      </w:pPr>
    </w:p>
    <w:p w14:paraId="1D1A56EF" w14:textId="77777777" w:rsidR="0079329A" w:rsidRPr="0079329A" w:rsidRDefault="0079329A" w:rsidP="0079329A">
      <w:pPr>
        <w:spacing w:line="276" w:lineRule="auto"/>
        <w:rPr>
          <w:rFonts w:ascii="Times New Roman" w:hAnsi="Times New Roman" w:cs="Times New Roman"/>
          <w:sz w:val="22"/>
          <w:szCs w:val="22"/>
        </w:rPr>
      </w:pPr>
    </w:p>
    <w:p w14:paraId="1685C6CC"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The chi‑square test on table 4.4; of homogeneity yielded a value of χ²(8) = 186.42, with a p‑value &lt; 0.001. Since the p‑value is far below the conventional alpha level of 0.05, the null hypothesis is rejected. This indicates that the distribution of Likert responses is not the same** across the three technical skill indicators. In other words, the patterns of agreement and disagreement differ significantly among the skills.</w:t>
      </w:r>
    </w:p>
    <w:p w14:paraId="25284DE3"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The effect size, measured by Cramér’s V, is 0.43. According to conventional benchmarks (0.1 = small, 0.3 = medium, 0.5 = large), this represents a medium to large effect. This confirms that the observed differences are not only statistically significant but also practically meaningful. The significant chi‑square result aligns with the heatmap interpretation: respondents perceive large variations in competency across different technical skills. Specifically, periodisation planning is </w:t>
      </w:r>
      <w:r w:rsidRPr="0079329A">
        <w:rPr>
          <w:rFonts w:ascii="Times New Roman" w:hAnsi="Times New Roman" w:cs="Times New Roman"/>
          <w:sz w:val="22"/>
          <w:szCs w:val="22"/>
        </w:rPr>
        <w:t>viewed positively, while internal league management is viewed very negatively, and injury assessment falls in between. These differences are not due to random chance but reflect genuine disparities in skill acquisition and application within sport education programmes.</w:t>
      </w:r>
    </w:p>
    <w:p w14:paraId="1640C5C6"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The heatmap visually demonstrates that sport education students are rated highly for design‑based skills (periodisation) but poorly for applied, real‑time roles (refereeing, injury assessment). The chi‑square test confirms that these differences in response distributions are statistically significant and of substantial magnitude. Institutions should therefore focus practical training on officiating and medical assessment to balance the current competency gaps.</w:t>
      </w:r>
    </w:p>
    <w:p w14:paraId="4DEFFB45" w14:textId="215CE533" w:rsidR="0079329A" w:rsidRPr="0079329A" w:rsidRDefault="0079329A" w:rsidP="0079329A">
      <w:pPr>
        <w:pStyle w:val="Heading2"/>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 Institutional Factors &amp; Structural Roadblocks </w:t>
      </w:r>
    </w:p>
    <w:p w14:paraId="0A8764B4" w14:textId="3B73358D" w:rsidR="0079329A" w:rsidRPr="0079329A" w:rsidRDefault="0079329A" w:rsidP="0079329A">
      <w:pPr>
        <w:pStyle w:val="Heading3"/>
        <w:spacing w:line="276" w:lineRule="auto"/>
        <w:rPr>
          <w:rFonts w:ascii="Times New Roman" w:hAnsi="Times New Roman" w:cs="Times New Roman"/>
          <w:sz w:val="22"/>
          <w:szCs w:val="22"/>
        </w:rPr>
      </w:pPr>
      <w:r w:rsidRPr="0079329A">
        <w:rPr>
          <w:rFonts w:ascii="Times New Roman" w:hAnsi="Times New Roman" w:cs="Times New Roman"/>
          <w:sz w:val="22"/>
          <w:szCs w:val="22"/>
        </w:rPr>
        <w:t>Institutional Factors and Structural Roadblocks</w:t>
      </w:r>
    </w:p>
    <w:p w14:paraId="56E31E0F" w14:textId="77777777" w:rsidR="0070756F" w:rsidRDefault="0070756F" w:rsidP="0079329A">
      <w:pPr>
        <w:keepNext/>
        <w:spacing w:line="276" w:lineRule="auto"/>
        <w:rPr>
          <w:rFonts w:ascii="Times New Roman" w:hAnsi="Times New Roman" w:cs="Times New Roman"/>
          <w:sz w:val="22"/>
          <w:szCs w:val="22"/>
        </w:rPr>
        <w:sectPr w:rsidR="0070756F" w:rsidSect="0079329A">
          <w:type w:val="continuous"/>
          <w:pgSz w:w="12240" w:h="15840"/>
          <w:pgMar w:top="1571" w:right="1435" w:bottom="1501" w:left="1440" w:header="720" w:footer="720" w:gutter="0"/>
          <w:cols w:num="2" w:space="464"/>
        </w:sectPr>
      </w:pPr>
    </w:p>
    <w:p w14:paraId="62050967" w14:textId="77777777" w:rsidR="0070756F" w:rsidRDefault="0079329A" w:rsidP="0079329A">
      <w:pPr>
        <w:keepNext/>
        <w:spacing w:line="276" w:lineRule="auto"/>
        <w:rPr>
          <w:rFonts w:ascii="Times New Roman" w:hAnsi="Times New Roman" w:cs="Times New Roman"/>
          <w:sz w:val="22"/>
          <w:szCs w:val="22"/>
        </w:rPr>
        <w:sectPr w:rsidR="0070756F" w:rsidSect="0070756F">
          <w:type w:val="continuous"/>
          <w:pgSz w:w="12240" w:h="15840"/>
          <w:pgMar w:top="1571" w:right="1435" w:bottom="1501" w:left="1440" w:header="720" w:footer="720" w:gutter="0"/>
          <w:cols w:space="464"/>
        </w:sectPr>
      </w:pPr>
      <w:r w:rsidRPr="0079329A">
        <w:rPr>
          <w:rFonts w:ascii="Times New Roman" w:hAnsi="Times New Roman" w:cs="Times New Roman"/>
          <w:b/>
          <w:bCs/>
          <w:noProof/>
          <w:sz w:val="22"/>
          <w:szCs w:val="22"/>
        </w:rPr>
        <w:lastRenderedPageBreak/>
        <w:drawing>
          <wp:inline distT="0" distB="0" distL="0" distR="0" wp14:anchorId="4293A512" wp14:editId="7445CB48">
            <wp:extent cx="5859780" cy="3379304"/>
            <wp:effectExtent l="0" t="0" r="7620" b="0"/>
            <wp:docPr id="8033878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93288" cy="3398628"/>
                    </a:xfrm>
                    <a:prstGeom prst="rect">
                      <a:avLst/>
                    </a:prstGeom>
                    <a:noFill/>
                    <a:ln>
                      <a:noFill/>
                    </a:ln>
                  </pic:spPr>
                </pic:pic>
              </a:graphicData>
            </a:graphic>
          </wp:inline>
        </w:drawing>
      </w:r>
    </w:p>
    <w:p w14:paraId="072F10AE" w14:textId="77777777" w:rsidR="0079329A" w:rsidRPr="0079329A" w:rsidRDefault="0079329A" w:rsidP="0079329A">
      <w:pPr>
        <w:keepNext/>
        <w:spacing w:line="276" w:lineRule="auto"/>
        <w:rPr>
          <w:rFonts w:ascii="Times New Roman" w:hAnsi="Times New Roman" w:cs="Times New Roman"/>
          <w:sz w:val="22"/>
          <w:szCs w:val="22"/>
        </w:rPr>
      </w:pPr>
    </w:p>
    <w:p w14:paraId="339F9B09" w14:textId="77777777" w:rsidR="0079329A" w:rsidRPr="0079329A" w:rsidRDefault="0079329A" w:rsidP="0079329A">
      <w:pPr>
        <w:pStyle w:val="Caption"/>
        <w:spacing w:line="276" w:lineRule="auto"/>
        <w:jc w:val="both"/>
        <w:rPr>
          <w:rFonts w:ascii="Times New Roman" w:hAnsi="Times New Roman" w:cs="Times New Roman"/>
          <w:b/>
          <w:bCs/>
          <w:sz w:val="22"/>
          <w:szCs w:val="22"/>
        </w:rPr>
      </w:pPr>
      <w:r w:rsidRPr="0079329A">
        <w:rPr>
          <w:rFonts w:ascii="Times New Roman" w:hAnsi="Times New Roman" w:cs="Times New Roman"/>
          <w:sz w:val="22"/>
          <w:szCs w:val="22"/>
        </w:rPr>
        <w:t xml:space="preserve">Figure 4. </w:t>
      </w:r>
      <w:r w:rsidRPr="0079329A">
        <w:rPr>
          <w:rFonts w:ascii="Times New Roman" w:hAnsi="Times New Roman" w:cs="Times New Roman"/>
          <w:sz w:val="22"/>
          <w:szCs w:val="22"/>
        </w:rPr>
        <w:fldChar w:fldCharType="begin"/>
      </w:r>
      <w:r w:rsidRPr="0079329A">
        <w:rPr>
          <w:rFonts w:ascii="Times New Roman" w:hAnsi="Times New Roman" w:cs="Times New Roman"/>
          <w:sz w:val="22"/>
          <w:szCs w:val="22"/>
        </w:rPr>
        <w:instrText xml:space="preserve"> SEQ Figure_4. \* ARABIC </w:instrText>
      </w:r>
      <w:r w:rsidRPr="0079329A">
        <w:rPr>
          <w:rFonts w:ascii="Times New Roman" w:hAnsi="Times New Roman" w:cs="Times New Roman"/>
          <w:sz w:val="22"/>
          <w:szCs w:val="22"/>
        </w:rPr>
        <w:fldChar w:fldCharType="separate"/>
      </w:r>
      <w:r w:rsidRPr="0079329A">
        <w:rPr>
          <w:rFonts w:ascii="Times New Roman" w:hAnsi="Times New Roman" w:cs="Times New Roman"/>
          <w:noProof/>
          <w:sz w:val="22"/>
          <w:szCs w:val="22"/>
        </w:rPr>
        <w:t>3</w:t>
      </w:r>
      <w:r w:rsidRPr="0079329A">
        <w:rPr>
          <w:rFonts w:ascii="Times New Roman" w:hAnsi="Times New Roman" w:cs="Times New Roman"/>
          <w:sz w:val="22"/>
          <w:szCs w:val="22"/>
        </w:rPr>
        <w:fldChar w:fldCharType="end"/>
      </w:r>
      <w:r w:rsidRPr="0079329A">
        <w:rPr>
          <w:rFonts w:ascii="Times New Roman" w:hAnsi="Times New Roman" w:cs="Times New Roman"/>
          <w:sz w:val="22"/>
          <w:szCs w:val="22"/>
        </w:rPr>
        <w:t xml:space="preserve"> Institutional factors and structural roadblock</w:t>
      </w:r>
    </w:p>
    <w:p w14:paraId="0D0B681D"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The distribution of responses across the six barriers reveals both convergence and divergence in institutional perceptions. For the policy-related barrier, responses show (31% Disagreed and 19% strongly disagreed) a mild tendency toward disagreement, with half of the respondents indicating that they do not strongly support the claim that academic senates and sports boards operate without data integration. This suggests that while integration may not be fully optimal, respondents still perceive some level of coordination between academic and sports governance structures. The presence of a sizable neutral group also indicates limited awareness of internal administrative processes among a portion of respondents.</w:t>
      </w:r>
    </w:p>
    <w:p w14:paraId="09A5CAB9"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The financial barrier presents a clearer pattern of disagreement. Most respondents (40% neutral) do not support the view that sports are treated purely as an entertainment cost centre. This implies that, </w:t>
      </w:r>
      <w:r w:rsidRPr="0079329A">
        <w:rPr>
          <w:rFonts w:ascii="Times New Roman" w:hAnsi="Times New Roman" w:cs="Times New Roman"/>
          <w:sz w:val="22"/>
          <w:szCs w:val="22"/>
        </w:rPr>
        <w:t>within the sampled institutions, sports may already receive some level of developmental or academic funding recognition. However, the moderate level of agreement still signals that a minority of respondents perceive sports funding as insufficiently prioritised or overly competition-focused.</w:t>
      </w:r>
    </w:p>
    <w:p w14:paraId="385ED8CD"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The regulatory barrier is characterised by the highest level of neutrality (50%) among all variables. Nearly half of the respondents neither agree nor disagree that national bodies such as CUE and KUSF fail to provide academic credit pathways for sports participation. This strong neutrality suggests uncertainty or lack of exposure to policy frameworks governing sports accreditation in higher education, rather than a clearly defined opinion.</w:t>
      </w:r>
    </w:p>
    <w:tbl>
      <w:tblPr>
        <w:tblpPr w:leftFromText="180" w:rightFromText="180" w:vertAnchor="text" w:horzAnchor="page" w:tblpX="1277" w:tblpY="632"/>
        <w:tblW w:w="10194"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57"/>
        <w:gridCol w:w="1190"/>
        <w:gridCol w:w="879"/>
        <w:gridCol w:w="1563"/>
        <w:gridCol w:w="1029"/>
        <w:gridCol w:w="768"/>
        <w:gridCol w:w="1512"/>
        <w:gridCol w:w="2196"/>
      </w:tblGrid>
      <w:tr w:rsidR="0079329A" w:rsidRPr="0079329A" w14:paraId="274AF658" w14:textId="77777777" w:rsidTr="0079329A">
        <w:trPr>
          <w:trHeight w:val="417"/>
          <w:tblHeader/>
          <w:tblCellSpacing w:w="15" w:type="dxa"/>
        </w:trPr>
        <w:tc>
          <w:tcPr>
            <w:tcW w:w="819" w:type="dxa"/>
            <w:tcBorders>
              <w:top w:val="single" w:sz="4" w:space="0" w:color="auto"/>
              <w:bottom w:val="single" w:sz="4" w:space="0" w:color="auto"/>
            </w:tcBorders>
            <w:vAlign w:val="center"/>
            <w:hideMark/>
          </w:tcPr>
          <w:p w14:paraId="3D5782E4"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lastRenderedPageBreak/>
              <w:t>Barrier</w:t>
            </w:r>
          </w:p>
        </w:tc>
        <w:tc>
          <w:tcPr>
            <w:tcW w:w="0" w:type="auto"/>
            <w:tcBorders>
              <w:top w:val="single" w:sz="4" w:space="0" w:color="auto"/>
              <w:bottom w:val="single" w:sz="4" w:space="0" w:color="auto"/>
            </w:tcBorders>
            <w:vAlign w:val="center"/>
            <w:hideMark/>
          </w:tcPr>
          <w:p w14:paraId="61452CFB"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Mean</w:t>
            </w:r>
          </w:p>
        </w:tc>
        <w:tc>
          <w:tcPr>
            <w:tcW w:w="0" w:type="auto"/>
            <w:tcBorders>
              <w:top w:val="single" w:sz="4" w:space="0" w:color="auto"/>
              <w:bottom w:val="single" w:sz="4" w:space="0" w:color="auto"/>
            </w:tcBorders>
            <w:vAlign w:val="center"/>
            <w:hideMark/>
          </w:tcPr>
          <w:p w14:paraId="35DB9651"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SD</w:t>
            </w:r>
          </w:p>
        </w:tc>
        <w:tc>
          <w:tcPr>
            <w:tcW w:w="0" w:type="auto"/>
            <w:tcBorders>
              <w:top w:val="single" w:sz="4" w:space="0" w:color="auto"/>
              <w:bottom w:val="single" w:sz="4" w:space="0" w:color="auto"/>
            </w:tcBorders>
            <w:vAlign w:val="center"/>
            <w:hideMark/>
          </w:tcPr>
          <w:p w14:paraId="442261F0"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Median</w:t>
            </w:r>
          </w:p>
        </w:tc>
        <w:tc>
          <w:tcPr>
            <w:tcW w:w="0" w:type="auto"/>
            <w:tcBorders>
              <w:top w:val="single" w:sz="4" w:space="0" w:color="auto"/>
              <w:bottom w:val="single" w:sz="4" w:space="0" w:color="auto"/>
            </w:tcBorders>
            <w:vAlign w:val="center"/>
            <w:hideMark/>
          </w:tcPr>
          <w:p w14:paraId="76141D16" w14:textId="4730CFA4" w:rsidR="0079329A" w:rsidRPr="0079329A" w:rsidRDefault="0070756F"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T</w:t>
            </w:r>
          </w:p>
        </w:tc>
        <w:tc>
          <w:tcPr>
            <w:tcW w:w="0" w:type="auto"/>
            <w:tcBorders>
              <w:top w:val="single" w:sz="4" w:space="0" w:color="auto"/>
              <w:bottom w:val="single" w:sz="4" w:space="0" w:color="auto"/>
            </w:tcBorders>
            <w:vAlign w:val="center"/>
            <w:hideMark/>
          </w:tcPr>
          <w:p w14:paraId="7CACBA38"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df</w:t>
            </w:r>
          </w:p>
        </w:tc>
        <w:tc>
          <w:tcPr>
            <w:tcW w:w="0" w:type="auto"/>
            <w:tcBorders>
              <w:top w:val="single" w:sz="4" w:space="0" w:color="auto"/>
              <w:bottom w:val="single" w:sz="4" w:space="0" w:color="auto"/>
            </w:tcBorders>
            <w:vAlign w:val="center"/>
            <w:hideMark/>
          </w:tcPr>
          <w:p w14:paraId="0970DF79"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p-value</w:t>
            </w:r>
          </w:p>
        </w:tc>
        <w:tc>
          <w:tcPr>
            <w:tcW w:w="0" w:type="auto"/>
            <w:tcBorders>
              <w:top w:val="single" w:sz="4" w:space="0" w:color="auto"/>
              <w:bottom w:val="single" w:sz="4" w:space="0" w:color="auto"/>
            </w:tcBorders>
            <w:vAlign w:val="center"/>
            <w:hideMark/>
          </w:tcPr>
          <w:p w14:paraId="4A39D270"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95% CI</w:t>
            </w:r>
          </w:p>
        </w:tc>
      </w:tr>
      <w:tr w:rsidR="0079329A" w:rsidRPr="0079329A" w14:paraId="1DBA53D0" w14:textId="77777777" w:rsidTr="0079329A">
        <w:trPr>
          <w:trHeight w:val="417"/>
          <w:tblCellSpacing w:w="15" w:type="dxa"/>
        </w:trPr>
        <w:tc>
          <w:tcPr>
            <w:tcW w:w="819" w:type="dxa"/>
            <w:vAlign w:val="center"/>
            <w:hideMark/>
          </w:tcPr>
          <w:p w14:paraId="01D957C7"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Policy</w:t>
            </w:r>
          </w:p>
        </w:tc>
        <w:tc>
          <w:tcPr>
            <w:tcW w:w="0" w:type="auto"/>
            <w:vAlign w:val="center"/>
            <w:hideMark/>
          </w:tcPr>
          <w:p w14:paraId="0A091D8D"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2.89</w:t>
            </w:r>
          </w:p>
        </w:tc>
        <w:tc>
          <w:tcPr>
            <w:tcW w:w="0" w:type="auto"/>
            <w:vAlign w:val="center"/>
            <w:hideMark/>
          </w:tcPr>
          <w:p w14:paraId="1ABF5CCE"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1.36</w:t>
            </w:r>
          </w:p>
        </w:tc>
        <w:tc>
          <w:tcPr>
            <w:tcW w:w="0" w:type="auto"/>
            <w:vAlign w:val="center"/>
            <w:hideMark/>
          </w:tcPr>
          <w:p w14:paraId="3A58063F"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3</w:t>
            </w:r>
          </w:p>
        </w:tc>
        <w:tc>
          <w:tcPr>
            <w:tcW w:w="0" w:type="auto"/>
            <w:vAlign w:val="center"/>
            <w:hideMark/>
          </w:tcPr>
          <w:p w14:paraId="5DF46B0D"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-1.03</w:t>
            </w:r>
          </w:p>
        </w:tc>
        <w:tc>
          <w:tcPr>
            <w:tcW w:w="0" w:type="auto"/>
            <w:vAlign w:val="center"/>
            <w:hideMark/>
          </w:tcPr>
          <w:p w14:paraId="04BBB0E3"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168</w:t>
            </w:r>
          </w:p>
        </w:tc>
        <w:tc>
          <w:tcPr>
            <w:tcW w:w="0" w:type="auto"/>
            <w:vAlign w:val="center"/>
            <w:hideMark/>
          </w:tcPr>
          <w:p w14:paraId="2F7D9BCE"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0.304</w:t>
            </w:r>
          </w:p>
        </w:tc>
        <w:tc>
          <w:tcPr>
            <w:tcW w:w="0" w:type="auto"/>
            <w:vAlign w:val="center"/>
            <w:hideMark/>
          </w:tcPr>
          <w:p w14:paraId="00CEEF2D"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[2.69, 3.10]</w:t>
            </w:r>
          </w:p>
        </w:tc>
      </w:tr>
      <w:tr w:rsidR="0079329A" w:rsidRPr="0079329A" w14:paraId="7DF7553A" w14:textId="77777777" w:rsidTr="0079329A">
        <w:trPr>
          <w:trHeight w:val="426"/>
          <w:tblCellSpacing w:w="15" w:type="dxa"/>
        </w:trPr>
        <w:tc>
          <w:tcPr>
            <w:tcW w:w="819" w:type="dxa"/>
            <w:vAlign w:val="center"/>
            <w:hideMark/>
          </w:tcPr>
          <w:p w14:paraId="102E0A77"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Financial</w:t>
            </w:r>
          </w:p>
        </w:tc>
        <w:tc>
          <w:tcPr>
            <w:tcW w:w="0" w:type="auto"/>
            <w:vAlign w:val="center"/>
            <w:hideMark/>
          </w:tcPr>
          <w:p w14:paraId="5154232D"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2.68</w:t>
            </w:r>
          </w:p>
        </w:tc>
        <w:tc>
          <w:tcPr>
            <w:tcW w:w="0" w:type="auto"/>
            <w:vAlign w:val="center"/>
            <w:hideMark/>
          </w:tcPr>
          <w:p w14:paraId="23D6506D"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1.41</w:t>
            </w:r>
          </w:p>
        </w:tc>
        <w:tc>
          <w:tcPr>
            <w:tcW w:w="0" w:type="auto"/>
            <w:vAlign w:val="center"/>
            <w:hideMark/>
          </w:tcPr>
          <w:p w14:paraId="6FD823EF"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2</w:t>
            </w:r>
          </w:p>
        </w:tc>
        <w:tc>
          <w:tcPr>
            <w:tcW w:w="0" w:type="auto"/>
            <w:vAlign w:val="center"/>
            <w:hideMark/>
          </w:tcPr>
          <w:p w14:paraId="51E78CD2"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-2.95</w:t>
            </w:r>
          </w:p>
        </w:tc>
        <w:tc>
          <w:tcPr>
            <w:tcW w:w="0" w:type="auto"/>
            <w:vAlign w:val="center"/>
            <w:hideMark/>
          </w:tcPr>
          <w:p w14:paraId="3B123E03"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168</w:t>
            </w:r>
          </w:p>
        </w:tc>
        <w:tc>
          <w:tcPr>
            <w:tcW w:w="0" w:type="auto"/>
            <w:vAlign w:val="center"/>
            <w:hideMark/>
          </w:tcPr>
          <w:p w14:paraId="45E1DE3E"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0.004</w:t>
            </w:r>
          </w:p>
        </w:tc>
        <w:tc>
          <w:tcPr>
            <w:tcW w:w="0" w:type="auto"/>
            <w:vAlign w:val="center"/>
            <w:hideMark/>
          </w:tcPr>
          <w:p w14:paraId="0517D29C"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[2.47, 2.90]</w:t>
            </w:r>
          </w:p>
        </w:tc>
      </w:tr>
      <w:tr w:rsidR="0079329A" w:rsidRPr="0079329A" w14:paraId="4DD93D52" w14:textId="77777777" w:rsidTr="0079329A">
        <w:trPr>
          <w:trHeight w:val="426"/>
          <w:tblCellSpacing w:w="15" w:type="dxa"/>
        </w:trPr>
        <w:tc>
          <w:tcPr>
            <w:tcW w:w="819" w:type="dxa"/>
            <w:vAlign w:val="center"/>
            <w:hideMark/>
          </w:tcPr>
          <w:p w14:paraId="148D98DF"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Regulatory</w:t>
            </w:r>
          </w:p>
        </w:tc>
        <w:tc>
          <w:tcPr>
            <w:tcW w:w="0" w:type="auto"/>
            <w:vAlign w:val="center"/>
            <w:hideMark/>
          </w:tcPr>
          <w:p w14:paraId="172E4DCC"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3.00</w:t>
            </w:r>
          </w:p>
        </w:tc>
        <w:tc>
          <w:tcPr>
            <w:tcW w:w="0" w:type="auto"/>
            <w:vAlign w:val="center"/>
            <w:hideMark/>
          </w:tcPr>
          <w:p w14:paraId="666B5A15"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1.21</w:t>
            </w:r>
          </w:p>
        </w:tc>
        <w:tc>
          <w:tcPr>
            <w:tcW w:w="0" w:type="auto"/>
            <w:vAlign w:val="center"/>
            <w:hideMark/>
          </w:tcPr>
          <w:p w14:paraId="3F6BC2B4"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3</w:t>
            </w:r>
          </w:p>
        </w:tc>
        <w:tc>
          <w:tcPr>
            <w:tcW w:w="0" w:type="auto"/>
            <w:vAlign w:val="center"/>
            <w:hideMark/>
          </w:tcPr>
          <w:p w14:paraId="24193C86"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0.00</w:t>
            </w:r>
          </w:p>
        </w:tc>
        <w:tc>
          <w:tcPr>
            <w:tcW w:w="0" w:type="auto"/>
            <w:vAlign w:val="center"/>
            <w:hideMark/>
          </w:tcPr>
          <w:p w14:paraId="77339EF1"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168</w:t>
            </w:r>
          </w:p>
        </w:tc>
        <w:tc>
          <w:tcPr>
            <w:tcW w:w="0" w:type="auto"/>
            <w:vAlign w:val="center"/>
            <w:hideMark/>
          </w:tcPr>
          <w:p w14:paraId="12658195"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1.000</w:t>
            </w:r>
          </w:p>
        </w:tc>
        <w:tc>
          <w:tcPr>
            <w:tcW w:w="0" w:type="auto"/>
            <w:vAlign w:val="center"/>
            <w:hideMark/>
          </w:tcPr>
          <w:p w14:paraId="5B28F8AF"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[2.82, 3.19]</w:t>
            </w:r>
          </w:p>
        </w:tc>
      </w:tr>
      <w:tr w:rsidR="0079329A" w:rsidRPr="0079329A" w14:paraId="24315D0F" w14:textId="77777777" w:rsidTr="0079329A">
        <w:trPr>
          <w:trHeight w:val="417"/>
          <w:tblCellSpacing w:w="15" w:type="dxa"/>
        </w:trPr>
        <w:tc>
          <w:tcPr>
            <w:tcW w:w="819" w:type="dxa"/>
            <w:vAlign w:val="center"/>
            <w:hideMark/>
          </w:tcPr>
          <w:p w14:paraId="22125446"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Material</w:t>
            </w:r>
          </w:p>
        </w:tc>
        <w:tc>
          <w:tcPr>
            <w:tcW w:w="0" w:type="auto"/>
            <w:vAlign w:val="center"/>
            <w:hideMark/>
          </w:tcPr>
          <w:p w14:paraId="3437C0F8"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3.66</w:t>
            </w:r>
          </w:p>
        </w:tc>
        <w:tc>
          <w:tcPr>
            <w:tcW w:w="0" w:type="auto"/>
            <w:vAlign w:val="center"/>
            <w:hideMark/>
          </w:tcPr>
          <w:p w14:paraId="59F2C521"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1.18</w:t>
            </w:r>
          </w:p>
        </w:tc>
        <w:tc>
          <w:tcPr>
            <w:tcW w:w="0" w:type="auto"/>
            <w:vAlign w:val="center"/>
            <w:hideMark/>
          </w:tcPr>
          <w:p w14:paraId="5181776D"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4</w:t>
            </w:r>
          </w:p>
        </w:tc>
        <w:tc>
          <w:tcPr>
            <w:tcW w:w="0" w:type="auto"/>
            <w:vAlign w:val="center"/>
            <w:hideMark/>
          </w:tcPr>
          <w:p w14:paraId="6ECF74C6"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7.27</w:t>
            </w:r>
          </w:p>
        </w:tc>
        <w:tc>
          <w:tcPr>
            <w:tcW w:w="0" w:type="auto"/>
            <w:vAlign w:val="center"/>
            <w:hideMark/>
          </w:tcPr>
          <w:p w14:paraId="27BFCA84"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168</w:t>
            </w:r>
          </w:p>
        </w:tc>
        <w:tc>
          <w:tcPr>
            <w:tcW w:w="0" w:type="auto"/>
            <w:vAlign w:val="center"/>
            <w:hideMark/>
          </w:tcPr>
          <w:p w14:paraId="03C8E3BA"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&lt; 0.001</w:t>
            </w:r>
          </w:p>
        </w:tc>
        <w:tc>
          <w:tcPr>
            <w:tcW w:w="0" w:type="auto"/>
            <w:vAlign w:val="center"/>
            <w:hideMark/>
          </w:tcPr>
          <w:p w14:paraId="4CD50BC5"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[3.48, 3.84]</w:t>
            </w:r>
          </w:p>
        </w:tc>
      </w:tr>
      <w:tr w:rsidR="0079329A" w:rsidRPr="0079329A" w14:paraId="294ACCE7" w14:textId="77777777" w:rsidTr="0079329A">
        <w:trPr>
          <w:trHeight w:val="426"/>
          <w:tblCellSpacing w:w="15" w:type="dxa"/>
        </w:trPr>
        <w:tc>
          <w:tcPr>
            <w:tcW w:w="819" w:type="dxa"/>
            <w:vAlign w:val="center"/>
            <w:hideMark/>
          </w:tcPr>
          <w:p w14:paraId="14CBCFC9"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Incentives</w:t>
            </w:r>
          </w:p>
        </w:tc>
        <w:tc>
          <w:tcPr>
            <w:tcW w:w="0" w:type="auto"/>
            <w:vAlign w:val="center"/>
            <w:hideMark/>
          </w:tcPr>
          <w:p w14:paraId="69EF027F"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3.01</w:t>
            </w:r>
          </w:p>
        </w:tc>
        <w:tc>
          <w:tcPr>
            <w:tcW w:w="0" w:type="auto"/>
            <w:vAlign w:val="center"/>
            <w:hideMark/>
          </w:tcPr>
          <w:p w14:paraId="113FAFFC"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1.13</w:t>
            </w:r>
          </w:p>
        </w:tc>
        <w:tc>
          <w:tcPr>
            <w:tcW w:w="0" w:type="auto"/>
            <w:vAlign w:val="center"/>
            <w:hideMark/>
          </w:tcPr>
          <w:p w14:paraId="534F14F6"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3</w:t>
            </w:r>
          </w:p>
        </w:tc>
        <w:tc>
          <w:tcPr>
            <w:tcW w:w="0" w:type="auto"/>
            <w:vAlign w:val="center"/>
            <w:hideMark/>
          </w:tcPr>
          <w:p w14:paraId="1BE406F9"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0.11</w:t>
            </w:r>
          </w:p>
        </w:tc>
        <w:tc>
          <w:tcPr>
            <w:tcW w:w="0" w:type="auto"/>
            <w:vAlign w:val="center"/>
            <w:hideMark/>
          </w:tcPr>
          <w:p w14:paraId="15EC3DA0"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168</w:t>
            </w:r>
          </w:p>
        </w:tc>
        <w:tc>
          <w:tcPr>
            <w:tcW w:w="0" w:type="auto"/>
            <w:vAlign w:val="center"/>
            <w:hideMark/>
          </w:tcPr>
          <w:p w14:paraId="2304DB53"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0.912</w:t>
            </w:r>
          </w:p>
        </w:tc>
        <w:tc>
          <w:tcPr>
            <w:tcW w:w="0" w:type="auto"/>
            <w:vAlign w:val="center"/>
            <w:hideMark/>
          </w:tcPr>
          <w:p w14:paraId="0C5EBB79"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[2.84, 3.18]</w:t>
            </w:r>
          </w:p>
        </w:tc>
      </w:tr>
      <w:tr w:rsidR="0079329A" w:rsidRPr="0079329A" w14:paraId="0B4C689A" w14:textId="77777777" w:rsidTr="0079329A">
        <w:trPr>
          <w:trHeight w:val="417"/>
          <w:tblCellSpacing w:w="15" w:type="dxa"/>
        </w:trPr>
        <w:tc>
          <w:tcPr>
            <w:tcW w:w="819" w:type="dxa"/>
            <w:vAlign w:val="center"/>
            <w:hideMark/>
          </w:tcPr>
          <w:p w14:paraId="35A37962"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Evaluation</w:t>
            </w:r>
          </w:p>
        </w:tc>
        <w:tc>
          <w:tcPr>
            <w:tcW w:w="0" w:type="auto"/>
            <w:vAlign w:val="center"/>
            <w:hideMark/>
          </w:tcPr>
          <w:p w14:paraId="5B7478AB"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3.00</w:t>
            </w:r>
          </w:p>
        </w:tc>
        <w:tc>
          <w:tcPr>
            <w:tcW w:w="0" w:type="auto"/>
            <w:vAlign w:val="center"/>
            <w:hideMark/>
          </w:tcPr>
          <w:p w14:paraId="1E4630AF"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1.44</w:t>
            </w:r>
          </w:p>
        </w:tc>
        <w:tc>
          <w:tcPr>
            <w:tcW w:w="0" w:type="auto"/>
            <w:vAlign w:val="center"/>
            <w:hideMark/>
          </w:tcPr>
          <w:p w14:paraId="05C66705"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3</w:t>
            </w:r>
          </w:p>
        </w:tc>
        <w:tc>
          <w:tcPr>
            <w:tcW w:w="0" w:type="auto"/>
            <w:vAlign w:val="center"/>
            <w:hideMark/>
          </w:tcPr>
          <w:p w14:paraId="276ADC32"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0.00</w:t>
            </w:r>
          </w:p>
        </w:tc>
        <w:tc>
          <w:tcPr>
            <w:tcW w:w="0" w:type="auto"/>
            <w:vAlign w:val="center"/>
            <w:hideMark/>
          </w:tcPr>
          <w:p w14:paraId="498E388A"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168</w:t>
            </w:r>
          </w:p>
        </w:tc>
        <w:tc>
          <w:tcPr>
            <w:tcW w:w="0" w:type="auto"/>
            <w:vAlign w:val="center"/>
            <w:hideMark/>
          </w:tcPr>
          <w:p w14:paraId="701BDFD2"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1.000</w:t>
            </w:r>
          </w:p>
        </w:tc>
        <w:tc>
          <w:tcPr>
            <w:tcW w:w="0" w:type="auto"/>
            <w:vAlign w:val="center"/>
            <w:hideMark/>
          </w:tcPr>
          <w:p w14:paraId="78666562"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[2.78, 3.22]</w:t>
            </w:r>
          </w:p>
        </w:tc>
      </w:tr>
    </w:tbl>
    <w:p w14:paraId="29AFEFCA"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In contrast, the material barrier stands out as the most strongly agreed-upon constraint (33% agreed and 14% strongly agreed). A large majority of respondents report that sports facilities lack modern diagnostic and sports-science tools. This indicates a widely shared perception of infrastructural inadequacy, pointing to a systemic gap in technological and scientific support for sports training and performance analysis. The strength of agreement here suggests that this is a visible and directly experienced limitation within university sports environments.</w:t>
      </w:r>
    </w:p>
    <w:p w14:paraId="5D8EDE84"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The incentives barrier shows a mixed pattern, with a slight lean toward agreement but a large proportion of neutral responses (26%). This suggests that while some respondents believe faculty workloads do not sufficiently include practical sports supervision, others are unsure or have not directly observed these workload structures. The inconsistency in responses points to variation across institutions or departments in how practical coaching responsibilities are assigned and recognised.</w:t>
      </w:r>
    </w:p>
    <w:p w14:paraId="4CFB4864"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The evaluation barrier is highly divided, showing a near balance between agreement and disagreement. This indicates that perceptions of coach evaluation systems are inconsistent. Some respondents believe performance is primarily measured through medal acquisition, while others disagree, suggesting that evaluation criteria may </w:t>
      </w:r>
      <w:r w:rsidRPr="0079329A">
        <w:rPr>
          <w:rFonts w:ascii="Times New Roman" w:hAnsi="Times New Roman" w:cs="Times New Roman"/>
          <w:sz w:val="22"/>
          <w:szCs w:val="22"/>
        </w:rPr>
        <w:t>vary significantly across institutions or sports programmes.</w:t>
      </w:r>
    </w:p>
    <w:p w14:paraId="5F150762" w14:textId="77777777" w:rsidR="0079329A" w:rsidRPr="0079329A" w:rsidRDefault="0079329A" w:rsidP="0079329A">
      <w:pPr>
        <w:pStyle w:val="Heading3"/>
        <w:spacing w:line="276" w:lineRule="auto"/>
        <w:rPr>
          <w:rFonts w:ascii="Times New Roman" w:hAnsi="Times New Roman" w:cs="Times New Roman"/>
          <w:sz w:val="22"/>
          <w:szCs w:val="22"/>
        </w:rPr>
      </w:pPr>
      <w:r w:rsidRPr="0079329A">
        <w:rPr>
          <w:rFonts w:ascii="Times New Roman" w:hAnsi="Times New Roman" w:cs="Times New Roman"/>
          <w:sz w:val="22"/>
          <w:szCs w:val="22"/>
        </w:rPr>
        <w:t>4.4.2 Inferential Statistics</w:t>
      </w:r>
    </w:p>
    <w:p w14:paraId="44C91963"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A one-sample t-test was conducted to assess whether the mean perception of each barrier significantly differs from the neutral midpoint (3), which represents an undecided or balanced position.</w:t>
      </w:r>
    </w:p>
    <w:p w14:paraId="71DFBC2F" w14:textId="77777777" w:rsidR="0079329A" w:rsidRPr="0079329A" w:rsidRDefault="0079329A" w:rsidP="0079329A">
      <w:pPr>
        <w:pStyle w:val="Caption"/>
        <w:keepNext/>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Table 4. </w:t>
      </w:r>
      <w:r w:rsidRPr="0079329A">
        <w:rPr>
          <w:rFonts w:ascii="Times New Roman" w:hAnsi="Times New Roman" w:cs="Times New Roman"/>
          <w:sz w:val="22"/>
          <w:szCs w:val="22"/>
        </w:rPr>
        <w:fldChar w:fldCharType="begin"/>
      </w:r>
      <w:r w:rsidRPr="0079329A">
        <w:rPr>
          <w:rFonts w:ascii="Times New Roman" w:hAnsi="Times New Roman" w:cs="Times New Roman"/>
          <w:sz w:val="22"/>
          <w:szCs w:val="22"/>
        </w:rPr>
        <w:instrText xml:space="preserve"> SEQ Table_4. \* ARABIC </w:instrText>
      </w:r>
      <w:r w:rsidRPr="0079329A">
        <w:rPr>
          <w:rFonts w:ascii="Times New Roman" w:hAnsi="Times New Roman" w:cs="Times New Roman"/>
          <w:sz w:val="22"/>
          <w:szCs w:val="22"/>
        </w:rPr>
        <w:fldChar w:fldCharType="separate"/>
      </w:r>
      <w:r w:rsidRPr="0079329A">
        <w:rPr>
          <w:rFonts w:ascii="Times New Roman" w:hAnsi="Times New Roman" w:cs="Times New Roman"/>
          <w:noProof/>
          <w:sz w:val="22"/>
          <w:szCs w:val="22"/>
        </w:rPr>
        <w:t>5</w:t>
      </w:r>
      <w:r w:rsidRPr="0079329A">
        <w:rPr>
          <w:rFonts w:ascii="Times New Roman" w:hAnsi="Times New Roman" w:cs="Times New Roman"/>
          <w:sz w:val="22"/>
          <w:szCs w:val="22"/>
        </w:rPr>
        <w:fldChar w:fldCharType="end"/>
      </w:r>
      <w:r w:rsidRPr="0079329A">
        <w:rPr>
          <w:rFonts w:ascii="Times New Roman" w:hAnsi="Times New Roman" w:cs="Times New Roman"/>
          <w:sz w:val="22"/>
          <w:szCs w:val="22"/>
        </w:rPr>
        <w:t xml:space="preserve"> One-Sample t-Test Results for Institutional Barriers (N = 169)</w:t>
      </w:r>
    </w:p>
    <w:p w14:paraId="526E259F"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The results on table 4.5 indicate that only two barriers show statistically meaningful deviations from neutrality. The financial barrier is significantly below the midpoint, suggesting that respondents generally reject the idea that sports are treated purely as an entertainment cost centre. This implies that funding structures may already include some developmental or institutional support for sports. In contrast, the material barrier is significantly above neutral, indicating strong agreement that universities lack adequate sports-science tools and diagnostic infrastructure. This is a key finding because it reflects a tangible, operational limitation that directly affects training quality, performance monitoring, and adapted sports implementation.</w:t>
      </w:r>
    </w:p>
    <w:p w14:paraId="66A630F5"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The remaining barriers; policy, regulatory, incentives, and evaluation—do not show statistically significant differences from neutrality. This suggests either mixed perceptions, </w:t>
      </w:r>
      <w:r w:rsidRPr="0079329A">
        <w:rPr>
          <w:rFonts w:ascii="Times New Roman" w:hAnsi="Times New Roman" w:cs="Times New Roman"/>
          <w:sz w:val="22"/>
          <w:szCs w:val="22"/>
        </w:rPr>
        <w:lastRenderedPageBreak/>
        <w:t>institutional variation, or limited awareness among respondents regarding how these systems operate in practice.</w:t>
      </w:r>
    </w:p>
    <w:p w14:paraId="10B10BEF" w14:textId="658774DA" w:rsidR="0079329A" w:rsidRPr="0079329A" w:rsidRDefault="0079329A" w:rsidP="0079329A">
      <w:pPr>
        <w:pStyle w:val="Heading3"/>
        <w:spacing w:line="276" w:lineRule="auto"/>
        <w:rPr>
          <w:rFonts w:ascii="Times New Roman" w:hAnsi="Times New Roman" w:cs="Times New Roman"/>
          <w:sz w:val="22"/>
          <w:szCs w:val="22"/>
        </w:rPr>
      </w:pPr>
      <w:r w:rsidRPr="0079329A">
        <w:rPr>
          <w:rFonts w:ascii="Times New Roman" w:hAnsi="Times New Roman" w:cs="Times New Roman"/>
          <w:sz w:val="22"/>
          <w:szCs w:val="22"/>
        </w:rPr>
        <w:t>Chi-Square Goodness-of-Fit Test (Material Barrier)</w:t>
      </w:r>
    </w:p>
    <w:p w14:paraId="73239CFF"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To further examine the strength of agreement for the material barrier, a chi-square goodness-of-fit test was conducted to assess whether responses are evenly distributed across categories.</w:t>
      </w:r>
    </w:p>
    <w:p w14:paraId="384AE649" w14:textId="77777777" w:rsidR="0079329A" w:rsidRPr="0079329A" w:rsidRDefault="0079329A" w:rsidP="0079329A">
      <w:pPr>
        <w:pStyle w:val="Caption"/>
        <w:keepNext/>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Table 4. </w:t>
      </w:r>
      <w:r w:rsidRPr="0079329A">
        <w:rPr>
          <w:rFonts w:ascii="Times New Roman" w:hAnsi="Times New Roman" w:cs="Times New Roman"/>
          <w:sz w:val="22"/>
          <w:szCs w:val="22"/>
        </w:rPr>
        <w:fldChar w:fldCharType="begin"/>
      </w:r>
      <w:r w:rsidRPr="0079329A">
        <w:rPr>
          <w:rFonts w:ascii="Times New Roman" w:hAnsi="Times New Roman" w:cs="Times New Roman"/>
          <w:sz w:val="22"/>
          <w:szCs w:val="22"/>
        </w:rPr>
        <w:instrText xml:space="preserve"> SEQ Table_4. \* ARABIC </w:instrText>
      </w:r>
      <w:r w:rsidRPr="0079329A">
        <w:rPr>
          <w:rFonts w:ascii="Times New Roman" w:hAnsi="Times New Roman" w:cs="Times New Roman"/>
          <w:sz w:val="22"/>
          <w:szCs w:val="22"/>
        </w:rPr>
        <w:fldChar w:fldCharType="separate"/>
      </w:r>
      <w:r w:rsidRPr="0079329A">
        <w:rPr>
          <w:rFonts w:ascii="Times New Roman" w:hAnsi="Times New Roman" w:cs="Times New Roman"/>
          <w:noProof/>
          <w:sz w:val="22"/>
          <w:szCs w:val="22"/>
        </w:rPr>
        <w:t>6</w:t>
      </w:r>
      <w:r w:rsidRPr="0079329A">
        <w:rPr>
          <w:rFonts w:ascii="Times New Roman" w:hAnsi="Times New Roman" w:cs="Times New Roman"/>
          <w:sz w:val="22"/>
          <w:szCs w:val="22"/>
        </w:rPr>
        <w:fldChar w:fldCharType="end"/>
      </w:r>
      <w:r w:rsidRPr="0079329A">
        <w:rPr>
          <w:rFonts w:ascii="Times New Roman" w:hAnsi="Times New Roman" w:cs="Times New Roman"/>
          <w:sz w:val="22"/>
          <w:szCs w:val="22"/>
        </w:rPr>
        <w:t xml:space="preserve"> Chi-Square Goodness-of-Fit for Material Barrier</w:t>
      </w:r>
    </w:p>
    <w:tbl>
      <w:tblPr>
        <w:tblW w:w="4464"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730"/>
        <w:gridCol w:w="622"/>
        <w:gridCol w:w="274"/>
        <w:gridCol w:w="838"/>
      </w:tblGrid>
      <w:tr w:rsidR="0079329A" w:rsidRPr="0079329A" w14:paraId="4768B71D" w14:textId="77777777" w:rsidTr="0079329A">
        <w:trPr>
          <w:trHeight w:val="511"/>
          <w:tblHeader/>
          <w:tblCellSpacing w:w="15" w:type="dxa"/>
        </w:trPr>
        <w:tc>
          <w:tcPr>
            <w:tcW w:w="0" w:type="auto"/>
            <w:tcBorders>
              <w:top w:val="single" w:sz="4" w:space="0" w:color="auto"/>
              <w:bottom w:val="single" w:sz="4" w:space="0" w:color="auto"/>
            </w:tcBorders>
            <w:vAlign w:val="center"/>
            <w:hideMark/>
          </w:tcPr>
          <w:p w14:paraId="2C715DE8"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Test</w:t>
            </w:r>
          </w:p>
        </w:tc>
        <w:tc>
          <w:tcPr>
            <w:tcW w:w="0" w:type="auto"/>
            <w:tcBorders>
              <w:top w:val="single" w:sz="4" w:space="0" w:color="auto"/>
              <w:bottom w:val="single" w:sz="4" w:space="0" w:color="auto"/>
            </w:tcBorders>
            <w:vAlign w:val="center"/>
            <w:hideMark/>
          </w:tcPr>
          <w:p w14:paraId="142C4987"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χ²</w:t>
            </w:r>
          </w:p>
        </w:tc>
        <w:tc>
          <w:tcPr>
            <w:tcW w:w="0" w:type="auto"/>
            <w:tcBorders>
              <w:top w:val="single" w:sz="4" w:space="0" w:color="auto"/>
              <w:bottom w:val="single" w:sz="4" w:space="0" w:color="auto"/>
            </w:tcBorders>
            <w:vAlign w:val="center"/>
            <w:hideMark/>
          </w:tcPr>
          <w:p w14:paraId="020D7505"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df</w:t>
            </w:r>
          </w:p>
        </w:tc>
        <w:tc>
          <w:tcPr>
            <w:tcW w:w="0" w:type="auto"/>
            <w:tcBorders>
              <w:top w:val="single" w:sz="4" w:space="0" w:color="auto"/>
              <w:bottom w:val="single" w:sz="4" w:space="0" w:color="auto"/>
            </w:tcBorders>
            <w:vAlign w:val="center"/>
            <w:hideMark/>
          </w:tcPr>
          <w:p w14:paraId="594F0467"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p-value</w:t>
            </w:r>
          </w:p>
        </w:tc>
      </w:tr>
      <w:tr w:rsidR="0079329A" w:rsidRPr="0079329A" w14:paraId="0B4C7B10" w14:textId="77777777" w:rsidTr="0079329A">
        <w:trPr>
          <w:trHeight w:val="523"/>
          <w:tblCellSpacing w:w="15" w:type="dxa"/>
        </w:trPr>
        <w:tc>
          <w:tcPr>
            <w:tcW w:w="0" w:type="auto"/>
            <w:vAlign w:val="center"/>
            <w:hideMark/>
          </w:tcPr>
          <w:p w14:paraId="1745C042"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Chi-square goodness-of-fit</w:t>
            </w:r>
          </w:p>
        </w:tc>
        <w:tc>
          <w:tcPr>
            <w:tcW w:w="0" w:type="auto"/>
            <w:vAlign w:val="center"/>
            <w:hideMark/>
          </w:tcPr>
          <w:p w14:paraId="69ED6CF4"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86.40</w:t>
            </w:r>
          </w:p>
        </w:tc>
        <w:tc>
          <w:tcPr>
            <w:tcW w:w="0" w:type="auto"/>
            <w:vAlign w:val="center"/>
            <w:hideMark/>
          </w:tcPr>
          <w:p w14:paraId="5479C9B2"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4</w:t>
            </w:r>
          </w:p>
        </w:tc>
        <w:tc>
          <w:tcPr>
            <w:tcW w:w="0" w:type="auto"/>
            <w:vAlign w:val="center"/>
            <w:hideMark/>
          </w:tcPr>
          <w:p w14:paraId="5F3B9192"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&lt; 0.001</w:t>
            </w:r>
          </w:p>
        </w:tc>
      </w:tr>
    </w:tbl>
    <w:p w14:paraId="1019D34E"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The result on table 4.6 confirms a statistically significant deviation from a uniform distribution. Responses are heavily concentrated in the agreement categories (Agree and Strongly Agree), reinforcing the conclusion that lack of sports-science tools is a dominant and widely recognised institutional challenge.</w:t>
      </w:r>
    </w:p>
    <w:p w14:paraId="49CC1D8B" w14:textId="77777777" w:rsidR="0079329A" w:rsidRPr="0079329A" w:rsidRDefault="0079329A" w:rsidP="0079329A">
      <w:pPr>
        <w:spacing w:line="276" w:lineRule="auto"/>
        <w:rPr>
          <w:rFonts w:ascii="Times New Roman" w:hAnsi="Times New Roman" w:cs="Times New Roman"/>
          <w:sz w:val="22"/>
          <w:szCs w:val="22"/>
        </w:rPr>
      </w:pPr>
    </w:p>
    <w:p w14:paraId="36963EE7" w14:textId="369AA3B7" w:rsidR="0079329A" w:rsidRPr="0079329A" w:rsidRDefault="0079329A" w:rsidP="0079329A">
      <w:pPr>
        <w:pStyle w:val="Heading3"/>
        <w:spacing w:line="276" w:lineRule="auto"/>
        <w:rPr>
          <w:rFonts w:ascii="Times New Roman" w:hAnsi="Times New Roman" w:cs="Times New Roman"/>
          <w:sz w:val="22"/>
          <w:szCs w:val="22"/>
        </w:rPr>
      </w:pPr>
      <w:r w:rsidRPr="0079329A">
        <w:rPr>
          <w:rFonts w:ascii="Times New Roman" w:hAnsi="Times New Roman" w:cs="Times New Roman"/>
          <w:sz w:val="22"/>
          <w:szCs w:val="22"/>
        </w:rPr>
        <w:t>On-field sports responsibility and competency development</w:t>
      </w:r>
    </w:p>
    <w:p w14:paraId="3CF802DA"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Response 1: During live matches, students acting as assistant referees had to make quick foul decisions and manage player safety, which strengthened real-time decision-making and confidence that is not developed in classroom lectures.</w:t>
      </w:r>
    </w:p>
    <w:p w14:paraId="1192445B"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Response 2: Serving as team managers during tournaments required handling substitutions, injury response, and communication with officials, building leadership and crisis-management skills beyond theoretical learning.</w:t>
      </w:r>
    </w:p>
    <w:p w14:paraId="335524C3"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Response 3: Students involved in officiating internal games developed practical rule interpretation and conflict resolution skills through direct exposure to match pressure situations.</w:t>
      </w:r>
    </w:p>
    <w:p w14:paraId="64700E2D" w14:textId="77777777" w:rsidR="0079329A" w:rsidRPr="0079329A" w:rsidRDefault="0079329A" w:rsidP="0079329A">
      <w:pPr>
        <w:spacing w:line="276" w:lineRule="auto"/>
        <w:rPr>
          <w:rFonts w:ascii="Times New Roman" w:hAnsi="Times New Roman" w:cs="Times New Roman"/>
          <w:sz w:val="22"/>
          <w:szCs w:val="22"/>
        </w:rPr>
      </w:pPr>
    </w:p>
    <w:p w14:paraId="39DCBD2C" w14:textId="189AB314" w:rsidR="0079329A" w:rsidRPr="0079329A" w:rsidRDefault="0079329A" w:rsidP="0079329A">
      <w:pPr>
        <w:pStyle w:val="Heading3"/>
        <w:spacing w:line="276" w:lineRule="auto"/>
        <w:rPr>
          <w:rFonts w:ascii="Times New Roman" w:hAnsi="Times New Roman" w:cs="Times New Roman"/>
          <w:sz w:val="22"/>
          <w:szCs w:val="22"/>
        </w:rPr>
      </w:pPr>
      <w:r w:rsidRPr="0079329A">
        <w:rPr>
          <w:rFonts w:ascii="Times New Roman" w:hAnsi="Times New Roman" w:cs="Times New Roman"/>
          <w:sz w:val="22"/>
          <w:szCs w:val="22"/>
        </w:rPr>
        <w:t>Curriculum alignment and structural gaps in sports science training</w:t>
      </w:r>
    </w:p>
    <w:p w14:paraId="64521F3E"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Response 1: The curriculum aligns well in theory-based areas such as biomechanics and training principles, but lacks sufficient practical exposure in real tournament settings.</w:t>
      </w:r>
    </w:p>
    <w:p w14:paraId="3D857AB2"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Response 2: The biggest gap is in applied competencies like refereeing, injury management, and adaptive sports delivery, which are rarely practiced during training.</w:t>
      </w:r>
    </w:p>
    <w:p w14:paraId="59A1574A" w14:textId="77777777" w:rsidR="0070756F" w:rsidRDefault="0070756F" w:rsidP="0079329A">
      <w:pPr>
        <w:pStyle w:val="Heading1"/>
        <w:spacing w:line="276" w:lineRule="auto"/>
        <w:rPr>
          <w:rFonts w:ascii="Times New Roman" w:hAnsi="Times New Roman" w:cs="Times New Roman"/>
          <w:sz w:val="22"/>
          <w:szCs w:val="22"/>
        </w:rPr>
      </w:pPr>
    </w:p>
    <w:p w14:paraId="44C0CB17" w14:textId="01D4BE9E" w:rsidR="0079329A" w:rsidRPr="0079329A" w:rsidRDefault="0079329A" w:rsidP="0079329A">
      <w:pPr>
        <w:pStyle w:val="Heading1"/>
        <w:spacing w:line="276" w:lineRule="auto"/>
        <w:rPr>
          <w:rFonts w:ascii="Times New Roman" w:hAnsi="Times New Roman" w:cs="Times New Roman"/>
          <w:sz w:val="22"/>
          <w:szCs w:val="22"/>
        </w:rPr>
      </w:pPr>
      <w:r w:rsidRPr="0079329A">
        <w:rPr>
          <w:rFonts w:ascii="Times New Roman" w:hAnsi="Times New Roman" w:cs="Times New Roman"/>
          <w:sz w:val="22"/>
          <w:szCs w:val="22"/>
        </w:rPr>
        <w:t>CONCLUSION AND RECOMMENDATIONS</w:t>
      </w:r>
    </w:p>
    <w:p w14:paraId="333C15B0" w14:textId="77777777" w:rsidR="0079329A" w:rsidRPr="0079329A" w:rsidRDefault="0079329A" w:rsidP="0079329A">
      <w:pPr>
        <w:pStyle w:val="Heading2"/>
        <w:spacing w:line="276" w:lineRule="auto"/>
        <w:rPr>
          <w:rFonts w:ascii="Times New Roman" w:hAnsi="Times New Roman" w:cs="Times New Roman"/>
          <w:sz w:val="22"/>
          <w:szCs w:val="22"/>
        </w:rPr>
      </w:pPr>
      <w:r w:rsidRPr="0079329A">
        <w:rPr>
          <w:rFonts w:ascii="Times New Roman" w:hAnsi="Times New Roman" w:cs="Times New Roman"/>
          <w:sz w:val="22"/>
          <w:szCs w:val="22"/>
        </w:rPr>
        <w:t>Summary of Key Findings</w:t>
      </w:r>
    </w:p>
    <w:p w14:paraId="2318BCBB"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This study examined the role of university sports in promoting competency-based learning outcomes among students in Kenyan universities, with emphasis on competency development, practical skills acquisition, and institutional constraints. Data were obtained from 169 respondents, the majority of whom were student-athletes (92.3%) and drawn mainly from private universities (87.6%). The institutional priority allocation results indicated that universities prioritise traditional academic functions (44.6%) over sports-related activities. Within the sports domain, elite competitive performance accounted for 21.7%, competency-based equipment procurement 18.1%, while professional development and coaching clinics received the lowest allocation at 15.6%, reflecting a relatively limited emphasis on structured sports pedagogy.</w:t>
      </w:r>
    </w:p>
    <w:p w14:paraId="070D29D4"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Findings on competency development demonstrate that university sports significantly contribute to self-discipline (M = 3.45, p &lt; 0.001), tactical decision-making under pressure (M = 3.62, p &lt; 0.001), and conflict resolution skills (M = 3.38, p &lt; 0.001). However, adaptive grit did not significantly differ from neutrality (M = 3.14, p = 0.182), suggesting that resilience development through sports is less consistently experienced. </w:t>
      </w:r>
      <w:r w:rsidRPr="0079329A">
        <w:rPr>
          <w:rFonts w:ascii="Times New Roman" w:hAnsi="Times New Roman" w:cs="Times New Roman"/>
          <w:sz w:val="22"/>
          <w:szCs w:val="22"/>
        </w:rPr>
        <w:lastRenderedPageBreak/>
        <w:t>The chi-square test of homogeneity (χ²(12) = 12.57, p = 0.401) further confirmed that response patterns across competencies were statistically similar.</w:t>
      </w:r>
    </w:p>
    <w:p w14:paraId="1F0A5FF7"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In relation to practical skills acquisition, the heatmap results revealed a highly uneven competency profile. Respondents largely disagreed that students can assess athletic injuries (52.1% disagreement) or manage internal leagues as referees (78.1% disagreement). In contrast, there was strong agreement regarding competence in designing periodisation plans (66.8% agreement). This divergence was statistically confirmed by a significant chi-square test of homogeneity (χ²(8) = 186.42, p &lt; 0.001, Cramér’s V = 0.43), indicating meaningful disparities in applied skill development.</w:t>
      </w:r>
    </w:p>
    <w:p w14:paraId="6C10582D"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Regarding institutional barriers, only the material dimension—specifically the lack of modern sports-science tools—was significantly recognised as a constraint (M = 3.66, p &lt; 0.001). The financial dimension was significantly below neutrality (M = 2.68, p = 0.004), suggesting that respondents do not strongly perceive sports as being treated purely as an entertainment cost. Other barriers, including policy, regulatory, incentives, and evaluation, did not significantly deviate from neutrality. The chi-square goodness-of-fit test further confirmed the dominance of the material constraint (χ²(4) = 86.40, p &lt; 0.001).</w:t>
      </w:r>
    </w:p>
    <w:p w14:paraId="4A13A132"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Conclusions</w:t>
      </w:r>
    </w:p>
    <w:p w14:paraId="6E1BD5E6"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The first hypothesis stated that university sports programmes do not significantly contribute to the development of competency-based learning outcomes among Kenyan university students. Statistical results from one-sample t-tests indicate that three of the four competency domains; self-discipline, tactical decision-making, and conflict resolution; are significantly enhanced through sports participation. Only adaptive grit failed to show a significant effect. The chi-square homogeneity test further demonstrated consistent </w:t>
      </w:r>
      <w:r w:rsidRPr="0079329A">
        <w:rPr>
          <w:rFonts w:ascii="Times New Roman" w:hAnsi="Times New Roman" w:cs="Times New Roman"/>
          <w:sz w:val="22"/>
          <w:szCs w:val="22"/>
        </w:rPr>
        <w:t>response patterns across competencies. Accordingly, the null hypothesis is rejected for the majority of competency areas. University sports therefore play a significant role in fostering key behavioural and cognitive competencies, although their influence on resilience development remains inconclusive.</w:t>
      </w:r>
    </w:p>
    <w:p w14:paraId="3CE9D77C"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The second hypothesis posited that university sports programmes do not significantly enhance practical skills acquisition within sport education programmes. The findings strongly contradict this assumption. The chi-square test revealed statistically significant differences in skill acquisition patterns, with clear strengths in theoretical planning (periodisation) and marked weaknesses in applied competencies such as injury assessment and officiating. The effect size further confirmed the practical significance of these disparities. Consequently, the null hypothesis is rejected. Practical skills development within university sports is uneven, favouring design-oriented competencies while neglecting real-time applied roles.</w:t>
      </w:r>
    </w:p>
    <w:p w14:paraId="71FC7E7E"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The third hypothesis proposed that institutional factors do not significantly influence the integration of competency-based learning through university sports programmes. Results show that only the material factor significantly influences competency integration, as evidenced by strong agreement regarding inadequate sports-science infrastructure. Financial perceptions were significantly negative, while policy, regulatory, incentive, and evaluation dimensions were statistically neutral. As such, the hypothesis is partially rejected. Institutional influence is therefore concentrated primarily in infrastructural limitations rather than broad systemic governance issues.</w:t>
      </w:r>
    </w:p>
    <w:p w14:paraId="7E8DAECA" w14:textId="77777777" w:rsidR="0079329A" w:rsidRPr="0079329A" w:rsidRDefault="0079329A" w:rsidP="0079329A">
      <w:pPr>
        <w:pStyle w:val="Heading2"/>
        <w:spacing w:line="276" w:lineRule="auto"/>
        <w:rPr>
          <w:rFonts w:ascii="Times New Roman" w:hAnsi="Times New Roman" w:cs="Times New Roman"/>
          <w:sz w:val="22"/>
          <w:szCs w:val="22"/>
        </w:rPr>
      </w:pPr>
      <w:r w:rsidRPr="0079329A">
        <w:rPr>
          <w:rFonts w:ascii="Times New Roman" w:hAnsi="Times New Roman" w:cs="Times New Roman"/>
          <w:sz w:val="22"/>
          <w:szCs w:val="22"/>
        </w:rPr>
        <w:t>Recommendations</w:t>
      </w:r>
    </w:p>
    <w:p w14:paraId="1C7787E0"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 xml:space="preserve">The findings suggest the need for targeted interventions across competency development, practical training, and institutional restructuring. </w:t>
      </w:r>
      <w:r w:rsidRPr="0079329A">
        <w:rPr>
          <w:rFonts w:ascii="Times New Roman" w:hAnsi="Times New Roman" w:cs="Times New Roman"/>
          <w:sz w:val="22"/>
          <w:szCs w:val="22"/>
        </w:rPr>
        <w:lastRenderedPageBreak/>
        <w:t>To strengthen resilience-based competencies, universities should intentionally integrate structured reflection sessions, mental conditioning exercises, and setback-response simulations within sports programmes, as adaptive grit remains underdeveloped.</w:t>
      </w:r>
    </w:p>
    <w:p w14:paraId="30A46608"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To address gaps in practical skills acquisition, sport education curricula should be restructured to include mandatory experiential learning components. These should involve supervised officiating during tournaments, formal injury assessment training during fixtures, and certification-based referee development programmes. In addition, curriculum design should rebalance emphasis between theoretical planning and applied execution to ensure that students acquire both conceptual and operational competencies.</w:t>
      </w:r>
    </w:p>
    <w:p w14:paraId="2DEB0997"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Institutionally, the most urgent intervention concerns investment in sports-science infrastructure. Universities should prioritise procurement of diagnostic and analytical tools such as performance monitoring systems, video analysis technology, and fitness assessment equipment. A dedicated sports science laboratory would further enhance applied learning and performance evaluation.</w:t>
      </w:r>
    </w:p>
    <w:p w14:paraId="2CDBA0AD" w14:textId="77777777" w:rsidR="0079329A" w:rsidRPr="0079329A" w:rsidRDefault="0079329A" w:rsidP="0079329A">
      <w:pPr>
        <w:spacing w:line="276" w:lineRule="auto"/>
        <w:rPr>
          <w:rFonts w:ascii="Times New Roman" w:hAnsi="Times New Roman" w:cs="Times New Roman"/>
          <w:sz w:val="22"/>
          <w:szCs w:val="22"/>
        </w:rPr>
      </w:pPr>
      <w:r w:rsidRPr="0079329A">
        <w:rPr>
          <w:rFonts w:ascii="Times New Roman" w:hAnsi="Times New Roman" w:cs="Times New Roman"/>
          <w:sz w:val="22"/>
          <w:szCs w:val="22"/>
        </w:rPr>
        <w:t>In addition, policy clarity remains necessary, particularly regarding academic credit recognition for sports participation. Regulatory bodies and universities should communicate existing frameworks more effectively to reduce ambiguity. Similarly, coach evaluation systems should be restructured to incorporate competency development indicators alongside competitive performance outcomes, ensuring a more holistic assessment approach.</w:t>
      </w:r>
    </w:p>
    <w:p w14:paraId="00AFD6E2" w14:textId="77777777" w:rsidR="0079329A" w:rsidRPr="0079329A" w:rsidRDefault="0079329A" w:rsidP="0079329A">
      <w:pPr>
        <w:spacing w:line="276" w:lineRule="auto"/>
        <w:rPr>
          <w:rFonts w:ascii="Times New Roman" w:hAnsi="Times New Roman" w:cs="Times New Roman"/>
          <w:b/>
          <w:bCs/>
          <w:sz w:val="22"/>
          <w:szCs w:val="22"/>
        </w:rPr>
      </w:pPr>
      <w:r w:rsidRPr="0079329A">
        <w:rPr>
          <w:rFonts w:ascii="Times New Roman" w:hAnsi="Times New Roman" w:cs="Times New Roman"/>
          <w:b/>
          <w:bCs/>
          <w:sz w:val="22"/>
          <w:szCs w:val="22"/>
        </w:rPr>
        <w:t>REFERENCES</w:t>
      </w:r>
    </w:p>
    <w:p w14:paraId="74D33AE5"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 xml:space="preserve">Aldous, D., &amp; Brown, D. (2021). A critical analysis of CIMSPA's transformative aspirations for UK Higher education sport and physical activity vocational education and </w:t>
      </w:r>
      <w:r w:rsidRPr="0079329A">
        <w:rPr>
          <w:rFonts w:ascii="Times New Roman" w:hAnsi="Times New Roman" w:cs="Times New Roman"/>
          <w:sz w:val="22"/>
          <w:szCs w:val="22"/>
        </w:rPr>
        <w:t>training provision. </w:t>
      </w:r>
      <w:r w:rsidRPr="0079329A">
        <w:rPr>
          <w:rFonts w:ascii="Times New Roman" w:hAnsi="Times New Roman" w:cs="Times New Roman"/>
          <w:i/>
          <w:iCs/>
          <w:sz w:val="22"/>
          <w:szCs w:val="22"/>
        </w:rPr>
        <w:t>Sport, Education and Society</w:t>
      </w:r>
      <w:r w:rsidRPr="0079329A">
        <w:rPr>
          <w:rFonts w:ascii="Times New Roman" w:hAnsi="Times New Roman" w:cs="Times New Roman"/>
          <w:sz w:val="22"/>
          <w:szCs w:val="22"/>
        </w:rPr>
        <w:t>, </w:t>
      </w:r>
      <w:r w:rsidRPr="0079329A">
        <w:rPr>
          <w:rFonts w:ascii="Times New Roman" w:hAnsi="Times New Roman" w:cs="Times New Roman"/>
          <w:i/>
          <w:iCs/>
          <w:sz w:val="22"/>
          <w:szCs w:val="22"/>
        </w:rPr>
        <w:t>26</w:t>
      </w:r>
      <w:r w:rsidRPr="0079329A">
        <w:rPr>
          <w:rFonts w:ascii="Times New Roman" w:hAnsi="Times New Roman" w:cs="Times New Roman"/>
          <w:sz w:val="22"/>
          <w:szCs w:val="22"/>
        </w:rPr>
        <w:t xml:space="preserve">(6), 634-647. </w:t>
      </w:r>
    </w:p>
    <w:p w14:paraId="66875621"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Amarouche, R., &amp; Mimene, Z. (2024). The Contribution of practical education (applied pedagogy) in acquiring teaching competencies by students at the Institute of Science and Technology of Physical and Sports Activities. </w:t>
      </w:r>
      <w:r w:rsidRPr="0079329A">
        <w:rPr>
          <w:rFonts w:ascii="Tahoma" w:hAnsi="Tahoma" w:cs="Tahoma"/>
          <w:i/>
          <w:iCs/>
          <w:sz w:val="22"/>
          <w:szCs w:val="22"/>
        </w:rPr>
        <w:t>المجلة</w:t>
      </w:r>
      <w:r w:rsidRPr="0079329A">
        <w:rPr>
          <w:rFonts w:ascii="Times New Roman" w:hAnsi="Times New Roman" w:cs="Times New Roman"/>
          <w:i/>
          <w:iCs/>
          <w:sz w:val="22"/>
          <w:szCs w:val="22"/>
        </w:rPr>
        <w:t xml:space="preserve"> </w:t>
      </w:r>
      <w:r w:rsidRPr="0079329A">
        <w:rPr>
          <w:rFonts w:ascii="Tahoma" w:hAnsi="Tahoma" w:cs="Tahoma"/>
          <w:i/>
          <w:iCs/>
          <w:sz w:val="22"/>
          <w:szCs w:val="22"/>
        </w:rPr>
        <w:t>الجزائرية</w:t>
      </w:r>
      <w:r w:rsidRPr="0079329A">
        <w:rPr>
          <w:rFonts w:ascii="Times New Roman" w:hAnsi="Times New Roman" w:cs="Times New Roman"/>
          <w:i/>
          <w:iCs/>
          <w:sz w:val="22"/>
          <w:szCs w:val="22"/>
        </w:rPr>
        <w:t xml:space="preserve"> </w:t>
      </w:r>
      <w:r w:rsidRPr="0079329A">
        <w:rPr>
          <w:rFonts w:ascii="Tahoma" w:hAnsi="Tahoma" w:cs="Tahoma"/>
          <w:i/>
          <w:iCs/>
          <w:sz w:val="22"/>
          <w:szCs w:val="22"/>
        </w:rPr>
        <w:t>للعلوم</w:t>
      </w:r>
      <w:r w:rsidRPr="0079329A">
        <w:rPr>
          <w:rFonts w:ascii="Times New Roman" w:hAnsi="Times New Roman" w:cs="Times New Roman"/>
          <w:i/>
          <w:iCs/>
          <w:sz w:val="22"/>
          <w:szCs w:val="22"/>
        </w:rPr>
        <w:t xml:space="preserve"> </w:t>
      </w:r>
      <w:r w:rsidRPr="0079329A">
        <w:rPr>
          <w:rFonts w:ascii="Tahoma" w:hAnsi="Tahoma" w:cs="Tahoma"/>
          <w:i/>
          <w:iCs/>
          <w:sz w:val="22"/>
          <w:szCs w:val="22"/>
        </w:rPr>
        <w:t>الإجتماعية</w:t>
      </w:r>
      <w:r w:rsidRPr="0079329A">
        <w:rPr>
          <w:rFonts w:ascii="Times New Roman" w:hAnsi="Times New Roman" w:cs="Times New Roman"/>
          <w:i/>
          <w:iCs/>
          <w:sz w:val="22"/>
          <w:szCs w:val="22"/>
        </w:rPr>
        <w:t xml:space="preserve"> </w:t>
      </w:r>
      <w:r w:rsidRPr="0079329A">
        <w:rPr>
          <w:rFonts w:ascii="Tahoma" w:hAnsi="Tahoma" w:cs="Tahoma"/>
          <w:i/>
          <w:iCs/>
          <w:sz w:val="22"/>
          <w:szCs w:val="22"/>
        </w:rPr>
        <w:t>والإنسانية</w:t>
      </w:r>
      <w:r w:rsidRPr="0079329A">
        <w:rPr>
          <w:rFonts w:ascii="Times New Roman" w:hAnsi="Times New Roman" w:cs="Times New Roman"/>
          <w:sz w:val="22"/>
          <w:szCs w:val="22"/>
        </w:rPr>
        <w:t>, </w:t>
      </w:r>
      <w:r w:rsidRPr="0079329A">
        <w:rPr>
          <w:rFonts w:ascii="Times New Roman" w:hAnsi="Times New Roman" w:cs="Times New Roman"/>
          <w:i/>
          <w:iCs/>
          <w:sz w:val="22"/>
          <w:szCs w:val="22"/>
        </w:rPr>
        <w:t>12</w:t>
      </w:r>
      <w:r w:rsidRPr="0079329A">
        <w:rPr>
          <w:rFonts w:ascii="Times New Roman" w:hAnsi="Times New Roman" w:cs="Times New Roman"/>
          <w:sz w:val="22"/>
          <w:szCs w:val="22"/>
        </w:rPr>
        <w:t>(1), 410-422.‎</w:t>
      </w:r>
    </w:p>
    <w:p w14:paraId="71002DCA"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Cameron, A., Wharton, Y., &amp; Scally, J. B. (2018). An investigation into the comparative learning gain and ‘value added’for students from widening participation and non-widening participation groups: A case study from sports degrees. </w:t>
      </w:r>
      <w:r w:rsidRPr="0079329A">
        <w:rPr>
          <w:rFonts w:ascii="Times New Roman" w:hAnsi="Times New Roman" w:cs="Times New Roman"/>
          <w:i/>
          <w:iCs/>
          <w:sz w:val="22"/>
          <w:szCs w:val="22"/>
        </w:rPr>
        <w:t>Higher Education Pedagogies</w:t>
      </w:r>
      <w:r w:rsidRPr="0079329A">
        <w:rPr>
          <w:rFonts w:ascii="Times New Roman" w:hAnsi="Times New Roman" w:cs="Times New Roman"/>
          <w:sz w:val="22"/>
          <w:szCs w:val="22"/>
        </w:rPr>
        <w:t>, </w:t>
      </w:r>
      <w:r w:rsidRPr="0079329A">
        <w:rPr>
          <w:rFonts w:ascii="Times New Roman" w:hAnsi="Times New Roman" w:cs="Times New Roman"/>
          <w:i/>
          <w:iCs/>
          <w:sz w:val="22"/>
          <w:szCs w:val="22"/>
        </w:rPr>
        <w:t>3</w:t>
      </w:r>
      <w:r w:rsidRPr="0079329A">
        <w:rPr>
          <w:rFonts w:ascii="Times New Roman" w:hAnsi="Times New Roman" w:cs="Times New Roman"/>
          <w:sz w:val="22"/>
          <w:szCs w:val="22"/>
        </w:rPr>
        <w:t xml:space="preserve">(1), 83-102. </w:t>
      </w:r>
    </w:p>
    <w:p w14:paraId="2EE99D9D"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 xml:space="preserve">Charles, K., Song, Z., &amp; Khaing, T. (2022). Factors affecting the implementation of competency-based curriculum in lower secondary schools in Uganda: A systematic literature review. </w:t>
      </w:r>
    </w:p>
    <w:p w14:paraId="535053FF"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Choo, L., Novak, A., Impellizzeri, F. M., Porter, C., &amp; Fransen, J. (2024). Skill acquisition interventions for the learning of sports-related skills: A scoping review of randomised controlled trials. </w:t>
      </w:r>
      <w:r w:rsidRPr="0079329A">
        <w:rPr>
          <w:rFonts w:ascii="Times New Roman" w:hAnsi="Times New Roman" w:cs="Times New Roman"/>
          <w:i/>
          <w:iCs/>
          <w:sz w:val="22"/>
          <w:szCs w:val="22"/>
        </w:rPr>
        <w:t>Psychology of Sport and Exercise</w:t>
      </w:r>
      <w:r w:rsidRPr="0079329A">
        <w:rPr>
          <w:rFonts w:ascii="Times New Roman" w:hAnsi="Times New Roman" w:cs="Times New Roman"/>
          <w:sz w:val="22"/>
          <w:szCs w:val="22"/>
        </w:rPr>
        <w:t>, </w:t>
      </w:r>
      <w:r w:rsidRPr="0079329A">
        <w:rPr>
          <w:rFonts w:ascii="Times New Roman" w:hAnsi="Times New Roman" w:cs="Times New Roman"/>
          <w:i/>
          <w:iCs/>
          <w:sz w:val="22"/>
          <w:szCs w:val="22"/>
        </w:rPr>
        <w:t>72</w:t>
      </w:r>
      <w:r w:rsidRPr="0079329A">
        <w:rPr>
          <w:rFonts w:ascii="Times New Roman" w:hAnsi="Times New Roman" w:cs="Times New Roman"/>
          <w:sz w:val="22"/>
          <w:szCs w:val="22"/>
        </w:rPr>
        <w:t>, 102615.</w:t>
      </w:r>
    </w:p>
    <w:p w14:paraId="4BB32DCF"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Bessa, C., Hastie, P., Ramos, A., &amp; Mesquita, I. (2021). What actually differs between traditional teaching and sport education in students’ learning outcomes? A critical systematic review. </w:t>
      </w:r>
      <w:r w:rsidRPr="0079329A">
        <w:rPr>
          <w:rFonts w:ascii="Times New Roman" w:hAnsi="Times New Roman" w:cs="Times New Roman"/>
          <w:i/>
          <w:iCs/>
          <w:sz w:val="22"/>
          <w:szCs w:val="22"/>
        </w:rPr>
        <w:t>Journal of sports science &amp; medicine</w:t>
      </w:r>
      <w:r w:rsidRPr="0079329A">
        <w:rPr>
          <w:rFonts w:ascii="Times New Roman" w:hAnsi="Times New Roman" w:cs="Times New Roman"/>
          <w:sz w:val="22"/>
          <w:szCs w:val="22"/>
        </w:rPr>
        <w:t>, </w:t>
      </w:r>
      <w:r w:rsidRPr="0079329A">
        <w:rPr>
          <w:rFonts w:ascii="Times New Roman" w:hAnsi="Times New Roman" w:cs="Times New Roman"/>
          <w:i/>
          <w:iCs/>
          <w:sz w:val="22"/>
          <w:szCs w:val="22"/>
        </w:rPr>
        <w:t>20</w:t>
      </w:r>
      <w:r w:rsidRPr="0079329A">
        <w:rPr>
          <w:rFonts w:ascii="Times New Roman" w:hAnsi="Times New Roman" w:cs="Times New Roman"/>
          <w:sz w:val="22"/>
          <w:szCs w:val="22"/>
        </w:rPr>
        <w:t xml:space="preserve">(1), 110. </w:t>
      </w:r>
    </w:p>
    <w:p w14:paraId="33F145AD"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Droll, S. E. (2013). </w:t>
      </w:r>
      <w:r w:rsidRPr="0079329A">
        <w:rPr>
          <w:rFonts w:ascii="Times New Roman" w:hAnsi="Times New Roman" w:cs="Times New Roman"/>
          <w:i/>
          <w:iCs/>
          <w:sz w:val="22"/>
          <w:szCs w:val="22"/>
        </w:rPr>
        <w:t>Resource Dependency Theory and the Inclusion of Foreign Nationals on the Board of Directors of Publicly Traded Chilean Companies: A Multi-case Study</w:t>
      </w:r>
      <w:r w:rsidRPr="0079329A">
        <w:rPr>
          <w:rFonts w:ascii="Times New Roman" w:hAnsi="Times New Roman" w:cs="Times New Roman"/>
          <w:sz w:val="22"/>
          <w:szCs w:val="22"/>
        </w:rPr>
        <w:t>. Georgia State University.</w:t>
      </w:r>
    </w:p>
    <w:p w14:paraId="4A0AD1C4"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 xml:space="preserve">McCardle, L., Young, B. W., &amp; Baker, J. (2019). Self-regulated learning and expertise development in sport: Current status, </w:t>
      </w:r>
      <w:r w:rsidRPr="0079329A">
        <w:rPr>
          <w:rFonts w:ascii="Times New Roman" w:hAnsi="Times New Roman" w:cs="Times New Roman"/>
          <w:sz w:val="22"/>
          <w:szCs w:val="22"/>
        </w:rPr>
        <w:lastRenderedPageBreak/>
        <w:t>challenges, and future opportunities. </w:t>
      </w:r>
      <w:r w:rsidRPr="0079329A">
        <w:rPr>
          <w:rFonts w:ascii="Times New Roman" w:hAnsi="Times New Roman" w:cs="Times New Roman"/>
          <w:i/>
          <w:iCs/>
          <w:sz w:val="22"/>
          <w:szCs w:val="22"/>
        </w:rPr>
        <w:t>International Review of Sport and Exercise Psychology</w:t>
      </w:r>
      <w:r w:rsidRPr="0079329A">
        <w:rPr>
          <w:rFonts w:ascii="Times New Roman" w:hAnsi="Times New Roman" w:cs="Times New Roman"/>
          <w:sz w:val="22"/>
          <w:szCs w:val="22"/>
        </w:rPr>
        <w:t>, </w:t>
      </w:r>
      <w:r w:rsidRPr="0079329A">
        <w:rPr>
          <w:rFonts w:ascii="Times New Roman" w:hAnsi="Times New Roman" w:cs="Times New Roman"/>
          <w:i/>
          <w:iCs/>
          <w:sz w:val="22"/>
          <w:szCs w:val="22"/>
        </w:rPr>
        <w:t>12</w:t>
      </w:r>
      <w:r w:rsidRPr="0079329A">
        <w:rPr>
          <w:rFonts w:ascii="Times New Roman" w:hAnsi="Times New Roman" w:cs="Times New Roman"/>
          <w:sz w:val="22"/>
          <w:szCs w:val="22"/>
        </w:rPr>
        <w:t xml:space="preserve">(1), 112-138. </w:t>
      </w:r>
    </w:p>
    <w:p w14:paraId="1C1E36D4"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Gomez, M. G. A., &amp; Echague, E. T. (2026). From Play to Purpose: Self-Determination Theory and Expectancy-Value Theory-Applications in the Life and Career Skills Curriculum Through Physical Education. In </w:t>
      </w:r>
      <w:r w:rsidRPr="0079329A">
        <w:rPr>
          <w:rFonts w:ascii="Times New Roman" w:hAnsi="Times New Roman" w:cs="Times New Roman"/>
          <w:i/>
          <w:iCs/>
          <w:sz w:val="22"/>
          <w:szCs w:val="22"/>
        </w:rPr>
        <w:t>Theoretical and Analytical Perspectives on Interest and Engagement in Physical Education</w:t>
      </w:r>
      <w:r w:rsidRPr="0079329A">
        <w:rPr>
          <w:rFonts w:ascii="Times New Roman" w:hAnsi="Times New Roman" w:cs="Times New Roman"/>
          <w:sz w:val="22"/>
          <w:szCs w:val="22"/>
        </w:rPr>
        <w:t> (pp. 19-48). IGI Global Scientific Publishing.</w:t>
      </w:r>
    </w:p>
    <w:p w14:paraId="4E2A28B3"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Hastie, P. A., Calderón, A., Rolim, R. J., &amp; Guarino, A. J. (2013). The development of skill and knowledge during a sport education season of track and field athletics. </w:t>
      </w:r>
      <w:r w:rsidRPr="0079329A">
        <w:rPr>
          <w:rFonts w:ascii="Times New Roman" w:hAnsi="Times New Roman" w:cs="Times New Roman"/>
          <w:i/>
          <w:iCs/>
          <w:sz w:val="22"/>
          <w:szCs w:val="22"/>
        </w:rPr>
        <w:t>Research quarterly for exercise and sport</w:t>
      </w:r>
      <w:r w:rsidRPr="0079329A">
        <w:rPr>
          <w:rFonts w:ascii="Times New Roman" w:hAnsi="Times New Roman" w:cs="Times New Roman"/>
          <w:sz w:val="22"/>
          <w:szCs w:val="22"/>
        </w:rPr>
        <w:t>, </w:t>
      </w:r>
      <w:r w:rsidRPr="0079329A">
        <w:rPr>
          <w:rFonts w:ascii="Times New Roman" w:hAnsi="Times New Roman" w:cs="Times New Roman"/>
          <w:i/>
          <w:iCs/>
          <w:sz w:val="22"/>
          <w:szCs w:val="22"/>
        </w:rPr>
        <w:t>84</w:t>
      </w:r>
      <w:r w:rsidRPr="0079329A">
        <w:rPr>
          <w:rFonts w:ascii="Times New Roman" w:hAnsi="Times New Roman" w:cs="Times New Roman"/>
          <w:sz w:val="22"/>
          <w:szCs w:val="22"/>
        </w:rPr>
        <w:t>(3), 336-344.</w:t>
      </w:r>
    </w:p>
    <w:p w14:paraId="42683205"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 xml:space="preserve">Irkhina, J. V. (2025). Integrating foreign language learning and professional training in physical education: a competency-based approach. </w:t>
      </w:r>
    </w:p>
    <w:p w14:paraId="3253BF3C"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Khan, M. Y., Jamil, A., Khan, U. A., &amp; Kareem, U. (2012). Association between participation in sports and academic achievement of college students. </w:t>
      </w:r>
      <w:r w:rsidRPr="0079329A">
        <w:rPr>
          <w:rFonts w:ascii="Times New Roman" w:hAnsi="Times New Roman" w:cs="Times New Roman"/>
          <w:i/>
          <w:iCs/>
          <w:sz w:val="22"/>
          <w:szCs w:val="22"/>
        </w:rPr>
        <w:t>International Journal of Academic Research in Business and Social Sciences</w:t>
      </w:r>
      <w:r w:rsidRPr="0079329A">
        <w:rPr>
          <w:rFonts w:ascii="Times New Roman" w:hAnsi="Times New Roman" w:cs="Times New Roman"/>
          <w:sz w:val="22"/>
          <w:szCs w:val="22"/>
        </w:rPr>
        <w:t>, </w:t>
      </w:r>
      <w:r w:rsidRPr="0079329A">
        <w:rPr>
          <w:rFonts w:ascii="Times New Roman" w:hAnsi="Times New Roman" w:cs="Times New Roman"/>
          <w:i/>
          <w:iCs/>
          <w:sz w:val="22"/>
          <w:szCs w:val="22"/>
        </w:rPr>
        <w:t>2</w:t>
      </w:r>
      <w:r w:rsidRPr="0079329A">
        <w:rPr>
          <w:rFonts w:ascii="Times New Roman" w:hAnsi="Times New Roman" w:cs="Times New Roman"/>
          <w:sz w:val="22"/>
          <w:szCs w:val="22"/>
        </w:rPr>
        <w:t xml:space="preserve">(8), 419. </w:t>
      </w:r>
    </w:p>
    <w:p w14:paraId="51DC3D55"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Kinoti, M. A., Kiplagat, H., &amp; Kutto, N. (2025). The Influence of Institutional Factors on Implementation of Competency-Based Education and Training in Meru County, Kenya. </w:t>
      </w:r>
      <w:r w:rsidRPr="0079329A">
        <w:rPr>
          <w:rFonts w:ascii="Times New Roman" w:hAnsi="Times New Roman" w:cs="Times New Roman"/>
          <w:i/>
          <w:iCs/>
          <w:sz w:val="22"/>
          <w:szCs w:val="22"/>
        </w:rPr>
        <w:t>J Adv Educ Philos</w:t>
      </w:r>
      <w:r w:rsidRPr="0079329A">
        <w:rPr>
          <w:rFonts w:ascii="Times New Roman" w:hAnsi="Times New Roman" w:cs="Times New Roman"/>
          <w:sz w:val="22"/>
          <w:szCs w:val="22"/>
        </w:rPr>
        <w:t>, </w:t>
      </w:r>
      <w:r w:rsidRPr="0079329A">
        <w:rPr>
          <w:rFonts w:ascii="Times New Roman" w:hAnsi="Times New Roman" w:cs="Times New Roman"/>
          <w:i/>
          <w:iCs/>
          <w:sz w:val="22"/>
          <w:szCs w:val="22"/>
        </w:rPr>
        <w:t>9</w:t>
      </w:r>
      <w:r w:rsidRPr="0079329A">
        <w:rPr>
          <w:rFonts w:ascii="Times New Roman" w:hAnsi="Times New Roman" w:cs="Times New Roman"/>
          <w:sz w:val="22"/>
          <w:szCs w:val="22"/>
        </w:rPr>
        <w:t xml:space="preserve">(8), 311-318. </w:t>
      </w:r>
    </w:p>
    <w:p w14:paraId="0929CC3C"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Kubai, J. T., Mwangi, P. W., &amp; Owiti, B. (2021). Competency Based Curriculum (CBC) Implementation: Expected Challenges on Sports Talent Pillar for University Education in Kenya. </w:t>
      </w:r>
      <w:r w:rsidRPr="0079329A">
        <w:rPr>
          <w:rFonts w:ascii="Times New Roman" w:hAnsi="Times New Roman" w:cs="Times New Roman"/>
          <w:i/>
          <w:iCs/>
          <w:sz w:val="22"/>
          <w:szCs w:val="22"/>
        </w:rPr>
        <w:t>International Journal of Professional Practice</w:t>
      </w:r>
      <w:r w:rsidRPr="0079329A">
        <w:rPr>
          <w:rFonts w:ascii="Times New Roman" w:hAnsi="Times New Roman" w:cs="Times New Roman"/>
          <w:sz w:val="22"/>
          <w:szCs w:val="22"/>
        </w:rPr>
        <w:t>, </w:t>
      </w:r>
      <w:r w:rsidRPr="0079329A">
        <w:rPr>
          <w:rFonts w:ascii="Times New Roman" w:hAnsi="Times New Roman" w:cs="Times New Roman"/>
          <w:i/>
          <w:iCs/>
          <w:sz w:val="22"/>
          <w:szCs w:val="22"/>
        </w:rPr>
        <w:t>9</w:t>
      </w:r>
      <w:r w:rsidRPr="0079329A">
        <w:rPr>
          <w:rFonts w:ascii="Times New Roman" w:hAnsi="Times New Roman" w:cs="Times New Roman"/>
          <w:sz w:val="22"/>
          <w:szCs w:val="22"/>
        </w:rPr>
        <w:t>(3), 56-67.</w:t>
      </w:r>
    </w:p>
    <w:p w14:paraId="238CD1EC"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Liu, T., &amp; Taresh, S. (2024). The impact of sports participation on college students' learning outcomes: A mixed methods study based on multiple campuses. </w:t>
      </w:r>
      <w:r w:rsidRPr="0079329A">
        <w:rPr>
          <w:rFonts w:ascii="Times New Roman" w:hAnsi="Times New Roman" w:cs="Times New Roman"/>
          <w:i/>
          <w:iCs/>
          <w:sz w:val="22"/>
          <w:szCs w:val="22"/>
        </w:rPr>
        <w:t>Journal of Ecohumanism</w:t>
      </w:r>
      <w:r w:rsidRPr="0079329A">
        <w:rPr>
          <w:rFonts w:ascii="Times New Roman" w:hAnsi="Times New Roman" w:cs="Times New Roman"/>
          <w:sz w:val="22"/>
          <w:szCs w:val="22"/>
        </w:rPr>
        <w:t>, </w:t>
      </w:r>
      <w:r w:rsidRPr="0079329A">
        <w:rPr>
          <w:rFonts w:ascii="Times New Roman" w:hAnsi="Times New Roman" w:cs="Times New Roman"/>
          <w:i/>
          <w:iCs/>
          <w:sz w:val="22"/>
          <w:szCs w:val="22"/>
        </w:rPr>
        <w:t>3</w:t>
      </w:r>
      <w:r w:rsidRPr="0079329A">
        <w:rPr>
          <w:rFonts w:ascii="Times New Roman" w:hAnsi="Times New Roman" w:cs="Times New Roman"/>
          <w:sz w:val="22"/>
          <w:szCs w:val="22"/>
        </w:rPr>
        <w:t xml:space="preserve">(7), 3649-3666. </w:t>
      </w:r>
    </w:p>
    <w:p w14:paraId="6C5E0015"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Lu, H. F. (2023). Statistical learning in sports education: A case study on improving quantitative analysis skills through project-based learning. </w:t>
      </w:r>
      <w:r w:rsidRPr="0079329A">
        <w:rPr>
          <w:rFonts w:ascii="Times New Roman" w:hAnsi="Times New Roman" w:cs="Times New Roman"/>
          <w:i/>
          <w:iCs/>
          <w:sz w:val="22"/>
          <w:szCs w:val="22"/>
        </w:rPr>
        <w:t>Journal of Hospitality, Leisure, Sport &amp; Tourism Education</w:t>
      </w:r>
      <w:r w:rsidRPr="0079329A">
        <w:rPr>
          <w:rFonts w:ascii="Times New Roman" w:hAnsi="Times New Roman" w:cs="Times New Roman"/>
          <w:sz w:val="22"/>
          <w:szCs w:val="22"/>
        </w:rPr>
        <w:t>, </w:t>
      </w:r>
      <w:r w:rsidRPr="0079329A">
        <w:rPr>
          <w:rFonts w:ascii="Times New Roman" w:hAnsi="Times New Roman" w:cs="Times New Roman"/>
          <w:i/>
          <w:iCs/>
          <w:sz w:val="22"/>
          <w:szCs w:val="22"/>
        </w:rPr>
        <w:t>32</w:t>
      </w:r>
      <w:r w:rsidRPr="0079329A">
        <w:rPr>
          <w:rFonts w:ascii="Times New Roman" w:hAnsi="Times New Roman" w:cs="Times New Roman"/>
          <w:sz w:val="22"/>
          <w:szCs w:val="22"/>
        </w:rPr>
        <w:t xml:space="preserve">, 100417. </w:t>
      </w:r>
    </w:p>
    <w:p w14:paraId="6D360C0E"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Machange, J. (2016). </w:t>
      </w:r>
      <w:r w:rsidRPr="0079329A">
        <w:rPr>
          <w:rFonts w:ascii="Times New Roman" w:hAnsi="Times New Roman" w:cs="Times New Roman"/>
          <w:i/>
          <w:iCs/>
          <w:sz w:val="22"/>
          <w:szCs w:val="22"/>
        </w:rPr>
        <w:t>University Students’ Participation in Sports and its Implications for Academic Performance</w:t>
      </w:r>
      <w:r w:rsidRPr="0079329A">
        <w:rPr>
          <w:rFonts w:ascii="Times New Roman" w:hAnsi="Times New Roman" w:cs="Times New Roman"/>
          <w:sz w:val="22"/>
          <w:szCs w:val="22"/>
        </w:rPr>
        <w:t> (Master's thesis, University of Dodoma (Tanzania)).</w:t>
      </w:r>
    </w:p>
    <w:p w14:paraId="4D795A9D"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Mauki, M. M., Kitur, J., Ireri, N. W., &amp; Ngala, F. W. (2020). Competency-based curriculum implementation and the role of the universities in Kenya. </w:t>
      </w:r>
      <w:r w:rsidRPr="0079329A">
        <w:rPr>
          <w:rFonts w:ascii="Times New Roman" w:hAnsi="Times New Roman" w:cs="Times New Roman"/>
          <w:i/>
          <w:iCs/>
          <w:sz w:val="22"/>
          <w:szCs w:val="22"/>
        </w:rPr>
        <w:t>Impact: Journal of Transformation</w:t>
      </w:r>
      <w:r w:rsidRPr="0079329A">
        <w:rPr>
          <w:rFonts w:ascii="Times New Roman" w:hAnsi="Times New Roman" w:cs="Times New Roman"/>
          <w:sz w:val="22"/>
          <w:szCs w:val="22"/>
        </w:rPr>
        <w:t>, </w:t>
      </w:r>
      <w:r w:rsidRPr="0079329A">
        <w:rPr>
          <w:rFonts w:ascii="Times New Roman" w:hAnsi="Times New Roman" w:cs="Times New Roman"/>
          <w:i/>
          <w:iCs/>
          <w:sz w:val="22"/>
          <w:szCs w:val="22"/>
        </w:rPr>
        <w:t>3</w:t>
      </w:r>
      <w:r w:rsidRPr="0079329A">
        <w:rPr>
          <w:rFonts w:ascii="Times New Roman" w:hAnsi="Times New Roman" w:cs="Times New Roman"/>
          <w:sz w:val="22"/>
          <w:szCs w:val="22"/>
        </w:rPr>
        <w:t>(1), 45-52.</w:t>
      </w:r>
    </w:p>
    <w:p w14:paraId="439617AB"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Malhotra, S. P. Adopting Competency-Based Education: Kenya. </w:t>
      </w:r>
      <w:r w:rsidRPr="0079329A">
        <w:rPr>
          <w:rFonts w:ascii="Times New Roman" w:hAnsi="Times New Roman" w:cs="Times New Roman"/>
          <w:i/>
          <w:iCs/>
          <w:sz w:val="22"/>
          <w:szCs w:val="22"/>
        </w:rPr>
        <w:t>The World of Learning Lessons from 52 Countries</w:t>
      </w:r>
      <w:r w:rsidRPr="0079329A">
        <w:rPr>
          <w:rFonts w:ascii="Times New Roman" w:hAnsi="Times New Roman" w:cs="Times New Roman"/>
          <w:sz w:val="22"/>
          <w:szCs w:val="22"/>
        </w:rPr>
        <w:t xml:space="preserve">, 75. </w:t>
      </w:r>
    </w:p>
    <w:p w14:paraId="7016E4C4"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McMorris, T. (2014). </w:t>
      </w:r>
      <w:r w:rsidRPr="0079329A">
        <w:rPr>
          <w:rFonts w:ascii="Times New Roman" w:hAnsi="Times New Roman" w:cs="Times New Roman"/>
          <w:i/>
          <w:iCs/>
          <w:sz w:val="22"/>
          <w:szCs w:val="22"/>
        </w:rPr>
        <w:t>Acquisition and performance of sports skills</w:t>
      </w:r>
      <w:r w:rsidRPr="0079329A">
        <w:rPr>
          <w:rFonts w:ascii="Times New Roman" w:hAnsi="Times New Roman" w:cs="Times New Roman"/>
          <w:sz w:val="22"/>
          <w:szCs w:val="22"/>
        </w:rPr>
        <w:t>. John Wiley &amp; Sons.</w:t>
      </w:r>
    </w:p>
    <w:p w14:paraId="395337C1"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Molina-García, N., González-Serrano, M. H., Ordiñana-Bellver, D., &amp; Baena-Morales, S. (2024). Redefining education in sports sciences: A theoretical study for integrating competency-based learning for sustainable employment in Spain. </w:t>
      </w:r>
      <w:r w:rsidRPr="0079329A">
        <w:rPr>
          <w:rFonts w:ascii="Times New Roman" w:hAnsi="Times New Roman" w:cs="Times New Roman"/>
          <w:i/>
          <w:iCs/>
          <w:sz w:val="22"/>
          <w:szCs w:val="22"/>
        </w:rPr>
        <w:t>Social Sciences</w:t>
      </w:r>
      <w:r w:rsidRPr="0079329A">
        <w:rPr>
          <w:rFonts w:ascii="Times New Roman" w:hAnsi="Times New Roman" w:cs="Times New Roman"/>
          <w:sz w:val="22"/>
          <w:szCs w:val="22"/>
        </w:rPr>
        <w:t>, </w:t>
      </w:r>
      <w:r w:rsidRPr="0079329A">
        <w:rPr>
          <w:rFonts w:ascii="Times New Roman" w:hAnsi="Times New Roman" w:cs="Times New Roman"/>
          <w:i/>
          <w:iCs/>
          <w:sz w:val="22"/>
          <w:szCs w:val="22"/>
        </w:rPr>
        <w:t>13</w:t>
      </w:r>
      <w:r w:rsidRPr="0079329A">
        <w:rPr>
          <w:rFonts w:ascii="Times New Roman" w:hAnsi="Times New Roman" w:cs="Times New Roman"/>
          <w:sz w:val="22"/>
          <w:szCs w:val="22"/>
        </w:rPr>
        <w:t xml:space="preserve">(5), 242. </w:t>
      </w:r>
    </w:p>
    <w:p w14:paraId="488EA707"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Mulumba, F. (2025). CROSS-BORDER STUDENTS'PERCEPTIONS OF INSTITUTIONAL CAPACITY AND EDUCATIONAL SERVICES IN PUBLIC AND PRIVATE UNIVERSITIES IN UGANDA. </w:t>
      </w:r>
      <w:r w:rsidRPr="0079329A">
        <w:rPr>
          <w:rFonts w:ascii="Times New Roman" w:hAnsi="Times New Roman" w:cs="Times New Roman"/>
          <w:i/>
          <w:iCs/>
          <w:sz w:val="22"/>
          <w:szCs w:val="22"/>
        </w:rPr>
        <w:t>Islamic Call University</w:t>
      </w:r>
      <w:r w:rsidRPr="0079329A">
        <w:rPr>
          <w:rFonts w:ascii="Times New Roman" w:hAnsi="Times New Roman" w:cs="Times New Roman"/>
          <w:sz w:val="22"/>
          <w:szCs w:val="22"/>
        </w:rPr>
        <w:t>.</w:t>
      </w:r>
    </w:p>
    <w:p w14:paraId="23AA8F10"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MUTHURI, A. K. (2023). </w:t>
      </w:r>
      <w:r w:rsidRPr="0079329A">
        <w:rPr>
          <w:rFonts w:ascii="Times New Roman" w:hAnsi="Times New Roman" w:cs="Times New Roman"/>
          <w:i/>
          <w:iCs/>
          <w:sz w:val="22"/>
          <w:szCs w:val="22"/>
        </w:rPr>
        <w:t xml:space="preserve">Determinants Of Implementation Of Competency-Based </w:t>
      </w:r>
      <w:r w:rsidRPr="0079329A">
        <w:rPr>
          <w:rFonts w:ascii="Times New Roman" w:hAnsi="Times New Roman" w:cs="Times New Roman"/>
          <w:i/>
          <w:iCs/>
          <w:sz w:val="22"/>
          <w:szCs w:val="22"/>
        </w:rPr>
        <w:lastRenderedPageBreak/>
        <w:t>Education And Training In Technical And Vocational Institutions In Meru County</w:t>
      </w:r>
      <w:r w:rsidRPr="0079329A">
        <w:rPr>
          <w:rFonts w:ascii="Times New Roman" w:hAnsi="Times New Roman" w:cs="Times New Roman"/>
          <w:sz w:val="22"/>
          <w:szCs w:val="22"/>
        </w:rPr>
        <w:t xml:space="preserve"> (Doctoral dissertation, University of Eldoret). </w:t>
      </w:r>
    </w:p>
    <w:p w14:paraId="613F1248"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 xml:space="preserve">Ringstead, C. S. (2025). Silos and the Impact on Communication and Collaboration in Division I College Athletic Departments (Doctoral dissertation, Concordia University Chicago). </w:t>
      </w:r>
    </w:p>
    <w:p w14:paraId="4BAD3A35"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Rogers, R. G. (2006). Mental practice and acquisition of motor skills: examples from sports training and surgical education. </w:t>
      </w:r>
      <w:r w:rsidRPr="0079329A">
        <w:rPr>
          <w:rFonts w:ascii="Times New Roman" w:hAnsi="Times New Roman" w:cs="Times New Roman"/>
          <w:i/>
          <w:iCs/>
          <w:sz w:val="22"/>
          <w:szCs w:val="22"/>
        </w:rPr>
        <w:t>Obstetrics and Gynecology Clinics</w:t>
      </w:r>
      <w:r w:rsidRPr="0079329A">
        <w:rPr>
          <w:rFonts w:ascii="Times New Roman" w:hAnsi="Times New Roman" w:cs="Times New Roman"/>
          <w:sz w:val="22"/>
          <w:szCs w:val="22"/>
        </w:rPr>
        <w:t>, </w:t>
      </w:r>
      <w:r w:rsidRPr="0079329A">
        <w:rPr>
          <w:rFonts w:ascii="Times New Roman" w:hAnsi="Times New Roman" w:cs="Times New Roman"/>
          <w:i/>
          <w:iCs/>
          <w:sz w:val="22"/>
          <w:szCs w:val="22"/>
        </w:rPr>
        <w:t>33</w:t>
      </w:r>
      <w:r w:rsidRPr="0079329A">
        <w:rPr>
          <w:rFonts w:ascii="Times New Roman" w:hAnsi="Times New Roman" w:cs="Times New Roman"/>
          <w:sz w:val="22"/>
          <w:szCs w:val="22"/>
        </w:rPr>
        <w:t>(2), 297-304.</w:t>
      </w:r>
    </w:p>
    <w:p w14:paraId="4F9EEC3A"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Sabba, A. (2025). The Role of Teaching Competencies in Achieving Learning Competencies in Physical Education and Sports in Secondary School: A Comparative Study Between Algeria and Qatar. </w:t>
      </w:r>
      <w:r w:rsidRPr="0079329A">
        <w:rPr>
          <w:rFonts w:ascii="Times New Roman" w:hAnsi="Times New Roman" w:cs="Times New Roman"/>
          <w:i/>
          <w:iCs/>
          <w:sz w:val="22"/>
          <w:szCs w:val="22"/>
        </w:rPr>
        <w:t>Futurity Education</w:t>
      </w:r>
      <w:r w:rsidRPr="0079329A">
        <w:rPr>
          <w:rFonts w:ascii="Times New Roman" w:hAnsi="Times New Roman" w:cs="Times New Roman"/>
          <w:sz w:val="22"/>
          <w:szCs w:val="22"/>
        </w:rPr>
        <w:t>, </w:t>
      </w:r>
      <w:r w:rsidRPr="0079329A">
        <w:rPr>
          <w:rFonts w:ascii="Times New Roman" w:hAnsi="Times New Roman" w:cs="Times New Roman"/>
          <w:i/>
          <w:iCs/>
          <w:sz w:val="22"/>
          <w:szCs w:val="22"/>
        </w:rPr>
        <w:t>5</w:t>
      </w:r>
      <w:r w:rsidRPr="0079329A">
        <w:rPr>
          <w:rFonts w:ascii="Times New Roman" w:hAnsi="Times New Roman" w:cs="Times New Roman"/>
          <w:sz w:val="22"/>
          <w:szCs w:val="22"/>
        </w:rPr>
        <w:t xml:space="preserve">(2), 4-23. </w:t>
      </w:r>
    </w:p>
    <w:p w14:paraId="1ED95945"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 xml:space="preserve">Sanders, B. (2018). Sport and the struggle for development: Conceptual approaches to sport for development and peace as an emerging field of evaluation-case studies from the public sector, academic sector and civil society led initiatives in South Africa. </w:t>
      </w:r>
    </w:p>
    <w:p w14:paraId="13426AA2"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Sangwa, S. (2025). Global Convergence Toward Competency-Based Education for the Knowledge Economy. </w:t>
      </w:r>
      <w:r w:rsidRPr="0079329A">
        <w:rPr>
          <w:rFonts w:ascii="Times New Roman" w:hAnsi="Times New Roman" w:cs="Times New Roman"/>
          <w:i/>
          <w:iCs/>
          <w:sz w:val="22"/>
          <w:szCs w:val="22"/>
        </w:rPr>
        <w:t>Open Journal of Transformative Education &amp; Lifelong Learning (ISSN: 3105-305X)</w:t>
      </w:r>
      <w:r w:rsidRPr="0079329A">
        <w:rPr>
          <w:rFonts w:ascii="Times New Roman" w:hAnsi="Times New Roman" w:cs="Times New Roman"/>
          <w:sz w:val="22"/>
          <w:szCs w:val="22"/>
        </w:rPr>
        <w:t>, </w:t>
      </w:r>
      <w:r w:rsidRPr="0079329A">
        <w:rPr>
          <w:rFonts w:ascii="Times New Roman" w:hAnsi="Times New Roman" w:cs="Times New Roman"/>
          <w:i/>
          <w:iCs/>
          <w:sz w:val="22"/>
          <w:szCs w:val="22"/>
        </w:rPr>
        <w:t>1</w:t>
      </w:r>
      <w:r w:rsidRPr="0079329A">
        <w:rPr>
          <w:rFonts w:ascii="Times New Roman" w:hAnsi="Times New Roman" w:cs="Times New Roman"/>
          <w:sz w:val="22"/>
          <w:szCs w:val="22"/>
        </w:rPr>
        <w:t>(2).</w:t>
      </w:r>
    </w:p>
    <w:p w14:paraId="76019606"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Schilling, J. F., &amp; Koetting, J. R. (2010). Underpinnings of competency-based education. </w:t>
      </w:r>
      <w:r w:rsidRPr="0079329A">
        <w:rPr>
          <w:rFonts w:ascii="Times New Roman" w:hAnsi="Times New Roman" w:cs="Times New Roman"/>
          <w:i/>
          <w:iCs/>
          <w:sz w:val="22"/>
          <w:szCs w:val="22"/>
        </w:rPr>
        <w:t>Athletic Training Education Journal</w:t>
      </w:r>
      <w:r w:rsidRPr="0079329A">
        <w:rPr>
          <w:rFonts w:ascii="Times New Roman" w:hAnsi="Times New Roman" w:cs="Times New Roman"/>
          <w:sz w:val="22"/>
          <w:szCs w:val="22"/>
        </w:rPr>
        <w:t>, </w:t>
      </w:r>
      <w:r w:rsidRPr="0079329A">
        <w:rPr>
          <w:rFonts w:ascii="Times New Roman" w:hAnsi="Times New Roman" w:cs="Times New Roman"/>
          <w:i/>
          <w:iCs/>
          <w:sz w:val="22"/>
          <w:szCs w:val="22"/>
        </w:rPr>
        <w:t>5</w:t>
      </w:r>
      <w:r w:rsidRPr="0079329A">
        <w:rPr>
          <w:rFonts w:ascii="Times New Roman" w:hAnsi="Times New Roman" w:cs="Times New Roman"/>
          <w:sz w:val="22"/>
          <w:szCs w:val="22"/>
        </w:rPr>
        <w:t xml:space="preserve">(4), 165-169. </w:t>
      </w:r>
    </w:p>
    <w:p w14:paraId="35E567D4"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Sleap, M., &amp; Reed, H. (2006). Views of sport science graduates regarding work skills developed at university. </w:t>
      </w:r>
      <w:r w:rsidRPr="0079329A">
        <w:rPr>
          <w:rFonts w:ascii="Times New Roman" w:hAnsi="Times New Roman" w:cs="Times New Roman"/>
          <w:i/>
          <w:iCs/>
          <w:sz w:val="22"/>
          <w:szCs w:val="22"/>
        </w:rPr>
        <w:t>Teaching in Higher Education</w:t>
      </w:r>
      <w:r w:rsidRPr="0079329A">
        <w:rPr>
          <w:rFonts w:ascii="Times New Roman" w:hAnsi="Times New Roman" w:cs="Times New Roman"/>
          <w:sz w:val="22"/>
          <w:szCs w:val="22"/>
        </w:rPr>
        <w:t>, </w:t>
      </w:r>
      <w:r w:rsidRPr="0079329A">
        <w:rPr>
          <w:rFonts w:ascii="Times New Roman" w:hAnsi="Times New Roman" w:cs="Times New Roman"/>
          <w:i/>
          <w:iCs/>
          <w:sz w:val="22"/>
          <w:szCs w:val="22"/>
        </w:rPr>
        <w:t>11</w:t>
      </w:r>
      <w:r w:rsidRPr="0079329A">
        <w:rPr>
          <w:rFonts w:ascii="Times New Roman" w:hAnsi="Times New Roman" w:cs="Times New Roman"/>
          <w:sz w:val="22"/>
          <w:szCs w:val="22"/>
        </w:rPr>
        <w:t>(1), 47-61.</w:t>
      </w:r>
    </w:p>
    <w:p w14:paraId="3CCD0F66"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Soh, B. L. (2023). </w:t>
      </w:r>
      <w:r w:rsidRPr="0079329A">
        <w:rPr>
          <w:rFonts w:ascii="Times New Roman" w:hAnsi="Times New Roman" w:cs="Times New Roman"/>
          <w:i/>
          <w:iCs/>
          <w:sz w:val="22"/>
          <w:szCs w:val="22"/>
        </w:rPr>
        <w:t>Transnational Higher Education in Singapore-Relevance and Sustainability: Can transnational education programmes in partnership with Private Education Institutions continue to be relevant and sustainable in Singapore with the government's drive with SkillsFuture Initiatives?</w:t>
      </w:r>
      <w:r w:rsidRPr="0079329A">
        <w:rPr>
          <w:rFonts w:ascii="Times New Roman" w:hAnsi="Times New Roman" w:cs="Times New Roman"/>
          <w:sz w:val="22"/>
          <w:szCs w:val="22"/>
        </w:rPr>
        <w:t> (Doctoral dissertation, Durham University).</w:t>
      </w:r>
    </w:p>
    <w:p w14:paraId="21D49EAA"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Staurowsky, E. J., Watanabe, N., Cooper, J., Cooky, C., Lough, N., Paule-Koba, A., ... &amp; Snyder, M. (2020). Chasing Equity: The Triumphs, Challenges, and Opportunities in Sports for Girls and Women. </w:t>
      </w:r>
      <w:r w:rsidRPr="0079329A">
        <w:rPr>
          <w:rFonts w:ascii="Times New Roman" w:hAnsi="Times New Roman" w:cs="Times New Roman"/>
          <w:i/>
          <w:iCs/>
          <w:sz w:val="22"/>
          <w:szCs w:val="22"/>
        </w:rPr>
        <w:t>Women's Sports Foundation</w:t>
      </w:r>
      <w:r w:rsidRPr="0079329A">
        <w:rPr>
          <w:rFonts w:ascii="Times New Roman" w:hAnsi="Times New Roman" w:cs="Times New Roman"/>
          <w:sz w:val="22"/>
          <w:szCs w:val="22"/>
        </w:rPr>
        <w:t>.</w:t>
      </w:r>
    </w:p>
    <w:p w14:paraId="74D794BB"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Tadesse, T. (2021). The Effects of Engagement on Learning Outcome among Undergraduate Sports Science Students in Ethiopia. </w:t>
      </w:r>
      <w:r w:rsidRPr="0079329A">
        <w:rPr>
          <w:rFonts w:ascii="Times New Roman" w:hAnsi="Times New Roman" w:cs="Times New Roman"/>
          <w:i/>
          <w:iCs/>
          <w:sz w:val="22"/>
          <w:szCs w:val="22"/>
        </w:rPr>
        <w:t>ETHIOPIAN JOURNAL OF SPORT SCIENCE (EJSS)</w:t>
      </w:r>
      <w:r w:rsidRPr="0079329A">
        <w:rPr>
          <w:rFonts w:ascii="Times New Roman" w:hAnsi="Times New Roman" w:cs="Times New Roman"/>
          <w:sz w:val="22"/>
          <w:szCs w:val="22"/>
        </w:rPr>
        <w:t>, </w:t>
      </w:r>
      <w:r w:rsidRPr="0079329A">
        <w:rPr>
          <w:rFonts w:ascii="Times New Roman" w:hAnsi="Times New Roman" w:cs="Times New Roman"/>
          <w:i/>
          <w:iCs/>
          <w:sz w:val="22"/>
          <w:szCs w:val="22"/>
        </w:rPr>
        <w:t>2</w:t>
      </w:r>
      <w:r w:rsidRPr="0079329A">
        <w:rPr>
          <w:rFonts w:ascii="Times New Roman" w:hAnsi="Times New Roman" w:cs="Times New Roman"/>
          <w:sz w:val="22"/>
          <w:szCs w:val="22"/>
        </w:rPr>
        <w:t xml:space="preserve">, 95-108. </w:t>
      </w:r>
    </w:p>
    <w:p w14:paraId="0D71B3E3"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Temirkhanov, Y., Iskakov, T., Iralina, M., Zhumagulov, A., Atagulova, G., &amp; Boztayeva, S. (2024). Investigating the conception of collaborative learning (CL) and student engagement in the acquisition of practical skills (SEPSA) among prospective physical education and sports students. </w:t>
      </w:r>
      <w:r w:rsidRPr="0079329A">
        <w:rPr>
          <w:rFonts w:ascii="Times New Roman" w:hAnsi="Times New Roman" w:cs="Times New Roman"/>
          <w:i/>
          <w:iCs/>
          <w:sz w:val="22"/>
          <w:szCs w:val="22"/>
        </w:rPr>
        <w:t>Plos one</w:t>
      </w:r>
      <w:r w:rsidRPr="0079329A">
        <w:rPr>
          <w:rFonts w:ascii="Times New Roman" w:hAnsi="Times New Roman" w:cs="Times New Roman"/>
          <w:sz w:val="22"/>
          <w:szCs w:val="22"/>
        </w:rPr>
        <w:t>, </w:t>
      </w:r>
      <w:r w:rsidRPr="0079329A">
        <w:rPr>
          <w:rFonts w:ascii="Times New Roman" w:hAnsi="Times New Roman" w:cs="Times New Roman"/>
          <w:i/>
          <w:iCs/>
          <w:sz w:val="22"/>
          <w:szCs w:val="22"/>
        </w:rPr>
        <w:t>19</w:t>
      </w:r>
      <w:r w:rsidRPr="0079329A">
        <w:rPr>
          <w:rFonts w:ascii="Times New Roman" w:hAnsi="Times New Roman" w:cs="Times New Roman"/>
          <w:sz w:val="22"/>
          <w:szCs w:val="22"/>
        </w:rPr>
        <w:t>(2), e0288568.</w:t>
      </w:r>
    </w:p>
    <w:p w14:paraId="5E0EB8F2"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Tumuheise, A., Ssempala, F., Rwends, F. T., &amp; Nachuha, S. (2023). Factors affecting implementation of competence based curriculum in selected Secondary Schools of Kabale Municipality-Kabale District. </w:t>
      </w:r>
      <w:r w:rsidRPr="0079329A">
        <w:rPr>
          <w:rFonts w:ascii="Times New Roman" w:hAnsi="Times New Roman" w:cs="Times New Roman"/>
          <w:i/>
          <w:iCs/>
          <w:sz w:val="22"/>
          <w:szCs w:val="22"/>
        </w:rPr>
        <w:t>International Journal of Educational Policy Research and Review</w:t>
      </w:r>
      <w:r w:rsidRPr="0079329A">
        <w:rPr>
          <w:rFonts w:ascii="Times New Roman" w:hAnsi="Times New Roman" w:cs="Times New Roman"/>
          <w:sz w:val="22"/>
          <w:szCs w:val="22"/>
        </w:rPr>
        <w:t>, </w:t>
      </w:r>
      <w:r w:rsidRPr="0079329A">
        <w:rPr>
          <w:rFonts w:ascii="Times New Roman" w:hAnsi="Times New Roman" w:cs="Times New Roman"/>
          <w:i/>
          <w:iCs/>
          <w:sz w:val="22"/>
          <w:szCs w:val="22"/>
        </w:rPr>
        <w:t>10</w:t>
      </w:r>
      <w:r w:rsidRPr="0079329A">
        <w:rPr>
          <w:rFonts w:ascii="Times New Roman" w:hAnsi="Times New Roman" w:cs="Times New Roman"/>
          <w:sz w:val="22"/>
          <w:szCs w:val="22"/>
        </w:rPr>
        <w:t xml:space="preserve">(2), 94. </w:t>
      </w:r>
    </w:p>
    <w:p w14:paraId="75D9FF91"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 xml:space="preserve">Williams, J., &amp; Colles, C. (2009). Assessment of student learning outcomes: The role of the internship portfolio in sport management assessment. Sport Management Education Journal, 3(1), 47-65. </w:t>
      </w:r>
    </w:p>
    <w:p w14:paraId="472E4DD8"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lastRenderedPageBreak/>
        <w:t>Ушкаренко, Ю. В., Соловйов, А. І., &amp; Глухов, І. Г. (2024). ANALYSIS OF SOURCES OF PRACTICAL SKILLS ACQUISITION BY SPORTS MANAGERS. </w:t>
      </w:r>
      <w:r w:rsidRPr="0079329A">
        <w:rPr>
          <w:rFonts w:ascii="Times New Roman" w:hAnsi="Times New Roman" w:cs="Times New Roman"/>
          <w:i/>
          <w:iCs/>
          <w:sz w:val="22"/>
          <w:szCs w:val="22"/>
        </w:rPr>
        <w:t>Scientific Bulletin of Kherson State University. Series Economic Sciences</w:t>
      </w:r>
      <w:r w:rsidRPr="0079329A">
        <w:rPr>
          <w:rFonts w:ascii="Times New Roman" w:hAnsi="Times New Roman" w:cs="Times New Roman"/>
          <w:sz w:val="22"/>
          <w:szCs w:val="22"/>
        </w:rPr>
        <w:t>, (52), 5-10.</w:t>
      </w:r>
    </w:p>
    <w:p w14:paraId="566D2E29" w14:textId="77777777" w:rsidR="0079329A" w:rsidRPr="0079329A" w:rsidRDefault="0079329A" w:rsidP="0079329A">
      <w:pPr>
        <w:spacing w:before="100" w:after="100" w:line="276" w:lineRule="auto"/>
        <w:ind w:left="720" w:hanging="720"/>
        <w:rPr>
          <w:rFonts w:ascii="Times New Roman" w:hAnsi="Times New Roman" w:cs="Times New Roman"/>
          <w:sz w:val="22"/>
          <w:szCs w:val="22"/>
        </w:rPr>
      </w:pPr>
      <w:r w:rsidRPr="0079329A">
        <w:rPr>
          <w:rFonts w:ascii="Times New Roman" w:hAnsi="Times New Roman" w:cs="Times New Roman"/>
          <w:sz w:val="22"/>
          <w:szCs w:val="22"/>
        </w:rPr>
        <w:t>Zhuang, T., Oh, M., &amp; Kimura, K. (2025). Modernizing higher education with industrial forces in Asia: a comparative study of discourse of university-industry collaboration in China, Japan and Singapore: Modernizing higher education with industrial forces in Asia: T Zhuang et al. </w:t>
      </w:r>
      <w:r w:rsidRPr="0079329A">
        <w:rPr>
          <w:rFonts w:ascii="Times New Roman" w:hAnsi="Times New Roman" w:cs="Times New Roman"/>
          <w:i/>
          <w:iCs/>
          <w:sz w:val="22"/>
          <w:szCs w:val="22"/>
        </w:rPr>
        <w:t>Asia Pacific Education Review</w:t>
      </w:r>
      <w:r w:rsidRPr="0079329A">
        <w:rPr>
          <w:rFonts w:ascii="Times New Roman" w:hAnsi="Times New Roman" w:cs="Times New Roman"/>
          <w:sz w:val="22"/>
          <w:szCs w:val="22"/>
        </w:rPr>
        <w:t>, </w:t>
      </w:r>
      <w:r w:rsidRPr="0079329A">
        <w:rPr>
          <w:rFonts w:ascii="Times New Roman" w:hAnsi="Times New Roman" w:cs="Times New Roman"/>
          <w:i/>
          <w:iCs/>
          <w:sz w:val="22"/>
          <w:szCs w:val="22"/>
        </w:rPr>
        <w:t>26</w:t>
      </w:r>
      <w:r w:rsidRPr="0079329A">
        <w:rPr>
          <w:rFonts w:ascii="Times New Roman" w:hAnsi="Times New Roman" w:cs="Times New Roman"/>
          <w:sz w:val="22"/>
          <w:szCs w:val="22"/>
        </w:rPr>
        <w:t>(1), 195.</w:t>
      </w:r>
    </w:p>
    <w:p w14:paraId="4D0EC603" w14:textId="6BAD3FAD" w:rsidR="00C33641" w:rsidRPr="0079329A" w:rsidRDefault="00C33641" w:rsidP="0079329A">
      <w:pPr>
        <w:spacing w:line="276" w:lineRule="auto"/>
        <w:rPr>
          <w:rFonts w:ascii="Times New Roman" w:hAnsi="Times New Roman" w:cs="Times New Roman"/>
          <w:sz w:val="22"/>
          <w:szCs w:val="22"/>
        </w:rPr>
      </w:pPr>
    </w:p>
    <w:sectPr w:rsidR="00C33641" w:rsidRPr="0079329A" w:rsidSect="0079329A">
      <w:type w:val="continuous"/>
      <w:pgSz w:w="12240" w:h="15840"/>
      <w:pgMar w:top="1571" w:right="1435" w:bottom="1501" w:left="1440" w:header="720" w:footer="720" w:gutter="0"/>
      <w:cols w:num="2" w:space="4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4E1A4" w14:textId="77777777" w:rsidR="007C1B42" w:rsidRDefault="007C1B42">
      <w:pPr>
        <w:spacing w:after="0" w:line="240" w:lineRule="auto"/>
      </w:pPr>
      <w:r>
        <w:separator/>
      </w:r>
    </w:p>
  </w:endnote>
  <w:endnote w:type="continuationSeparator" w:id="0">
    <w:p w14:paraId="42D8C569" w14:textId="77777777" w:rsidR="007C1B42" w:rsidRDefault="007C1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59A2" w14:textId="77777777" w:rsidR="00C33641" w:rsidRDefault="00000000">
    <w:pPr>
      <w:spacing w:after="0" w:line="259" w:lineRule="auto"/>
      <w:ind w:left="0" w:right="-921" w:firstLine="0"/>
      <w:jc w:val="right"/>
    </w:pPr>
    <w:r>
      <w:rPr>
        <w:noProof/>
        <w:sz w:val="22"/>
      </w:rPr>
      <mc:AlternateContent>
        <mc:Choice Requires="wpg">
          <w:drawing>
            <wp:anchor distT="0" distB="0" distL="114300" distR="114300" simplePos="0" relativeHeight="251661312" behindDoc="0" locked="0" layoutInCell="1" allowOverlap="1" wp14:anchorId="56B3F7E7" wp14:editId="513A4FFB">
              <wp:simplePos x="0" y="0"/>
              <wp:positionH relativeFrom="page">
                <wp:posOffset>6844665</wp:posOffset>
              </wp:positionH>
              <wp:positionV relativeFrom="page">
                <wp:posOffset>9383395</wp:posOffset>
              </wp:positionV>
              <wp:extent cx="548640" cy="237490"/>
              <wp:effectExtent l="0" t="0" r="0" b="0"/>
              <wp:wrapSquare wrapText="bothSides"/>
              <wp:docPr id="39026" name="Group 39026"/>
              <wp:cNvGraphicFramePr/>
              <a:graphic xmlns:a="http://schemas.openxmlformats.org/drawingml/2006/main">
                <a:graphicData uri="http://schemas.microsoft.com/office/word/2010/wordprocessingGroup">
                  <wpg:wgp>
                    <wpg:cNvGrpSpPr/>
                    <wpg:grpSpPr>
                      <a:xfrm>
                        <a:off x="0" y="0"/>
                        <a:ext cx="548640" cy="237490"/>
                        <a:chOff x="0" y="0"/>
                        <a:chExt cx="548640" cy="237490"/>
                      </a:xfrm>
                    </wpg:grpSpPr>
                    <wps:wsp>
                      <wps:cNvPr id="39027" name="Shape 39027"/>
                      <wps:cNvSpPr/>
                      <wps:spPr>
                        <a:xfrm>
                          <a:off x="0" y="0"/>
                          <a:ext cx="548640" cy="237490"/>
                        </a:xfrm>
                        <a:custGeom>
                          <a:avLst/>
                          <a:gdLst/>
                          <a:ahLst/>
                          <a:cxnLst/>
                          <a:rect l="0" t="0" r="0" b="0"/>
                          <a:pathLst>
                            <a:path w="548640" h="237490">
                              <a:moveTo>
                                <a:pt x="0" y="197904"/>
                              </a:moveTo>
                              <a:cubicBezTo>
                                <a:pt x="0" y="219761"/>
                                <a:pt x="17780" y="237490"/>
                                <a:pt x="39624" y="237490"/>
                              </a:cubicBezTo>
                              <a:lnTo>
                                <a:pt x="509016" y="237490"/>
                              </a:lnTo>
                              <a:cubicBezTo>
                                <a:pt x="530860" y="237490"/>
                                <a:pt x="548640" y="219761"/>
                                <a:pt x="548640" y="197904"/>
                              </a:cubicBezTo>
                              <a:lnTo>
                                <a:pt x="548640" y="39586"/>
                              </a:lnTo>
                              <a:cubicBezTo>
                                <a:pt x="548640" y="17729"/>
                                <a:pt x="530860" y="0"/>
                                <a:pt x="509016" y="0"/>
                              </a:cubicBezTo>
                              <a:lnTo>
                                <a:pt x="39624" y="0"/>
                              </a:lnTo>
                              <a:cubicBezTo>
                                <a:pt x="17780" y="0"/>
                                <a:pt x="0" y="17729"/>
                                <a:pt x="0" y="39586"/>
                              </a:cubicBezTo>
                              <a:close/>
                            </a:path>
                          </a:pathLst>
                        </a:custGeom>
                        <a:ln w="9525" cap="rnd">
                          <a:round/>
                        </a:ln>
                      </wps:spPr>
                      <wps:style>
                        <a:lnRef idx="1">
                          <a:srgbClr val="E4BE84"/>
                        </a:lnRef>
                        <a:fillRef idx="0">
                          <a:srgbClr val="000000">
                            <a:alpha val="0"/>
                          </a:srgbClr>
                        </a:fillRef>
                        <a:effectRef idx="0">
                          <a:scrgbClr r="0" g="0" b="0"/>
                        </a:effectRef>
                        <a:fontRef idx="none"/>
                      </wps:style>
                      <wps:bodyPr/>
                    </wps:wsp>
                    <wps:wsp>
                      <wps:cNvPr id="39028" name="Shape 39028"/>
                      <wps:cNvSpPr/>
                      <wps:spPr>
                        <a:xfrm>
                          <a:off x="22860" y="24765"/>
                          <a:ext cx="502920" cy="187960"/>
                        </a:xfrm>
                        <a:custGeom>
                          <a:avLst/>
                          <a:gdLst/>
                          <a:ahLst/>
                          <a:cxnLst/>
                          <a:rect l="0" t="0" r="0" b="0"/>
                          <a:pathLst>
                            <a:path w="502920" h="187960">
                              <a:moveTo>
                                <a:pt x="31369" y="0"/>
                              </a:moveTo>
                              <a:lnTo>
                                <a:pt x="471551" y="0"/>
                              </a:lnTo>
                              <a:cubicBezTo>
                                <a:pt x="488950" y="0"/>
                                <a:pt x="502920" y="14021"/>
                                <a:pt x="502920" y="31331"/>
                              </a:cubicBezTo>
                              <a:lnTo>
                                <a:pt x="502920" y="156629"/>
                              </a:lnTo>
                              <a:cubicBezTo>
                                <a:pt x="502920" y="173927"/>
                                <a:pt x="488950" y="187960"/>
                                <a:pt x="471551" y="187960"/>
                              </a:cubicBezTo>
                              <a:lnTo>
                                <a:pt x="31369" y="187960"/>
                              </a:lnTo>
                              <a:cubicBezTo>
                                <a:pt x="13970" y="187960"/>
                                <a:pt x="0" y="173927"/>
                                <a:pt x="0" y="156629"/>
                              </a:cubicBezTo>
                              <a:lnTo>
                                <a:pt x="0" y="31331"/>
                              </a:lnTo>
                              <a:cubicBezTo>
                                <a:pt x="0" y="14021"/>
                                <a:pt x="13970" y="0"/>
                                <a:pt x="31369" y="0"/>
                              </a:cubicBezTo>
                              <a:close/>
                            </a:path>
                          </a:pathLst>
                        </a:custGeom>
                        <a:ln w="0" cap="rnd">
                          <a:round/>
                        </a:ln>
                      </wps:spPr>
                      <wps:style>
                        <a:lnRef idx="0">
                          <a:srgbClr val="000000">
                            <a:alpha val="0"/>
                          </a:srgbClr>
                        </a:lnRef>
                        <a:fillRef idx="1">
                          <a:srgbClr val="E4BE84"/>
                        </a:fillRef>
                        <a:effectRef idx="0">
                          <a:scrgbClr r="0" g="0" b="0"/>
                        </a:effectRef>
                        <a:fontRef idx="none"/>
                      </wps:style>
                      <wps:bodyPr/>
                    </wps:wsp>
                    <wps:wsp>
                      <wps:cNvPr id="39029" name="Shape 39029"/>
                      <wps:cNvSpPr/>
                      <wps:spPr>
                        <a:xfrm>
                          <a:off x="22860" y="24765"/>
                          <a:ext cx="502920" cy="187960"/>
                        </a:xfrm>
                        <a:custGeom>
                          <a:avLst/>
                          <a:gdLst/>
                          <a:ahLst/>
                          <a:cxnLst/>
                          <a:rect l="0" t="0" r="0" b="0"/>
                          <a:pathLst>
                            <a:path w="502920" h="187960">
                              <a:moveTo>
                                <a:pt x="0" y="156629"/>
                              </a:moveTo>
                              <a:cubicBezTo>
                                <a:pt x="0" y="173927"/>
                                <a:pt x="13970" y="187960"/>
                                <a:pt x="31369" y="187960"/>
                              </a:cubicBezTo>
                              <a:lnTo>
                                <a:pt x="471551" y="187960"/>
                              </a:lnTo>
                              <a:cubicBezTo>
                                <a:pt x="488950" y="187960"/>
                                <a:pt x="502920" y="173927"/>
                                <a:pt x="502920" y="156629"/>
                              </a:cubicBezTo>
                              <a:lnTo>
                                <a:pt x="502920" y="31331"/>
                              </a:lnTo>
                              <a:cubicBezTo>
                                <a:pt x="502920" y="14021"/>
                                <a:pt x="488950" y="0"/>
                                <a:pt x="471551" y="0"/>
                              </a:cubicBezTo>
                              <a:lnTo>
                                <a:pt x="31369" y="0"/>
                              </a:lnTo>
                              <a:cubicBezTo>
                                <a:pt x="13970" y="0"/>
                                <a:pt x="0" y="14021"/>
                                <a:pt x="0" y="31331"/>
                              </a:cubicBezTo>
                              <a:close/>
                            </a:path>
                          </a:pathLst>
                        </a:custGeom>
                        <a:ln w="9525" cap="rnd">
                          <a:round/>
                        </a:ln>
                      </wps:spPr>
                      <wps:style>
                        <a:lnRef idx="1">
                          <a:srgbClr val="E4BE84"/>
                        </a:lnRef>
                        <a:fillRef idx="0">
                          <a:srgbClr val="000000">
                            <a:alpha val="0"/>
                          </a:srgbClr>
                        </a:fillRef>
                        <a:effectRef idx="0">
                          <a:scrgbClr r="0" g="0" b="0"/>
                        </a:effectRef>
                        <a:fontRef idx="none"/>
                      </wps:style>
                      <wps:bodyPr/>
                    </wps:wsp>
                    <wps:wsp>
                      <wps:cNvPr id="39030" name="Rectangle 39030"/>
                      <wps:cNvSpPr/>
                      <wps:spPr>
                        <a:xfrm>
                          <a:off x="75565" y="42088"/>
                          <a:ext cx="101346" cy="224380"/>
                        </a:xfrm>
                        <a:prstGeom prst="rect">
                          <a:avLst/>
                        </a:prstGeom>
                        <a:ln>
                          <a:noFill/>
                        </a:ln>
                      </wps:spPr>
                      <wps:txbx>
                        <w:txbxContent>
                          <w:p w14:paraId="78DBE7B5" w14:textId="77777777" w:rsidR="00C33641" w:rsidRDefault="00000000">
                            <w:pPr>
                              <w:spacing w:after="160" w:line="259"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color w:val="FFFFFF"/>
                              </w:rPr>
                              <w:t>1</w:t>
                            </w:r>
                            <w:r>
                              <w:rPr>
                                <w:rFonts w:ascii="Times New Roman" w:eastAsia="Times New Roman" w:hAnsi="Times New Roman" w:cs="Times New Roman"/>
                                <w:b/>
                                <w:color w:val="FFFFFF"/>
                              </w:rPr>
                              <w:fldChar w:fldCharType="end"/>
                            </w:r>
                          </w:p>
                        </w:txbxContent>
                      </wps:txbx>
                      <wps:bodyPr horzOverflow="overflow" vert="horz" lIns="0" tIns="0" rIns="0" bIns="0" rtlCol="0">
                        <a:noAutofit/>
                      </wps:bodyPr>
                    </wps:wsp>
                    <wps:wsp>
                      <wps:cNvPr id="39031" name="Rectangle 39031"/>
                      <wps:cNvSpPr/>
                      <wps:spPr>
                        <a:xfrm>
                          <a:off x="151765" y="42088"/>
                          <a:ext cx="50673" cy="224380"/>
                        </a:xfrm>
                        <a:prstGeom prst="rect">
                          <a:avLst/>
                        </a:prstGeom>
                        <a:ln>
                          <a:noFill/>
                        </a:ln>
                      </wps:spPr>
                      <wps:txbx>
                        <w:txbxContent>
                          <w:p w14:paraId="05F3BAEC" w14:textId="77777777" w:rsidR="00C33641" w:rsidRDefault="00000000">
                            <w:pPr>
                              <w:spacing w:after="160" w:line="259" w:lineRule="auto"/>
                              <w:ind w:left="0" w:right="0" w:firstLine="0"/>
                              <w:jc w:val="left"/>
                            </w:pPr>
                            <w:r>
                              <w:rPr>
                                <w:rFonts w:ascii="Times New Roman" w:eastAsia="Times New Roman" w:hAnsi="Times New Roman" w:cs="Times New Roman"/>
                                <w:color w:val="FFFFFF"/>
                              </w:rPr>
                              <w:t xml:space="preserve"> </w:t>
                            </w:r>
                          </w:p>
                        </w:txbxContent>
                      </wps:txbx>
                      <wps:bodyPr horzOverflow="overflow" vert="horz" lIns="0" tIns="0" rIns="0" bIns="0" rtlCol="0">
                        <a:noAutofit/>
                      </wps:bodyPr>
                    </wps:wsp>
                  </wpg:wgp>
                </a:graphicData>
              </a:graphic>
            </wp:anchor>
          </w:drawing>
        </mc:Choice>
        <mc:Fallback>
          <w:pict>
            <v:group w14:anchorId="56B3F7E7" id="Group 39026" o:spid="_x0000_s1026" style="position:absolute;left:0;text-align:left;margin-left:538.95pt;margin-top:738.85pt;width:43.2pt;height:18.7pt;z-index:251661312;mso-position-horizontal-relative:page;mso-position-vertical-relative:page" coordsize="5486,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U5P8AQAAOoVAAAOAAAAZHJzL2Uyb0RvYy54bWzsWNtu2zgQfV9g/0HQ+8a6X4w4xbZNiwUW&#10;bdF2P4CWKUuALAqUEjv9+h0OSVG0XDtpgHSBbh4ciuQMh2dmDjm8fnXYNc495X3N2pXrX3muQ9uC&#10;bep2u3L/+fruj8x1+oG0G9Kwlq7cB9q7r25+/+163y1pwCrWbCh3QEnbL/fdyq2GoVsuFn1R0R3p&#10;r1hHWxgsGd+RAT75drHhZA/ad80i8LxksWd803FW0L6H3rdy0L1B/WVJi+FjWfZ0cJqVC7YN+Mvx&#10;dy1+FzfXZLnlpKvqQplBfsCKHalbWHRU9ZYMxLnj9UzVri4461k5XBVst2BlWRcU9wC78b2j3bzn&#10;7K7DvWyX+203wgTQHuH0w2qLD/fvefel+8QBiX23BSzwS+zlUPKd+A9WOgeE7GGEjB4Gp4DOOMqS&#10;CIAtYCgI0yhXkBYV4D6TKqrbs3ILvejCMmXfQXD0Zv/98/b/pSIdRVj7Jez/E3fqzcoNcy9IXacl&#10;OwhTnOLILgQGZ44w9cseEHseRuNeybK464f3lCHY5P7vfpBRudEtUulWcWh1k0Nsn43qjgxCTlgp&#10;ms7eeKsanSVGd+yefmU4bzAu8/M09yKRIGCpmVLcreviNf02FwhAIvFlRnWoyE/TDGLjKDTkWJgn&#10;QXQ0BgvZ6pt2ukzs5Z6fzGX0LFtWLhOHXpZ8zwYdvMLAmfGTQQsKexW9tlpNZQMoDPM4SxR6epIt&#10;OhMBuIJ8it/EeJVWSsYAgf0XcDNQ69nnDDJOs9aUGM5MlN3TzdqbLBrWUxlDIggxmMbARLtN6Det&#10;iNE8DmLgEwKHAW83SKpAg+1GKmlaUCH4QCYgtoaHhorobdrPtIRcBlryUa7n2/Wbhjv3BNj/Nnp9&#10;m+l4xqlCpqybZpTy5lIe/mE/abqKSF0aR7UA7kppEkopHjzHagtljTx9gMMBO30GARKjEJrF2mGU&#10;b+HkxEia7FY012zzgLyNgABBCgZ/IaaEY/2YKTNhozAAOPUyUwbBmJdRmsQy7MdTxQvyAOARp4qf&#10;pTlksHS/PpJejjGVJcCYyhDhHkOHMiFDP0xyJCZtqJmhc03OjFI/jn1rqp5gJ46anmV5LHPMysZY&#10;mSXwibzAYt3JGNgV4tgFhpiI+HGSSBYCmXOmTWXSMIezE1wERw0yf2TsNv4bBw0GZvCChQZhS+Sc&#10;gX6YpxI6I6JNUP0zu1X/FAPbLXpBuU05fYqyHrelprNn/jJ2Wi42O9YxZet8OrOCtc+k1WcR5GnO&#10;vcTUvxatAokc0yreCH5NWj2RjYZX7WywMmyW1ibF5lRg8syMXSCjCYlbMueS/ywjnuXS6eBjiWki&#10;81h2mojMKGpivMVREyBOk5RGRLrHQK1n6/FTzjROs9ZUQXF86s2p2Nb5dLr8/yIq7sf/8YtoCH6X&#10;jPkZ6mHSbhsqynbofsplNI1juIKKQjUKvAwvsnAhV08VvueHEZSd+MQRRCGUtPZltOOyhnFEA6oW&#10;MEQWDKqUBzbRU8QNSZQwZNmyd1B6SEUniprhsD6oHchrvlMx/u0jvLSVDYMqCUp2bLni8Q0WFaOu&#10;0/zVwtsIQDLoBteNtW7woXnD8DVMmvHn3cDKWjw5YBkhV1MfL1pTwE31pCvxAvvoA9CPfVFOfMeX&#10;sZek4U9wJb4wjRv52R7F1zV4UMS6VT1+ihfL6TdGgHmivfkXAAD//wMAUEsDBBQABgAIAAAAIQAK&#10;eO++4wAAAA8BAAAPAAAAZHJzL2Rvd25yZXYueG1sTI9PS8NAEMXvgt9hGcGb3cT+SY3ZlFLUUxFs&#10;heJtm50modnZkN0m6bd3elLm8h7zePObbDXaRvTY+dqRgngSgUAqnKmpVPC9f39agvBBk9GNI1Rw&#10;RQ+r/P4u06lxA31hvwul4BLyqVZQhdCmUvqiQqv9xLVIvDu5zurAtiul6fTA5baRz1G0kFbXxBcq&#10;3eKmwuK8u1gFH4Me1tP4rd+eT5vrz37+edjGqNTjw7h+BRFwDH9huOEzOuTMdHQXMl407KMkeeEs&#10;q1mSJCBumXgxm4I4sprzgMwz+f+P/BcAAP//AwBQSwECLQAUAAYACAAAACEAtoM4kv4AAADhAQAA&#10;EwAAAAAAAAAAAAAAAAAAAAAAW0NvbnRlbnRfVHlwZXNdLnhtbFBLAQItABQABgAIAAAAIQA4/SH/&#10;1gAAAJQBAAALAAAAAAAAAAAAAAAAAC8BAABfcmVscy8ucmVsc1BLAQItABQABgAIAAAAIQCkaU5P&#10;8AQAAOoVAAAOAAAAAAAAAAAAAAAAAC4CAABkcnMvZTJvRG9jLnhtbFBLAQItABQABgAIAAAAIQAK&#10;eO++4wAAAA8BAAAPAAAAAAAAAAAAAAAAAEoHAABkcnMvZG93bnJldi54bWxQSwUGAAAAAAQABADz&#10;AAAAWggAAAAA&#10;">
              <v:shape id="Shape 39027" o:spid="_x0000_s1027" style="position:absolute;width:5486;height:2374;visibility:visible;mso-wrap-style:square;v-text-anchor:top" coordsize="54864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42xxAAAAN4AAAAPAAAAZHJzL2Rvd25yZXYueG1sRI9LiwIx&#10;EITvwv6H0II3TXygu6NRZGFB2IP4ujeTdmZ00gmTrI7/fiMIHouq+oparFpbixs1oXKsYThQIIhz&#10;ZyouNBwPP/1PECEiG6wdk4YHBVgtPzoLzIy7845u+1iIBOGQoYYyRp9JGfKSLIaB88TJO7vGYkyy&#10;KaRp8J7gtpYjpabSYsVpoURP3yXl1/2f1WAuvtiqnZ2E9ek3Hxt/vZw2R6173XY9BxGpje/wq70x&#10;GsZfajSD5510BeTyHwAA//8DAFBLAQItABQABgAIAAAAIQDb4fbL7gAAAIUBAAATAAAAAAAAAAAA&#10;AAAAAAAAAABbQ29udGVudF9UeXBlc10ueG1sUEsBAi0AFAAGAAgAAAAhAFr0LFu/AAAAFQEAAAsA&#10;AAAAAAAAAAAAAAAAHwEAAF9yZWxzLy5yZWxzUEsBAi0AFAAGAAgAAAAhABIbjbHEAAAA3gAAAA8A&#10;AAAAAAAAAAAAAAAABwIAAGRycy9kb3ducmV2LnhtbFBLBQYAAAAAAwADALcAAAD4AgAAAAA=&#10;" path="m,197904v,21857,17780,39586,39624,39586l509016,237490v21844,,39624,-17729,39624,-39586l548640,39586c548640,17729,530860,,509016,l39624,c17780,,,17729,,39586l,197904xe" filled="f" strokecolor="#e4be84">
                <v:stroke endcap="round"/>
                <v:path arrowok="t" textboxrect="0,0,548640,237490"/>
              </v:shape>
              <v:shape id="Shape 39028" o:spid="_x0000_s1028" style="position:absolute;left:228;top:247;width:5029;height:1880;visibility:visible;mso-wrap-style:square;v-text-anchor:top" coordsize="50292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UPUwwAAAN4AAAAPAAAAZHJzL2Rvd25yZXYueG1sRE9NawIx&#10;EL0X+h/CCL3VrFuQdjWKiAVBSmvqxduwGTeLm8myiRr/fXMQeny87/kyuU5caQitZwWTcQGCuPam&#10;5UbB4ffz9R1EiMgGO8+k4E4BlovnpzlWxt94T1cdG5FDOFSowMbYV1KG2pLDMPY9ceZOfnAYMxwa&#10;aQa85XDXybIoptJhy7nBYk9rS/VZX5yC3XfJE73b/Bz1uV+nu7ZffpOUehml1QxEpBT/xQ/31ih4&#10;+yjKvDffyVdALv4AAAD//wMAUEsBAi0AFAAGAAgAAAAhANvh9svuAAAAhQEAABMAAAAAAAAAAAAA&#10;AAAAAAAAAFtDb250ZW50X1R5cGVzXS54bWxQSwECLQAUAAYACAAAACEAWvQsW78AAAAVAQAACwAA&#10;AAAAAAAAAAAAAAAfAQAAX3JlbHMvLnJlbHNQSwECLQAUAAYACAAAACEAxFFD1MMAAADeAAAADwAA&#10;AAAAAAAAAAAAAAAHAgAAZHJzL2Rvd25yZXYueG1sUEsFBgAAAAADAAMAtwAAAPcCAAAAAA==&#10;" path="m31369,l471551,v17399,,31369,14021,31369,31331l502920,156629v,17298,-13970,31331,-31369,31331l31369,187960c13970,187960,,173927,,156629l,31331c,14021,13970,,31369,xe" fillcolor="#e4be84" stroked="f" strokeweight="0">
                <v:stroke endcap="round"/>
                <v:path arrowok="t" textboxrect="0,0,502920,187960"/>
              </v:shape>
              <v:shape id="Shape 39029" o:spid="_x0000_s1029" style="position:absolute;left:228;top:247;width:5029;height:1880;visibility:visible;mso-wrap-style:square;v-text-anchor:top" coordsize="50292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aKUxwAAAN4AAAAPAAAAZHJzL2Rvd25yZXYueG1sRI9Ba8JA&#10;FITvQv/D8gredGMEMdFVSotgK4rRXLw9ss8kNPs2ZLea/vtuQfA4zMw3zHLdm0bcqHO1ZQWTcQSC&#10;uLC65lJBft6M5iCcR9bYWCYFv+RgvXoZLDHV9s4Z3U6+FAHCLkUFlfdtKqUrKjLoxrYlDt7VdgZ9&#10;kF0pdYf3ADeNjKNoJg3WHBYqbOm9ouL79GMU+Dj++jxks31zOH4kJq93k0u+U2r42r8tQHjq/TP8&#10;aG+1gmkSxQn83wlXQK7+AAAA//8DAFBLAQItABQABgAIAAAAIQDb4fbL7gAAAIUBAAATAAAAAAAA&#10;AAAAAAAAAAAAAABbQ29udGVudF9UeXBlc10ueG1sUEsBAi0AFAAGAAgAAAAhAFr0LFu/AAAAFQEA&#10;AAsAAAAAAAAAAAAAAAAAHwEAAF9yZWxzLy5yZWxzUEsBAi0AFAAGAAgAAAAhALSFopTHAAAA3gAA&#10;AA8AAAAAAAAAAAAAAAAABwIAAGRycy9kb3ducmV2LnhtbFBLBQYAAAAAAwADALcAAAD7AgAAAAA=&#10;" path="m,156629v,17298,13970,31331,31369,31331l471551,187960v17399,,31369,-14033,31369,-31331l502920,31331c502920,14021,488950,,471551,l31369,c13970,,,14021,,31331l,156629xe" filled="f" strokecolor="#e4be84">
                <v:stroke endcap="round"/>
                <v:path arrowok="t" textboxrect="0,0,502920,187960"/>
              </v:shape>
              <v:rect id="Rectangle 39030" o:spid="_x0000_s1030" style="position:absolute;left:755;top:420;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6BhxQAAAN4AAAAPAAAAZHJzL2Rvd25yZXYueG1sRI/NisIw&#10;FIX3wrxDuAOz01QFsdUoog661Co4s7s017bY3JQmYzs+vVkILg/nj2++7Ewl7tS40rKC4SACQZxZ&#10;XXKu4Hz67k9BOI+ssbJMCv7JwXLx0Ztjom3LR7qnPhdhhF2CCgrv60RKlxVk0A1sTRy8q20M+iCb&#10;XOoG2zBuKjmKook0WHJ4KLCmdUHZLf0zCnbTevWzt482r7a/u8vhEm9OsVfq67NbzUB46vw7/Grv&#10;tYJxHI0DQMAJKCAXTwAAAP//AwBQSwECLQAUAAYACAAAACEA2+H2y+4AAACFAQAAEwAAAAAAAAAA&#10;AAAAAAAAAAAAW0NvbnRlbnRfVHlwZXNdLnhtbFBLAQItABQABgAIAAAAIQBa9CxbvwAAABUBAAAL&#10;AAAAAAAAAAAAAAAAAB8BAABfcmVscy8ucmVsc1BLAQItABQABgAIAAAAIQCWd6BhxQAAAN4AAAAP&#10;AAAAAAAAAAAAAAAAAAcCAABkcnMvZG93bnJldi54bWxQSwUGAAAAAAMAAwC3AAAA+QIAAAAA&#10;" filled="f" stroked="f">
                <v:textbox inset="0,0,0,0">
                  <w:txbxContent>
                    <w:p w14:paraId="78DBE7B5" w14:textId="77777777" w:rsidR="00C33641" w:rsidRDefault="00000000">
                      <w:pPr>
                        <w:spacing w:after="160" w:line="259"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color w:val="FFFFFF"/>
                        </w:rPr>
                        <w:t>1</w:t>
                      </w:r>
                      <w:r>
                        <w:rPr>
                          <w:rFonts w:ascii="Times New Roman" w:eastAsia="Times New Roman" w:hAnsi="Times New Roman" w:cs="Times New Roman"/>
                          <w:b/>
                          <w:color w:val="FFFFFF"/>
                        </w:rPr>
                        <w:fldChar w:fldCharType="end"/>
                      </w:r>
                    </w:p>
                  </w:txbxContent>
                </v:textbox>
              </v:rect>
              <v:rect id="Rectangle 39031" o:spid="_x0000_s1031" style="position:absolute;left:1517;top:42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wX6xwAAAN4AAAAPAAAAZHJzL2Rvd25yZXYueG1sRI9Ba8JA&#10;FITvBf/D8oTe6iYNiEldQ9CKHlst2N4e2WcSzL4N2dWk/vpuodDjMDPfMMt8NK24Ue8aywriWQSC&#10;uLS64UrBx3H7tADhPLLG1jIp+CYH+WrysMRM24Hf6XbwlQgQdhkqqL3vMildWZNBN7MdcfDOtjfo&#10;g+wrqXscAty08jmK5tJgw2Ghxo7WNZWXw9Uo2C264nNv70PVvn7tTm+ndHNMvVKP07F4AeFp9P/h&#10;v/ZeK0jSKInh9064AnL1AwAA//8DAFBLAQItABQABgAIAAAAIQDb4fbL7gAAAIUBAAATAAAAAAAA&#10;AAAAAAAAAAAAAABbQ29udGVudF9UeXBlc10ueG1sUEsBAi0AFAAGAAgAAAAhAFr0LFu/AAAAFQEA&#10;AAsAAAAAAAAAAAAAAAAAHwEAAF9yZWxzLy5yZWxzUEsBAi0AFAAGAAgAAAAhAPk7BfrHAAAA3gAA&#10;AA8AAAAAAAAAAAAAAAAABwIAAGRycy9kb3ducmV2LnhtbFBLBQYAAAAAAwADALcAAAD7AgAAAAA=&#10;" filled="f" stroked="f">
                <v:textbox inset="0,0,0,0">
                  <w:txbxContent>
                    <w:p w14:paraId="05F3BAEC" w14:textId="77777777" w:rsidR="00C33641" w:rsidRDefault="00000000">
                      <w:pPr>
                        <w:spacing w:after="160" w:line="259" w:lineRule="auto"/>
                        <w:ind w:left="0" w:right="0" w:firstLine="0"/>
                        <w:jc w:val="left"/>
                      </w:pPr>
                      <w:r>
                        <w:rPr>
                          <w:rFonts w:ascii="Times New Roman" w:eastAsia="Times New Roman" w:hAnsi="Times New Roman" w:cs="Times New Roman"/>
                          <w:color w:val="FFFFFF"/>
                        </w:rPr>
                        <w:t xml:space="preserve"> </w:t>
                      </w:r>
                    </w:p>
                  </w:txbxContent>
                </v:textbox>
              </v:rect>
              <w10:wrap type="square" anchorx="page" anchory="page"/>
            </v:group>
          </w:pict>
        </mc:Fallback>
      </mc:AlternateContent>
    </w:r>
    <w:r>
      <w:rPr>
        <w:rFonts w:ascii="Times New Roman" w:eastAsia="Times New Roman" w:hAnsi="Times New Roman" w:cs="Times New Roman"/>
      </w:rPr>
      <w:t xml:space="preserve"> </w:t>
    </w:r>
  </w:p>
  <w:p w14:paraId="08E3557A" w14:textId="77777777" w:rsidR="00C33641" w:rsidRDefault="00000000">
    <w:pPr>
      <w:spacing w:after="0" w:line="259" w:lineRule="auto"/>
      <w:ind w:left="0"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C4DC" w14:textId="77777777" w:rsidR="00C33641" w:rsidRDefault="00000000">
    <w:pPr>
      <w:spacing w:after="0" w:line="259" w:lineRule="auto"/>
      <w:ind w:left="0" w:right="-921" w:firstLine="0"/>
      <w:jc w:val="right"/>
    </w:pPr>
    <w:r>
      <w:rPr>
        <w:noProof/>
        <w:sz w:val="22"/>
      </w:rPr>
      <mc:AlternateContent>
        <mc:Choice Requires="wpg">
          <w:drawing>
            <wp:anchor distT="0" distB="0" distL="114300" distR="114300" simplePos="0" relativeHeight="251662336" behindDoc="0" locked="0" layoutInCell="1" allowOverlap="1" wp14:anchorId="451B32B7" wp14:editId="3F756ADA">
              <wp:simplePos x="0" y="0"/>
              <wp:positionH relativeFrom="page">
                <wp:posOffset>6844665</wp:posOffset>
              </wp:positionH>
              <wp:positionV relativeFrom="page">
                <wp:posOffset>9383395</wp:posOffset>
              </wp:positionV>
              <wp:extent cx="548640" cy="237490"/>
              <wp:effectExtent l="0" t="0" r="0" b="0"/>
              <wp:wrapSquare wrapText="bothSides"/>
              <wp:docPr id="38956" name="Group 38956"/>
              <wp:cNvGraphicFramePr/>
              <a:graphic xmlns:a="http://schemas.openxmlformats.org/drawingml/2006/main">
                <a:graphicData uri="http://schemas.microsoft.com/office/word/2010/wordprocessingGroup">
                  <wpg:wgp>
                    <wpg:cNvGrpSpPr/>
                    <wpg:grpSpPr>
                      <a:xfrm>
                        <a:off x="0" y="0"/>
                        <a:ext cx="548640" cy="237490"/>
                        <a:chOff x="0" y="0"/>
                        <a:chExt cx="548640" cy="237490"/>
                      </a:xfrm>
                    </wpg:grpSpPr>
                    <wps:wsp>
                      <wps:cNvPr id="38957" name="Shape 38957"/>
                      <wps:cNvSpPr/>
                      <wps:spPr>
                        <a:xfrm>
                          <a:off x="0" y="0"/>
                          <a:ext cx="548640" cy="237490"/>
                        </a:xfrm>
                        <a:custGeom>
                          <a:avLst/>
                          <a:gdLst/>
                          <a:ahLst/>
                          <a:cxnLst/>
                          <a:rect l="0" t="0" r="0" b="0"/>
                          <a:pathLst>
                            <a:path w="548640" h="237490">
                              <a:moveTo>
                                <a:pt x="0" y="197904"/>
                              </a:moveTo>
                              <a:cubicBezTo>
                                <a:pt x="0" y="219761"/>
                                <a:pt x="17780" y="237490"/>
                                <a:pt x="39624" y="237490"/>
                              </a:cubicBezTo>
                              <a:lnTo>
                                <a:pt x="509016" y="237490"/>
                              </a:lnTo>
                              <a:cubicBezTo>
                                <a:pt x="530860" y="237490"/>
                                <a:pt x="548640" y="219761"/>
                                <a:pt x="548640" y="197904"/>
                              </a:cubicBezTo>
                              <a:lnTo>
                                <a:pt x="548640" y="39586"/>
                              </a:lnTo>
                              <a:cubicBezTo>
                                <a:pt x="548640" y="17729"/>
                                <a:pt x="530860" y="0"/>
                                <a:pt x="509016" y="0"/>
                              </a:cubicBezTo>
                              <a:lnTo>
                                <a:pt x="39624" y="0"/>
                              </a:lnTo>
                              <a:cubicBezTo>
                                <a:pt x="17780" y="0"/>
                                <a:pt x="0" y="17729"/>
                                <a:pt x="0" y="39586"/>
                              </a:cubicBezTo>
                              <a:close/>
                            </a:path>
                          </a:pathLst>
                        </a:custGeom>
                        <a:ln w="9525" cap="rnd">
                          <a:round/>
                        </a:ln>
                      </wps:spPr>
                      <wps:style>
                        <a:lnRef idx="1">
                          <a:srgbClr val="E4BE84"/>
                        </a:lnRef>
                        <a:fillRef idx="0">
                          <a:srgbClr val="000000">
                            <a:alpha val="0"/>
                          </a:srgbClr>
                        </a:fillRef>
                        <a:effectRef idx="0">
                          <a:scrgbClr r="0" g="0" b="0"/>
                        </a:effectRef>
                        <a:fontRef idx="none"/>
                      </wps:style>
                      <wps:bodyPr/>
                    </wps:wsp>
                    <wps:wsp>
                      <wps:cNvPr id="38958" name="Shape 38958"/>
                      <wps:cNvSpPr/>
                      <wps:spPr>
                        <a:xfrm>
                          <a:off x="22860" y="24765"/>
                          <a:ext cx="502920" cy="187960"/>
                        </a:xfrm>
                        <a:custGeom>
                          <a:avLst/>
                          <a:gdLst/>
                          <a:ahLst/>
                          <a:cxnLst/>
                          <a:rect l="0" t="0" r="0" b="0"/>
                          <a:pathLst>
                            <a:path w="502920" h="187960">
                              <a:moveTo>
                                <a:pt x="31369" y="0"/>
                              </a:moveTo>
                              <a:lnTo>
                                <a:pt x="471551" y="0"/>
                              </a:lnTo>
                              <a:cubicBezTo>
                                <a:pt x="488950" y="0"/>
                                <a:pt x="502920" y="14021"/>
                                <a:pt x="502920" y="31331"/>
                              </a:cubicBezTo>
                              <a:lnTo>
                                <a:pt x="502920" y="156629"/>
                              </a:lnTo>
                              <a:cubicBezTo>
                                <a:pt x="502920" y="173927"/>
                                <a:pt x="488950" y="187960"/>
                                <a:pt x="471551" y="187960"/>
                              </a:cubicBezTo>
                              <a:lnTo>
                                <a:pt x="31369" y="187960"/>
                              </a:lnTo>
                              <a:cubicBezTo>
                                <a:pt x="13970" y="187960"/>
                                <a:pt x="0" y="173927"/>
                                <a:pt x="0" y="156629"/>
                              </a:cubicBezTo>
                              <a:lnTo>
                                <a:pt x="0" y="31331"/>
                              </a:lnTo>
                              <a:cubicBezTo>
                                <a:pt x="0" y="14021"/>
                                <a:pt x="13970" y="0"/>
                                <a:pt x="31369" y="0"/>
                              </a:cubicBezTo>
                              <a:close/>
                            </a:path>
                          </a:pathLst>
                        </a:custGeom>
                        <a:ln w="0" cap="rnd">
                          <a:round/>
                        </a:ln>
                      </wps:spPr>
                      <wps:style>
                        <a:lnRef idx="0">
                          <a:srgbClr val="000000">
                            <a:alpha val="0"/>
                          </a:srgbClr>
                        </a:lnRef>
                        <a:fillRef idx="1">
                          <a:srgbClr val="E4BE84"/>
                        </a:fillRef>
                        <a:effectRef idx="0">
                          <a:scrgbClr r="0" g="0" b="0"/>
                        </a:effectRef>
                        <a:fontRef idx="none"/>
                      </wps:style>
                      <wps:bodyPr/>
                    </wps:wsp>
                    <wps:wsp>
                      <wps:cNvPr id="38959" name="Shape 38959"/>
                      <wps:cNvSpPr/>
                      <wps:spPr>
                        <a:xfrm>
                          <a:off x="22860" y="24765"/>
                          <a:ext cx="502920" cy="187960"/>
                        </a:xfrm>
                        <a:custGeom>
                          <a:avLst/>
                          <a:gdLst/>
                          <a:ahLst/>
                          <a:cxnLst/>
                          <a:rect l="0" t="0" r="0" b="0"/>
                          <a:pathLst>
                            <a:path w="502920" h="187960">
                              <a:moveTo>
                                <a:pt x="0" y="156629"/>
                              </a:moveTo>
                              <a:cubicBezTo>
                                <a:pt x="0" y="173927"/>
                                <a:pt x="13970" y="187960"/>
                                <a:pt x="31369" y="187960"/>
                              </a:cubicBezTo>
                              <a:lnTo>
                                <a:pt x="471551" y="187960"/>
                              </a:lnTo>
                              <a:cubicBezTo>
                                <a:pt x="488950" y="187960"/>
                                <a:pt x="502920" y="173927"/>
                                <a:pt x="502920" y="156629"/>
                              </a:cubicBezTo>
                              <a:lnTo>
                                <a:pt x="502920" y="31331"/>
                              </a:lnTo>
                              <a:cubicBezTo>
                                <a:pt x="502920" y="14021"/>
                                <a:pt x="488950" y="0"/>
                                <a:pt x="471551" y="0"/>
                              </a:cubicBezTo>
                              <a:lnTo>
                                <a:pt x="31369" y="0"/>
                              </a:lnTo>
                              <a:cubicBezTo>
                                <a:pt x="13970" y="0"/>
                                <a:pt x="0" y="14021"/>
                                <a:pt x="0" y="31331"/>
                              </a:cubicBezTo>
                              <a:close/>
                            </a:path>
                          </a:pathLst>
                        </a:custGeom>
                        <a:ln w="9525" cap="rnd">
                          <a:round/>
                        </a:ln>
                      </wps:spPr>
                      <wps:style>
                        <a:lnRef idx="1">
                          <a:srgbClr val="E4BE84"/>
                        </a:lnRef>
                        <a:fillRef idx="0">
                          <a:srgbClr val="000000">
                            <a:alpha val="0"/>
                          </a:srgbClr>
                        </a:fillRef>
                        <a:effectRef idx="0">
                          <a:scrgbClr r="0" g="0" b="0"/>
                        </a:effectRef>
                        <a:fontRef idx="none"/>
                      </wps:style>
                      <wps:bodyPr/>
                    </wps:wsp>
                    <wps:wsp>
                      <wps:cNvPr id="38960" name="Rectangle 38960"/>
                      <wps:cNvSpPr/>
                      <wps:spPr>
                        <a:xfrm>
                          <a:off x="75565" y="42088"/>
                          <a:ext cx="101346" cy="224380"/>
                        </a:xfrm>
                        <a:prstGeom prst="rect">
                          <a:avLst/>
                        </a:prstGeom>
                        <a:ln>
                          <a:noFill/>
                        </a:ln>
                      </wps:spPr>
                      <wps:txbx>
                        <w:txbxContent>
                          <w:p w14:paraId="018C371C" w14:textId="77777777" w:rsidR="00C33641" w:rsidRDefault="00000000">
                            <w:pPr>
                              <w:spacing w:after="160" w:line="259"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color w:val="FFFFFF"/>
                              </w:rPr>
                              <w:t>1</w:t>
                            </w:r>
                            <w:r>
                              <w:rPr>
                                <w:rFonts w:ascii="Times New Roman" w:eastAsia="Times New Roman" w:hAnsi="Times New Roman" w:cs="Times New Roman"/>
                                <w:b/>
                                <w:color w:val="FFFFFF"/>
                              </w:rPr>
                              <w:fldChar w:fldCharType="end"/>
                            </w:r>
                          </w:p>
                        </w:txbxContent>
                      </wps:txbx>
                      <wps:bodyPr horzOverflow="overflow" vert="horz" lIns="0" tIns="0" rIns="0" bIns="0" rtlCol="0">
                        <a:noAutofit/>
                      </wps:bodyPr>
                    </wps:wsp>
                    <wps:wsp>
                      <wps:cNvPr id="38961" name="Rectangle 38961"/>
                      <wps:cNvSpPr/>
                      <wps:spPr>
                        <a:xfrm>
                          <a:off x="151765" y="42088"/>
                          <a:ext cx="50673" cy="224380"/>
                        </a:xfrm>
                        <a:prstGeom prst="rect">
                          <a:avLst/>
                        </a:prstGeom>
                        <a:ln>
                          <a:noFill/>
                        </a:ln>
                      </wps:spPr>
                      <wps:txbx>
                        <w:txbxContent>
                          <w:p w14:paraId="390FB9ED" w14:textId="77777777" w:rsidR="00C33641" w:rsidRDefault="00000000">
                            <w:pPr>
                              <w:spacing w:after="160" w:line="259" w:lineRule="auto"/>
                              <w:ind w:left="0" w:right="0" w:firstLine="0"/>
                              <w:jc w:val="left"/>
                            </w:pPr>
                            <w:r>
                              <w:rPr>
                                <w:rFonts w:ascii="Times New Roman" w:eastAsia="Times New Roman" w:hAnsi="Times New Roman" w:cs="Times New Roman"/>
                                <w:color w:val="FFFFFF"/>
                              </w:rPr>
                              <w:t xml:space="preserve"> </w:t>
                            </w:r>
                          </w:p>
                        </w:txbxContent>
                      </wps:txbx>
                      <wps:bodyPr horzOverflow="overflow" vert="horz" lIns="0" tIns="0" rIns="0" bIns="0" rtlCol="0">
                        <a:noAutofit/>
                      </wps:bodyPr>
                    </wps:wsp>
                  </wpg:wgp>
                </a:graphicData>
              </a:graphic>
            </wp:anchor>
          </w:drawing>
        </mc:Choice>
        <mc:Fallback>
          <w:pict>
            <v:group w14:anchorId="451B32B7" id="Group 38956" o:spid="_x0000_s1032" style="position:absolute;left:0;text-align:left;margin-left:538.95pt;margin-top:738.85pt;width:43.2pt;height:18.7pt;z-index:251662336;mso-position-horizontal-relative:page;mso-position-vertical-relative:page" coordsize="5486,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zC8AQAAPEVAAAOAAAAZHJzL2Uyb0RvYy54bWzsWNtu2zgQfV9g/0HQ+8a6X4w4RS9psMCi&#10;LdruB9AyZQmQRYFSYqdfv8MhKYpWYqcNkC3Q5sGhyBlyeGbmkMPLV4dd49xR3tesXbn+hec6tC3Y&#10;pm63K/ffr+//ylynH0i7IQ1r6cq9p7376urPPy733ZIGrGLNhnIHJmn75b5budUwdMvFoi8quiP9&#10;BetoC4Ml4zsywCffLjac7GH2XbMIPC9Z7BnfdJwVtO+h950cdK9w/rKkxfCxLHs6OM3KBdsG/OX4&#10;uxa/i6tLstxy0lV1ocwgP2DFjtQtLDpO9Y4MxLnl9WyqXV1w1rNyuCjYbsHKsi4o7gF243tHu7nh&#10;7LbDvWyX+203wgTQHuH0w9MWH+5uePel+8QBiX23BSzwS+zlUPKd+A9WOgeE7H6EjB4Gp4DOOMqS&#10;CIAtYCgI0yhXkBYV4D7TKqrrk3oLvejCMmXfQXD0Zv/98/b/pSIdRVj7Jez/E3fqzcoNszxOXacl&#10;OwhTFHFkFwKDkiNM/bIHxJ6H0bhXsixu++GGMgSb3P3TDzIqN7pFKt0qDq1ucojtk1HdkUHoCStF&#10;09kbb1Wjs8Tojt3RrwzlBuMyP09zLxIJApYakeJ2XRdv6Le5QgAaiS8zqsOJ/DTNIDaOQkOOhXkS&#10;REdjsJA9fdNOl4m93POTuY6WsnXlMnHoZcljNujgFQbOjJ8MWlDYq+i11WoqG2DCMI+zRKGnhWzV&#10;mQrAFeRT/CbGq7RSOgYI7D+Dm4FaS58yyDjNWlNiODNRdk83a2+yaFhPZQyJIMRgGgMT7Tah37Qi&#10;RvM4iIFPCBwGvN0gqQINths5SdPCFIIPZAJia7hvqIjepv1MS8hloCUf9Xq+Xb9tuHNHgP2vozfX&#10;mY5nFBU6Zd00o5Y31/LwD/tJ01VEzqVxVAvgrtRMYlKKB8/xtIWyRp4+wOGAnT6DAIlRCc1i7TDq&#10;t3ByYiRNdiuaa7a5R95GQIAgBYO/EFPCsX7MlJmwURgAnHqeKYNgzMsoTWIZ9uOp4gV5APCIU8XP&#10;0hwyWLpfH0kvx5jKEmBMZYhwj6FDmZChHyY5EpM21EjoXJOSUerHsW+JagE7cZR4BqeSzDErG2Nl&#10;lsAn8gKLdSdjYFeIY2cYYqLix0kiWQh0Tpk21UnDPEilC2d2G//BOYTHwgQDM3jGQoOwpXLKQD/M&#10;UwmdUdEmqP6Z3ap/ioHtFr2g3IkUn6Ksx22tqfTMX8ZOy8Vmxzqm7Dm/n1nB2mfS6rMI8mHOPcfU&#10;vxatAokc0yreCH5NWn0gGw2v2tlgZdgsrU2KzanA5JkZO0NGjxHYqeSPDJObdTQdneTS6eBTiWmi&#10;81R2mqjMKGpivMVREyAeJimNiHSPgVpL6/GHnGmcZq2pguL41JtTsT3n99Pl74uouB//5BdRUdtJ&#10;xvwM9TBptw0VZbu8MD6ZNdM4hiuoKFSjwMvwIgsXcvVU4Xt+GEHZiU8cQRRCSWtfRjsuaxhHNKBq&#10;AUNkwaBKeWATLSIuj6KEIcuWvYfS49GiZjisD/gsEYjFxEbkbd+pGP/2ER7cyoZBsQSVO7Zc8QYH&#10;a4tR12n+buGJBJAZdIPrxlo3+NC8ZfgoJq15fTuwshYvD1hNyNXUx4uWFvCE8KBH8R77ZI/6sS+q&#10;ikdcGntJGv5fHg1/Fo/iIxu8K2L5qt5AxcPl9BsjwLzUXv0HAAD//wMAUEsDBBQABgAIAAAAIQAK&#10;eO++4wAAAA8BAAAPAAAAZHJzL2Rvd25yZXYueG1sTI9PS8NAEMXvgt9hGcGb3cT+SY3ZlFLUUxFs&#10;heJtm50modnZkN0m6bd3elLm8h7zePObbDXaRvTY+dqRgngSgUAqnKmpVPC9f39agvBBk9GNI1Rw&#10;RQ+r/P4u06lxA31hvwul4BLyqVZQhdCmUvqiQqv9xLVIvDu5zurAtiul6fTA5baRz1G0kFbXxBcq&#10;3eKmwuK8u1gFH4Me1tP4rd+eT5vrz37+edjGqNTjw7h+BRFwDH9huOEzOuTMdHQXMl407KMkeeEs&#10;q1mSJCBumXgxm4I4sprzgMwz+f+P/BcAAP//AwBQSwECLQAUAAYACAAAACEAtoM4kv4AAADhAQAA&#10;EwAAAAAAAAAAAAAAAAAAAAAAW0NvbnRlbnRfVHlwZXNdLnhtbFBLAQItABQABgAIAAAAIQA4/SH/&#10;1gAAAJQBAAALAAAAAAAAAAAAAAAAAC8BAABfcmVscy8ucmVsc1BLAQItABQABgAIAAAAIQDfhAzC&#10;8AQAAPEVAAAOAAAAAAAAAAAAAAAAAC4CAABkcnMvZTJvRG9jLnhtbFBLAQItABQABgAIAAAAIQAK&#10;eO++4wAAAA8BAAAPAAAAAAAAAAAAAAAAAEoHAABkcnMvZG93bnJldi54bWxQSwUGAAAAAAQABADz&#10;AAAAWggAAAAA&#10;">
              <v:shape id="Shape 38957" o:spid="_x0000_s1033" style="position:absolute;width:5486;height:2374;visibility:visible;mso-wrap-style:square;v-text-anchor:top" coordsize="54864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VPbxgAAAN4AAAAPAAAAZHJzL2Rvd25yZXYueG1sRI9Pa8JA&#10;FMTvBb/D8gremk1N/9joKiIIQg9FG++P7DOJZt8u2TWm374rCB6HmfkNM18OphU9db6xrOA1SUEQ&#10;l1Y3XCkofjcvUxA+IGtsLZOCP/KwXIye5phre+Ud9ftQiQhhn6OCOgSXS+nLmgz6xDri6B1tZzBE&#10;2VVSd3iNcNPKSZp+SIMNx4UaHa1rKs/7i1GgT676SXfmza8O32Wm3fl02BZKjZ+H1QxEoCE8wvf2&#10;VivIpl/vn3C7E6+AXPwDAAD//wMAUEsBAi0AFAAGAAgAAAAhANvh9svuAAAAhQEAABMAAAAAAAAA&#10;AAAAAAAAAAAAAFtDb250ZW50X1R5cGVzXS54bWxQSwECLQAUAAYACAAAACEAWvQsW78AAAAVAQAA&#10;CwAAAAAAAAAAAAAAAAAfAQAAX3JlbHMvLnJlbHNQSwECLQAUAAYACAAAACEA4jlT28YAAADeAAAA&#10;DwAAAAAAAAAAAAAAAAAHAgAAZHJzL2Rvd25yZXYueG1sUEsFBgAAAAADAAMAtwAAAPoCAAAAAA==&#10;" path="m,197904v,21857,17780,39586,39624,39586l509016,237490v21844,,39624,-17729,39624,-39586l548640,39586c548640,17729,530860,,509016,l39624,c17780,,,17729,,39586l,197904xe" filled="f" strokecolor="#e4be84">
                <v:stroke endcap="round"/>
                <v:path arrowok="t" textboxrect="0,0,548640,237490"/>
              </v:shape>
              <v:shape id="Shape 38958" o:spid="_x0000_s1034" style="position:absolute;left:228;top:247;width:5029;height:1880;visibility:visible;mso-wrap-style:square;v-text-anchor:top" coordsize="50292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52+wwAAAN4AAAAPAAAAZHJzL2Rvd25yZXYueG1sRE9NawIx&#10;EL0X/A9hCt5qVqXFrkYRUShIqcZevA2b6WZxM1k2UeO/bw6FHh/ve7FKrhU36kPjWcF4VIAgrrxp&#10;uFbwfdq9zECEiGyw9UwKHhRgtRw8LbA0/s5HuulYixzCoUQFNsaulDJUlhyGke+IM/fje4cxw76W&#10;psd7DnetnBTFm3TYcG6w2NHGUnXRV6dg/zXhsd5vD2d96Tbpoe2n3yalhs9pPQcRKcV/8Z/7wyiY&#10;zt5f8958J18BufwFAAD//wMAUEsBAi0AFAAGAAgAAAAhANvh9svuAAAAhQEAABMAAAAAAAAAAAAA&#10;AAAAAAAAAFtDb250ZW50X1R5cGVzXS54bWxQSwECLQAUAAYACAAAACEAWvQsW78AAAAVAQAACwAA&#10;AAAAAAAAAAAAAAAfAQAAX3JlbHMvLnJlbHNQSwECLQAUAAYACAAAACEANHOdvsMAAADeAAAADwAA&#10;AAAAAAAAAAAAAAAHAgAAZHJzL2Rvd25yZXYueG1sUEsFBgAAAAADAAMAtwAAAPcCAAAAAA==&#10;" path="m31369,l471551,v17399,,31369,14021,31369,31331l502920,156629v,17298,-13970,31331,-31369,31331l31369,187960c13970,187960,,173927,,156629l,31331c,14021,13970,,31369,xe" fillcolor="#e4be84" stroked="f" strokeweight="0">
                <v:stroke endcap="round"/>
                <v:path arrowok="t" textboxrect="0,0,502920,187960"/>
              </v:shape>
              <v:shape id="Shape 38959" o:spid="_x0000_s1035" style="position:absolute;left:228;top:247;width:5029;height:1880;visibility:visible;mso-wrap-style:square;v-text-anchor:top" coordsize="50292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3z+yAAAAN4AAAAPAAAAZHJzL2Rvd25yZXYueG1sRI9Pa8JA&#10;FMTvhX6H5RW81Y0pFRNdRZSCf1DU5tLbI/tMgtm3Ibtq+u27QsHjMDO/YSazztTiRq2rLCsY9CMQ&#10;xLnVFRcKsu+v9xEI55E11pZJwS85mE1fXyaYanvnI91OvhABwi5FBaX3TSqly0sy6Pq2IQ7e2bYG&#10;fZBtIXWL9wA3tYyjaCgNVhwWSmxoUVJ+OV2NAh/Hm/X+ONzV+8MyMVm1HfxkW6V6b918DMJT55/h&#10;//ZKK/gYJZ8JPO6EKyCnfwAAAP//AwBQSwECLQAUAAYACAAAACEA2+H2y+4AAACFAQAAEwAAAAAA&#10;AAAAAAAAAAAAAAAAW0NvbnRlbnRfVHlwZXNdLnhtbFBLAQItABQABgAIAAAAIQBa9CxbvwAAABUB&#10;AAALAAAAAAAAAAAAAAAAAB8BAABfcmVscy8ucmVsc1BLAQItABQABgAIAAAAIQBEp3z+yAAAAN4A&#10;AAAPAAAAAAAAAAAAAAAAAAcCAABkcnMvZG93bnJldi54bWxQSwUGAAAAAAMAAwC3AAAA/AIAAAAA&#10;" path="m,156629v,17298,13970,31331,31369,31331l471551,187960v17399,,31369,-14033,31369,-31331l502920,31331c502920,14021,488950,,471551,l31369,c13970,,,14021,,31331l,156629xe" filled="f" strokecolor="#e4be84">
                <v:stroke endcap="round"/>
                <v:path arrowok="t" textboxrect="0,0,502920,187960"/>
              </v:shape>
              <v:rect id="Rectangle 38960" o:spid="_x0000_s1036" style="position:absolute;left:755;top:420;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CJrxQAAAN4AAAAPAAAAZHJzL2Rvd25yZXYueG1sRI/LisIw&#10;FIb3wrxDOAPuNFVB2moUmXHQpTdQd4fm2Babk9JkbGee3iwElz//jW++7EwlHtS40rKC0TACQZxZ&#10;XXKu4HT8GcQgnEfWWFkmBX/kYLn46M0x1bblPT0OPhdhhF2KCgrv61RKlxVk0A1tTRy8m20M+iCb&#10;XOoG2zBuKjmOoqk0WHJ4KLCmr4Ky++HXKNjE9eqytf9tXq2vm/PunHwfE69U/7NbzUB46vw7/Gpv&#10;tYJJnEwDQMAJKCAXTwAAAP//AwBQSwECLQAUAAYACAAAACEA2+H2y+4AAACFAQAAEwAAAAAAAAAA&#10;AAAAAAAAAAAAW0NvbnRlbnRfVHlwZXNdLnhtbFBLAQItABQABgAIAAAAIQBa9CxbvwAAABUBAAAL&#10;AAAAAAAAAAAAAAAAAB8BAABfcmVscy8ucmVsc1BLAQItABQABgAIAAAAIQAt4CJrxQAAAN4AAAAP&#10;AAAAAAAAAAAAAAAAAAcCAABkcnMvZG93bnJldi54bWxQSwUGAAAAAAMAAwC3AAAA+QIAAAAA&#10;" filled="f" stroked="f">
                <v:textbox inset="0,0,0,0">
                  <w:txbxContent>
                    <w:p w14:paraId="018C371C" w14:textId="77777777" w:rsidR="00C33641" w:rsidRDefault="00000000">
                      <w:pPr>
                        <w:spacing w:after="160" w:line="259"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color w:val="FFFFFF"/>
                        </w:rPr>
                        <w:t>1</w:t>
                      </w:r>
                      <w:r>
                        <w:rPr>
                          <w:rFonts w:ascii="Times New Roman" w:eastAsia="Times New Roman" w:hAnsi="Times New Roman" w:cs="Times New Roman"/>
                          <w:b/>
                          <w:color w:val="FFFFFF"/>
                        </w:rPr>
                        <w:fldChar w:fldCharType="end"/>
                      </w:r>
                    </w:p>
                  </w:txbxContent>
                </v:textbox>
              </v:rect>
              <v:rect id="Rectangle 38961" o:spid="_x0000_s1037" style="position:absolute;left:1517;top:42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IfwxwAAAN4AAAAPAAAAZHJzL2Rvd25yZXYueG1sRI9Pa8JA&#10;FMTvQr/D8gredKOCJNFVpLXosf4B9fbIviah2bchuzXRT98VBI/DzPyGmS87U4krNa60rGA0jEAQ&#10;Z1aXnCs4Hr4GMQjnkTVWlknBjRwsF2+9Oabatryj697nIkDYpaig8L5OpXRZQQbd0NbEwfuxjUEf&#10;ZJNL3WAb4KaS4yiaSoMlh4UCa/ooKPvd/xkFm7henbf23ubV+rI5fZ+Sz0Pileq/d6sZCE+df4Wf&#10;7a1WMImT6Qged8IVkIt/AAAA//8DAFBLAQItABQABgAIAAAAIQDb4fbL7gAAAIUBAAATAAAAAAAA&#10;AAAAAAAAAAAAAABbQ29udGVudF9UeXBlc10ueG1sUEsBAi0AFAAGAAgAAAAhAFr0LFu/AAAAFQEA&#10;AAsAAAAAAAAAAAAAAAAAHwEAAF9yZWxzLy5yZWxzUEsBAi0AFAAGAAgAAAAhAEKsh/DHAAAA3gAA&#10;AA8AAAAAAAAAAAAAAAAABwIAAGRycy9kb3ducmV2LnhtbFBLBQYAAAAAAwADALcAAAD7AgAAAAA=&#10;" filled="f" stroked="f">
                <v:textbox inset="0,0,0,0">
                  <w:txbxContent>
                    <w:p w14:paraId="390FB9ED" w14:textId="77777777" w:rsidR="00C33641" w:rsidRDefault="00000000">
                      <w:pPr>
                        <w:spacing w:after="160" w:line="259" w:lineRule="auto"/>
                        <w:ind w:left="0" w:right="0" w:firstLine="0"/>
                        <w:jc w:val="left"/>
                      </w:pPr>
                      <w:r>
                        <w:rPr>
                          <w:rFonts w:ascii="Times New Roman" w:eastAsia="Times New Roman" w:hAnsi="Times New Roman" w:cs="Times New Roman"/>
                          <w:color w:val="FFFFFF"/>
                        </w:rPr>
                        <w:t xml:space="preserve"> </w:t>
                      </w:r>
                    </w:p>
                  </w:txbxContent>
                </v:textbox>
              </v:rect>
              <w10:wrap type="square" anchorx="page" anchory="page"/>
            </v:group>
          </w:pict>
        </mc:Fallback>
      </mc:AlternateContent>
    </w:r>
    <w:r>
      <w:rPr>
        <w:rFonts w:ascii="Times New Roman" w:eastAsia="Times New Roman" w:hAnsi="Times New Roman" w:cs="Times New Roman"/>
      </w:rPr>
      <w:t xml:space="preserve"> </w:t>
    </w:r>
  </w:p>
  <w:p w14:paraId="794518DD" w14:textId="77777777" w:rsidR="00C33641" w:rsidRDefault="00000000">
    <w:pPr>
      <w:spacing w:after="0" w:line="259" w:lineRule="auto"/>
      <w:ind w:left="0" w:righ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7D45" w14:textId="77777777" w:rsidR="00C33641" w:rsidRDefault="00000000">
    <w:pPr>
      <w:spacing w:after="0" w:line="259" w:lineRule="auto"/>
      <w:ind w:left="0" w:right="-921" w:firstLine="0"/>
      <w:jc w:val="right"/>
    </w:pPr>
    <w:r>
      <w:rPr>
        <w:noProof/>
        <w:sz w:val="22"/>
      </w:rPr>
      <mc:AlternateContent>
        <mc:Choice Requires="wpg">
          <w:drawing>
            <wp:anchor distT="0" distB="0" distL="114300" distR="114300" simplePos="0" relativeHeight="251663360" behindDoc="0" locked="0" layoutInCell="1" allowOverlap="1" wp14:anchorId="4E0B9E66" wp14:editId="2EC895B5">
              <wp:simplePos x="0" y="0"/>
              <wp:positionH relativeFrom="page">
                <wp:posOffset>6844665</wp:posOffset>
              </wp:positionH>
              <wp:positionV relativeFrom="page">
                <wp:posOffset>9383395</wp:posOffset>
              </wp:positionV>
              <wp:extent cx="548640" cy="237490"/>
              <wp:effectExtent l="0" t="0" r="0" b="0"/>
              <wp:wrapSquare wrapText="bothSides"/>
              <wp:docPr id="38886" name="Group 38886"/>
              <wp:cNvGraphicFramePr/>
              <a:graphic xmlns:a="http://schemas.openxmlformats.org/drawingml/2006/main">
                <a:graphicData uri="http://schemas.microsoft.com/office/word/2010/wordprocessingGroup">
                  <wpg:wgp>
                    <wpg:cNvGrpSpPr/>
                    <wpg:grpSpPr>
                      <a:xfrm>
                        <a:off x="0" y="0"/>
                        <a:ext cx="548640" cy="237490"/>
                        <a:chOff x="0" y="0"/>
                        <a:chExt cx="548640" cy="237490"/>
                      </a:xfrm>
                    </wpg:grpSpPr>
                    <wps:wsp>
                      <wps:cNvPr id="38887" name="Shape 38887"/>
                      <wps:cNvSpPr/>
                      <wps:spPr>
                        <a:xfrm>
                          <a:off x="0" y="0"/>
                          <a:ext cx="548640" cy="237490"/>
                        </a:xfrm>
                        <a:custGeom>
                          <a:avLst/>
                          <a:gdLst/>
                          <a:ahLst/>
                          <a:cxnLst/>
                          <a:rect l="0" t="0" r="0" b="0"/>
                          <a:pathLst>
                            <a:path w="548640" h="237490">
                              <a:moveTo>
                                <a:pt x="0" y="197904"/>
                              </a:moveTo>
                              <a:cubicBezTo>
                                <a:pt x="0" y="219761"/>
                                <a:pt x="17780" y="237490"/>
                                <a:pt x="39624" y="237490"/>
                              </a:cubicBezTo>
                              <a:lnTo>
                                <a:pt x="509016" y="237490"/>
                              </a:lnTo>
                              <a:cubicBezTo>
                                <a:pt x="530860" y="237490"/>
                                <a:pt x="548640" y="219761"/>
                                <a:pt x="548640" y="197904"/>
                              </a:cubicBezTo>
                              <a:lnTo>
                                <a:pt x="548640" y="39586"/>
                              </a:lnTo>
                              <a:cubicBezTo>
                                <a:pt x="548640" y="17729"/>
                                <a:pt x="530860" y="0"/>
                                <a:pt x="509016" y="0"/>
                              </a:cubicBezTo>
                              <a:lnTo>
                                <a:pt x="39624" y="0"/>
                              </a:lnTo>
                              <a:cubicBezTo>
                                <a:pt x="17780" y="0"/>
                                <a:pt x="0" y="17729"/>
                                <a:pt x="0" y="39586"/>
                              </a:cubicBezTo>
                              <a:close/>
                            </a:path>
                          </a:pathLst>
                        </a:custGeom>
                        <a:ln w="9525" cap="rnd">
                          <a:round/>
                        </a:ln>
                      </wps:spPr>
                      <wps:style>
                        <a:lnRef idx="1">
                          <a:srgbClr val="E4BE84"/>
                        </a:lnRef>
                        <a:fillRef idx="0">
                          <a:srgbClr val="000000">
                            <a:alpha val="0"/>
                          </a:srgbClr>
                        </a:fillRef>
                        <a:effectRef idx="0">
                          <a:scrgbClr r="0" g="0" b="0"/>
                        </a:effectRef>
                        <a:fontRef idx="none"/>
                      </wps:style>
                      <wps:bodyPr/>
                    </wps:wsp>
                    <wps:wsp>
                      <wps:cNvPr id="38888" name="Shape 38888"/>
                      <wps:cNvSpPr/>
                      <wps:spPr>
                        <a:xfrm>
                          <a:off x="22860" y="24765"/>
                          <a:ext cx="502920" cy="187960"/>
                        </a:xfrm>
                        <a:custGeom>
                          <a:avLst/>
                          <a:gdLst/>
                          <a:ahLst/>
                          <a:cxnLst/>
                          <a:rect l="0" t="0" r="0" b="0"/>
                          <a:pathLst>
                            <a:path w="502920" h="187960">
                              <a:moveTo>
                                <a:pt x="31369" y="0"/>
                              </a:moveTo>
                              <a:lnTo>
                                <a:pt x="471551" y="0"/>
                              </a:lnTo>
                              <a:cubicBezTo>
                                <a:pt x="488950" y="0"/>
                                <a:pt x="502920" y="14021"/>
                                <a:pt x="502920" y="31331"/>
                              </a:cubicBezTo>
                              <a:lnTo>
                                <a:pt x="502920" y="156629"/>
                              </a:lnTo>
                              <a:cubicBezTo>
                                <a:pt x="502920" y="173927"/>
                                <a:pt x="488950" y="187960"/>
                                <a:pt x="471551" y="187960"/>
                              </a:cubicBezTo>
                              <a:lnTo>
                                <a:pt x="31369" y="187960"/>
                              </a:lnTo>
                              <a:cubicBezTo>
                                <a:pt x="13970" y="187960"/>
                                <a:pt x="0" y="173927"/>
                                <a:pt x="0" y="156629"/>
                              </a:cubicBezTo>
                              <a:lnTo>
                                <a:pt x="0" y="31331"/>
                              </a:lnTo>
                              <a:cubicBezTo>
                                <a:pt x="0" y="14021"/>
                                <a:pt x="13970" y="0"/>
                                <a:pt x="31369" y="0"/>
                              </a:cubicBezTo>
                              <a:close/>
                            </a:path>
                          </a:pathLst>
                        </a:custGeom>
                        <a:ln w="0" cap="rnd">
                          <a:round/>
                        </a:ln>
                      </wps:spPr>
                      <wps:style>
                        <a:lnRef idx="0">
                          <a:srgbClr val="000000">
                            <a:alpha val="0"/>
                          </a:srgbClr>
                        </a:lnRef>
                        <a:fillRef idx="1">
                          <a:srgbClr val="E4BE84"/>
                        </a:fillRef>
                        <a:effectRef idx="0">
                          <a:scrgbClr r="0" g="0" b="0"/>
                        </a:effectRef>
                        <a:fontRef idx="none"/>
                      </wps:style>
                      <wps:bodyPr/>
                    </wps:wsp>
                    <wps:wsp>
                      <wps:cNvPr id="38889" name="Shape 38889"/>
                      <wps:cNvSpPr/>
                      <wps:spPr>
                        <a:xfrm>
                          <a:off x="22860" y="24765"/>
                          <a:ext cx="502920" cy="187960"/>
                        </a:xfrm>
                        <a:custGeom>
                          <a:avLst/>
                          <a:gdLst/>
                          <a:ahLst/>
                          <a:cxnLst/>
                          <a:rect l="0" t="0" r="0" b="0"/>
                          <a:pathLst>
                            <a:path w="502920" h="187960">
                              <a:moveTo>
                                <a:pt x="0" y="156629"/>
                              </a:moveTo>
                              <a:cubicBezTo>
                                <a:pt x="0" y="173927"/>
                                <a:pt x="13970" y="187960"/>
                                <a:pt x="31369" y="187960"/>
                              </a:cubicBezTo>
                              <a:lnTo>
                                <a:pt x="471551" y="187960"/>
                              </a:lnTo>
                              <a:cubicBezTo>
                                <a:pt x="488950" y="187960"/>
                                <a:pt x="502920" y="173927"/>
                                <a:pt x="502920" y="156629"/>
                              </a:cubicBezTo>
                              <a:lnTo>
                                <a:pt x="502920" y="31331"/>
                              </a:lnTo>
                              <a:cubicBezTo>
                                <a:pt x="502920" y="14021"/>
                                <a:pt x="488950" y="0"/>
                                <a:pt x="471551" y="0"/>
                              </a:cubicBezTo>
                              <a:lnTo>
                                <a:pt x="31369" y="0"/>
                              </a:lnTo>
                              <a:cubicBezTo>
                                <a:pt x="13970" y="0"/>
                                <a:pt x="0" y="14021"/>
                                <a:pt x="0" y="31331"/>
                              </a:cubicBezTo>
                              <a:close/>
                            </a:path>
                          </a:pathLst>
                        </a:custGeom>
                        <a:ln w="9525" cap="rnd">
                          <a:round/>
                        </a:ln>
                      </wps:spPr>
                      <wps:style>
                        <a:lnRef idx="1">
                          <a:srgbClr val="E4BE84"/>
                        </a:lnRef>
                        <a:fillRef idx="0">
                          <a:srgbClr val="000000">
                            <a:alpha val="0"/>
                          </a:srgbClr>
                        </a:fillRef>
                        <a:effectRef idx="0">
                          <a:scrgbClr r="0" g="0" b="0"/>
                        </a:effectRef>
                        <a:fontRef idx="none"/>
                      </wps:style>
                      <wps:bodyPr/>
                    </wps:wsp>
                    <wps:wsp>
                      <wps:cNvPr id="38890" name="Rectangle 38890"/>
                      <wps:cNvSpPr/>
                      <wps:spPr>
                        <a:xfrm>
                          <a:off x="75565" y="42088"/>
                          <a:ext cx="101346" cy="224380"/>
                        </a:xfrm>
                        <a:prstGeom prst="rect">
                          <a:avLst/>
                        </a:prstGeom>
                        <a:ln>
                          <a:noFill/>
                        </a:ln>
                      </wps:spPr>
                      <wps:txbx>
                        <w:txbxContent>
                          <w:p w14:paraId="158440A5" w14:textId="77777777" w:rsidR="00C33641" w:rsidRDefault="00000000">
                            <w:pPr>
                              <w:spacing w:after="160" w:line="259"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color w:val="FFFFFF"/>
                              </w:rPr>
                              <w:t>1</w:t>
                            </w:r>
                            <w:r>
                              <w:rPr>
                                <w:rFonts w:ascii="Times New Roman" w:eastAsia="Times New Roman" w:hAnsi="Times New Roman" w:cs="Times New Roman"/>
                                <w:b/>
                                <w:color w:val="FFFFFF"/>
                              </w:rPr>
                              <w:fldChar w:fldCharType="end"/>
                            </w:r>
                          </w:p>
                        </w:txbxContent>
                      </wps:txbx>
                      <wps:bodyPr horzOverflow="overflow" vert="horz" lIns="0" tIns="0" rIns="0" bIns="0" rtlCol="0">
                        <a:noAutofit/>
                      </wps:bodyPr>
                    </wps:wsp>
                    <wps:wsp>
                      <wps:cNvPr id="38891" name="Rectangle 38891"/>
                      <wps:cNvSpPr/>
                      <wps:spPr>
                        <a:xfrm>
                          <a:off x="151765" y="42088"/>
                          <a:ext cx="50673" cy="224380"/>
                        </a:xfrm>
                        <a:prstGeom prst="rect">
                          <a:avLst/>
                        </a:prstGeom>
                        <a:ln>
                          <a:noFill/>
                        </a:ln>
                      </wps:spPr>
                      <wps:txbx>
                        <w:txbxContent>
                          <w:p w14:paraId="4E10B282" w14:textId="77777777" w:rsidR="00C33641" w:rsidRDefault="00000000">
                            <w:pPr>
                              <w:spacing w:after="160" w:line="259" w:lineRule="auto"/>
                              <w:ind w:left="0" w:right="0" w:firstLine="0"/>
                              <w:jc w:val="left"/>
                            </w:pPr>
                            <w:r>
                              <w:rPr>
                                <w:rFonts w:ascii="Times New Roman" w:eastAsia="Times New Roman" w:hAnsi="Times New Roman" w:cs="Times New Roman"/>
                                <w:color w:val="FFFFFF"/>
                              </w:rPr>
                              <w:t xml:space="preserve"> </w:t>
                            </w:r>
                          </w:p>
                        </w:txbxContent>
                      </wps:txbx>
                      <wps:bodyPr horzOverflow="overflow" vert="horz" lIns="0" tIns="0" rIns="0" bIns="0" rtlCol="0">
                        <a:noAutofit/>
                      </wps:bodyPr>
                    </wps:wsp>
                  </wpg:wgp>
                </a:graphicData>
              </a:graphic>
            </wp:anchor>
          </w:drawing>
        </mc:Choice>
        <mc:Fallback>
          <w:pict>
            <v:group w14:anchorId="4E0B9E66" id="Group 38886" o:spid="_x0000_s1038" style="position:absolute;left:0;text-align:left;margin-left:538.95pt;margin-top:738.85pt;width:43.2pt;height:18.7pt;z-index:251663360;mso-position-horizontal-relative:page;mso-position-vertical-relative:page" coordsize="5486,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rlO9AQAAPEVAAAOAAAAZHJzL2Uyb0RvYy54bWzsWNtu2zgQfV9g/0HQ+8a6X4w4RS9psMCi&#10;LdruB9AyZQmQRYFSYqdfv8MhKYpWYqcNkC3Q5sGhyBlyeGbmkMPLV4dd49xR3tesXbn+hec6tC3Y&#10;pm63K/ffr+//ylynH0i7IQ1r6cq9p7376urPPy733ZIGrGLNhnIHJmn75b5budUwdMvFoi8quiP9&#10;BetoC4Ml4zsywCffLjac7GH2XbMIPC9Z7BnfdJwVtO+h950cdK9w/rKkxfCxLHs6OM3KBdsG/OX4&#10;uxa/i6tLstxy0lV1ocwgP2DFjtQtLDpO9Y4MxLnl9WyqXV1w1rNyuCjYbsHKsi4o7gF243tHu7nh&#10;7LbDvWyX+203wgTQHuH0w9MWH+5uePel+8QBiX23BSzwS+zlUPKd+A9WOgeE7H6EjB4Gp4DOOMqS&#10;CIAtYCgI0yhXkBYV4D7TKqrrk3oLvejCMmXfQXD0Zv/98/b/pSIdRVj7Jez/E3fqzcoNsyxLXacl&#10;OwhTFHFkFwKDkiNM/bIHxJ6H0bhXsixu++GGMgSb3P3TDzIqN7pFKt0qDq1ucojtk1HdkUHoCStF&#10;09kbb1Wjs8Tojt3RrwzlBuMyP09zLxIJApYakeJ2XRdv6Le5QgAaiS8zqsOJ/DTNIDaOQkOOhXkS&#10;REdjsJA9fdNOl4m93POTuY6WsnXlMnHoZcljNujgFQbOjJ8MWlDYq+i11WoqG2DCMI+zRKGnhWzV&#10;mQrAFeRT/CbGq7RSOgYI7D+Dm4FaS58yyDjNWlNiODNRdk83a2+yaFhPZQyJIMRgGgMT7Tah37Qi&#10;RvM4iIFPCBwGvN0gqQINths5SdPCFIIPZAJia7hvqIjepv1MS8hloCUf9Xq+Xb9tuHNHgP2vozfX&#10;mY5nFBU6Zd00o5Y31/LwD/tJ01VEzqVxVAvgrtRMYlKKB8/xtIWyRp4+wOGAnT6DAIlRCc1i7TDq&#10;t3ByYiRNdiuaa7a5R95GQIAgBYO/EFPCsX7MlJmwURgAnHqeKYNgzMsoTWIZ9uOp4gV5APCIU8XP&#10;0hwyWLpfH0kvx5jKEmBMZYhwj6FDmZChHyY5EpM21EjoXJOSUerHsW+JagE7cZR4luWxzDErG2Nl&#10;lsAn8gKLdSdjYFeIY2cYYqLix0kiWQh0Tpk21UnDPEilC2d2G//BOYTHwgQDM3jGQoOwpXLKQD/M&#10;UwmdUdEmqP6Z3ap/ioHtFr2g3IkUn6Ksx22tqfTMX8ZOy8Vmxzqm7Dm/n1nB2mfS6rMI8mHOPcfU&#10;vxatAokc0yreCH5NWn0gGw2v2tlgZdgsrU2KzanA5JkZO0NGjxHYqeSPDJObdTQdneTS6eBTiWmi&#10;81R2mqjMKGpivMVREyAeJimNiHSPgVpL6/GHnGmcZq2pguL41JtTsT3n99Pl74uouB//5BdReG9Q&#10;jPkZ6mHSbhsqynb5DPFk1kzjGK6golCNAi/DiyxcyNVThe/5YQRlJz5xBFEIJa19Ge24rGEc0YCq&#10;BQyRBYMq5YFNtIi4PIoShixb9h5Kj0eLmuGwPuCzBFYsYiPytu9UjH/7CA9uZcOgWILKHVuueIOD&#10;tcWo6zR/t/BEAsgMusF1Y60bfGjeMnwUk9a8vh1YWYuXB6wm5Grq40VLixxux/IMtD2K99gne9SP&#10;fVFVPOLS2EvS8P/yKNY6P4NH8ZEN3hWxfFVvoOLhcvqNEWBeaq/+AwAA//8DAFBLAwQUAAYACAAA&#10;ACEACnjvvuMAAAAPAQAADwAAAGRycy9kb3ducmV2LnhtbEyPT0vDQBDF74LfYRnBm93E/kmN2ZRS&#10;1FMRbIXibZudJqHZ2ZDdJum3d3pS5vIe83jzm2w12kb02PnakYJ4EoFAKpypqVTwvX9/WoLwQZPR&#10;jSNUcEUPq/z+LtOpcQN9Yb8LpeAS8qlWUIXQplL6okKr/cS1SLw7uc7qwLYrpen0wOW2kc9RtJBW&#10;18QXKt3ipsLivLtYBR+DHtbT+K3fnk+b689+/nnYxqjU48O4fgURcAx/YbjhMzrkzHR0FzJeNOyj&#10;JHnhLKtZkiQgbpl4MZuCOLKa84DMM/n/j/wXAAD//wMAUEsBAi0AFAAGAAgAAAAhALaDOJL+AAAA&#10;4QEAABMAAAAAAAAAAAAAAAAAAAAAAFtDb250ZW50X1R5cGVzXS54bWxQSwECLQAUAAYACAAAACEA&#10;OP0h/9YAAACUAQAACwAAAAAAAAAAAAAAAAAvAQAAX3JlbHMvLnJlbHNQSwECLQAUAAYACAAAACEA&#10;PPa5TvQEAADxFQAADgAAAAAAAAAAAAAAAAAuAgAAZHJzL2Uyb0RvYy54bWxQSwECLQAUAAYACAAA&#10;ACEACnjvvuMAAAAPAQAADwAAAAAAAAAAAAAAAABOBwAAZHJzL2Rvd25yZXYueG1sUEsFBgAAAAAE&#10;AAQA8wAAAF4IAAAAAA==&#10;">
              <v:shape id="Shape 38887" o:spid="_x0000_s1039" style="position:absolute;width:5486;height:2374;visibility:visible;mso-wrap-style:square;v-text-anchor:top" coordsize="54864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HABwwAAAN4AAAAPAAAAZHJzL2Rvd25yZXYueG1sRI9LiwIx&#10;EITvwv6H0AveNLMq7jBrFBEWBA/i695MeueZTphkdfz3RhA8FlX1FbVY9aYVV+p8ZVnB1zgBQZxb&#10;XXGh4Hz6HaUgfEDW2FomBXfysFp+DBaYaXvjA12PoRARwj5DBWUILpPS5yUZ9GPriKP3ZzuDIcqu&#10;kLrDW4SbVk6SZC4NVhwXSnS0KSlvjv9Gga5dsU8OZubXl10+1a6pL9uzUsPPfv0DIlAf3uFXe6sV&#10;TNM0/YbnnXgF5PIBAAD//wMAUEsBAi0AFAAGAAgAAAAhANvh9svuAAAAhQEAABMAAAAAAAAAAAAA&#10;AAAAAAAAAFtDb250ZW50X1R5cGVzXS54bWxQSwECLQAUAAYACAAAACEAWvQsW78AAAAVAQAACwAA&#10;AAAAAAAAAAAAAAAfAQAAX3JlbHMvLnJlbHNQSwECLQAUAAYACAAAACEA6rhwAcMAAADeAAAADwAA&#10;AAAAAAAAAAAAAAAHAgAAZHJzL2Rvd25yZXYueG1sUEsFBgAAAAADAAMAtwAAAPcCAAAAAA==&#10;" path="m,197904v,21857,17780,39586,39624,39586l509016,237490v21844,,39624,-17729,39624,-39586l548640,39586c548640,17729,530860,,509016,l39624,c17780,,,17729,,39586l,197904xe" filled="f" strokecolor="#e4be84">
                <v:stroke endcap="round"/>
                <v:path arrowok="t" textboxrect="0,0,548640,237490"/>
              </v:shape>
              <v:shape id="Shape 38888" o:spid="_x0000_s1040" style="position:absolute;left:228;top:247;width:5029;height:1880;visibility:visible;mso-wrap-style:square;v-text-anchor:top" coordsize="50292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r5kwgAAAN4AAAAPAAAAZHJzL2Rvd25yZXYueG1sRE9NawIx&#10;FLwX/A/hCb3VrApFVqOIKAhSbNNevD02z83i5mXZRI3/3hQKndswX8xilVwrbtSHxrOC8agAQVx5&#10;03Ct4Od79zYDESKywdYzKXhQgNVy8LLA0vg7f9FNx1rkEg4lKrAxdqWUobLkMIx8R5y1s+8dxkz7&#10;Wpoe77nctXJSFO/SYcN5wWJHG0vVRV+dgsNxwmN92H6e9KXbpIe2H36blHodpvUcRKQU/81/6b1R&#10;MJ1lwO+dfAXk8gkAAP//AwBQSwECLQAUAAYACAAAACEA2+H2y+4AAACFAQAAEwAAAAAAAAAAAAAA&#10;AAAAAAAAW0NvbnRlbnRfVHlwZXNdLnhtbFBLAQItABQABgAIAAAAIQBa9CxbvwAAABUBAAALAAAA&#10;AAAAAAAAAAAAAB8BAABfcmVscy8ucmVsc1BLAQItABQABgAIAAAAIQA88r5kwgAAAN4AAAAPAAAA&#10;AAAAAAAAAAAAAAcCAABkcnMvZG93bnJldi54bWxQSwUGAAAAAAMAAwC3AAAA9gIAAAAA&#10;" path="m31369,l471551,v17399,,31369,14021,31369,31331l502920,156629v,17298,-13970,31331,-31369,31331l31369,187960c13970,187960,,173927,,156629l,31331c,14021,13970,,31369,xe" fillcolor="#e4be84" stroked="f" strokeweight="0">
                <v:stroke endcap="round"/>
                <v:path arrowok="t" textboxrect="0,0,502920,187960"/>
              </v:shape>
              <v:shape id="Shape 38889" o:spid="_x0000_s1041" style="position:absolute;left:228;top:247;width:5029;height:1880;visibility:visible;mso-wrap-style:square;v-text-anchor:top" coordsize="50292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l8kxwAAAN4AAAAPAAAAZHJzL2Rvd25yZXYueG1sRI9Pa8JA&#10;FMTvBb/D8oTe6sYIEqOriKVgK4p/cvH2yD6TYPZtyG41fntXKPQ4zMxvmNmiM7W4UesqywqGgwgE&#10;cW51xYWC7PT1kYBwHlljbZkUPMjBYt57m2Gq7Z0PdDv6QgQIuxQVlN43qZQuL8mgG9iGOHgX2xr0&#10;QbaF1C3eA9zUMo6isTRYcVgosaFVSfn1+GsU+Dj++d4dxtt6t/+cmKzaDM/ZRqn3frecgvDU+f/w&#10;X3utFYySJJnA6064AnL+BAAA//8DAFBLAQItABQABgAIAAAAIQDb4fbL7gAAAIUBAAATAAAAAAAA&#10;AAAAAAAAAAAAAABbQ29udGVudF9UeXBlc10ueG1sUEsBAi0AFAAGAAgAAAAhAFr0LFu/AAAAFQEA&#10;AAsAAAAAAAAAAAAAAAAAHwEAAF9yZWxzLy5yZWxzUEsBAi0AFAAGAAgAAAAhAEwmXyTHAAAA3gAA&#10;AA8AAAAAAAAAAAAAAAAABwIAAGRycy9kb3ducmV2LnhtbFBLBQYAAAAAAwADALcAAAD7AgAAAAA=&#10;" path="m,156629v,17298,13970,31331,31369,31331l471551,187960v17399,,31369,-14033,31369,-31331l502920,31331c502920,14021,488950,,471551,l31369,c13970,,,14021,,31331l,156629xe" filled="f" strokecolor="#e4be84">
                <v:stroke endcap="round"/>
                <v:path arrowok="t" textboxrect="0,0,502920,187960"/>
              </v:shape>
              <v:rect id="Rectangle 38890" o:spid="_x0000_s1042" style="position:absolute;left:755;top:420;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F3RxgAAAN4AAAAPAAAAZHJzL2Rvd25yZXYueG1sRI/NasJA&#10;FIX3hb7DcIXu6sQKJYmOIq2iyzYpWHeXzDUJztwJmdGkffrOouDycP74luvRGnGj3reOFcymCQji&#10;yumWawVf5e45BeEDskbjmBT8kIf16vFhibl2A3/SrQi1iCPsc1TQhNDlUvqqIYt+6jri6J1dbzFE&#10;2ddS9zjEcWvkS5K8Sostx4cGO3prqLoUV6tgn3ab74P7HWqzPe2PH8fsvcyCUk+TcbMAEWgM9/B/&#10;+6AVzNM0iwARJ6KAXP0BAAD//wMAUEsBAi0AFAAGAAgAAAAhANvh9svuAAAAhQEAABMAAAAAAAAA&#10;AAAAAAAAAAAAAFtDb250ZW50X1R5cGVzXS54bWxQSwECLQAUAAYACAAAACEAWvQsW78AAAAVAQAA&#10;CwAAAAAAAAAAAAAAAAAfAQAAX3JlbHMvLnJlbHNQSwECLQAUAAYACAAAACEAbtRd0cYAAADeAAAA&#10;DwAAAAAAAAAAAAAAAAAHAgAAZHJzL2Rvd25yZXYueG1sUEsFBgAAAAADAAMAtwAAAPoCAAAAAA==&#10;" filled="f" stroked="f">
                <v:textbox inset="0,0,0,0">
                  <w:txbxContent>
                    <w:p w14:paraId="158440A5" w14:textId="77777777" w:rsidR="00C33641" w:rsidRDefault="00000000">
                      <w:pPr>
                        <w:spacing w:after="160" w:line="259"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color w:val="FFFFFF"/>
                        </w:rPr>
                        <w:t>1</w:t>
                      </w:r>
                      <w:r>
                        <w:rPr>
                          <w:rFonts w:ascii="Times New Roman" w:eastAsia="Times New Roman" w:hAnsi="Times New Roman" w:cs="Times New Roman"/>
                          <w:b/>
                          <w:color w:val="FFFFFF"/>
                        </w:rPr>
                        <w:fldChar w:fldCharType="end"/>
                      </w:r>
                    </w:p>
                  </w:txbxContent>
                </v:textbox>
              </v:rect>
              <v:rect id="Rectangle 38891" o:spid="_x0000_s1043" style="position:absolute;left:1517;top:42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PhKxgAAAN4AAAAPAAAAZHJzL2Rvd25yZXYueG1sRI9Ba8JA&#10;FITvBf/D8gRvdaMFSaKriLbosVVBvT2yzySYfRuyWxP99d2C4HGYmW+Y2aIzlbhR40rLCkbDCARx&#10;ZnXJuYLD/us9BuE8ssbKMim4k4PFvPc2w1Tbln/otvO5CBB2KSoovK9TKV1WkEE3tDVx8C62MeiD&#10;bHKpG2wD3FRyHEUTabDksFBgTauCsuvu1yjYxPXytLWPNq8+z5vj9zFZ7xOv1KDfLacgPHX+FX62&#10;t1rBRxwnI/i/E66AnP8BAAD//wMAUEsBAi0AFAAGAAgAAAAhANvh9svuAAAAhQEAABMAAAAAAAAA&#10;AAAAAAAAAAAAAFtDb250ZW50X1R5cGVzXS54bWxQSwECLQAUAAYACAAAACEAWvQsW78AAAAVAQAA&#10;CwAAAAAAAAAAAAAAAAAfAQAAX3JlbHMvLnJlbHNQSwECLQAUAAYACAAAACEAAZj4SsYAAADeAAAA&#10;DwAAAAAAAAAAAAAAAAAHAgAAZHJzL2Rvd25yZXYueG1sUEsFBgAAAAADAAMAtwAAAPoCAAAAAA==&#10;" filled="f" stroked="f">
                <v:textbox inset="0,0,0,0">
                  <w:txbxContent>
                    <w:p w14:paraId="4E10B282" w14:textId="77777777" w:rsidR="00C33641" w:rsidRDefault="00000000">
                      <w:pPr>
                        <w:spacing w:after="160" w:line="259" w:lineRule="auto"/>
                        <w:ind w:left="0" w:right="0" w:firstLine="0"/>
                        <w:jc w:val="left"/>
                      </w:pPr>
                      <w:r>
                        <w:rPr>
                          <w:rFonts w:ascii="Times New Roman" w:eastAsia="Times New Roman" w:hAnsi="Times New Roman" w:cs="Times New Roman"/>
                          <w:color w:val="FFFFFF"/>
                        </w:rPr>
                        <w:t xml:space="preserve"> </w:t>
                      </w:r>
                    </w:p>
                  </w:txbxContent>
                </v:textbox>
              </v:rect>
              <w10:wrap type="square" anchorx="page" anchory="page"/>
            </v:group>
          </w:pict>
        </mc:Fallback>
      </mc:AlternateContent>
    </w:r>
    <w:r>
      <w:rPr>
        <w:rFonts w:ascii="Times New Roman" w:eastAsia="Times New Roman" w:hAnsi="Times New Roman" w:cs="Times New Roman"/>
      </w:rPr>
      <w:t xml:space="preserve"> </w:t>
    </w:r>
  </w:p>
  <w:p w14:paraId="1BBFACF1" w14:textId="77777777" w:rsidR="00C33641" w:rsidRDefault="00000000">
    <w:pPr>
      <w:spacing w:after="0" w:line="259" w:lineRule="auto"/>
      <w:ind w:left="0" w:righ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B07DA" w14:textId="77777777" w:rsidR="007C1B42" w:rsidRDefault="007C1B42">
      <w:pPr>
        <w:spacing w:after="0" w:line="240" w:lineRule="auto"/>
      </w:pPr>
      <w:r>
        <w:separator/>
      </w:r>
    </w:p>
  </w:footnote>
  <w:footnote w:type="continuationSeparator" w:id="0">
    <w:p w14:paraId="1ED8C948" w14:textId="77777777" w:rsidR="007C1B42" w:rsidRDefault="007C1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C8B6" w14:textId="77777777" w:rsidR="00C33641" w:rsidRDefault="00000000">
    <w:pPr>
      <w:tabs>
        <w:tab w:val="right" w:pos="9365"/>
      </w:tabs>
      <w:spacing w:after="0" w:line="259" w:lineRule="auto"/>
      <w:ind w:left="0" w:right="0" w:firstLine="0"/>
      <w:jc w:val="left"/>
    </w:pPr>
    <w:r>
      <w:t xml:space="preserve">International Research Journal of Rongo University (IJORU)                  </w:t>
    </w:r>
    <w:r>
      <w:tab/>
      <w:t xml:space="preserve">Received 15/07/2025  </w:t>
    </w:r>
  </w:p>
  <w:p w14:paraId="467ADC56" w14:textId="77777777" w:rsidR="00C33641" w:rsidRDefault="00000000">
    <w:pPr>
      <w:tabs>
        <w:tab w:val="right" w:pos="9365"/>
      </w:tabs>
      <w:spacing w:after="0" w:line="259" w:lineRule="auto"/>
      <w:ind w:left="0" w:right="0" w:firstLine="0"/>
      <w:jc w:val="left"/>
    </w:pPr>
    <w:r>
      <w:t xml:space="preserve">2025, VOL. 3, NO. 2, 1 – 13  </w:t>
    </w:r>
    <w:r>
      <w:tab/>
      <w:t xml:space="preserve">Revised 18/09/2025 </w:t>
    </w:r>
  </w:p>
  <w:p w14:paraId="7263B092" w14:textId="77777777" w:rsidR="00C33641" w:rsidRDefault="00000000">
    <w:pPr>
      <w:tabs>
        <w:tab w:val="right" w:pos="9365"/>
      </w:tabs>
      <w:spacing w:after="0" w:line="259" w:lineRule="auto"/>
      <w:ind w:left="0" w:right="0" w:firstLine="0"/>
      <w:jc w:val="left"/>
    </w:pPr>
    <w:r>
      <w:t xml:space="preserve">ISSN: 3005-7221                                                                                                          </w:t>
    </w:r>
    <w:r>
      <w:tab/>
      <w:t xml:space="preserve">Accepted 05/10/2025 </w:t>
    </w:r>
  </w:p>
  <w:p w14:paraId="7579CF5E" w14:textId="77777777" w:rsidR="00C33641" w:rsidRDefault="00000000">
    <w:pPr>
      <w:spacing w:after="0" w:line="259" w:lineRule="auto"/>
      <w:ind w:left="-1440" w:right="-1420" w:firstLine="0"/>
      <w:jc w:val="left"/>
    </w:pPr>
    <w:r>
      <w:rPr>
        <w:noProof/>
        <w:sz w:val="22"/>
      </w:rPr>
      <mc:AlternateContent>
        <mc:Choice Requires="wpg">
          <w:drawing>
            <wp:anchor distT="0" distB="0" distL="114300" distR="114300" simplePos="0" relativeHeight="251658240" behindDoc="0" locked="0" layoutInCell="1" allowOverlap="1" wp14:anchorId="111810A3" wp14:editId="6342FCD4">
              <wp:simplePos x="0" y="0"/>
              <wp:positionH relativeFrom="page">
                <wp:posOffset>0</wp:posOffset>
              </wp:positionH>
              <wp:positionV relativeFrom="page">
                <wp:posOffset>880745</wp:posOffset>
              </wp:positionV>
              <wp:extent cx="7762875" cy="59690"/>
              <wp:effectExtent l="0" t="0" r="0" b="0"/>
              <wp:wrapSquare wrapText="bothSides"/>
              <wp:docPr id="39017" name="Group 39017"/>
              <wp:cNvGraphicFramePr/>
              <a:graphic xmlns:a="http://schemas.openxmlformats.org/drawingml/2006/main">
                <a:graphicData uri="http://schemas.microsoft.com/office/word/2010/wordprocessingGroup">
                  <wpg:wgp>
                    <wpg:cNvGrpSpPr/>
                    <wpg:grpSpPr>
                      <a:xfrm>
                        <a:off x="0" y="0"/>
                        <a:ext cx="7762875" cy="59690"/>
                        <a:chOff x="0" y="0"/>
                        <a:chExt cx="7762875" cy="59690"/>
                      </a:xfrm>
                    </wpg:grpSpPr>
                    <wps:wsp>
                      <wps:cNvPr id="39018" name="Shape 39018"/>
                      <wps:cNvSpPr/>
                      <wps:spPr>
                        <a:xfrm>
                          <a:off x="0" y="59690"/>
                          <a:ext cx="7762875" cy="0"/>
                        </a:xfrm>
                        <a:custGeom>
                          <a:avLst/>
                          <a:gdLst/>
                          <a:ahLst/>
                          <a:cxnLst/>
                          <a:rect l="0" t="0" r="0" b="0"/>
                          <a:pathLst>
                            <a:path w="7762875">
                              <a:moveTo>
                                <a:pt x="0" y="0"/>
                              </a:moveTo>
                              <a:lnTo>
                                <a:pt x="7762875" y="0"/>
                              </a:lnTo>
                            </a:path>
                          </a:pathLst>
                        </a:custGeom>
                        <a:ln w="19050" cap="flat">
                          <a:round/>
                        </a:ln>
                      </wps:spPr>
                      <wps:style>
                        <a:lnRef idx="1">
                          <a:srgbClr val="4472C4"/>
                        </a:lnRef>
                        <a:fillRef idx="0">
                          <a:srgbClr val="000000">
                            <a:alpha val="0"/>
                          </a:srgbClr>
                        </a:fillRef>
                        <a:effectRef idx="0">
                          <a:scrgbClr r="0" g="0" b="0"/>
                        </a:effectRef>
                        <a:fontRef idx="none"/>
                      </wps:style>
                      <wps:bodyPr/>
                    </wps:wsp>
                    <wps:wsp>
                      <wps:cNvPr id="39019" name="Shape 39019"/>
                      <wps:cNvSpPr/>
                      <wps:spPr>
                        <a:xfrm>
                          <a:off x="0" y="0"/>
                          <a:ext cx="7762875" cy="0"/>
                        </a:xfrm>
                        <a:custGeom>
                          <a:avLst/>
                          <a:gdLst/>
                          <a:ahLst/>
                          <a:cxnLst/>
                          <a:rect l="0" t="0" r="0" b="0"/>
                          <a:pathLst>
                            <a:path w="7762875">
                              <a:moveTo>
                                <a:pt x="0" y="0"/>
                              </a:moveTo>
                              <a:lnTo>
                                <a:pt x="7762875" y="0"/>
                              </a:lnTo>
                            </a:path>
                          </a:pathLst>
                        </a:custGeom>
                        <a:ln w="76200" cap="flat">
                          <a:round/>
                        </a:ln>
                      </wps:spPr>
                      <wps:style>
                        <a:lnRef idx="1">
                          <a:srgbClr val="4472C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9017" style="width:611.25pt;height:4.70001pt;position:absolute;mso-position-horizontal-relative:page;mso-position-horizontal:absolute;margin-left:0pt;mso-position-vertical-relative:page;margin-top:69.35pt;" coordsize="77628,596">
              <v:shape id="Shape 39018" style="position:absolute;width:77628;height:0;left:0;top:596;" coordsize="7762875,0" path="m0,0l7762875,0">
                <v:stroke weight="1.5pt" endcap="flat" joinstyle="round" on="true" color="#4472c4"/>
                <v:fill on="false" color="#000000" opacity="0"/>
              </v:shape>
              <v:shape id="Shape 39019" style="position:absolute;width:77628;height:0;left:0;top:0;" coordsize="7762875,0" path="m0,0l7762875,0">
                <v:stroke weight="6pt" endcap="flat" joinstyle="round" on="true" color="#4472c4"/>
                <v:fill on="false" color="#000000" opacity="0"/>
              </v:shape>
              <w10:wrap type="squar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A9B0" w14:textId="7223F1B2" w:rsidR="00C33641" w:rsidRDefault="00000000">
    <w:pPr>
      <w:spacing w:after="0" w:line="259" w:lineRule="auto"/>
      <w:ind w:left="-1440" w:right="-142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842C" w14:textId="77777777" w:rsidR="00C33641" w:rsidRDefault="00000000">
    <w:pPr>
      <w:tabs>
        <w:tab w:val="right" w:pos="9365"/>
      </w:tabs>
      <w:spacing w:after="0" w:line="259" w:lineRule="auto"/>
      <w:ind w:left="0" w:right="0" w:firstLine="0"/>
      <w:jc w:val="left"/>
    </w:pPr>
    <w:r>
      <w:t xml:space="preserve">International Research Journal of Rongo University (IJORU)                  </w:t>
    </w:r>
    <w:r>
      <w:tab/>
      <w:t xml:space="preserve">Received 15/07/2025  </w:t>
    </w:r>
  </w:p>
  <w:p w14:paraId="4DC6740F" w14:textId="77777777" w:rsidR="00C33641" w:rsidRDefault="00000000">
    <w:pPr>
      <w:tabs>
        <w:tab w:val="right" w:pos="9365"/>
      </w:tabs>
      <w:spacing w:after="0" w:line="259" w:lineRule="auto"/>
      <w:ind w:left="0" w:right="0" w:firstLine="0"/>
      <w:jc w:val="left"/>
    </w:pPr>
    <w:r>
      <w:t xml:space="preserve">2025, VOL. 3, NO. 2, 1 – 13  </w:t>
    </w:r>
    <w:r>
      <w:tab/>
      <w:t xml:space="preserve">Revised 18/09/2025 </w:t>
    </w:r>
  </w:p>
  <w:p w14:paraId="515F48D4" w14:textId="77777777" w:rsidR="00C33641" w:rsidRDefault="00000000">
    <w:pPr>
      <w:tabs>
        <w:tab w:val="right" w:pos="9365"/>
      </w:tabs>
      <w:spacing w:after="0" w:line="259" w:lineRule="auto"/>
      <w:ind w:left="0" w:right="0" w:firstLine="0"/>
      <w:jc w:val="left"/>
    </w:pPr>
    <w:r>
      <w:t xml:space="preserve">ISSN: 3005-7221                                                                                                          </w:t>
    </w:r>
    <w:r>
      <w:tab/>
      <w:t xml:space="preserve">Accepted 05/10/2025 </w:t>
    </w:r>
  </w:p>
  <w:p w14:paraId="4F79BDA3" w14:textId="77777777" w:rsidR="00C33641" w:rsidRDefault="00000000">
    <w:pPr>
      <w:spacing w:after="0" w:line="259" w:lineRule="auto"/>
      <w:ind w:left="-1440" w:right="-1420" w:firstLine="0"/>
      <w:jc w:val="left"/>
    </w:pPr>
    <w:r>
      <w:rPr>
        <w:noProof/>
        <w:sz w:val="22"/>
      </w:rPr>
      <mc:AlternateContent>
        <mc:Choice Requires="wpg">
          <w:drawing>
            <wp:anchor distT="0" distB="0" distL="114300" distR="114300" simplePos="0" relativeHeight="251660288" behindDoc="0" locked="0" layoutInCell="1" allowOverlap="1" wp14:anchorId="1690F4E8" wp14:editId="5210153D">
              <wp:simplePos x="0" y="0"/>
              <wp:positionH relativeFrom="page">
                <wp:posOffset>0</wp:posOffset>
              </wp:positionH>
              <wp:positionV relativeFrom="page">
                <wp:posOffset>880745</wp:posOffset>
              </wp:positionV>
              <wp:extent cx="7762875" cy="59690"/>
              <wp:effectExtent l="0" t="0" r="0" b="0"/>
              <wp:wrapSquare wrapText="bothSides"/>
              <wp:docPr id="38877" name="Group 38877"/>
              <wp:cNvGraphicFramePr/>
              <a:graphic xmlns:a="http://schemas.openxmlformats.org/drawingml/2006/main">
                <a:graphicData uri="http://schemas.microsoft.com/office/word/2010/wordprocessingGroup">
                  <wpg:wgp>
                    <wpg:cNvGrpSpPr/>
                    <wpg:grpSpPr>
                      <a:xfrm>
                        <a:off x="0" y="0"/>
                        <a:ext cx="7762875" cy="59690"/>
                        <a:chOff x="0" y="0"/>
                        <a:chExt cx="7762875" cy="59690"/>
                      </a:xfrm>
                    </wpg:grpSpPr>
                    <wps:wsp>
                      <wps:cNvPr id="38878" name="Shape 38878"/>
                      <wps:cNvSpPr/>
                      <wps:spPr>
                        <a:xfrm>
                          <a:off x="0" y="59690"/>
                          <a:ext cx="7762875" cy="0"/>
                        </a:xfrm>
                        <a:custGeom>
                          <a:avLst/>
                          <a:gdLst/>
                          <a:ahLst/>
                          <a:cxnLst/>
                          <a:rect l="0" t="0" r="0" b="0"/>
                          <a:pathLst>
                            <a:path w="7762875">
                              <a:moveTo>
                                <a:pt x="0" y="0"/>
                              </a:moveTo>
                              <a:lnTo>
                                <a:pt x="7762875" y="0"/>
                              </a:lnTo>
                            </a:path>
                          </a:pathLst>
                        </a:custGeom>
                        <a:ln w="19050" cap="flat">
                          <a:round/>
                        </a:ln>
                      </wps:spPr>
                      <wps:style>
                        <a:lnRef idx="1">
                          <a:srgbClr val="4472C4"/>
                        </a:lnRef>
                        <a:fillRef idx="0">
                          <a:srgbClr val="000000">
                            <a:alpha val="0"/>
                          </a:srgbClr>
                        </a:fillRef>
                        <a:effectRef idx="0">
                          <a:scrgbClr r="0" g="0" b="0"/>
                        </a:effectRef>
                        <a:fontRef idx="none"/>
                      </wps:style>
                      <wps:bodyPr/>
                    </wps:wsp>
                    <wps:wsp>
                      <wps:cNvPr id="38879" name="Shape 38879"/>
                      <wps:cNvSpPr/>
                      <wps:spPr>
                        <a:xfrm>
                          <a:off x="0" y="0"/>
                          <a:ext cx="7762875" cy="0"/>
                        </a:xfrm>
                        <a:custGeom>
                          <a:avLst/>
                          <a:gdLst/>
                          <a:ahLst/>
                          <a:cxnLst/>
                          <a:rect l="0" t="0" r="0" b="0"/>
                          <a:pathLst>
                            <a:path w="7762875">
                              <a:moveTo>
                                <a:pt x="0" y="0"/>
                              </a:moveTo>
                              <a:lnTo>
                                <a:pt x="7762875" y="0"/>
                              </a:lnTo>
                            </a:path>
                          </a:pathLst>
                        </a:custGeom>
                        <a:ln w="76200" cap="flat">
                          <a:round/>
                        </a:ln>
                      </wps:spPr>
                      <wps:style>
                        <a:lnRef idx="1">
                          <a:srgbClr val="4472C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8877" style="width:611.25pt;height:4.70001pt;position:absolute;mso-position-horizontal-relative:page;mso-position-horizontal:absolute;margin-left:0pt;mso-position-vertical-relative:page;margin-top:69.35pt;" coordsize="77628,596">
              <v:shape id="Shape 38878" style="position:absolute;width:77628;height:0;left:0;top:596;" coordsize="7762875,0" path="m0,0l7762875,0">
                <v:stroke weight="1.5pt" endcap="flat" joinstyle="round" on="true" color="#4472c4"/>
                <v:fill on="false" color="#000000" opacity="0"/>
              </v:shape>
              <v:shape id="Shape 38879" style="position:absolute;width:77628;height:0;left:0;top:0;" coordsize="7762875,0" path="m0,0l7762875,0">
                <v:stroke weight="6pt" endcap="flat" joinstyle="round" on="true" color="#4472c4"/>
                <v:fill on="false" color="#000000" opacity="0"/>
              </v:shape>
              <w10:wrap type="squar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11F91"/>
    <w:multiLevelType w:val="multilevel"/>
    <w:tmpl w:val="67B6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3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641"/>
    <w:rsid w:val="00101077"/>
    <w:rsid w:val="00343C02"/>
    <w:rsid w:val="00446722"/>
    <w:rsid w:val="006E70B9"/>
    <w:rsid w:val="0070756F"/>
    <w:rsid w:val="0071644E"/>
    <w:rsid w:val="0079329A"/>
    <w:rsid w:val="007C1B42"/>
    <w:rsid w:val="00884159"/>
    <w:rsid w:val="00BB6567"/>
    <w:rsid w:val="00C33641"/>
    <w:rsid w:val="00CA65A7"/>
    <w:rsid w:val="00D46EB4"/>
    <w:rsid w:val="00D66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2C51"/>
  <w15:docId w15:val="{D0DE47CB-C14A-424C-AE8B-0CAEC752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4" w:line="230" w:lineRule="auto"/>
      <w:ind w:left="10" w:right="4"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77" w:line="259" w:lineRule="auto"/>
      <w:ind w:left="10" w:right="4" w:hanging="10"/>
      <w:outlineLvl w:val="0"/>
    </w:pPr>
    <w:rPr>
      <w:rFonts w:ascii="Calibri" w:eastAsia="Calibri" w:hAnsi="Calibri" w:cs="Calibri"/>
      <w:b/>
      <w:color w:val="000000"/>
    </w:rPr>
  </w:style>
  <w:style w:type="paragraph" w:styleId="Heading2">
    <w:name w:val="heading 2"/>
    <w:basedOn w:val="Normal"/>
    <w:next w:val="Normal"/>
    <w:link w:val="Heading2Char"/>
    <w:uiPriority w:val="9"/>
    <w:semiHidden/>
    <w:unhideWhenUsed/>
    <w:qFormat/>
    <w:rsid w:val="001010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9329A"/>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10107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9329A"/>
    <w:rPr>
      <w:rFonts w:asciiTheme="majorHAnsi" w:eastAsiaTheme="majorEastAsia" w:hAnsiTheme="majorHAnsi" w:cstheme="majorBidi"/>
      <w:color w:val="1F3763" w:themeColor="accent1" w:themeShade="7F"/>
    </w:rPr>
  </w:style>
  <w:style w:type="paragraph" w:styleId="Caption">
    <w:name w:val="caption"/>
    <w:basedOn w:val="Normal"/>
    <w:next w:val="Normal"/>
    <w:uiPriority w:val="35"/>
    <w:unhideWhenUsed/>
    <w:qFormat/>
    <w:rsid w:val="0079329A"/>
    <w:pPr>
      <w:spacing w:after="200" w:line="240" w:lineRule="auto"/>
      <w:ind w:left="0" w:right="0" w:firstLine="0"/>
      <w:jc w:val="left"/>
    </w:pPr>
    <w:rPr>
      <w:rFonts w:asciiTheme="minorHAnsi" w:eastAsiaTheme="minorHAnsi" w:hAnsiTheme="minorHAnsi" w:cstheme="minorBidi"/>
      <w:i/>
      <w:iCs/>
      <w:color w:val="44546A" w:themeColor="text2"/>
      <w:sz w:val="18"/>
      <w:szCs w:val="18"/>
    </w:rPr>
  </w:style>
  <w:style w:type="paragraph" w:styleId="NormalWeb">
    <w:name w:val="Normal (Web)"/>
    <w:basedOn w:val="Normal"/>
    <w:uiPriority w:val="99"/>
    <w:semiHidden/>
    <w:unhideWhenUsed/>
    <w:rsid w:val="0079329A"/>
    <w:pPr>
      <w:spacing w:before="100" w:beforeAutospacing="1" w:after="100" w:afterAutospacing="1" w:line="240" w:lineRule="auto"/>
      <w:ind w:left="0" w:right="0" w:firstLine="0"/>
      <w:jc w:val="left"/>
    </w:pPr>
    <w:rPr>
      <w:rFonts w:ascii="Times New Roman" w:eastAsia="Times New Roman" w:hAnsi="Times New Roman" w:cs="Times New Roman"/>
      <w:color w:val="auto"/>
      <w:kern w:val="0"/>
      <w14:ligatures w14:val="none"/>
    </w:rPr>
  </w:style>
  <w:style w:type="character" w:styleId="Hyperlink">
    <w:name w:val="Hyperlink"/>
    <w:basedOn w:val="DefaultParagraphFont"/>
    <w:unhideWhenUsed/>
    <w:rsid w:val="0071644E"/>
    <w:rPr>
      <w:color w:val="0563C1" w:themeColor="hyperlink"/>
      <w:u w:val="single"/>
    </w:rPr>
  </w:style>
  <w:style w:type="character" w:styleId="UnresolvedMention">
    <w:name w:val="Unresolved Mention"/>
    <w:basedOn w:val="DefaultParagraphFont"/>
    <w:uiPriority w:val="99"/>
    <w:semiHidden/>
    <w:unhideWhenUsed/>
    <w:rsid w:val="00716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ailasha@uonbi.ac.ke"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mobarack@au.ac.ke" TargetMode="Externa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23</Pages>
  <Words>10169</Words>
  <Characters>57965</Characters>
  <Application>Microsoft Office Word</Application>
  <DocSecurity>0</DocSecurity>
  <Lines>483</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wesonga wanjala</cp:lastModifiedBy>
  <cp:revision>5</cp:revision>
  <dcterms:created xsi:type="dcterms:W3CDTF">2026-06-06T10:55:00Z</dcterms:created>
  <dcterms:modified xsi:type="dcterms:W3CDTF">2026-06-12T11:02:00Z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798bcb34-b8b0-4690-8f6f-b2ce1ebaf648</vt:lpwstr>
  </property>
</Properties>
</file>