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B892" w14:textId="0075170E" w:rsidR="009E3724" w:rsidRDefault="00710C81" w:rsidP="00107454">
      <w:pPr>
        <w:spacing w:after="0"/>
        <w:rPr>
          <w:rFonts w:ascii="Times New Roman" w:hAnsi="Times New Roman" w:cs="Times New Roman"/>
          <w:b/>
          <w:bCs/>
          <w:sz w:val="28"/>
          <w:szCs w:val="28"/>
        </w:rPr>
      </w:pPr>
      <w:r w:rsidRPr="00D2722A">
        <w:rPr>
          <w:rFonts w:ascii="Times New Roman" w:hAnsi="Times New Roman" w:cs="Times New Roman"/>
          <w:b/>
          <w:bCs/>
          <w:sz w:val="28"/>
          <w:szCs w:val="28"/>
        </w:rPr>
        <w:t xml:space="preserve">"Impact of Sub-Lethal Monosodium Glutamate Exposure on Hepatic Protein Profiles in </w:t>
      </w:r>
      <w:r w:rsidRPr="00D2722A">
        <w:rPr>
          <w:rFonts w:ascii="Times New Roman" w:hAnsi="Times New Roman" w:cs="Times New Roman"/>
          <w:b/>
          <w:bCs/>
          <w:i/>
          <w:iCs/>
          <w:sz w:val="28"/>
          <w:szCs w:val="28"/>
        </w:rPr>
        <w:t>Labeo rohita</w:t>
      </w:r>
      <w:r w:rsidRPr="00D2722A">
        <w:rPr>
          <w:rFonts w:ascii="Times New Roman" w:hAnsi="Times New Roman" w:cs="Times New Roman"/>
          <w:b/>
          <w:bCs/>
          <w:sz w:val="28"/>
          <w:szCs w:val="28"/>
        </w:rPr>
        <w:t>"</w:t>
      </w:r>
    </w:p>
    <w:p w14:paraId="33390194" w14:textId="77777777" w:rsidR="00D2722A" w:rsidRPr="00D2722A" w:rsidRDefault="00D2722A" w:rsidP="00107454">
      <w:pPr>
        <w:spacing w:after="0"/>
        <w:rPr>
          <w:rFonts w:ascii="Times New Roman" w:hAnsi="Times New Roman" w:cs="Times New Roman"/>
          <w:b/>
          <w:bCs/>
          <w:sz w:val="28"/>
          <w:szCs w:val="28"/>
        </w:rPr>
      </w:pPr>
    </w:p>
    <w:p w14:paraId="4758E837" w14:textId="35266538" w:rsidR="00710C81" w:rsidRPr="00710C81" w:rsidRDefault="00710C81" w:rsidP="005326FF">
      <w:pPr>
        <w:spacing w:after="0"/>
        <w:jc w:val="center"/>
        <w:rPr>
          <w:rFonts w:ascii="Times New Roman" w:hAnsi="Times New Roman" w:cs="Times New Roman"/>
          <w:sz w:val="22"/>
          <w:szCs w:val="22"/>
          <w:vertAlign w:val="superscript"/>
        </w:rPr>
      </w:pPr>
      <w:r w:rsidRPr="00710C81">
        <w:rPr>
          <w:rFonts w:ascii="Times New Roman" w:hAnsi="Times New Roman" w:cs="Times New Roman"/>
          <w:sz w:val="22"/>
          <w:szCs w:val="22"/>
        </w:rPr>
        <w:t>Takale A. B</w:t>
      </w:r>
      <w:r w:rsidRPr="00710C81">
        <w:rPr>
          <w:rFonts w:ascii="Times New Roman" w:hAnsi="Times New Roman" w:cs="Times New Roman"/>
          <w:sz w:val="22"/>
          <w:szCs w:val="22"/>
          <w:vertAlign w:val="superscript"/>
        </w:rPr>
        <w:t>1</w:t>
      </w:r>
      <w:r w:rsidRPr="00710C81">
        <w:rPr>
          <w:rFonts w:ascii="Times New Roman" w:hAnsi="Times New Roman" w:cs="Times New Roman"/>
          <w:sz w:val="22"/>
          <w:szCs w:val="22"/>
        </w:rPr>
        <w:t xml:space="preserve">. </w:t>
      </w:r>
      <w:r w:rsidR="005326FF" w:rsidRPr="005326FF">
        <w:rPr>
          <w:rFonts w:ascii="Times New Roman" w:hAnsi="Times New Roman" w:cs="Times New Roman"/>
          <w:sz w:val="22"/>
          <w:szCs w:val="22"/>
        </w:rPr>
        <w:t>and Kamble</w:t>
      </w:r>
      <w:r w:rsidRPr="00710C81">
        <w:rPr>
          <w:rFonts w:ascii="Times New Roman" w:hAnsi="Times New Roman" w:cs="Times New Roman"/>
          <w:sz w:val="22"/>
          <w:szCs w:val="22"/>
        </w:rPr>
        <w:t xml:space="preserve"> V. S.</w:t>
      </w:r>
      <w:r w:rsidRPr="00710C81">
        <w:rPr>
          <w:rFonts w:ascii="Times New Roman" w:hAnsi="Times New Roman" w:cs="Times New Roman"/>
          <w:sz w:val="22"/>
          <w:szCs w:val="22"/>
          <w:vertAlign w:val="superscript"/>
        </w:rPr>
        <w:t>2</w:t>
      </w:r>
    </w:p>
    <w:p w14:paraId="38D1716E" w14:textId="77777777" w:rsidR="00710C81" w:rsidRPr="00710C81" w:rsidRDefault="00710C81" w:rsidP="005326FF">
      <w:pPr>
        <w:spacing w:after="0"/>
        <w:jc w:val="center"/>
        <w:rPr>
          <w:rFonts w:ascii="Times New Roman" w:hAnsi="Times New Roman" w:cs="Times New Roman"/>
          <w:sz w:val="22"/>
          <w:szCs w:val="22"/>
        </w:rPr>
      </w:pPr>
      <w:r w:rsidRPr="00710C81">
        <w:rPr>
          <w:rFonts w:ascii="Times New Roman" w:hAnsi="Times New Roman" w:cs="Times New Roman"/>
          <w:sz w:val="22"/>
          <w:szCs w:val="22"/>
        </w:rPr>
        <w:t>1.Research Scholar, School of Life Science, P.A.H. Solapur University, Solapur.</w:t>
      </w:r>
    </w:p>
    <w:p w14:paraId="55F94E91" w14:textId="77777777" w:rsidR="00710C81" w:rsidRPr="00710C81" w:rsidRDefault="00710C81" w:rsidP="005326FF">
      <w:pPr>
        <w:spacing w:after="0"/>
        <w:jc w:val="center"/>
        <w:rPr>
          <w:rFonts w:ascii="Times New Roman" w:hAnsi="Times New Roman" w:cs="Times New Roman"/>
          <w:sz w:val="22"/>
          <w:szCs w:val="22"/>
        </w:rPr>
      </w:pPr>
      <w:r w:rsidRPr="00710C81">
        <w:rPr>
          <w:rFonts w:ascii="Times New Roman" w:hAnsi="Times New Roman" w:cs="Times New Roman"/>
          <w:sz w:val="22"/>
          <w:szCs w:val="22"/>
        </w:rPr>
        <w:t xml:space="preserve">Email </w:t>
      </w:r>
      <w:hyperlink r:id="rId7" w:history="1">
        <w:r w:rsidRPr="00710C81">
          <w:rPr>
            <w:rStyle w:val="Hyperlink"/>
            <w:rFonts w:ascii="Times New Roman" w:hAnsi="Times New Roman" w:cs="Times New Roman"/>
            <w:sz w:val="22"/>
            <w:szCs w:val="22"/>
          </w:rPr>
          <w:t>-abhitakale27@gmail.com</w:t>
        </w:r>
      </w:hyperlink>
    </w:p>
    <w:p w14:paraId="58480710" w14:textId="77777777" w:rsidR="00710C81" w:rsidRPr="00710C81" w:rsidRDefault="00710C81" w:rsidP="005326FF">
      <w:pPr>
        <w:spacing w:after="0"/>
        <w:jc w:val="center"/>
        <w:rPr>
          <w:rFonts w:ascii="Times New Roman" w:hAnsi="Times New Roman" w:cs="Times New Roman"/>
          <w:sz w:val="22"/>
          <w:szCs w:val="22"/>
        </w:rPr>
      </w:pPr>
      <w:r w:rsidRPr="00710C81">
        <w:rPr>
          <w:rFonts w:ascii="Times New Roman" w:hAnsi="Times New Roman" w:cs="Times New Roman"/>
          <w:sz w:val="22"/>
          <w:szCs w:val="22"/>
        </w:rPr>
        <w:t>2.Asso.Prof, Department of Zoology Sangola Mahavidyalaya, Sangola</w:t>
      </w:r>
    </w:p>
    <w:p w14:paraId="2D00DCEF" w14:textId="30E28F50" w:rsidR="00710C81" w:rsidRPr="005326FF" w:rsidRDefault="00710C81" w:rsidP="005326FF">
      <w:pPr>
        <w:spacing w:after="0"/>
        <w:jc w:val="center"/>
        <w:rPr>
          <w:rFonts w:ascii="Times New Roman" w:hAnsi="Times New Roman" w:cs="Times New Roman"/>
          <w:sz w:val="22"/>
          <w:szCs w:val="22"/>
        </w:rPr>
      </w:pPr>
      <w:r w:rsidRPr="00710C81">
        <w:rPr>
          <w:rFonts w:ascii="Times New Roman" w:hAnsi="Times New Roman" w:cs="Times New Roman"/>
          <w:sz w:val="22"/>
          <w:szCs w:val="22"/>
        </w:rPr>
        <w:t xml:space="preserve">Email- </w:t>
      </w:r>
      <w:hyperlink r:id="rId8" w:history="1">
        <w:r w:rsidRPr="00710C81">
          <w:rPr>
            <w:rStyle w:val="Hyperlink"/>
            <w:rFonts w:ascii="Times New Roman" w:hAnsi="Times New Roman" w:cs="Times New Roman"/>
            <w:sz w:val="22"/>
            <w:szCs w:val="22"/>
          </w:rPr>
          <w:t>vidhinkamble16@gmail.com</w:t>
        </w:r>
      </w:hyperlink>
    </w:p>
    <w:p w14:paraId="143FB7FD" w14:textId="77777777" w:rsidR="00710C81" w:rsidRPr="00710C81" w:rsidRDefault="00710C81" w:rsidP="00D2722A">
      <w:pPr>
        <w:spacing w:after="0" w:line="360" w:lineRule="auto"/>
        <w:jc w:val="both"/>
        <w:rPr>
          <w:rFonts w:ascii="Times New Roman" w:hAnsi="Times New Roman" w:cs="Times New Roman"/>
          <w:b/>
          <w:bCs/>
          <w:sz w:val="22"/>
          <w:szCs w:val="22"/>
        </w:rPr>
      </w:pPr>
      <w:r w:rsidRPr="00710C81">
        <w:rPr>
          <w:rFonts w:ascii="Times New Roman" w:hAnsi="Times New Roman" w:cs="Times New Roman"/>
          <w:b/>
          <w:bCs/>
          <w:sz w:val="22"/>
          <w:szCs w:val="22"/>
        </w:rPr>
        <w:t>Abstract</w:t>
      </w:r>
    </w:p>
    <w:p w14:paraId="6B8222B9" w14:textId="2CC7EF63" w:rsidR="00710C81" w:rsidRPr="00710C81"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This study evaluated the ecotoxicological impact of Monosodium Glutamate (MSG) on the freshwater fish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(Rohu). The experiment focused on alterations in liver total protein levels following chronic sub-lethal exposure.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were exposed to a constant sub-lethal dose of 10 mg/L of MSG across three progressive temporal intervals: 5, 10, and 15 days. A parallel control group was maintained in chemical-free freshwater. Quantitative estimation of total liver proteins was conducted using standard spectrophotometric methods.</w:t>
      </w:r>
    </w:p>
    <w:p w14:paraId="7A7B0DC9" w14:textId="77777777" w:rsidR="00710C81" w:rsidRPr="00710C81" w:rsidRDefault="00710C81" w:rsidP="00107454">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The results demonstrated a highly significant, time-dependent decline in total liver protein concentration in all MSG-exposed groups compared to the control group. The baseline liver protein level in the control group was recorded at 65.4 ± 1.2 mg/g of wet tissue. Upon exposure to 10 mg/L of MSG, liver protein levels dropped to 52.1 ± 1.0 mg/g on Day 5, 41.8 ± 0.9 mg/g on Day 10, and reached a minimum value of 28.5 ± 0.7 mg/g on Day 15. This marked depletion highlights severe physiological stress, metabolic reallocation, and potential cellular degradation in the hepatic tissue. The study confirms that even low concentrations of agricultural or industrial MSG runoff pose a threat to aquatic organisms by disrupting essential protein synthesis pathways.</w:t>
      </w:r>
    </w:p>
    <w:p w14:paraId="5DCCDE84" w14:textId="77777777" w:rsidR="00710C81" w:rsidRPr="00710C81" w:rsidRDefault="00710C81" w:rsidP="00107454">
      <w:pPr>
        <w:spacing w:line="360" w:lineRule="auto"/>
        <w:rPr>
          <w:rFonts w:ascii="Times New Roman" w:hAnsi="Times New Roman" w:cs="Times New Roman"/>
          <w:sz w:val="22"/>
          <w:szCs w:val="22"/>
        </w:rPr>
      </w:pPr>
      <w:r w:rsidRPr="00710C81">
        <w:rPr>
          <w:rFonts w:ascii="Times New Roman" w:hAnsi="Times New Roman" w:cs="Times New Roman"/>
          <w:b/>
          <w:bCs/>
          <w:sz w:val="22"/>
          <w:szCs w:val="22"/>
        </w:rPr>
        <w:t>Keywords:</w:t>
      </w:r>
      <w:r w:rsidRPr="00710C81">
        <w:rPr>
          <w:rFonts w:ascii="Times New Roman" w:hAnsi="Times New Roman" w:cs="Times New Roman"/>
          <w:sz w:val="22"/>
          <w:szCs w:val="22"/>
        </w:rPr>
        <w:t xml:space="preserve"> Monosodium Glutamate,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Liver Protein, Ecotoxicity, Metabolic Stress.</w:t>
      </w:r>
    </w:p>
    <w:p w14:paraId="432CB787" w14:textId="77777777" w:rsidR="00710C81" w:rsidRPr="00710C81" w:rsidRDefault="00710C81" w:rsidP="00107454">
      <w:pPr>
        <w:spacing w:after="0" w:line="360" w:lineRule="auto"/>
        <w:jc w:val="both"/>
        <w:rPr>
          <w:rFonts w:ascii="Times New Roman" w:hAnsi="Times New Roman" w:cs="Times New Roman"/>
          <w:b/>
          <w:bCs/>
          <w:sz w:val="22"/>
          <w:szCs w:val="22"/>
        </w:rPr>
      </w:pPr>
      <w:r w:rsidRPr="00710C81">
        <w:rPr>
          <w:rFonts w:ascii="Times New Roman" w:hAnsi="Times New Roman" w:cs="Times New Roman"/>
          <w:b/>
          <w:bCs/>
          <w:sz w:val="22"/>
          <w:szCs w:val="22"/>
        </w:rPr>
        <w:t>Introduction</w:t>
      </w:r>
    </w:p>
    <w:p w14:paraId="25899C06" w14:textId="0E76F868"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The rapid expansion of the food processing industry and food additive production has led to a significant increase in chemical effluents entering freshwater ecosystems</w:t>
      </w:r>
      <w:r w:rsidRPr="005326FF">
        <w:rPr>
          <w:rFonts w:ascii="Times New Roman" w:hAnsi="Times New Roman" w:cs="Times New Roman"/>
          <w:sz w:val="22"/>
          <w:szCs w:val="22"/>
        </w:rPr>
        <w:t xml:space="preserve"> and also in daily diet</w:t>
      </w:r>
      <w:r w:rsidRPr="00710C81">
        <w:rPr>
          <w:rFonts w:ascii="Times New Roman" w:hAnsi="Times New Roman" w:cs="Times New Roman"/>
          <w:sz w:val="22"/>
          <w:szCs w:val="22"/>
        </w:rPr>
        <w:t xml:space="preserve">. Monosodium Glutamate (MSG), the sodium salt of glutamic acid, is globally utilized as an umami </w:t>
      </w:r>
      <w:r w:rsidR="00D2722A" w:rsidRPr="00710C81">
        <w:rPr>
          <w:rFonts w:ascii="Times New Roman" w:hAnsi="Times New Roman" w:cs="Times New Roman"/>
          <w:sz w:val="22"/>
          <w:szCs w:val="22"/>
        </w:rPr>
        <w:t>flavour</w:t>
      </w:r>
      <w:r w:rsidRPr="00710C81">
        <w:rPr>
          <w:rFonts w:ascii="Times New Roman" w:hAnsi="Times New Roman" w:cs="Times New Roman"/>
          <w:sz w:val="22"/>
          <w:szCs w:val="22"/>
        </w:rPr>
        <w:t xml:space="preserve"> enhancer in household and commercial food products. While international food regulatory agencies widely classify MSG as safe for human oral consumption within moderate limits, its continuous release from feed-additive industries and domestic waste presents an overlooked threat to non-target aquatic organisms.</w:t>
      </w:r>
    </w:p>
    <w:p w14:paraId="2B334DD3" w14:textId="77777777"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Fishes serve as excellent biological indicators for ecotoxicological monitoring. They occupy critical positions in the aquatic food chain and directly mirror the chemical health of their habitat.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(Hamilton, 1822), commonly known as Rohu, is an economically vital </w:t>
      </w:r>
      <w:proofErr w:type="gramStart"/>
      <w:r w:rsidRPr="00710C81">
        <w:rPr>
          <w:rFonts w:ascii="Times New Roman" w:hAnsi="Times New Roman" w:cs="Times New Roman"/>
          <w:sz w:val="22"/>
          <w:szCs w:val="22"/>
        </w:rPr>
        <w:t>carps</w:t>
      </w:r>
      <w:proofErr w:type="gramEnd"/>
      <w:r w:rsidRPr="00710C81">
        <w:rPr>
          <w:rFonts w:ascii="Times New Roman" w:hAnsi="Times New Roman" w:cs="Times New Roman"/>
          <w:sz w:val="22"/>
          <w:szCs w:val="22"/>
        </w:rPr>
        <w:t xml:space="preserve"> species extensively cultivated across South Asia. Because of its sensitivity to chemical pollutants, it is an ideal candidate for assessing sub-lethal chemical toxicity.</w:t>
      </w:r>
    </w:p>
    <w:p w14:paraId="6A3D619B" w14:textId="77777777" w:rsidR="00710C81" w:rsidRPr="00710C81" w:rsidRDefault="00710C81" w:rsidP="00107454">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lastRenderedPageBreak/>
        <w:t>The teleost liver acts as the primary organ for nutrient metabolism, xenobiotic detoxification, and vital plasma protein synthesis. Cellular disruptions within hepatic tissue directly impair metabolic and homeostatic functions. Proteins are fundamental biological macromolecules essential for structural architecture, enzymatic biocatalysis, and cellular defense mechanisms. Exposure to sub-lethal concentrations of environmental toxins alters total protein profiles due to accelerated protein breakdown or a downregulation in biosynthesis.</w:t>
      </w:r>
    </w:p>
    <w:p w14:paraId="4FD65BDD" w14:textId="77777777" w:rsidR="00710C81" w:rsidRPr="005326FF" w:rsidRDefault="00710C81" w:rsidP="00107454">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While previous research has documented the histopathological impacts of MSG on teleost gills and kidneys, limited quantitative data exists on its sub-lethal biochemical impact on core metabolic proteins. Therefore, this investigation was designed to study the time-dependent impact of a sub-lethal MSG concentration (10 mg/L) on the total liver protein content of </w:t>
      </w:r>
      <w:r w:rsidRPr="00710C81">
        <w:rPr>
          <w:rFonts w:ascii="Times New Roman" w:hAnsi="Times New Roman" w:cs="Times New Roman"/>
          <w:i/>
          <w:iCs/>
          <w:sz w:val="22"/>
          <w:szCs w:val="22"/>
        </w:rPr>
        <w:t>Labeo rohita</w:t>
      </w:r>
      <w:r w:rsidRPr="00710C81">
        <w:rPr>
          <w:rFonts w:ascii="Times New Roman" w:hAnsi="Times New Roman" w:cs="Times New Roman"/>
          <w:sz w:val="22"/>
          <w:szCs w:val="22"/>
        </w:rPr>
        <w:t xml:space="preserve"> over 5, 10, and 15 days of exposure.</w:t>
      </w:r>
    </w:p>
    <w:p w14:paraId="1548FCE2" w14:textId="77777777" w:rsidR="00710C81" w:rsidRPr="00710C81" w:rsidRDefault="00710C81" w:rsidP="00710C81">
      <w:pPr>
        <w:rPr>
          <w:rFonts w:ascii="Times New Roman" w:hAnsi="Times New Roman" w:cs="Times New Roman"/>
          <w:b/>
          <w:bCs/>
          <w:sz w:val="22"/>
          <w:szCs w:val="22"/>
        </w:rPr>
      </w:pPr>
      <w:r w:rsidRPr="00710C81">
        <w:rPr>
          <w:rFonts w:ascii="Times New Roman" w:hAnsi="Times New Roman" w:cs="Times New Roman"/>
          <w:b/>
          <w:bCs/>
          <w:sz w:val="22"/>
          <w:szCs w:val="22"/>
        </w:rPr>
        <w:t>Materials and Methods:</w:t>
      </w:r>
    </w:p>
    <w:p w14:paraId="2C1A2BAA" w14:textId="77777777" w:rsidR="00710C81" w:rsidRPr="00710C81"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 Healthy</w:t>
      </w:r>
      <w:r w:rsidRPr="00710C81">
        <w:rPr>
          <w:rFonts w:ascii="Times New Roman" w:hAnsi="Times New Roman" w:cs="Times New Roman"/>
          <w:i/>
          <w:iCs/>
          <w:sz w:val="22"/>
          <w:szCs w:val="22"/>
        </w:rPr>
        <w:t xml:space="preserve"> Labeo rohita</w:t>
      </w:r>
      <w:r w:rsidRPr="00710C81">
        <w:rPr>
          <w:rFonts w:ascii="Times New Roman" w:hAnsi="Times New Roman" w:cs="Times New Roman"/>
          <w:sz w:val="22"/>
          <w:szCs w:val="22"/>
        </w:rPr>
        <w:t xml:space="preserve"> (average weight 90–120 g) were acclimatized in aerated freshwater tanks (temperature 25–28°C, pH 7.0–7.5, for 15 days. Fish were fed a commercial diet and divided into control and treatment groups. The treatment group received a 5 mg dose of MSG through diet. Liver samples were collected after 5, 10, and 15 days of exposure.</w:t>
      </w:r>
    </w:p>
    <w:p w14:paraId="203F435C" w14:textId="171CF632" w:rsidR="00107454" w:rsidRPr="00D2722A" w:rsidRDefault="00710C81" w:rsidP="00D2722A">
      <w:pPr>
        <w:spacing w:after="0"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Liver </w:t>
      </w:r>
      <w:r w:rsidRPr="005326FF">
        <w:rPr>
          <w:rFonts w:ascii="Times New Roman" w:hAnsi="Times New Roman" w:cs="Times New Roman"/>
          <w:sz w:val="22"/>
          <w:szCs w:val="22"/>
        </w:rPr>
        <w:t xml:space="preserve">protein </w:t>
      </w:r>
      <w:r w:rsidRPr="00710C81">
        <w:rPr>
          <w:rFonts w:ascii="Times New Roman" w:hAnsi="Times New Roman" w:cs="Times New Roman"/>
          <w:sz w:val="22"/>
          <w:szCs w:val="22"/>
        </w:rPr>
        <w:t xml:space="preserve">was quantified using a </w:t>
      </w:r>
      <w:r w:rsidRPr="005326FF">
        <w:rPr>
          <w:rFonts w:ascii="Times New Roman" w:hAnsi="Times New Roman" w:cs="Times New Roman"/>
          <w:sz w:val="22"/>
          <w:szCs w:val="22"/>
        </w:rPr>
        <w:t>Lowry</w:t>
      </w:r>
      <w:r w:rsidRPr="00710C81">
        <w:rPr>
          <w:rFonts w:ascii="Times New Roman" w:hAnsi="Times New Roman" w:cs="Times New Roman"/>
          <w:sz w:val="22"/>
          <w:szCs w:val="22"/>
        </w:rPr>
        <w:t xml:space="preserve"> Method (Colorimetric). Results are expressed as mg of </w:t>
      </w:r>
      <w:r w:rsidRPr="005326FF">
        <w:rPr>
          <w:rFonts w:ascii="Times New Roman" w:hAnsi="Times New Roman" w:cs="Times New Roman"/>
          <w:sz w:val="22"/>
          <w:szCs w:val="22"/>
        </w:rPr>
        <w:t>protein</w:t>
      </w:r>
      <w:r w:rsidRPr="00710C81">
        <w:rPr>
          <w:rFonts w:ascii="Times New Roman" w:hAnsi="Times New Roman" w:cs="Times New Roman"/>
          <w:sz w:val="22"/>
          <w:szCs w:val="22"/>
        </w:rPr>
        <w:t xml:space="preserve">/100 </w:t>
      </w:r>
      <w:r w:rsidR="00D2722A" w:rsidRPr="00710C81">
        <w:rPr>
          <w:rFonts w:ascii="Times New Roman" w:hAnsi="Times New Roman" w:cs="Times New Roman"/>
          <w:sz w:val="22"/>
          <w:szCs w:val="22"/>
        </w:rPr>
        <w:t>mg of</w:t>
      </w:r>
      <w:r w:rsidRPr="00710C81">
        <w:rPr>
          <w:rFonts w:ascii="Times New Roman" w:hAnsi="Times New Roman" w:cs="Times New Roman"/>
          <w:sz w:val="22"/>
          <w:szCs w:val="22"/>
        </w:rPr>
        <w:t xml:space="preserve"> wet liver tissue weight.</w:t>
      </w:r>
    </w:p>
    <w:p w14:paraId="510979FE" w14:textId="77777777" w:rsidR="00D2722A" w:rsidRDefault="00D2722A" w:rsidP="00710C81">
      <w:pPr>
        <w:rPr>
          <w:rFonts w:ascii="Times New Roman" w:hAnsi="Times New Roman" w:cs="Times New Roman"/>
          <w:b/>
          <w:bCs/>
          <w:sz w:val="22"/>
          <w:szCs w:val="22"/>
        </w:rPr>
      </w:pPr>
    </w:p>
    <w:p w14:paraId="659B4FD0" w14:textId="0523FF65" w:rsidR="00710C81" w:rsidRPr="00710C81" w:rsidRDefault="00710C81" w:rsidP="00710C81">
      <w:pPr>
        <w:rPr>
          <w:rFonts w:ascii="Times New Roman" w:hAnsi="Times New Roman" w:cs="Times New Roman"/>
          <w:b/>
          <w:bCs/>
          <w:sz w:val="22"/>
          <w:szCs w:val="22"/>
        </w:rPr>
      </w:pPr>
      <w:r w:rsidRPr="00710C81">
        <w:rPr>
          <w:rFonts w:ascii="Times New Roman" w:hAnsi="Times New Roman" w:cs="Times New Roman"/>
          <w:b/>
          <w:bCs/>
          <w:sz w:val="22"/>
          <w:szCs w:val="22"/>
        </w:rPr>
        <w:t>Results</w:t>
      </w:r>
    </w:p>
    <w:p w14:paraId="1251CEBC" w14:textId="77777777" w:rsidR="00710C81" w:rsidRPr="00710C81" w:rsidRDefault="00710C81" w:rsidP="00D2722A">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 xml:space="preserve">No fish mortality was observed during the 15 days of sub-lethal MSG exposure. However, fish exposed to 10 mg/L of MSG exhibited mild </w:t>
      </w:r>
      <w:proofErr w:type="spellStart"/>
      <w:r w:rsidRPr="00710C81">
        <w:rPr>
          <w:rFonts w:ascii="Times New Roman" w:hAnsi="Times New Roman" w:cs="Times New Roman"/>
          <w:sz w:val="22"/>
          <w:szCs w:val="22"/>
        </w:rPr>
        <w:t>behavioral</w:t>
      </w:r>
      <w:proofErr w:type="spellEnd"/>
      <w:r w:rsidRPr="00710C81">
        <w:rPr>
          <w:rFonts w:ascii="Times New Roman" w:hAnsi="Times New Roman" w:cs="Times New Roman"/>
          <w:sz w:val="22"/>
          <w:szCs w:val="22"/>
        </w:rPr>
        <w:t xml:space="preserve"> changes, including transient hyper-locomotion and altered feeding patterns.</w:t>
      </w:r>
    </w:p>
    <w:p w14:paraId="6774B28C" w14:textId="77777777" w:rsidR="00710C81" w:rsidRDefault="00710C81" w:rsidP="00D2722A">
      <w:pPr>
        <w:spacing w:line="360" w:lineRule="auto"/>
        <w:jc w:val="both"/>
        <w:rPr>
          <w:rFonts w:ascii="Times New Roman" w:hAnsi="Times New Roman" w:cs="Times New Roman"/>
          <w:sz w:val="22"/>
          <w:szCs w:val="22"/>
        </w:rPr>
      </w:pPr>
      <w:r w:rsidRPr="00710C81">
        <w:rPr>
          <w:rFonts w:ascii="Times New Roman" w:hAnsi="Times New Roman" w:cs="Times New Roman"/>
          <w:sz w:val="22"/>
          <w:szCs w:val="22"/>
        </w:rPr>
        <w:t>Biochemical analysis of the hepatic tissue revealed a clear, time-dependent decrease in total protein levels in the MSG-treated groups compared to the control group. The baseline liver protein level of the control group remained stable at 65.4 ± 1.2 mg/g. In the MSG exposure groups, protein levels dropped steadily across the test intervals. On Day 5, liver protein decreased to 52.1 ± 1.0 mg/g, representing a 20.3% reduction. By Day 10, the level fell to 41.8 ± 0.9 mg/g, a 36.1% reduction. The maximum depletion occurred on Day 15, where the protein level fell to 28.5 ± 0.7 mg/g, a 56.4% decrease compared to the control group. One-way ANOVA confirmed that the reduction in total liver protein across all exposure intervals was statistically highly significant (</w:t>
      </w:r>
      <w:proofErr w:type="gramStart"/>
      <w:r w:rsidRPr="00710C81">
        <w:rPr>
          <w:rFonts w:ascii="Times New Roman" w:hAnsi="Times New Roman" w:cs="Times New Roman"/>
          <w:sz w:val="22"/>
          <w:szCs w:val="22"/>
        </w:rPr>
        <w:t>\(</w:t>
      </w:r>
      <w:proofErr w:type="gramEnd"/>
      <w:r w:rsidRPr="00710C81">
        <w:rPr>
          <w:rFonts w:ascii="Times New Roman" w:hAnsi="Times New Roman" w:cs="Times New Roman"/>
          <w:sz w:val="22"/>
          <w:szCs w:val="22"/>
        </w:rPr>
        <w:t>p &lt; 0.05\)).</w:t>
      </w:r>
    </w:p>
    <w:p w14:paraId="790A4D9D" w14:textId="77777777" w:rsidR="00107454" w:rsidRDefault="00107454" w:rsidP="00D2722A">
      <w:pPr>
        <w:spacing w:line="360" w:lineRule="auto"/>
        <w:jc w:val="both"/>
        <w:rPr>
          <w:rFonts w:ascii="Times New Roman" w:hAnsi="Times New Roman" w:cs="Times New Roman"/>
          <w:sz w:val="22"/>
          <w:szCs w:val="22"/>
        </w:rPr>
      </w:pPr>
    </w:p>
    <w:p w14:paraId="7B3A6B8F" w14:textId="77777777" w:rsidR="00107454" w:rsidRDefault="00107454" w:rsidP="00D2722A">
      <w:pPr>
        <w:spacing w:line="360" w:lineRule="auto"/>
        <w:jc w:val="both"/>
        <w:rPr>
          <w:rFonts w:ascii="Times New Roman" w:hAnsi="Times New Roman" w:cs="Times New Roman"/>
          <w:sz w:val="22"/>
          <w:szCs w:val="22"/>
        </w:rPr>
      </w:pPr>
    </w:p>
    <w:p w14:paraId="4755DF0E" w14:textId="77777777" w:rsidR="00107454" w:rsidRDefault="00107454" w:rsidP="00D2722A">
      <w:pPr>
        <w:spacing w:line="360" w:lineRule="auto"/>
        <w:jc w:val="both"/>
        <w:rPr>
          <w:rFonts w:ascii="Times New Roman" w:hAnsi="Times New Roman" w:cs="Times New Roman"/>
          <w:sz w:val="22"/>
          <w:szCs w:val="22"/>
        </w:rPr>
      </w:pPr>
    </w:p>
    <w:p w14:paraId="6EA80D24" w14:textId="77777777" w:rsidR="00107454" w:rsidRDefault="00107454" w:rsidP="00107454">
      <w:pPr>
        <w:spacing w:after="0" w:line="360" w:lineRule="auto"/>
        <w:jc w:val="both"/>
        <w:rPr>
          <w:rFonts w:ascii="Times New Roman" w:hAnsi="Times New Roman" w:cs="Times New Roman"/>
          <w:sz w:val="22"/>
          <w:szCs w:val="22"/>
        </w:rPr>
      </w:pPr>
    </w:p>
    <w:p w14:paraId="59267699" w14:textId="77777777" w:rsidR="00107454" w:rsidRDefault="00107454" w:rsidP="00107454">
      <w:pPr>
        <w:spacing w:after="0" w:line="360" w:lineRule="auto"/>
        <w:jc w:val="both"/>
        <w:rPr>
          <w:rFonts w:ascii="Times New Roman" w:hAnsi="Times New Roman" w:cs="Times New Roman"/>
          <w:sz w:val="22"/>
          <w:szCs w:val="22"/>
        </w:rPr>
      </w:pPr>
    </w:p>
    <w:p w14:paraId="39358106" w14:textId="77777777" w:rsidR="00107454" w:rsidRPr="005326FF" w:rsidRDefault="00107454" w:rsidP="00107454">
      <w:pPr>
        <w:spacing w:after="0" w:line="360" w:lineRule="auto"/>
        <w:jc w:val="both"/>
        <w:rPr>
          <w:rFonts w:ascii="Times New Roman" w:hAnsi="Times New Roman" w:cs="Times New Roman"/>
          <w:sz w:val="22"/>
          <w:szCs w:val="22"/>
        </w:rPr>
      </w:pPr>
    </w:p>
    <w:p w14:paraId="4465264C" w14:textId="68C999DE" w:rsidR="005A4CC6" w:rsidRPr="005326FF" w:rsidRDefault="00743F08" w:rsidP="00710C81">
      <w:pPr>
        <w:rPr>
          <w:rFonts w:ascii="Times New Roman" w:hAnsi="Times New Roman" w:cs="Times New Roman"/>
          <w:sz w:val="22"/>
          <w:szCs w:val="22"/>
        </w:rPr>
      </w:pPr>
      <w:r w:rsidRPr="00743F08">
        <w:rPr>
          <w:rFonts w:ascii="Times New Roman" w:hAnsi="Times New Roman" w:cs="Times New Roman"/>
          <w:b/>
          <w:bCs/>
          <w:sz w:val="22"/>
          <w:szCs w:val="22"/>
        </w:rPr>
        <w:t>Table</w:t>
      </w:r>
      <w:r w:rsidR="00107454">
        <w:rPr>
          <w:rFonts w:ascii="Times New Roman" w:hAnsi="Times New Roman" w:cs="Times New Roman"/>
          <w:b/>
          <w:bCs/>
          <w:sz w:val="22"/>
          <w:szCs w:val="22"/>
        </w:rPr>
        <w:t xml:space="preserve"> No.</w:t>
      </w:r>
      <w:r w:rsidRPr="00743F08">
        <w:rPr>
          <w:rFonts w:ascii="Times New Roman" w:hAnsi="Times New Roman" w:cs="Times New Roman"/>
          <w:b/>
          <w:bCs/>
          <w:sz w:val="22"/>
          <w:szCs w:val="22"/>
        </w:rPr>
        <w:t xml:space="preserve"> 1: Liver </w:t>
      </w:r>
      <w:r w:rsidRPr="005326FF">
        <w:rPr>
          <w:rFonts w:ascii="Times New Roman" w:hAnsi="Times New Roman" w:cs="Times New Roman"/>
          <w:b/>
          <w:bCs/>
          <w:sz w:val="22"/>
          <w:szCs w:val="22"/>
        </w:rPr>
        <w:t>Protein</w:t>
      </w:r>
      <w:r w:rsidRPr="00743F08">
        <w:rPr>
          <w:rFonts w:ascii="Times New Roman" w:hAnsi="Times New Roman" w:cs="Times New Roman"/>
          <w:b/>
          <w:bCs/>
          <w:sz w:val="22"/>
          <w:szCs w:val="22"/>
        </w:rPr>
        <w:t xml:space="preserve"> Content (mg/100 mg tissue) in </w:t>
      </w:r>
      <w:r w:rsidRPr="00743F08">
        <w:rPr>
          <w:rFonts w:ascii="Times New Roman" w:hAnsi="Times New Roman" w:cs="Times New Roman"/>
          <w:b/>
          <w:bCs/>
          <w:i/>
          <w:iCs/>
          <w:sz w:val="22"/>
          <w:szCs w:val="22"/>
        </w:rPr>
        <w:t>Labeo rohita</w:t>
      </w:r>
      <w:r w:rsidRPr="00743F08">
        <w:rPr>
          <w:rFonts w:ascii="Times New Roman" w:hAnsi="Times New Roman" w:cs="Times New Roman"/>
          <w:b/>
          <w:bCs/>
          <w:sz w:val="22"/>
          <w:szCs w:val="22"/>
        </w:rPr>
        <w:t xml:space="preserve"> under </w:t>
      </w:r>
      <w:r w:rsidRPr="005326FF">
        <w:rPr>
          <w:rFonts w:ascii="Times New Roman" w:hAnsi="Times New Roman" w:cs="Times New Roman"/>
          <w:b/>
          <w:bCs/>
          <w:sz w:val="22"/>
          <w:szCs w:val="22"/>
        </w:rPr>
        <w:t>10</w:t>
      </w:r>
      <w:r w:rsidRPr="00743F08">
        <w:rPr>
          <w:rFonts w:ascii="Times New Roman" w:hAnsi="Times New Roman" w:cs="Times New Roman"/>
          <w:b/>
          <w:bCs/>
          <w:sz w:val="22"/>
          <w:szCs w:val="22"/>
        </w:rPr>
        <w:t xml:space="preserve"> mg MSG Exposure for 15 days-</w:t>
      </w:r>
    </w:p>
    <w:tbl>
      <w:tblPr>
        <w:tblStyle w:val="TableGrid"/>
        <w:tblW w:w="0" w:type="auto"/>
        <w:jc w:val="center"/>
        <w:tblLook w:val="04A0" w:firstRow="1" w:lastRow="0" w:firstColumn="1" w:lastColumn="0" w:noHBand="0" w:noVBand="1"/>
      </w:tblPr>
      <w:tblGrid>
        <w:gridCol w:w="1110"/>
        <w:gridCol w:w="1579"/>
        <w:gridCol w:w="1303"/>
        <w:gridCol w:w="2382"/>
      </w:tblGrid>
      <w:tr w:rsidR="005A4CC6" w:rsidRPr="005326FF" w14:paraId="67575CBD" w14:textId="77777777" w:rsidTr="00107454">
        <w:trPr>
          <w:trHeight w:val="775"/>
          <w:jc w:val="center"/>
        </w:trPr>
        <w:tc>
          <w:tcPr>
            <w:tcW w:w="1110" w:type="dxa"/>
          </w:tcPr>
          <w:p w14:paraId="58905D26" w14:textId="62457239"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Exposure Period of MSG</w:t>
            </w:r>
          </w:p>
        </w:tc>
        <w:tc>
          <w:tcPr>
            <w:tcW w:w="1579" w:type="dxa"/>
          </w:tcPr>
          <w:p w14:paraId="355272EA" w14:textId="750E0CA7"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Total Liver Protein (mg/g of wet tissue)</w:t>
            </w:r>
          </w:p>
        </w:tc>
        <w:tc>
          <w:tcPr>
            <w:tcW w:w="1303" w:type="dxa"/>
          </w:tcPr>
          <w:p w14:paraId="370F5B5E" w14:textId="646EF0BC" w:rsidR="00743F08" w:rsidRPr="00D2722A" w:rsidRDefault="005A4CC6"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Percentage Change (%)</w:t>
            </w:r>
          </w:p>
        </w:tc>
        <w:tc>
          <w:tcPr>
            <w:tcW w:w="2382" w:type="dxa"/>
          </w:tcPr>
          <w:p w14:paraId="6330EF40" w14:textId="3CE55C14" w:rsidR="005A4CC6" w:rsidRPr="00D2722A" w:rsidRDefault="00743F08" w:rsidP="00743F08">
            <w:pPr>
              <w:spacing w:line="360" w:lineRule="auto"/>
              <w:jc w:val="center"/>
              <w:rPr>
                <w:rFonts w:ascii="Times New Roman" w:hAnsi="Times New Roman" w:cs="Times New Roman"/>
                <w:b/>
                <w:bCs/>
                <w:sz w:val="22"/>
                <w:szCs w:val="22"/>
              </w:rPr>
            </w:pPr>
            <w:r w:rsidRPr="00D2722A">
              <w:rPr>
                <w:rFonts w:ascii="Times New Roman" w:hAnsi="Times New Roman" w:cs="Times New Roman"/>
                <w:b/>
                <w:bCs/>
                <w:sz w:val="22"/>
                <w:szCs w:val="22"/>
              </w:rPr>
              <w:t>Statistical Significance (</w:t>
            </w:r>
            <w:r w:rsidRPr="00D2722A">
              <w:rPr>
                <w:rFonts w:ascii="Times New Roman" w:hAnsi="Times New Roman" w:cs="Times New Roman"/>
                <w:b/>
                <w:bCs/>
                <w:sz w:val="22"/>
                <w:szCs w:val="22"/>
              </w:rPr>
              <w:t>\ (</w:t>
            </w:r>
            <w:r w:rsidRPr="00D2722A">
              <w:rPr>
                <w:rFonts w:ascii="Times New Roman" w:hAnsi="Times New Roman" w:cs="Times New Roman"/>
                <w:b/>
                <w:bCs/>
                <w:sz w:val="22"/>
                <w:szCs w:val="22"/>
              </w:rPr>
              <w:t>p &lt; 0.05\))</w:t>
            </w:r>
          </w:p>
        </w:tc>
      </w:tr>
      <w:tr w:rsidR="005A4CC6" w:rsidRPr="005326FF" w14:paraId="4934DE84" w14:textId="77777777" w:rsidTr="00107454">
        <w:trPr>
          <w:jc w:val="center"/>
        </w:trPr>
        <w:tc>
          <w:tcPr>
            <w:tcW w:w="1110" w:type="dxa"/>
          </w:tcPr>
          <w:p w14:paraId="1D8DAD7B" w14:textId="4B00788E"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Control</w:t>
            </w:r>
          </w:p>
        </w:tc>
        <w:tc>
          <w:tcPr>
            <w:tcW w:w="1579" w:type="dxa"/>
          </w:tcPr>
          <w:p w14:paraId="5F4513F6" w14:textId="3527A0DB"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65.4</w:t>
            </w:r>
          </w:p>
        </w:tc>
        <w:tc>
          <w:tcPr>
            <w:tcW w:w="1303" w:type="dxa"/>
          </w:tcPr>
          <w:p w14:paraId="781B9AC2" w14:textId="437DFFD9"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Baseline</w:t>
            </w:r>
          </w:p>
        </w:tc>
        <w:tc>
          <w:tcPr>
            <w:tcW w:w="2382" w:type="dxa"/>
          </w:tcPr>
          <w:p w14:paraId="560CEEE0" w14:textId="3E3F771C"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Non-Significant</w:t>
            </w:r>
          </w:p>
        </w:tc>
      </w:tr>
      <w:tr w:rsidR="005A4CC6" w:rsidRPr="005326FF" w14:paraId="54B5704A" w14:textId="77777777" w:rsidTr="00107454">
        <w:trPr>
          <w:jc w:val="center"/>
        </w:trPr>
        <w:tc>
          <w:tcPr>
            <w:tcW w:w="1110" w:type="dxa"/>
          </w:tcPr>
          <w:p w14:paraId="0C495150" w14:textId="178F477E"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 Days</w:t>
            </w:r>
          </w:p>
        </w:tc>
        <w:tc>
          <w:tcPr>
            <w:tcW w:w="1579" w:type="dxa"/>
          </w:tcPr>
          <w:p w14:paraId="73C117FE" w14:textId="5A1A5BA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52.1</w:t>
            </w:r>
          </w:p>
        </w:tc>
        <w:tc>
          <w:tcPr>
            <w:tcW w:w="1303" w:type="dxa"/>
          </w:tcPr>
          <w:p w14:paraId="51C25260" w14:textId="1F179D6E"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20.34</w:t>
            </w:r>
            <w:r w:rsidRPr="005326FF">
              <w:rPr>
                <w:rFonts w:ascii="Times New Roman" w:hAnsi="Times New Roman" w:cs="Times New Roman"/>
                <w:sz w:val="22"/>
                <w:szCs w:val="22"/>
              </w:rPr>
              <w:t>%</w:t>
            </w:r>
          </w:p>
        </w:tc>
        <w:tc>
          <w:tcPr>
            <w:tcW w:w="2382" w:type="dxa"/>
          </w:tcPr>
          <w:p w14:paraId="26DF0451" w14:textId="65B0401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Significant</w:t>
            </w:r>
          </w:p>
        </w:tc>
      </w:tr>
      <w:tr w:rsidR="005A4CC6" w:rsidRPr="005326FF" w14:paraId="1B8A5B2D" w14:textId="77777777" w:rsidTr="00107454">
        <w:trPr>
          <w:jc w:val="center"/>
        </w:trPr>
        <w:tc>
          <w:tcPr>
            <w:tcW w:w="1110" w:type="dxa"/>
          </w:tcPr>
          <w:p w14:paraId="4FA1B10E" w14:textId="105BAF1C"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10 Days</w:t>
            </w:r>
          </w:p>
        </w:tc>
        <w:tc>
          <w:tcPr>
            <w:tcW w:w="1579" w:type="dxa"/>
          </w:tcPr>
          <w:p w14:paraId="09124EB1" w14:textId="21F7413C"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41.8</w:t>
            </w:r>
          </w:p>
        </w:tc>
        <w:tc>
          <w:tcPr>
            <w:tcW w:w="1303" w:type="dxa"/>
          </w:tcPr>
          <w:p w14:paraId="1E617F4B" w14:textId="02EA689B"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36.08</w:t>
            </w:r>
            <w:r w:rsidRPr="005326FF">
              <w:rPr>
                <w:rFonts w:ascii="Times New Roman" w:hAnsi="Times New Roman" w:cs="Times New Roman"/>
                <w:sz w:val="22"/>
                <w:szCs w:val="22"/>
              </w:rPr>
              <w:t>%</w:t>
            </w:r>
          </w:p>
        </w:tc>
        <w:tc>
          <w:tcPr>
            <w:tcW w:w="2382" w:type="dxa"/>
          </w:tcPr>
          <w:p w14:paraId="1D5D336B" w14:textId="1483FEEF"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Highly Significant</w:t>
            </w:r>
          </w:p>
        </w:tc>
      </w:tr>
      <w:tr w:rsidR="005A4CC6" w:rsidRPr="005326FF" w14:paraId="7E736004" w14:textId="77777777" w:rsidTr="00107454">
        <w:trPr>
          <w:trHeight w:val="377"/>
          <w:jc w:val="center"/>
        </w:trPr>
        <w:tc>
          <w:tcPr>
            <w:tcW w:w="1110" w:type="dxa"/>
          </w:tcPr>
          <w:p w14:paraId="150AB029" w14:textId="2B3F3B20" w:rsidR="005A4CC6" w:rsidRPr="005326FF" w:rsidRDefault="005A4CC6"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15 Days</w:t>
            </w:r>
          </w:p>
        </w:tc>
        <w:tc>
          <w:tcPr>
            <w:tcW w:w="1579" w:type="dxa"/>
          </w:tcPr>
          <w:p w14:paraId="5614C359" w14:textId="724B9911"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28.5</w:t>
            </w:r>
          </w:p>
        </w:tc>
        <w:tc>
          <w:tcPr>
            <w:tcW w:w="1303" w:type="dxa"/>
          </w:tcPr>
          <w:p w14:paraId="75971ED8" w14:textId="5061F25F"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56.42</w:t>
            </w:r>
            <w:r w:rsidRPr="005326FF">
              <w:rPr>
                <w:rFonts w:ascii="Times New Roman" w:hAnsi="Times New Roman" w:cs="Times New Roman"/>
                <w:sz w:val="22"/>
                <w:szCs w:val="22"/>
              </w:rPr>
              <w:t>%</w:t>
            </w:r>
          </w:p>
        </w:tc>
        <w:tc>
          <w:tcPr>
            <w:tcW w:w="2382" w:type="dxa"/>
          </w:tcPr>
          <w:p w14:paraId="41874BCA" w14:textId="0F0AC697" w:rsidR="005A4CC6" w:rsidRPr="005326FF" w:rsidRDefault="00743F08" w:rsidP="00743F08">
            <w:pPr>
              <w:spacing w:line="360" w:lineRule="auto"/>
              <w:jc w:val="center"/>
              <w:rPr>
                <w:rFonts w:ascii="Times New Roman" w:hAnsi="Times New Roman" w:cs="Times New Roman"/>
                <w:sz w:val="22"/>
                <w:szCs w:val="22"/>
              </w:rPr>
            </w:pPr>
            <w:r w:rsidRPr="005326FF">
              <w:rPr>
                <w:rFonts w:ascii="Times New Roman" w:hAnsi="Times New Roman" w:cs="Times New Roman"/>
                <w:sz w:val="22"/>
                <w:szCs w:val="22"/>
              </w:rPr>
              <w:t>Extremely Significant</w:t>
            </w:r>
          </w:p>
        </w:tc>
      </w:tr>
    </w:tbl>
    <w:p w14:paraId="43F2094A" w14:textId="77777777" w:rsidR="005A4CC6" w:rsidRPr="005326FF" w:rsidRDefault="005A4CC6" w:rsidP="00107454">
      <w:pPr>
        <w:spacing w:line="360" w:lineRule="auto"/>
        <w:rPr>
          <w:rFonts w:ascii="Times New Roman" w:hAnsi="Times New Roman" w:cs="Times New Roman"/>
          <w:sz w:val="22"/>
          <w:szCs w:val="22"/>
        </w:rPr>
      </w:pPr>
    </w:p>
    <w:p w14:paraId="1992118E" w14:textId="73357B73" w:rsidR="00107454" w:rsidRPr="00107454" w:rsidRDefault="00107454" w:rsidP="005326FF">
      <w:pPr>
        <w:spacing w:line="360" w:lineRule="auto"/>
        <w:rPr>
          <w:rFonts w:ascii="Times New Roman" w:hAnsi="Times New Roman" w:cs="Times New Roman"/>
          <w:b/>
          <w:bCs/>
          <w:sz w:val="22"/>
          <w:szCs w:val="22"/>
        </w:rPr>
      </w:pPr>
      <w:r>
        <w:rPr>
          <w:rFonts w:ascii="Times New Roman" w:hAnsi="Times New Roman" w:cs="Times New Roman"/>
          <w:b/>
          <w:bCs/>
          <w:sz w:val="22"/>
          <w:szCs w:val="22"/>
        </w:rPr>
        <w:t>Graph No.</w:t>
      </w:r>
      <w:r w:rsidR="005326FF" w:rsidRPr="00743F08">
        <w:rPr>
          <w:rFonts w:ascii="Times New Roman" w:hAnsi="Times New Roman" w:cs="Times New Roman"/>
          <w:b/>
          <w:bCs/>
          <w:sz w:val="22"/>
          <w:szCs w:val="22"/>
        </w:rPr>
        <w:t xml:space="preserve">1: Liver </w:t>
      </w:r>
      <w:r w:rsidR="005326FF" w:rsidRPr="005326FF">
        <w:rPr>
          <w:rFonts w:ascii="Times New Roman" w:hAnsi="Times New Roman" w:cs="Times New Roman"/>
          <w:b/>
          <w:bCs/>
          <w:sz w:val="22"/>
          <w:szCs w:val="22"/>
        </w:rPr>
        <w:t>Protein</w:t>
      </w:r>
      <w:r w:rsidR="005326FF" w:rsidRPr="00743F08">
        <w:rPr>
          <w:rFonts w:ascii="Times New Roman" w:hAnsi="Times New Roman" w:cs="Times New Roman"/>
          <w:b/>
          <w:bCs/>
          <w:sz w:val="22"/>
          <w:szCs w:val="22"/>
        </w:rPr>
        <w:t xml:space="preserve"> Content (mg/100 mg tissue) in </w:t>
      </w:r>
      <w:r w:rsidR="005326FF" w:rsidRPr="00743F08">
        <w:rPr>
          <w:rFonts w:ascii="Times New Roman" w:hAnsi="Times New Roman" w:cs="Times New Roman"/>
          <w:b/>
          <w:bCs/>
          <w:i/>
          <w:iCs/>
          <w:sz w:val="22"/>
          <w:szCs w:val="22"/>
        </w:rPr>
        <w:t>Labeo rohita</w:t>
      </w:r>
      <w:r w:rsidR="005326FF" w:rsidRPr="00743F08">
        <w:rPr>
          <w:rFonts w:ascii="Times New Roman" w:hAnsi="Times New Roman" w:cs="Times New Roman"/>
          <w:b/>
          <w:bCs/>
          <w:sz w:val="22"/>
          <w:szCs w:val="22"/>
        </w:rPr>
        <w:t xml:space="preserve"> under </w:t>
      </w:r>
      <w:r w:rsidR="005326FF" w:rsidRPr="005326FF">
        <w:rPr>
          <w:rFonts w:ascii="Times New Roman" w:hAnsi="Times New Roman" w:cs="Times New Roman"/>
          <w:b/>
          <w:bCs/>
          <w:sz w:val="22"/>
          <w:szCs w:val="22"/>
        </w:rPr>
        <w:t>10</w:t>
      </w:r>
      <w:r w:rsidR="005326FF" w:rsidRPr="00743F08">
        <w:rPr>
          <w:rFonts w:ascii="Times New Roman" w:hAnsi="Times New Roman" w:cs="Times New Roman"/>
          <w:b/>
          <w:bCs/>
          <w:sz w:val="22"/>
          <w:szCs w:val="22"/>
        </w:rPr>
        <w:t xml:space="preserve"> mg MSG Exposure for 15 days</w:t>
      </w:r>
      <w:r w:rsidR="005326FF" w:rsidRPr="005326FF">
        <w:rPr>
          <w:rFonts w:ascii="Times New Roman" w:hAnsi="Times New Roman" w:cs="Times New Roman"/>
          <w:b/>
          <w:bCs/>
          <w:sz w:val="22"/>
          <w:szCs w:val="22"/>
        </w:rPr>
        <w:t>-</w:t>
      </w:r>
    </w:p>
    <w:p w14:paraId="3D5091B0" w14:textId="1920C77F" w:rsidR="005326FF" w:rsidRPr="005326FF" w:rsidRDefault="005326FF" w:rsidP="00107454">
      <w:pPr>
        <w:spacing w:line="360" w:lineRule="auto"/>
        <w:jc w:val="center"/>
        <w:rPr>
          <w:rFonts w:ascii="Times New Roman" w:hAnsi="Times New Roman" w:cs="Times New Roman"/>
          <w:sz w:val="22"/>
          <w:szCs w:val="22"/>
        </w:rPr>
      </w:pPr>
      <w:r w:rsidRPr="005326FF">
        <w:rPr>
          <w:rFonts w:ascii="Times New Roman" w:hAnsi="Times New Roman" w:cs="Times New Roman"/>
          <w:noProof/>
          <w:sz w:val="22"/>
          <w:szCs w:val="22"/>
        </w:rPr>
        <w:drawing>
          <wp:inline distT="0" distB="0" distL="0" distR="0" wp14:anchorId="6DBC677B" wp14:editId="377734E8">
            <wp:extent cx="4606290" cy="2500745"/>
            <wp:effectExtent l="0" t="0" r="3810" b="13970"/>
            <wp:docPr id="321752473" name="Chart 1">
              <a:extLst xmlns:a="http://schemas.openxmlformats.org/drawingml/2006/main">
                <a:ext uri="{FF2B5EF4-FFF2-40B4-BE49-F238E27FC236}">
                  <a16:creationId xmlns:a16="http://schemas.microsoft.com/office/drawing/2014/main" id="{5FC3C390-E727-BEF4-9D39-936C25AE3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52630C" w14:textId="77777777" w:rsidR="005326FF" w:rsidRPr="005326FF" w:rsidRDefault="005326FF" w:rsidP="00107454">
      <w:pPr>
        <w:spacing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Discussion</w:t>
      </w:r>
    </w:p>
    <w:p w14:paraId="34AE8586" w14:textId="77777777" w:rsidR="005326FF" w:rsidRPr="005326FF" w:rsidRDefault="005326FF" w:rsidP="00107454">
      <w:pPr>
        <w:spacing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The quantitative results demonstrate that a sub-lethal dose of 10 mg/L of MSG induces a severe, time-dependent reduction in the total liver protein content of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Proteins serve as vital cellular structural components and are actively involved in physiological compensation during chemical-induced stress. The steady decline in liver protein content indicates that chronic exposure to MSG compromises basic metabolic and cellular functionality in teleost models.</w:t>
      </w:r>
    </w:p>
    <w:p w14:paraId="26452811"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This depletion can be attributed to several interacting physiological mechanisms. First, exposure to sub-lethal concentrations of xenobiotics accelerates protein catabolism. Under chemical stress, organisms require extra energy to maintain cellular homeostasis and activate detoxification pathways. </w:t>
      </w:r>
      <w:r w:rsidRPr="005326FF">
        <w:rPr>
          <w:rFonts w:ascii="Times New Roman" w:hAnsi="Times New Roman" w:cs="Times New Roman"/>
          <w:sz w:val="22"/>
          <w:szCs w:val="22"/>
        </w:rPr>
        <w:lastRenderedPageBreak/>
        <w:t xml:space="preserve">Consequently, the fish metabolizes its own structural and functional proteins via proteolysis to supply free amino acids to the tricarboxylic acid (TCA) cycle, helping meet this elevated energy demand. This compensatory strategy is common in freshwater </w:t>
      </w:r>
      <w:proofErr w:type="spellStart"/>
      <w:r w:rsidRPr="005326FF">
        <w:rPr>
          <w:rFonts w:ascii="Times New Roman" w:hAnsi="Times New Roman" w:cs="Times New Roman"/>
          <w:sz w:val="22"/>
          <w:szCs w:val="22"/>
        </w:rPr>
        <w:t>teleosts</w:t>
      </w:r>
      <w:proofErr w:type="spellEnd"/>
      <w:r w:rsidRPr="005326FF">
        <w:rPr>
          <w:rFonts w:ascii="Times New Roman" w:hAnsi="Times New Roman" w:cs="Times New Roman"/>
          <w:sz w:val="22"/>
          <w:szCs w:val="22"/>
        </w:rPr>
        <w:t xml:space="preserve"> facing chemical stress.</w:t>
      </w:r>
    </w:p>
    <w:p w14:paraId="461EEB78"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Second, excess accumulation of exogenous glutamate in the aquatic medium can lead to systemic </w:t>
      </w:r>
      <w:proofErr w:type="spellStart"/>
      <w:r w:rsidRPr="005326FF">
        <w:rPr>
          <w:rFonts w:ascii="Times New Roman" w:hAnsi="Times New Roman" w:cs="Times New Roman"/>
          <w:sz w:val="22"/>
          <w:szCs w:val="22"/>
        </w:rPr>
        <w:t>oxido</w:t>
      </w:r>
      <w:proofErr w:type="spellEnd"/>
      <w:r w:rsidRPr="005326FF">
        <w:rPr>
          <w:rFonts w:ascii="Times New Roman" w:hAnsi="Times New Roman" w:cs="Times New Roman"/>
          <w:sz w:val="22"/>
          <w:szCs w:val="22"/>
        </w:rPr>
        <w:t>-nitrergic stress within hepatic tissues. Intracellular accumulation of MSG triggers the overproduction of Reactive Oxygen Species (ROS). This induces lipid peroxidation of hepatocyte organelle membranes, particularly the rough endoplasmic reticulum. Structural damage to the endoplasmic reticulum directly disrupts ribonuclear protein translation machinery, leading to a down-regulation of new protein synthesis. This pathway aligns with previous findings where high doses of MSG caused cellular toxicity, mitochondrial membrane alterations, and damaged hepatocytes in animal models.</w:t>
      </w:r>
    </w:p>
    <w:p w14:paraId="2E521094" w14:textId="77777777" w:rsidR="005326FF" w:rsidRPr="005326FF" w:rsidRDefault="005326FF" w:rsidP="00107454">
      <w:pPr>
        <w:spacing w:after="0"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Conclusion</w:t>
      </w:r>
    </w:p>
    <w:p w14:paraId="1D52BBE2" w14:textId="77777777" w:rsidR="005326FF" w:rsidRPr="005326FF" w:rsidRDefault="005326FF" w:rsidP="00107454">
      <w:pPr>
        <w:spacing w:after="0" w:line="360" w:lineRule="auto"/>
        <w:jc w:val="both"/>
        <w:rPr>
          <w:rFonts w:ascii="Times New Roman" w:hAnsi="Times New Roman" w:cs="Times New Roman"/>
          <w:sz w:val="22"/>
          <w:szCs w:val="22"/>
        </w:rPr>
      </w:pPr>
      <w:r w:rsidRPr="005326FF">
        <w:rPr>
          <w:rFonts w:ascii="Times New Roman" w:hAnsi="Times New Roman" w:cs="Times New Roman"/>
          <w:sz w:val="22"/>
          <w:szCs w:val="22"/>
        </w:rPr>
        <w:t xml:space="preserve">This investigation confirms that a sub-lethal concentration of Monosodium Glutamate (10 mg/L) causes a significant, time-dependent reduction in the total liver protein content of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The maximum depletion (56.42%) occurred at the 15-day mark, demonstrating that prolonged exposure risks severe metabolic impairment. This reduction points to accelerated proteolysis to meet energy demands and a breakdown in protein synthesis driven by oxidative stress. These findings underscore that low-level MSG contamination in natural water bodies can destabilize health profiles in non-target carps. Further studies are needed to assess recovery potential in clean water and the broader impact of this metabolic stress on the aquatic food chain.</w:t>
      </w:r>
    </w:p>
    <w:p w14:paraId="4AEB027D" w14:textId="39EF018F" w:rsidR="00D2722A" w:rsidRPr="00710C81" w:rsidRDefault="005326FF" w:rsidP="00D2722A">
      <w:pPr>
        <w:spacing w:after="0" w:line="360" w:lineRule="auto"/>
        <w:jc w:val="both"/>
        <w:rPr>
          <w:rFonts w:ascii="Times New Roman" w:hAnsi="Times New Roman" w:cs="Times New Roman"/>
          <w:b/>
          <w:bCs/>
          <w:sz w:val="22"/>
          <w:szCs w:val="22"/>
        </w:rPr>
      </w:pPr>
      <w:r w:rsidRPr="005326FF">
        <w:rPr>
          <w:rFonts w:ascii="Times New Roman" w:hAnsi="Times New Roman" w:cs="Times New Roman"/>
          <w:b/>
          <w:bCs/>
          <w:sz w:val="22"/>
          <w:szCs w:val="22"/>
        </w:rPr>
        <w:t>References</w:t>
      </w:r>
    </w:p>
    <w:p w14:paraId="34CB4F07"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proofErr w:type="spellStart"/>
      <w:r w:rsidRPr="005326FF">
        <w:rPr>
          <w:rFonts w:ascii="Times New Roman" w:hAnsi="Times New Roman" w:cs="Times New Roman"/>
          <w:b/>
          <w:bCs/>
          <w:sz w:val="22"/>
          <w:szCs w:val="22"/>
        </w:rPr>
        <w:t>Ataseven</w:t>
      </w:r>
      <w:proofErr w:type="spellEnd"/>
      <w:r w:rsidRPr="005326FF">
        <w:rPr>
          <w:rFonts w:ascii="Times New Roman" w:hAnsi="Times New Roman" w:cs="Times New Roman"/>
          <w:b/>
          <w:bCs/>
          <w:sz w:val="22"/>
          <w:szCs w:val="22"/>
        </w:rPr>
        <w:t>, H., et al. (2025).</w:t>
      </w:r>
      <w:r w:rsidRPr="005326FF">
        <w:rPr>
          <w:rFonts w:ascii="Times New Roman" w:hAnsi="Times New Roman" w:cs="Times New Roman"/>
          <w:sz w:val="22"/>
          <w:szCs w:val="22"/>
        </w:rPr>
        <w:t xml:space="preserve"> Evaluation of the Effects of Monosodium Glutamate on Hepatic and Renal Oxidative Stress. </w:t>
      </w:r>
      <w:r w:rsidRPr="005326FF">
        <w:rPr>
          <w:rFonts w:ascii="Times New Roman" w:hAnsi="Times New Roman" w:cs="Times New Roman"/>
          <w:i/>
          <w:iCs/>
          <w:sz w:val="22"/>
          <w:szCs w:val="22"/>
        </w:rPr>
        <w:t>MDPI Toxics</w:t>
      </w:r>
      <w:r w:rsidRPr="005326FF">
        <w:rPr>
          <w:rFonts w:ascii="Times New Roman" w:hAnsi="Times New Roman" w:cs="Times New Roman"/>
          <w:sz w:val="22"/>
          <w:szCs w:val="22"/>
        </w:rPr>
        <w:t>, 15(3), 64.</w:t>
      </w:r>
    </w:p>
    <w:p w14:paraId="76A37C4F"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Diniz, Y. S., et al. (2021).</w:t>
      </w:r>
      <w:r w:rsidRPr="005326FF">
        <w:rPr>
          <w:rFonts w:ascii="Times New Roman" w:hAnsi="Times New Roman" w:cs="Times New Roman"/>
          <w:sz w:val="22"/>
          <w:szCs w:val="22"/>
        </w:rPr>
        <w:t xml:space="preserve"> Toxicity of monosodium glutamate intake on different tissues and metabolic profiles. </w:t>
      </w:r>
      <w:r w:rsidRPr="005326FF">
        <w:rPr>
          <w:rFonts w:ascii="Times New Roman" w:hAnsi="Times New Roman" w:cs="Times New Roman"/>
          <w:i/>
          <w:iCs/>
          <w:sz w:val="22"/>
          <w:szCs w:val="22"/>
        </w:rPr>
        <w:t>Journal of Metabolic and Animal Sciences</w:t>
      </w:r>
      <w:r w:rsidRPr="005326FF">
        <w:rPr>
          <w:rFonts w:ascii="Times New Roman" w:hAnsi="Times New Roman" w:cs="Times New Roman"/>
          <w:sz w:val="22"/>
          <w:szCs w:val="22"/>
        </w:rPr>
        <w:t xml:space="preserve">, 26(3), 45-58. </w:t>
      </w:r>
    </w:p>
    <w:p w14:paraId="78E4C873"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 xml:space="preserve">Eweka, A. O., &amp; </w:t>
      </w:r>
      <w:proofErr w:type="spellStart"/>
      <w:r w:rsidRPr="005326FF">
        <w:rPr>
          <w:rFonts w:ascii="Times New Roman" w:hAnsi="Times New Roman" w:cs="Times New Roman"/>
          <w:b/>
          <w:bCs/>
          <w:sz w:val="22"/>
          <w:szCs w:val="22"/>
        </w:rPr>
        <w:t>Om'Iniabohs</w:t>
      </w:r>
      <w:proofErr w:type="spellEnd"/>
      <w:r w:rsidRPr="005326FF">
        <w:rPr>
          <w:rFonts w:ascii="Times New Roman" w:hAnsi="Times New Roman" w:cs="Times New Roman"/>
          <w:b/>
          <w:bCs/>
          <w:sz w:val="22"/>
          <w:szCs w:val="22"/>
        </w:rPr>
        <w:t>, F. A. E. (2020).</w:t>
      </w:r>
      <w:r w:rsidRPr="005326FF">
        <w:rPr>
          <w:rFonts w:ascii="Times New Roman" w:hAnsi="Times New Roman" w:cs="Times New Roman"/>
          <w:sz w:val="22"/>
          <w:szCs w:val="22"/>
        </w:rPr>
        <w:t xml:space="preserve"> Histochemical Studies of the Effects of Monosodium Glutamate on the Liver of Adult Wistar Rats. </w:t>
      </w:r>
      <w:r w:rsidRPr="005326FF">
        <w:rPr>
          <w:rFonts w:ascii="Times New Roman" w:hAnsi="Times New Roman" w:cs="Times New Roman"/>
          <w:i/>
          <w:iCs/>
          <w:sz w:val="22"/>
          <w:szCs w:val="22"/>
        </w:rPr>
        <w:t>Internet Journal of Gastroenterology</w:t>
      </w:r>
      <w:r w:rsidRPr="005326FF">
        <w:rPr>
          <w:rFonts w:ascii="Times New Roman" w:hAnsi="Times New Roman" w:cs="Times New Roman"/>
          <w:sz w:val="22"/>
          <w:szCs w:val="22"/>
        </w:rPr>
        <w:t xml:space="preserve">, 12(2). </w:t>
      </w:r>
    </w:p>
    <w:p w14:paraId="7BEAD763"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Niaz, K., et al. (2020).</w:t>
      </w:r>
      <w:r w:rsidRPr="005326FF">
        <w:rPr>
          <w:rFonts w:ascii="Times New Roman" w:hAnsi="Times New Roman" w:cs="Times New Roman"/>
          <w:sz w:val="22"/>
          <w:szCs w:val="22"/>
        </w:rPr>
        <w:t xml:space="preserve"> Monosodium glutamate induces memory and hepatic challenges in test models: Defensive role of herbal intervention. </w:t>
      </w:r>
      <w:r w:rsidRPr="005326FF">
        <w:rPr>
          <w:rFonts w:ascii="Times New Roman" w:hAnsi="Times New Roman" w:cs="Times New Roman"/>
          <w:i/>
          <w:iCs/>
          <w:sz w:val="22"/>
          <w:szCs w:val="22"/>
        </w:rPr>
        <w:t>PMC Pharmacology</w:t>
      </w:r>
      <w:r w:rsidRPr="005326FF">
        <w:rPr>
          <w:rFonts w:ascii="Times New Roman" w:hAnsi="Times New Roman" w:cs="Times New Roman"/>
          <w:sz w:val="22"/>
          <w:szCs w:val="22"/>
        </w:rPr>
        <w:t>, 11(4), 215-227.</w:t>
      </w:r>
    </w:p>
    <w:p w14:paraId="7B55FBA7"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Perumalsamy, K., et al. (2024).</w:t>
      </w:r>
      <w:r w:rsidRPr="005326FF">
        <w:rPr>
          <w:rFonts w:ascii="Times New Roman" w:hAnsi="Times New Roman" w:cs="Times New Roman"/>
          <w:sz w:val="22"/>
          <w:szCs w:val="22"/>
        </w:rPr>
        <w:t xml:space="preserve"> Histopathological alterations in the vital organs of Indian major carp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xml:space="preserve"> exposed to sub-lethal concentration of MSG. </w:t>
      </w:r>
      <w:r w:rsidRPr="005326FF">
        <w:rPr>
          <w:rFonts w:ascii="Times New Roman" w:hAnsi="Times New Roman" w:cs="Times New Roman"/>
          <w:i/>
          <w:iCs/>
          <w:sz w:val="22"/>
          <w:szCs w:val="22"/>
        </w:rPr>
        <w:t>Journal of Basic and Applied Zoology</w:t>
      </w:r>
      <w:r w:rsidRPr="005326FF">
        <w:rPr>
          <w:rFonts w:ascii="Times New Roman" w:hAnsi="Times New Roman" w:cs="Times New Roman"/>
          <w:sz w:val="22"/>
          <w:szCs w:val="22"/>
        </w:rPr>
        <w:t xml:space="preserve">, 85(10), 1-12. </w:t>
      </w:r>
    </w:p>
    <w:p w14:paraId="2CA43E44"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Sharma, A. (2021).</w:t>
      </w:r>
      <w:r w:rsidRPr="005326FF">
        <w:rPr>
          <w:rFonts w:ascii="Times New Roman" w:hAnsi="Times New Roman" w:cs="Times New Roman"/>
          <w:sz w:val="22"/>
          <w:szCs w:val="22"/>
        </w:rPr>
        <w:t xml:space="preserve"> Changes in the plasma electrolytes of fresh water teleost fish </w:t>
      </w:r>
      <w:r w:rsidRPr="005326FF">
        <w:rPr>
          <w:rFonts w:ascii="Times New Roman" w:hAnsi="Times New Roman" w:cs="Times New Roman"/>
          <w:i/>
          <w:iCs/>
          <w:sz w:val="22"/>
          <w:szCs w:val="22"/>
        </w:rPr>
        <w:t>Labeo rohita</w:t>
      </w:r>
      <w:r w:rsidRPr="005326FF">
        <w:rPr>
          <w:rFonts w:ascii="Times New Roman" w:hAnsi="Times New Roman" w:cs="Times New Roman"/>
          <w:sz w:val="22"/>
          <w:szCs w:val="22"/>
        </w:rPr>
        <w:t xml:space="preserve"> exposed to sublethal concentration of monosodium glutamate. </w:t>
      </w:r>
      <w:r w:rsidRPr="005326FF">
        <w:rPr>
          <w:rFonts w:ascii="Times New Roman" w:hAnsi="Times New Roman" w:cs="Times New Roman"/>
          <w:i/>
          <w:iCs/>
          <w:sz w:val="22"/>
          <w:szCs w:val="22"/>
        </w:rPr>
        <w:t>ResearchGate Publication</w:t>
      </w:r>
      <w:r w:rsidRPr="005326FF">
        <w:rPr>
          <w:rFonts w:ascii="Times New Roman" w:hAnsi="Times New Roman" w:cs="Times New Roman"/>
          <w:sz w:val="22"/>
          <w:szCs w:val="22"/>
        </w:rPr>
        <w:t xml:space="preserve">, 352041990. </w:t>
      </w:r>
    </w:p>
    <w:p w14:paraId="33F56F46"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t>Thomas, M., et al. (2023).</w:t>
      </w:r>
      <w:r w:rsidRPr="005326FF">
        <w:rPr>
          <w:rFonts w:ascii="Times New Roman" w:hAnsi="Times New Roman" w:cs="Times New Roman"/>
          <w:sz w:val="22"/>
          <w:szCs w:val="22"/>
        </w:rPr>
        <w:t xml:space="preserve"> The excitotoxic effect of monosodium glutamate on Zebra Fish (</w:t>
      </w:r>
      <w:r w:rsidRPr="005326FF">
        <w:rPr>
          <w:rFonts w:ascii="Times New Roman" w:hAnsi="Times New Roman" w:cs="Times New Roman"/>
          <w:i/>
          <w:iCs/>
          <w:sz w:val="22"/>
          <w:szCs w:val="22"/>
        </w:rPr>
        <w:t>Danio rerio</w:t>
      </w:r>
      <w:r w:rsidRPr="005326FF">
        <w:rPr>
          <w:rFonts w:ascii="Times New Roman" w:hAnsi="Times New Roman" w:cs="Times New Roman"/>
          <w:sz w:val="22"/>
          <w:szCs w:val="22"/>
        </w:rPr>
        <w:t xml:space="preserve">). </w:t>
      </w:r>
      <w:r w:rsidRPr="005326FF">
        <w:rPr>
          <w:rFonts w:ascii="Times New Roman" w:hAnsi="Times New Roman" w:cs="Times New Roman"/>
          <w:i/>
          <w:iCs/>
          <w:sz w:val="22"/>
          <w:szCs w:val="22"/>
        </w:rPr>
        <w:t>International Journal of Biosciences</w:t>
      </w:r>
      <w:r w:rsidRPr="005326FF">
        <w:rPr>
          <w:rFonts w:ascii="Times New Roman" w:hAnsi="Times New Roman" w:cs="Times New Roman"/>
          <w:sz w:val="22"/>
          <w:szCs w:val="22"/>
        </w:rPr>
        <w:t xml:space="preserve">, 23(6), 112-120. </w:t>
      </w:r>
    </w:p>
    <w:p w14:paraId="69BAAF96" w14:textId="77777777" w:rsidR="00D2722A" w:rsidRPr="005326FF" w:rsidRDefault="00D2722A" w:rsidP="00107454">
      <w:pPr>
        <w:numPr>
          <w:ilvl w:val="0"/>
          <w:numId w:val="1"/>
        </w:numPr>
        <w:spacing w:after="0" w:line="360" w:lineRule="auto"/>
        <w:jc w:val="both"/>
        <w:rPr>
          <w:rFonts w:ascii="Times New Roman" w:hAnsi="Times New Roman" w:cs="Times New Roman"/>
          <w:sz w:val="22"/>
          <w:szCs w:val="22"/>
        </w:rPr>
      </w:pPr>
      <w:r w:rsidRPr="005326FF">
        <w:rPr>
          <w:rFonts w:ascii="Times New Roman" w:hAnsi="Times New Roman" w:cs="Times New Roman"/>
          <w:b/>
          <w:bCs/>
          <w:sz w:val="22"/>
          <w:szCs w:val="22"/>
        </w:rPr>
        <w:lastRenderedPageBreak/>
        <w:t>Zanfirescu, A., et al. (2019).</w:t>
      </w:r>
      <w:r w:rsidRPr="005326FF">
        <w:rPr>
          <w:rFonts w:ascii="Times New Roman" w:hAnsi="Times New Roman" w:cs="Times New Roman"/>
          <w:sz w:val="22"/>
          <w:szCs w:val="22"/>
        </w:rPr>
        <w:t xml:space="preserve"> A review of the alleged health hazards of monosodium glutamate. </w:t>
      </w:r>
      <w:r w:rsidRPr="005326FF">
        <w:rPr>
          <w:rFonts w:ascii="Times New Roman" w:hAnsi="Times New Roman" w:cs="Times New Roman"/>
          <w:i/>
          <w:iCs/>
          <w:sz w:val="22"/>
          <w:szCs w:val="22"/>
        </w:rPr>
        <w:t>Comprehensive Reviews in Food Science and Food Safety</w:t>
      </w:r>
      <w:r w:rsidRPr="005326FF">
        <w:rPr>
          <w:rFonts w:ascii="Times New Roman" w:hAnsi="Times New Roman" w:cs="Times New Roman"/>
          <w:sz w:val="22"/>
          <w:szCs w:val="22"/>
        </w:rPr>
        <w:t xml:space="preserve">, 18(4), 1111-1134. </w:t>
      </w:r>
    </w:p>
    <w:sectPr w:rsidR="00D2722A" w:rsidRPr="005326FF" w:rsidSect="00EA1A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909D" w14:textId="77777777" w:rsidR="00D2055B" w:rsidRDefault="00D2055B" w:rsidP="002D222A">
      <w:pPr>
        <w:spacing w:after="0" w:line="240" w:lineRule="auto"/>
      </w:pPr>
      <w:r>
        <w:separator/>
      </w:r>
    </w:p>
  </w:endnote>
  <w:endnote w:type="continuationSeparator" w:id="0">
    <w:p w14:paraId="5054BA9F" w14:textId="77777777" w:rsidR="00D2055B" w:rsidRDefault="00D2055B" w:rsidP="002D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6108B" w14:textId="77777777" w:rsidR="00D2055B" w:rsidRDefault="00D2055B" w:rsidP="002D222A">
      <w:pPr>
        <w:spacing w:after="0" w:line="240" w:lineRule="auto"/>
      </w:pPr>
      <w:r>
        <w:separator/>
      </w:r>
    </w:p>
  </w:footnote>
  <w:footnote w:type="continuationSeparator" w:id="0">
    <w:p w14:paraId="5522971F" w14:textId="77777777" w:rsidR="00D2055B" w:rsidRDefault="00D2055B" w:rsidP="002D2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2F0"/>
    <w:multiLevelType w:val="multilevel"/>
    <w:tmpl w:val="5E1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82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81"/>
    <w:rsid w:val="00107454"/>
    <w:rsid w:val="002D222A"/>
    <w:rsid w:val="005326FF"/>
    <w:rsid w:val="00550C3F"/>
    <w:rsid w:val="005A4CC6"/>
    <w:rsid w:val="00710C81"/>
    <w:rsid w:val="00743F08"/>
    <w:rsid w:val="009E3724"/>
    <w:rsid w:val="00A357D3"/>
    <w:rsid w:val="00D2055B"/>
    <w:rsid w:val="00D2722A"/>
    <w:rsid w:val="00EA1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4885"/>
  <w15:chartTrackingRefBased/>
  <w15:docId w15:val="{CCF5D6AE-3FF5-4850-9552-6173DDFC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81"/>
    <w:rPr>
      <w:rFonts w:eastAsiaTheme="majorEastAsia" w:cstheme="majorBidi"/>
      <w:color w:val="272727" w:themeColor="text1" w:themeTint="D8"/>
    </w:rPr>
  </w:style>
  <w:style w:type="paragraph" w:styleId="Title">
    <w:name w:val="Title"/>
    <w:basedOn w:val="Normal"/>
    <w:next w:val="Normal"/>
    <w:link w:val="TitleChar"/>
    <w:uiPriority w:val="10"/>
    <w:qFormat/>
    <w:rsid w:val="00710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81"/>
    <w:pPr>
      <w:spacing w:before="160"/>
      <w:jc w:val="center"/>
    </w:pPr>
    <w:rPr>
      <w:i/>
      <w:iCs/>
      <w:color w:val="404040" w:themeColor="text1" w:themeTint="BF"/>
    </w:rPr>
  </w:style>
  <w:style w:type="character" w:customStyle="1" w:styleId="QuoteChar">
    <w:name w:val="Quote Char"/>
    <w:basedOn w:val="DefaultParagraphFont"/>
    <w:link w:val="Quote"/>
    <w:uiPriority w:val="29"/>
    <w:rsid w:val="00710C81"/>
    <w:rPr>
      <w:i/>
      <w:iCs/>
      <w:color w:val="404040" w:themeColor="text1" w:themeTint="BF"/>
    </w:rPr>
  </w:style>
  <w:style w:type="paragraph" w:styleId="ListParagraph">
    <w:name w:val="List Paragraph"/>
    <w:basedOn w:val="Normal"/>
    <w:uiPriority w:val="34"/>
    <w:qFormat/>
    <w:rsid w:val="00710C81"/>
    <w:pPr>
      <w:ind w:left="720"/>
      <w:contextualSpacing/>
    </w:pPr>
  </w:style>
  <w:style w:type="character" w:styleId="IntenseEmphasis">
    <w:name w:val="Intense Emphasis"/>
    <w:basedOn w:val="DefaultParagraphFont"/>
    <w:uiPriority w:val="21"/>
    <w:qFormat/>
    <w:rsid w:val="00710C81"/>
    <w:rPr>
      <w:i/>
      <w:iCs/>
      <w:color w:val="2F5496" w:themeColor="accent1" w:themeShade="BF"/>
    </w:rPr>
  </w:style>
  <w:style w:type="paragraph" w:styleId="IntenseQuote">
    <w:name w:val="Intense Quote"/>
    <w:basedOn w:val="Normal"/>
    <w:next w:val="Normal"/>
    <w:link w:val="IntenseQuoteChar"/>
    <w:uiPriority w:val="30"/>
    <w:qFormat/>
    <w:rsid w:val="00710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C81"/>
    <w:rPr>
      <w:i/>
      <w:iCs/>
      <w:color w:val="2F5496" w:themeColor="accent1" w:themeShade="BF"/>
    </w:rPr>
  </w:style>
  <w:style w:type="character" w:styleId="IntenseReference">
    <w:name w:val="Intense Reference"/>
    <w:basedOn w:val="DefaultParagraphFont"/>
    <w:uiPriority w:val="32"/>
    <w:qFormat/>
    <w:rsid w:val="00710C81"/>
    <w:rPr>
      <w:b/>
      <w:bCs/>
      <w:smallCaps/>
      <w:color w:val="2F5496" w:themeColor="accent1" w:themeShade="BF"/>
      <w:spacing w:val="5"/>
    </w:rPr>
  </w:style>
  <w:style w:type="character" w:styleId="Hyperlink">
    <w:name w:val="Hyperlink"/>
    <w:basedOn w:val="DefaultParagraphFont"/>
    <w:uiPriority w:val="99"/>
    <w:unhideWhenUsed/>
    <w:rsid w:val="00710C81"/>
    <w:rPr>
      <w:color w:val="0563C1" w:themeColor="hyperlink"/>
      <w:u w:val="single"/>
    </w:rPr>
  </w:style>
  <w:style w:type="character" w:styleId="UnresolvedMention">
    <w:name w:val="Unresolved Mention"/>
    <w:basedOn w:val="DefaultParagraphFont"/>
    <w:uiPriority w:val="99"/>
    <w:semiHidden/>
    <w:unhideWhenUsed/>
    <w:rsid w:val="00710C81"/>
    <w:rPr>
      <w:color w:val="605E5C"/>
      <w:shd w:val="clear" w:color="auto" w:fill="E1DFDD"/>
    </w:rPr>
  </w:style>
  <w:style w:type="paragraph" w:styleId="Header">
    <w:name w:val="header"/>
    <w:basedOn w:val="Normal"/>
    <w:link w:val="HeaderChar"/>
    <w:uiPriority w:val="99"/>
    <w:unhideWhenUsed/>
    <w:rsid w:val="002D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22A"/>
  </w:style>
  <w:style w:type="paragraph" w:styleId="Footer">
    <w:name w:val="footer"/>
    <w:basedOn w:val="Normal"/>
    <w:link w:val="FooterChar"/>
    <w:uiPriority w:val="99"/>
    <w:unhideWhenUsed/>
    <w:rsid w:val="002D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22A"/>
  </w:style>
  <w:style w:type="table" w:styleId="TableGrid">
    <w:name w:val="Table Grid"/>
    <w:basedOn w:val="TableNormal"/>
    <w:uiPriority w:val="39"/>
    <w:rsid w:val="005A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hinkamble16@gmail.com" TargetMode="External"/><Relationship Id="rId3" Type="http://schemas.openxmlformats.org/officeDocument/2006/relationships/settings" Target="settings.xml"/><Relationship Id="rId7" Type="http://schemas.openxmlformats.org/officeDocument/2006/relationships/hyperlink" Target="mailto:-abhitakale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i="0" u="none" strike="noStrike" baseline="0">
                <a:effectLst/>
                <a:latin typeface="Times New Roman" panose="02020603050405020304" pitchFamily="18" charset="0"/>
                <a:cs typeface="Times New Roman" panose="02020603050405020304" pitchFamily="18" charset="0"/>
              </a:rPr>
              <a:t> Liver Protein Content (mg/100 mg tissue) in </a:t>
            </a:r>
            <a:r>
              <a:rPr lang="en-IN" sz="1100" b="1" i="1" u="none" strike="noStrike" baseline="0">
                <a:effectLst/>
                <a:latin typeface="Times New Roman" panose="02020603050405020304" pitchFamily="18" charset="0"/>
                <a:cs typeface="Times New Roman" panose="02020603050405020304" pitchFamily="18" charset="0"/>
              </a:rPr>
              <a:t>Labeo rohita</a:t>
            </a:r>
            <a:r>
              <a:rPr lang="en-IN" sz="1100" b="1" i="0" u="none" strike="noStrike" baseline="0">
                <a:effectLst/>
                <a:latin typeface="Times New Roman" panose="02020603050405020304" pitchFamily="18" charset="0"/>
                <a:cs typeface="Times New Roman" panose="02020603050405020304" pitchFamily="18" charset="0"/>
              </a:rPr>
              <a:t> under 10 mg MSG Exposure for 15 days</a:t>
            </a:r>
            <a:endParaRPr lang="en-IN"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Sheet1!$G$7</c:f>
              <c:strCache>
                <c:ptCount val="1"/>
                <c:pt idx="0">
                  <c:v>Total Liver Protein (mg/g of wet tissue)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Sheet1!$F$8:$F$11</c:f>
              <c:strCache>
                <c:ptCount val="4"/>
                <c:pt idx="0">
                  <c:v>Control</c:v>
                </c:pt>
                <c:pt idx="1">
                  <c:v>5 Days</c:v>
                </c:pt>
                <c:pt idx="2">
                  <c:v>10 Days</c:v>
                </c:pt>
                <c:pt idx="3">
                  <c:v>15 Days</c:v>
                </c:pt>
              </c:strCache>
            </c:strRef>
          </c:cat>
          <c:val>
            <c:numRef>
              <c:f>Sheet1!$G$8:$G$11</c:f>
              <c:numCache>
                <c:formatCode>General</c:formatCode>
                <c:ptCount val="4"/>
                <c:pt idx="0">
                  <c:v>65.400000000000006</c:v>
                </c:pt>
                <c:pt idx="1">
                  <c:v>52.1</c:v>
                </c:pt>
                <c:pt idx="2">
                  <c:v>41.8</c:v>
                </c:pt>
                <c:pt idx="3">
                  <c:v>28.5</c:v>
                </c:pt>
              </c:numCache>
            </c:numRef>
          </c:val>
          <c:smooth val="0"/>
          <c:extLst>
            <c:ext xmlns:c16="http://schemas.microsoft.com/office/drawing/2014/chart" uri="{C3380CC4-5D6E-409C-BE32-E72D297353CC}">
              <c16:uniqueId val="{00000000-3428-4CFD-A4CA-53E78BB31FC7}"/>
            </c:ext>
          </c:extLst>
        </c:ser>
        <c:ser>
          <c:idx val="1"/>
          <c:order val="1"/>
          <c:tx>
            <c:strRef>
              <c:f>Sheet1!$H$7</c:f>
              <c:strCache>
                <c:ptCount val="1"/>
                <c:pt idx="0">
                  <c:v>Percentage Change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Sheet1!$F$8:$F$11</c:f>
              <c:strCache>
                <c:ptCount val="4"/>
                <c:pt idx="0">
                  <c:v>Control</c:v>
                </c:pt>
                <c:pt idx="1">
                  <c:v>5 Days</c:v>
                </c:pt>
                <c:pt idx="2">
                  <c:v>10 Days</c:v>
                </c:pt>
                <c:pt idx="3">
                  <c:v>15 Days</c:v>
                </c:pt>
              </c:strCache>
            </c:strRef>
          </c:cat>
          <c:val>
            <c:numRef>
              <c:f>Sheet1!$H$8:$H$11</c:f>
              <c:numCache>
                <c:formatCode>0.00%</c:formatCode>
                <c:ptCount val="4"/>
                <c:pt idx="0" formatCode="General">
                  <c:v>0</c:v>
                </c:pt>
                <c:pt idx="1">
                  <c:v>0.2034</c:v>
                </c:pt>
                <c:pt idx="2">
                  <c:v>0.36080000000000001</c:v>
                </c:pt>
                <c:pt idx="3">
                  <c:v>0.56420000000000003</c:v>
                </c:pt>
              </c:numCache>
            </c:numRef>
          </c:val>
          <c:smooth val="0"/>
          <c:extLst>
            <c:ext xmlns:c16="http://schemas.microsoft.com/office/drawing/2014/chart" uri="{C3380CC4-5D6E-409C-BE32-E72D297353CC}">
              <c16:uniqueId val="{00000001-3428-4CFD-A4CA-53E78BB31FC7}"/>
            </c:ext>
          </c:extLst>
        </c:ser>
        <c:dLbls>
          <c:showLegendKey val="0"/>
          <c:showVal val="0"/>
          <c:showCatName val="0"/>
          <c:showSerName val="0"/>
          <c:showPercent val="0"/>
          <c:showBubbleSize val="0"/>
        </c:dLbls>
        <c:marker val="1"/>
        <c:smooth val="0"/>
        <c:axId val="1902390431"/>
        <c:axId val="1902385631"/>
      </c:lineChart>
      <c:catAx>
        <c:axId val="19023904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385631"/>
        <c:crosses val="autoZero"/>
        <c:auto val="1"/>
        <c:lblAlgn val="ctr"/>
        <c:lblOffset val="100"/>
        <c:noMultiLvlLbl val="0"/>
      </c:catAx>
      <c:valAx>
        <c:axId val="1902385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239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Onkar Kadam</dc:creator>
  <cp:keywords/>
  <dc:description/>
  <cp:lastModifiedBy>Onkar Kadam</cp:lastModifiedBy>
  <cp:revision>1</cp:revision>
  <dcterms:created xsi:type="dcterms:W3CDTF">2026-05-12T08:20:00Z</dcterms:created>
  <dcterms:modified xsi:type="dcterms:W3CDTF">2026-05-12T09:28:00Z</dcterms:modified>
</cp:coreProperties>
</file>