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8358E6" w14:textId="77777777" w:rsidR="00B10E6C" w:rsidRPr="00EF77C5" w:rsidRDefault="00B10E6C" w:rsidP="00FB5DDE">
      <w:pPr>
        <w:spacing w:line="240" w:lineRule="auto"/>
        <w:jc w:val="center"/>
        <w:rPr>
          <w:rFonts w:cs="Times New Roman"/>
          <w:b/>
          <w:sz w:val="36"/>
          <w:szCs w:val="36"/>
        </w:rPr>
      </w:pPr>
      <w:r w:rsidRPr="00EF77C5">
        <w:rPr>
          <w:rFonts w:cs="Times New Roman"/>
          <w:b/>
          <w:sz w:val="36"/>
          <w:szCs w:val="36"/>
        </w:rPr>
        <w:t xml:space="preserve">Investment Strategies of </w:t>
      </w:r>
      <w:proofErr w:type="gramStart"/>
      <w:r w:rsidRPr="00EF77C5">
        <w:rPr>
          <w:rFonts w:cs="Times New Roman"/>
          <w:b/>
          <w:sz w:val="36"/>
          <w:szCs w:val="36"/>
        </w:rPr>
        <w:t>High Net Worth</w:t>
      </w:r>
      <w:proofErr w:type="gramEnd"/>
      <w:r w:rsidRPr="00EF77C5">
        <w:rPr>
          <w:rFonts w:cs="Times New Roman"/>
          <w:b/>
          <w:sz w:val="36"/>
          <w:szCs w:val="36"/>
        </w:rPr>
        <w:t xml:space="preserve"> Individuals (HNIs) in India: A Qualitative Case Study Approach</w:t>
      </w:r>
    </w:p>
    <w:p w14:paraId="33F664F8" w14:textId="630A5E58" w:rsidR="00B10E6C" w:rsidRPr="00DA1927" w:rsidRDefault="00E53B1E" w:rsidP="00DA1927">
      <w:pPr>
        <w:spacing w:line="240" w:lineRule="auto"/>
        <w:jc w:val="center"/>
        <w:rPr>
          <w:b/>
          <w:bCs/>
        </w:rPr>
      </w:pPr>
      <w:r w:rsidRPr="00DA1927">
        <w:rPr>
          <w:b/>
          <w:bCs/>
        </w:rPr>
        <w:t>Dr. N. Ven</w:t>
      </w:r>
      <w:r w:rsidR="00AF7A12" w:rsidRPr="00DA1927">
        <w:rPr>
          <w:b/>
          <w:bCs/>
        </w:rPr>
        <w:t>kateswaran</w:t>
      </w:r>
      <w:proofErr w:type="gramStart"/>
      <w:r w:rsidR="00E21AFB" w:rsidRPr="00DA1927">
        <w:rPr>
          <w:b/>
          <w:bCs/>
          <w:vertAlign w:val="superscript"/>
        </w:rPr>
        <w:t xml:space="preserve">1 </w:t>
      </w:r>
      <w:r w:rsidR="00DA1927" w:rsidRPr="00DA1927">
        <w:rPr>
          <w:b/>
          <w:bCs/>
        </w:rPr>
        <w:t>,</w:t>
      </w:r>
      <w:proofErr w:type="gramEnd"/>
      <w:r w:rsidR="00DA1927" w:rsidRPr="00DA1927">
        <w:rPr>
          <w:b/>
          <w:bCs/>
        </w:rPr>
        <w:t xml:space="preserve"> </w:t>
      </w:r>
      <w:r w:rsidR="00B10E6C" w:rsidRPr="00DA1927">
        <w:rPr>
          <w:b/>
          <w:bCs/>
        </w:rPr>
        <w:t>Nithya Sri T</w:t>
      </w:r>
      <w:r w:rsidR="00000B18" w:rsidRPr="00DA1927">
        <w:rPr>
          <w:b/>
          <w:bCs/>
          <w:vertAlign w:val="superscript"/>
        </w:rPr>
        <w:t>2</w:t>
      </w:r>
    </w:p>
    <w:p w14:paraId="0E8C49D9" w14:textId="1F9F865C" w:rsidR="00B10E6C" w:rsidRPr="00271DE6" w:rsidRDefault="00B10E6C" w:rsidP="00FB5DDE">
      <w:pPr>
        <w:spacing w:line="240" w:lineRule="auto"/>
        <w:jc w:val="center"/>
        <w:rPr>
          <w:b/>
          <w:bCs/>
          <w:color w:val="000000"/>
          <w:sz w:val="22"/>
          <w:szCs w:val="20"/>
          <w:lang w:val="en-IN"/>
        </w:rPr>
      </w:pPr>
      <w:r w:rsidRPr="00271DE6">
        <w:rPr>
          <w:rFonts w:eastAsiaTheme="majorEastAsia"/>
          <w:b/>
          <w:bCs/>
          <w:color w:val="000000"/>
          <w:sz w:val="22"/>
          <w:szCs w:val="20"/>
          <w:vertAlign w:val="superscript"/>
          <w:lang w:val="en-IN"/>
        </w:rPr>
        <w:t>1</w:t>
      </w:r>
      <w:r w:rsidR="006C7FDB" w:rsidRPr="00271DE6">
        <w:rPr>
          <w:rFonts w:eastAsiaTheme="majorEastAsia"/>
          <w:b/>
          <w:bCs/>
          <w:color w:val="000000"/>
          <w:sz w:val="22"/>
          <w:szCs w:val="20"/>
          <w:vertAlign w:val="superscript"/>
          <w:lang w:val="en-IN"/>
        </w:rPr>
        <w:t>,2</w:t>
      </w:r>
      <w:r w:rsidRPr="00271DE6">
        <w:rPr>
          <w:rFonts w:eastAsiaTheme="majorEastAsia"/>
          <w:b/>
          <w:bCs/>
          <w:color w:val="000000"/>
          <w:sz w:val="22"/>
          <w:szCs w:val="20"/>
          <w:lang w:val="en-IN"/>
        </w:rPr>
        <w:t>-Department of Management Studies, Panimalar Engineering College.</w:t>
      </w:r>
    </w:p>
    <w:p w14:paraId="36638A36" w14:textId="1C6A0988" w:rsidR="000D7241" w:rsidRPr="00271DE6" w:rsidRDefault="000D7241" w:rsidP="00FB5DDE">
      <w:pPr>
        <w:spacing w:line="240" w:lineRule="auto"/>
        <w:jc w:val="center"/>
        <w:rPr>
          <w:b/>
          <w:bCs/>
          <w:sz w:val="22"/>
          <w:szCs w:val="20"/>
        </w:rPr>
      </w:pPr>
      <w:r w:rsidRPr="00271DE6">
        <w:rPr>
          <w:b/>
          <w:bCs/>
          <w:sz w:val="22"/>
          <w:szCs w:val="20"/>
        </w:rPr>
        <w:t>Panimalar Engineering College</w:t>
      </w:r>
      <w:r w:rsidRPr="00271DE6">
        <w:rPr>
          <w:b/>
          <w:bCs/>
          <w:sz w:val="22"/>
          <w:szCs w:val="20"/>
          <w:lang w:val="en-IN"/>
        </w:rPr>
        <w:t>,</w:t>
      </w:r>
      <w:r w:rsidR="00B17D60" w:rsidRPr="00271DE6">
        <w:rPr>
          <w:b/>
          <w:bCs/>
          <w:sz w:val="22"/>
          <w:szCs w:val="20"/>
          <w:lang w:val="en-IN"/>
        </w:rPr>
        <w:t xml:space="preserve"> </w:t>
      </w:r>
      <w:r w:rsidRPr="00271DE6">
        <w:rPr>
          <w:b/>
          <w:bCs/>
          <w:sz w:val="22"/>
          <w:szCs w:val="20"/>
          <w:lang w:val="en-IN"/>
        </w:rPr>
        <w:t>Chennai India.</w:t>
      </w:r>
    </w:p>
    <w:p w14:paraId="12CBFADC" w14:textId="7E293D5E" w:rsidR="000D7241" w:rsidRPr="00D21803" w:rsidRDefault="00E85668" w:rsidP="00FB5DDE">
      <w:pPr>
        <w:spacing w:line="240" w:lineRule="auto"/>
        <w:rPr>
          <w:rFonts w:cs="Times New Roman"/>
          <w:lang w:val="en-IN"/>
        </w:rPr>
      </w:pPr>
      <w:r w:rsidRPr="00D21803">
        <w:rPr>
          <w:rFonts w:cs="Times New Roman"/>
          <w:noProof/>
          <w:lang w:val="en-IN"/>
          <w14:ligatures w14:val="standardContextual"/>
        </w:rPr>
        <mc:AlternateContent>
          <mc:Choice Requires="wps">
            <w:drawing>
              <wp:anchor distT="0" distB="0" distL="114300" distR="114300" simplePos="0" relativeHeight="251659264" behindDoc="0" locked="0" layoutInCell="1" allowOverlap="1" wp14:anchorId="0F2442BA" wp14:editId="1F717F07">
                <wp:simplePos x="0" y="0"/>
                <wp:positionH relativeFrom="column">
                  <wp:posOffset>133985</wp:posOffset>
                </wp:positionH>
                <wp:positionV relativeFrom="paragraph">
                  <wp:posOffset>95250</wp:posOffset>
                </wp:positionV>
                <wp:extent cx="6876000" cy="0"/>
                <wp:effectExtent l="0" t="0" r="0" b="0"/>
                <wp:wrapNone/>
                <wp:docPr id="874183472" name="Straight Connector 1"/>
                <wp:cNvGraphicFramePr/>
                <a:graphic xmlns:a="http://schemas.openxmlformats.org/drawingml/2006/main">
                  <a:graphicData uri="http://schemas.microsoft.com/office/word/2010/wordprocessingShape">
                    <wps:wsp>
                      <wps:cNvCnPr/>
                      <wps:spPr>
                        <a:xfrm>
                          <a:off x="0" y="0"/>
                          <a:ext cx="6876000"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C169A7C"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55pt,7.5pt" to="551.9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" strokecolor="black [3200]" strokeweight="1pt">
                <v:stroke joinstyle="miter"/>
              </v:line>
            </w:pict>
          </mc:Fallback>
        </mc:AlternateContent>
      </w:r>
    </w:p>
    <w:p w14:paraId="36F9D5CF" w14:textId="14A4A436" w:rsidR="00B10E6C" w:rsidRPr="008C5968" w:rsidRDefault="005E7A7D" w:rsidP="00FB5DDE">
      <w:pPr>
        <w:spacing w:after="120" w:line="240" w:lineRule="auto"/>
        <w:rPr>
          <w:rFonts w:cs="Times New Roman"/>
          <w:b/>
          <w:bCs/>
          <w:sz w:val="28"/>
          <w:szCs w:val="24"/>
        </w:rPr>
      </w:pPr>
      <w:r w:rsidRPr="008C5968">
        <w:rPr>
          <w:rFonts w:cs="Times New Roman"/>
          <w:b/>
          <w:bCs/>
          <w:sz w:val="28"/>
          <w:szCs w:val="24"/>
        </w:rPr>
        <w:t>ABSTRACT</w:t>
      </w:r>
    </w:p>
    <w:p w14:paraId="78A09BFF" w14:textId="77777777" w:rsidR="00F35DB0" w:rsidRPr="00F35DB0" w:rsidRDefault="00F35DB0" w:rsidP="00FB5DDE">
      <w:pPr>
        <w:spacing w:after="240" w:line="240" w:lineRule="auto"/>
        <w:jc w:val="both"/>
        <w:rPr>
          <w:rFonts w:cs="Times New Roman"/>
          <w:bCs/>
          <w:lang w:val="en-IN"/>
        </w:rPr>
      </w:pPr>
      <w:r w:rsidRPr="00F35DB0">
        <w:rPr>
          <w:rFonts w:cs="Times New Roman"/>
          <w:bCs/>
          <w:lang w:val="en-IN"/>
        </w:rPr>
        <w:t xml:space="preserve">This study uses a qualitative case study methodology to investigate the investment methods used by </w:t>
      </w:r>
      <w:proofErr w:type="gramStart"/>
      <w:r w:rsidRPr="00F35DB0">
        <w:rPr>
          <w:rFonts w:cs="Times New Roman"/>
          <w:bCs/>
          <w:lang w:val="en-IN"/>
        </w:rPr>
        <w:t>High Net Worth</w:t>
      </w:r>
      <w:proofErr w:type="gramEnd"/>
      <w:r w:rsidRPr="00F35DB0">
        <w:rPr>
          <w:rFonts w:cs="Times New Roman"/>
          <w:bCs/>
          <w:lang w:val="en-IN"/>
        </w:rPr>
        <w:t xml:space="preserve"> Individuals (HNIs) in India. Understanding how HNIs allocate assets, manage risk, and make investment decisions has become increasingly important as India's wealth management landscape rapidly changes due to market volatility, digital innovation, and regulatory reforms. This study reveals important themes, such as asset diversification, advisor reliance, risk appetite calibration, and the impact of </w:t>
      </w:r>
      <w:proofErr w:type="spellStart"/>
      <w:r w:rsidRPr="00F35DB0">
        <w:rPr>
          <w:rFonts w:cs="Times New Roman"/>
          <w:bCs/>
          <w:lang w:val="en-IN"/>
        </w:rPr>
        <w:t>behavioral</w:t>
      </w:r>
      <w:proofErr w:type="spellEnd"/>
      <w:r w:rsidRPr="00F35DB0">
        <w:rPr>
          <w:rFonts w:cs="Times New Roman"/>
          <w:bCs/>
          <w:lang w:val="en-IN"/>
        </w:rPr>
        <w:t xml:space="preserve"> factors on investment choices, through an analysis of four illustrative case studies that represent various HNI profiles. The results imply that a complicated interaction between financial objectives, market information, and individual risk psychology shapes HNI investment strategies. This study adds to the expanding corpus of research on emerging market wealth management and </w:t>
      </w:r>
      <w:proofErr w:type="spellStart"/>
      <w:r w:rsidRPr="00F35DB0">
        <w:rPr>
          <w:rFonts w:cs="Times New Roman"/>
          <w:bCs/>
          <w:lang w:val="en-IN"/>
        </w:rPr>
        <w:t>behavioral</w:t>
      </w:r>
      <w:proofErr w:type="spellEnd"/>
      <w:r w:rsidRPr="00F35DB0">
        <w:rPr>
          <w:rFonts w:cs="Times New Roman"/>
          <w:bCs/>
          <w:lang w:val="en-IN"/>
        </w:rPr>
        <w:t xml:space="preserve"> finance.</w:t>
      </w:r>
    </w:p>
    <w:p w14:paraId="058FC527" w14:textId="2D9FBE10" w:rsidR="00B10E6C" w:rsidRPr="00D21803" w:rsidRDefault="00B10E6C" w:rsidP="00FB5DDE">
      <w:pPr>
        <w:spacing w:after="240" w:line="240" w:lineRule="auto"/>
        <w:jc w:val="both"/>
        <w:rPr>
          <w:rFonts w:cs="Times New Roman"/>
          <w:iCs/>
        </w:rPr>
      </w:pPr>
      <w:r w:rsidRPr="00D21803">
        <w:rPr>
          <w:rFonts w:cs="Times New Roman"/>
          <w:b/>
        </w:rPr>
        <w:t xml:space="preserve">Keywords: </w:t>
      </w:r>
      <w:r w:rsidRPr="00D21803">
        <w:rPr>
          <w:rFonts w:cs="Times New Roman"/>
          <w:iCs/>
        </w:rPr>
        <w:t>High Net Worth Individuals, Investment Strategy, Asset Allocation, Wealth Management, India, Qualitative Research, Behavioral Finance</w:t>
      </w:r>
      <w:r w:rsidR="00C1756D" w:rsidRPr="00D21803">
        <w:rPr>
          <w:rFonts w:cs="Times New Roman"/>
          <w:iCs/>
        </w:rPr>
        <w:t>.</w:t>
      </w:r>
    </w:p>
    <w:p w14:paraId="778B1872" w14:textId="6DE1DB45" w:rsidR="00B10E6C" w:rsidRPr="00F35DB0" w:rsidRDefault="004554C4" w:rsidP="00FB5DDE">
      <w:pPr>
        <w:spacing w:after="120" w:line="240" w:lineRule="auto"/>
        <w:rPr>
          <w:rFonts w:cs="Times New Roman"/>
          <w:b/>
          <w:bCs/>
          <w:sz w:val="28"/>
          <w:szCs w:val="24"/>
        </w:rPr>
      </w:pPr>
      <w:r w:rsidRPr="00F35DB0">
        <w:rPr>
          <w:rFonts w:cs="Times New Roman"/>
          <w:b/>
          <w:bCs/>
          <w:sz w:val="28"/>
          <w:szCs w:val="24"/>
        </w:rPr>
        <w:t>INTRODUCTION</w:t>
      </w:r>
    </w:p>
    <w:p w14:paraId="5419BD5C" w14:textId="77777777" w:rsidR="00705EB9" w:rsidRDefault="00705EB9" w:rsidP="00FB5DDE">
      <w:pPr>
        <w:spacing w:after="120" w:line="240" w:lineRule="auto"/>
        <w:jc w:val="both"/>
        <w:rPr>
          <w:rFonts w:cs="Times New Roman"/>
          <w:lang w:val="en-IN"/>
        </w:rPr>
      </w:pPr>
      <w:r w:rsidRPr="00705EB9">
        <w:rPr>
          <w:rFonts w:cs="Times New Roman"/>
          <w:lang w:val="en-IN"/>
        </w:rPr>
        <w:t>Over the past 20 years, India's financial markets have experienced a spectacular development. A dynamic investment environment has been produced by the deregulation of capital markets, the emergence of digital investment platforms, and growing global interconnectedness. High Net Worth Individuals (HNIs), who are defined by SEBI as having investable assets greater than ₹5 crore, are a significant and strong group of market players in this environment. Over 7,97,000 HNIs lived in India as of 2024; this figure is expected to rise dramatically over the next ten years (Hurun India Wealth Report, 2024).</w:t>
      </w:r>
    </w:p>
    <w:p w14:paraId="7A348206" w14:textId="22FA9BBB" w:rsidR="0088729E" w:rsidRPr="00705EB9" w:rsidRDefault="0088729E" w:rsidP="00FB5DDE">
      <w:pPr>
        <w:spacing w:after="120" w:line="240" w:lineRule="auto"/>
        <w:jc w:val="both"/>
        <w:rPr>
          <w:rFonts w:cs="Times New Roman"/>
          <w:lang w:val="en-IN"/>
        </w:rPr>
      </w:pPr>
      <w:r w:rsidRPr="0088729E">
        <w:rPr>
          <w:rFonts w:cs="Times New Roman"/>
          <w:lang w:val="en-IN"/>
        </w:rPr>
        <w:t xml:space="preserve">The investment </w:t>
      </w:r>
      <w:proofErr w:type="spellStart"/>
      <w:r w:rsidRPr="0088729E">
        <w:rPr>
          <w:rFonts w:cs="Times New Roman"/>
          <w:lang w:val="en-IN"/>
        </w:rPr>
        <w:t>behavior</w:t>
      </w:r>
      <w:proofErr w:type="spellEnd"/>
      <w:r w:rsidRPr="0088729E">
        <w:rPr>
          <w:rFonts w:cs="Times New Roman"/>
          <w:lang w:val="en-IN"/>
        </w:rPr>
        <w:t xml:space="preserve"> and methods of Indian HNIs are still largely unexplored in academic literature, despite their economic relevance. There is a knowledge gap regarding the complex decision-making of high-value individual investors because the majority of current research concentrates on institutional investing patterns or retail investor </w:t>
      </w:r>
      <w:proofErr w:type="spellStart"/>
      <w:r w:rsidRPr="0088729E">
        <w:rPr>
          <w:rFonts w:cs="Times New Roman"/>
          <w:lang w:val="en-IN"/>
        </w:rPr>
        <w:t>behavior</w:t>
      </w:r>
      <w:proofErr w:type="spellEnd"/>
      <w:r w:rsidRPr="0088729E">
        <w:rPr>
          <w:rFonts w:cs="Times New Roman"/>
          <w:lang w:val="en-IN"/>
        </w:rPr>
        <w:t>. HNIs are in a unique position since they are smart enough to access a variety of asset classes, including real estate, overseas stocks, private equity, and alternative investment funds (AIFs). However, their choices are frequently impacted by adviser relationships, informal networks, and personal biases.</w:t>
      </w:r>
    </w:p>
    <w:p w14:paraId="7998E735" w14:textId="5213CCDA" w:rsidR="00B10E6C" w:rsidRPr="0002113E" w:rsidRDefault="004554C4" w:rsidP="00FB5DDE">
      <w:pPr>
        <w:spacing w:after="120" w:line="240" w:lineRule="auto"/>
        <w:rPr>
          <w:rFonts w:cs="Times New Roman"/>
          <w:b/>
          <w:bCs/>
          <w:sz w:val="28"/>
          <w:szCs w:val="24"/>
        </w:rPr>
      </w:pPr>
      <w:r w:rsidRPr="0002113E">
        <w:rPr>
          <w:rFonts w:cs="Times New Roman"/>
          <w:b/>
          <w:bCs/>
          <w:sz w:val="28"/>
          <w:szCs w:val="24"/>
        </w:rPr>
        <w:t>PROBLEM STATEMENT</w:t>
      </w:r>
    </w:p>
    <w:p w14:paraId="253F5C45" w14:textId="6DE150CE" w:rsidR="00130C65" w:rsidRPr="00130C65" w:rsidRDefault="00130C65" w:rsidP="00FB5DDE">
      <w:pPr>
        <w:spacing w:after="120" w:line="240" w:lineRule="auto"/>
        <w:rPr>
          <w:rFonts w:cs="Times New Roman"/>
        </w:rPr>
      </w:pPr>
      <w:r w:rsidRPr="00130C65">
        <w:rPr>
          <w:rFonts w:cs="Times New Roman"/>
        </w:rPr>
        <w:t xml:space="preserve">Despite the significant growth of the wealth management and financial advising sector in India, little is known about how </w:t>
      </w:r>
      <w:proofErr w:type="spellStart"/>
      <w:r w:rsidRPr="00130C65">
        <w:rPr>
          <w:rFonts w:cs="Times New Roman"/>
        </w:rPr>
        <w:t>HNIn</w:t>
      </w:r>
      <w:proofErr w:type="spellEnd"/>
      <w:r w:rsidRPr="00130C65">
        <w:rPr>
          <w:rFonts w:cs="Times New Roman"/>
        </w:rPr>
        <w:t xml:space="preserve"> reality, they create their investing plans. Questions like: What influences judgments about portfolio allocation? How do HNIs react to downturns in the market? What is the difference between personal intuition and expert advice? are little addressed in the Indian setting.</w:t>
      </w:r>
    </w:p>
    <w:p w14:paraId="3F8EA37B" w14:textId="2EA1839C" w:rsidR="00B10E6C" w:rsidRPr="0002113E" w:rsidRDefault="004554C4" w:rsidP="00FB5DDE">
      <w:pPr>
        <w:pStyle w:val="Heading2"/>
        <w:spacing w:line="240" w:lineRule="auto"/>
        <w:jc w:val="both"/>
        <w:rPr>
          <w:rFonts w:ascii="Times New Roman" w:hAnsi="Times New Roman" w:cs="Times New Roman"/>
          <w:b/>
          <w:bCs/>
          <w:color w:val="auto"/>
          <w:sz w:val="28"/>
          <w:szCs w:val="28"/>
        </w:rPr>
      </w:pPr>
      <w:r w:rsidRPr="0002113E">
        <w:rPr>
          <w:rFonts w:ascii="Times New Roman" w:hAnsi="Times New Roman" w:cs="Times New Roman"/>
          <w:b/>
          <w:bCs/>
          <w:color w:val="auto"/>
          <w:sz w:val="28"/>
          <w:szCs w:val="28"/>
        </w:rPr>
        <w:t>RESEARCH OBJECTIVES</w:t>
      </w:r>
    </w:p>
    <w:p w14:paraId="5E226A64" w14:textId="77777777" w:rsidR="00B10E6C" w:rsidRDefault="00B10E6C" w:rsidP="00FB5DDE">
      <w:pPr>
        <w:spacing w:after="120" w:line="240" w:lineRule="auto"/>
        <w:jc w:val="both"/>
        <w:rPr>
          <w:rFonts w:cs="Times New Roman"/>
        </w:rPr>
      </w:pPr>
      <w:r w:rsidRPr="00D21803">
        <w:rPr>
          <w:rFonts w:cs="Times New Roman"/>
        </w:rPr>
        <w:t>This study aims to:</w:t>
      </w:r>
    </w:p>
    <w:p w14:paraId="16DDD4E4" w14:textId="2DF09BD8" w:rsidR="00C57A55" w:rsidRPr="0002113E" w:rsidRDefault="00C57A55" w:rsidP="0002113E">
      <w:pPr>
        <w:spacing w:after="120" w:line="240" w:lineRule="auto"/>
        <w:rPr>
          <w:rFonts w:cs="Times New Roman"/>
          <w:lang w:val="en-IN"/>
        </w:rPr>
      </w:pPr>
      <w:r w:rsidRPr="00C57A55">
        <w:rPr>
          <w:rFonts w:cs="Times New Roman"/>
          <w:lang w:val="en-IN"/>
        </w:rPr>
        <w:t xml:space="preserve">Examine the investing preferences and asset allocation trends of HNIs in India.  Recognize how </w:t>
      </w:r>
      <w:proofErr w:type="spellStart"/>
      <w:r w:rsidRPr="00C57A55">
        <w:rPr>
          <w:rFonts w:cs="Times New Roman"/>
          <w:lang w:val="en-IN"/>
        </w:rPr>
        <w:t>behavioral</w:t>
      </w:r>
      <w:proofErr w:type="spellEnd"/>
      <w:r w:rsidRPr="00C57A55">
        <w:rPr>
          <w:rFonts w:cs="Times New Roman"/>
          <w:lang w:val="en-IN"/>
        </w:rPr>
        <w:t xml:space="preserve"> and risk perception influence HNI investment choices. Use case study analysis to find trends and themes among various HNI investing profiles.</w:t>
      </w:r>
    </w:p>
    <w:p w14:paraId="5260170A" w14:textId="0FE02F42" w:rsidR="00B10E6C" w:rsidRPr="0002113E" w:rsidRDefault="004554C4" w:rsidP="00FB5DDE">
      <w:pPr>
        <w:pStyle w:val="Heading2"/>
        <w:spacing w:line="240" w:lineRule="auto"/>
        <w:jc w:val="both"/>
        <w:rPr>
          <w:rFonts w:ascii="Times New Roman" w:hAnsi="Times New Roman" w:cs="Times New Roman"/>
          <w:b/>
          <w:bCs/>
          <w:color w:val="auto"/>
          <w:sz w:val="28"/>
          <w:szCs w:val="28"/>
        </w:rPr>
      </w:pPr>
      <w:r w:rsidRPr="0002113E">
        <w:rPr>
          <w:rFonts w:ascii="Times New Roman" w:hAnsi="Times New Roman" w:cs="Times New Roman"/>
          <w:b/>
          <w:bCs/>
          <w:color w:val="auto"/>
          <w:sz w:val="28"/>
          <w:szCs w:val="28"/>
        </w:rPr>
        <w:t>SIGNIFICANCE OF THE STUDY</w:t>
      </w:r>
    </w:p>
    <w:p w14:paraId="4B60C3E8" w14:textId="71BAE550" w:rsidR="00B10E6C" w:rsidRPr="00D21803" w:rsidRDefault="002B2A95" w:rsidP="00FB5DDE">
      <w:pPr>
        <w:spacing w:after="120" w:line="240" w:lineRule="auto"/>
        <w:jc w:val="both"/>
        <w:rPr>
          <w:rFonts w:cs="Times New Roman"/>
        </w:rPr>
      </w:pPr>
      <w:r w:rsidRPr="002B2A95">
        <w:rPr>
          <w:rFonts w:cs="Times New Roman"/>
        </w:rPr>
        <w:t>Many stakeholders find this research to be important. Better guidance frameworks for wealth managers and financial advisors can be informed by insights into HNI decision-making. Understanding HNI behavior can help regulators and policymakers like SEBI create investment products and transparency standards. In terms of academics, this work contributes to the qualitative literature on investing behavior in developing nations, especially India, where financial decision-making is specifically influenced by cultural, social, and economic aspects.</w:t>
      </w:r>
    </w:p>
    <w:p w14:paraId="59AA8A0A" w14:textId="624DE1E7" w:rsidR="00AA5F26" w:rsidRPr="00AA5F26" w:rsidRDefault="004554C4" w:rsidP="00AA5F26">
      <w:pPr>
        <w:pStyle w:val="Heading1"/>
        <w:spacing w:line="240" w:lineRule="auto"/>
        <w:jc w:val="both"/>
        <w:rPr>
          <w:rFonts w:ascii="Times New Roman" w:hAnsi="Times New Roman" w:cs="Times New Roman"/>
          <w:b/>
          <w:bCs/>
          <w:color w:val="auto"/>
          <w:sz w:val="28"/>
          <w:szCs w:val="28"/>
        </w:rPr>
      </w:pPr>
      <w:r w:rsidRPr="0002113E">
        <w:rPr>
          <w:rFonts w:ascii="Times New Roman" w:hAnsi="Times New Roman" w:cs="Times New Roman"/>
          <w:b/>
          <w:bCs/>
          <w:color w:val="auto"/>
          <w:sz w:val="28"/>
          <w:szCs w:val="28"/>
        </w:rPr>
        <w:lastRenderedPageBreak/>
        <w:t>LITERATURE REVIEW</w:t>
      </w:r>
    </w:p>
    <w:p w14:paraId="3765786B" w14:textId="7E7E7D57" w:rsidR="0019286F" w:rsidRPr="00D21803" w:rsidRDefault="00D17842" w:rsidP="00FB5DDE">
      <w:pPr>
        <w:spacing w:line="240" w:lineRule="auto"/>
        <w:jc w:val="both"/>
        <w:rPr>
          <w:rFonts w:cs="Times New Roman"/>
          <w:szCs w:val="24"/>
          <w:lang w:val="en-IN"/>
        </w:rPr>
      </w:pPr>
      <w:r w:rsidRPr="00D21803">
        <w:rPr>
          <w:rFonts w:cs="Times New Roman"/>
          <w:szCs w:val="24"/>
        </w:rPr>
        <w:t>Makwana</w:t>
      </w:r>
      <w:r w:rsidR="002A5B40" w:rsidRPr="00D21803">
        <w:rPr>
          <w:rFonts w:cs="Times New Roman"/>
          <w:szCs w:val="24"/>
        </w:rPr>
        <w:t xml:space="preserve"> </w:t>
      </w:r>
      <w:r w:rsidRPr="00D21803">
        <w:rPr>
          <w:rFonts w:cs="Times New Roman"/>
          <w:szCs w:val="24"/>
        </w:rPr>
        <w:t xml:space="preserve">C (2024) in their article titled "Understanding </w:t>
      </w:r>
      <w:proofErr w:type="spellStart"/>
      <w:r w:rsidRPr="00D21803">
        <w:rPr>
          <w:rFonts w:cs="Times New Roman"/>
          <w:szCs w:val="24"/>
        </w:rPr>
        <w:t>Behavioural</w:t>
      </w:r>
      <w:proofErr w:type="spellEnd"/>
      <w:r w:rsidRPr="00D21803">
        <w:rPr>
          <w:rFonts w:cs="Times New Roman"/>
          <w:szCs w:val="24"/>
        </w:rPr>
        <w:t xml:space="preserve"> Biases Driving Equity Investors in India: A Factor Analysis Approach" stated that,</w:t>
      </w:r>
      <w:r w:rsidR="0019286F" w:rsidRPr="00D21803">
        <w:rPr>
          <w:rFonts w:eastAsia="Times New Roman" w:cs="Times New Roman"/>
          <w:szCs w:val="24"/>
          <w:lang w:val="en-IN" w:eastAsia="en-IN"/>
        </w:rPr>
        <w:t xml:space="preserve"> </w:t>
      </w:r>
      <w:r w:rsidR="0019286F" w:rsidRPr="00D21803">
        <w:rPr>
          <w:rFonts w:cs="Times New Roman"/>
          <w:szCs w:val="24"/>
          <w:lang w:val="en-IN"/>
        </w:rPr>
        <w:t xml:space="preserve">the study looks at the cognitive and psychological biases that affect Indian investors' decisions to invest in equities. Overconfidence, loss aversion, anchoring, herding, and the gambler's fallacy are the five main biases influencing investment decisions, according to the study, which uses factor analysis on data gathered from 312 retail and HNI investors. The results cast doubt on the traditional notion of investor rationality by demonstrating a strong and </w:t>
      </w:r>
      <w:proofErr w:type="spellStart"/>
      <w:r w:rsidR="0019286F" w:rsidRPr="00D21803">
        <w:rPr>
          <w:rFonts w:cs="Times New Roman"/>
          <w:szCs w:val="24"/>
          <w:lang w:val="en-IN"/>
        </w:rPr>
        <w:t>favorable</w:t>
      </w:r>
      <w:proofErr w:type="spellEnd"/>
      <w:r w:rsidR="0019286F" w:rsidRPr="00D21803">
        <w:rPr>
          <w:rFonts w:cs="Times New Roman"/>
          <w:szCs w:val="24"/>
          <w:lang w:val="en-IN"/>
        </w:rPr>
        <w:t xml:space="preserve"> correlation between these cognitive biases and stock investment decisions. The study also shows that a key moderating factor that lessens the negative effects of </w:t>
      </w:r>
      <w:proofErr w:type="spellStart"/>
      <w:r w:rsidR="0019286F" w:rsidRPr="00D21803">
        <w:rPr>
          <w:rFonts w:cs="Times New Roman"/>
          <w:szCs w:val="24"/>
          <w:lang w:val="en-IN"/>
        </w:rPr>
        <w:t>behavioral</w:t>
      </w:r>
      <w:proofErr w:type="spellEnd"/>
      <w:r w:rsidR="0019286F" w:rsidRPr="00D21803">
        <w:rPr>
          <w:rFonts w:cs="Times New Roman"/>
          <w:szCs w:val="24"/>
          <w:lang w:val="en-IN"/>
        </w:rPr>
        <w:t xml:space="preserve"> biases on portfolio performance is financial literacy.</w:t>
      </w:r>
    </w:p>
    <w:p w14:paraId="0F24CE76" w14:textId="77777777" w:rsidR="00B17494" w:rsidRDefault="00B17494" w:rsidP="00FB5DDE">
      <w:pPr>
        <w:spacing w:line="240" w:lineRule="auto"/>
        <w:jc w:val="both"/>
        <w:rPr>
          <w:rFonts w:cs="Times New Roman"/>
          <w:szCs w:val="24"/>
        </w:rPr>
      </w:pPr>
    </w:p>
    <w:p w14:paraId="3B8E43EA" w14:textId="64A4D4A1" w:rsidR="00B17494" w:rsidRDefault="00A979D0" w:rsidP="00FB5DDE">
      <w:pPr>
        <w:spacing w:line="240" w:lineRule="auto"/>
        <w:jc w:val="both"/>
        <w:rPr>
          <w:rFonts w:cs="Times New Roman"/>
          <w:szCs w:val="24"/>
          <w:lang w:val="en-IN"/>
        </w:rPr>
      </w:pPr>
      <w:r w:rsidRPr="00D21803">
        <w:rPr>
          <w:rFonts w:cs="Times New Roman"/>
          <w:szCs w:val="24"/>
        </w:rPr>
        <w:t>Knight Frank (2024) in their report titled "The Wealth Report 2024" stated that,</w:t>
      </w:r>
      <w:r w:rsidR="00DD2876" w:rsidRPr="00D21803">
        <w:rPr>
          <w:rFonts w:eastAsia="Times New Roman" w:cs="Times New Roman"/>
          <w:szCs w:val="24"/>
          <w:lang w:val="en-IN" w:eastAsia="en-IN"/>
        </w:rPr>
        <w:t xml:space="preserve"> </w:t>
      </w:r>
      <w:r w:rsidR="00DD2876" w:rsidRPr="00D21803">
        <w:rPr>
          <w:rFonts w:cs="Times New Roman"/>
          <w:szCs w:val="24"/>
          <w:lang w:val="en-IN"/>
        </w:rPr>
        <w:t xml:space="preserve">the yearly flagship publication offers a thorough examination of high-net-worth and ultra-high-net-worth wealth trends in India and around the world. According to the report, India's HNI and UHNI population is expected to grow by more than 50% by 2028, making it one of the fastest-growing in the world. In addition to more conventional assets like stocks, real estate, and fixed income, the research shows a clear movement in Indian HNI asset allocation toward unconventional investments including private equity, hedge funds, art, and impact investing. demonstrates the increasing inclination of Indian </w:t>
      </w:r>
      <w:proofErr w:type="spellStart"/>
      <w:r w:rsidR="00DD2876" w:rsidRPr="00D21803">
        <w:rPr>
          <w:rFonts w:cs="Times New Roman"/>
          <w:szCs w:val="24"/>
          <w:lang w:val="en-IN"/>
        </w:rPr>
        <w:t>HNis</w:t>
      </w:r>
      <w:proofErr w:type="spellEnd"/>
      <w:r w:rsidR="00DD2876" w:rsidRPr="00D21803">
        <w:rPr>
          <w:rFonts w:cs="Times New Roman"/>
          <w:szCs w:val="24"/>
          <w:lang w:val="en-IN"/>
        </w:rPr>
        <w:t xml:space="preserve"> for fee-based, comprehensive wealth advisory services that incorporate estate management, succession planning, tax planning, and investment advice. This reflects a development in sophistication and maturity. His work offers important insights pertinent to wealth management practice in India. Journal of Economics and Banking.</w:t>
      </w:r>
    </w:p>
    <w:p w14:paraId="59476F05" w14:textId="77777777" w:rsidR="00AE38CF" w:rsidRDefault="00AE38CF" w:rsidP="00FB5DDE">
      <w:pPr>
        <w:spacing w:line="240" w:lineRule="auto"/>
        <w:jc w:val="both"/>
        <w:rPr>
          <w:rFonts w:cs="Times New Roman"/>
          <w:szCs w:val="24"/>
          <w:lang w:val="en-IN"/>
        </w:rPr>
      </w:pPr>
    </w:p>
    <w:p w14:paraId="05C36F36" w14:textId="77777777" w:rsidR="007C02DB" w:rsidRDefault="007C02DB" w:rsidP="007C02DB">
      <w:pPr>
        <w:spacing w:line="240" w:lineRule="auto"/>
        <w:jc w:val="both"/>
        <w:rPr>
          <w:rFonts w:cs="Times New Roman"/>
          <w:szCs w:val="24"/>
          <w:lang w:val="en-IN"/>
        </w:rPr>
      </w:pPr>
      <w:proofErr w:type="spellStart"/>
      <w:r w:rsidRPr="00D21803">
        <w:rPr>
          <w:rFonts w:cs="Times New Roman"/>
          <w:szCs w:val="24"/>
        </w:rPr>
        <w:t>Parhi</w:t>
      </w:r>
      <w:proofErr w:type="spellEnd"/>
      <w:r w:rsidRPr="00D21803">
        <w:rPr>
          <w:rFonts w:cs="Times New Roman"/>
          <w:szCs w:val="24"/>
        </w:rPr>
        <w:t xml:space="preserve"> S. P&amp; Pal M. K. (2022) in their article titled "Impact of Overconfidence Bias in Stock Trading Approach: A Study of HNI Stock Investors in India" stated that, </w:t>
      </w:r>
      <w:r w:rsidRPr="00D21803">
        <w:rPr>
          <w:rFonts w:cs="Times New Roman"/>
          <w:szCs w:val="24"/>
          <w:lang w:val="en-IN"/>
        </w:rPr>
        <w:t xml:space="preserve">the study looks into how overconfidence bias affects the stock trading </w:t>
      </w:r>
      <w:proofErr w:type="spellStart"/>
      <w:r w:rsidRPr="00D21803">
        <w:rPr>
          <w:rFonts w:cs="Times New Roman"/>
          <w:szCs w:val="24"/>
          <w:lang w:val="en-IN"/>
        </w:rPr>
        <w:t>behavior</w:t>
      </w:r>
      <w:proofErr w:type="spellEnd"/>
      <w:r w:rsidRPr="00D21803">
        <w:rPr>
          <w:rFonts w:cs="Times New Roman"/>
          <w:szCs w:val="24"/>
          <w:lang w:val="en-IN"/>
        </w:rPr>
        <w:t xml:space="preserve"> of High Net Worth Individual (HNI) investors in India. Using a structured questionnaire given to 385 HNI investors in key Indian cities, the study finds that overconfidence is a predominant cognitive bias that shows itself as overtrading, overreaction to short-term market signals, and overestimation of predicting skills. The results show that overconfident HNI investors are more vulnerable to market volatility, have under-diversified portfolios, and trade excessively. The study makes a significant contribution and is published in Benchmarking: An International Journal, 29(3), 817-834.</w:t>
      </w:r>
    </w:p>
    <w:p w14:paraId="1B68541C" w14:textId="77777777" w:rsidR="00AE38CF" w:rsidRDefault="00AE38CF" w:rsidP="00FB5DDE">
      <w:pPr>
        <w:spacing w:line="240" w:lineRule="auto"/>
        <w:jc w:val="both"/>
        <w:rPr>
          <w:rFonts w:cs="Times New Roman"/>
          <w:szCs w:val="24"/>
          <w:lang w:val="en-IN"/>
        </w:rPr>
      </w:pPr>
    </w:p>
    <w:p w14:paraId="79BE159D" w14:textId="77777777" w:rsidR="00AA5F26" w:rsidRPr="00D21803" w:rsidRDefault="00AA5F26" w:rsidP="00AA5F26">
      <w:pPr>
        <w:spacing w:line="240" w:lineRule="auto"/>
        <w:jc w:val="both"/>
        <w:rPr>
          <w:rFonts w:cs="Times New Roman"/>
          <w:szCs w:val="24"/>
          <w:lang w:val="en-IN"/>
        </w:rPr>
      </w:pPr>
      <w:proofErr w:type="spellStart"/>
      <w:r w:rsidRPr="00D21803">
        <w:rPr>
          <w:rFonts w:cs="Times New Roman"/>
          <w:szCs w:val="24"/>
        </w:rPr>
        <w:t>Saivasan</w:t>
      </w:r>
      <w:proofErr w:type="spellEnd"/>
      <w:r w:rsidRPr="00D21803">
        <w:rPr>
          <w:rFonts w:cs="Times New Roman"/>
          <w:szCs w:val="24"/>
        </w:rPr>
        <w:t xml:space="preserve"> R &amp; Lokhande M (2022) in their article titled "Influence of Risk Propensity, </w:t>
      </w:r>
      <w:proofErr w:type="spellStart"/>
      <w:r w:rsidRPr="00D21803">
        <w:rPr>
          <w:rFonts w:cs="Times New Roman"/>
          <w:szCs w:val="24"/>
        </w:rPr>
        <w:t>Behavioural</w:t>
      </w:r>
      <w:proofErr w:type="spellEnd"/>
      <w:r w:rsidRPr="00D21803">
        <w:rPr>
          <w:rFonts w:cs="Times New Roman"/>
          <w:szCs w:val="24"/>
        </w:rPr>
        <w:t xml:space="preserve"> Biases and Demographic Factors on Equity Investors' Risk Perception" stated that,</w:t>
      </w:r>
      <w:r w:rsidRPr="00D21803">
        <w:rPr>
          <w:rFonts w:eastAsia="Times New Roman" w:cs="Times New Roman"/>
          <w:szCs w:val="24"/>
          <w:lang w:val="en-IN" w:eastAsia="en-IN"/>
        </w:rPr>
        <w:t xml:space="preserve"> </w:t>
      </w:r>
      <w:r w:rsidRPr="00D21803">
        <w:rPr>
          <w:rFonts w:cs="Times New Roman"/>
          <w:szCs w:val="24"/>
          <w:lang w:val="en-IN"/>
        </w:rPr>
        <w:t xml:space="preserve">how risk propensity, behavioural biases, and demographic traits interact to influence Indian equity investors' perceptions of risk. Using structural equation </w:t>
      </w:r>
      <w:proofErr w:type="spellStart"/>
      <w:r w:rsidRPr="00D21803">
        <w:rPr>
          <w:rFonts w:cs="Times New Roman"/>
          <w:szCs w:val="24"/>
          <w:lang w:val="en-IN"/>
        </w:rPr>
        <w:t>modeling</w:t>
      </w:r>
      <w:proofErr w:type="spellEnd"/>
      <w:r w:rsidRPr="00D21803">
        <w:rPr>
          <w:rFonts w:cs="Times New Roman"/>
          <w:szCs w:val="24"/>
          <w:lang w:val="en-IN"/>
        </w:rPr>
        <w:t xml:space="preserve"> to </w:t>
      </w:r>
      <w:proofErr w:type="spellStart"/>
      <w:r w:rsidRPr="00D21803">
        <w:rPr>
          <w:rFonts w:cs="Times New Roman"/>
          <w:szCs w:val="24"/>
          <w:lang w:val="en-IN"/>
        </w:rPr>
        <w:t>analyze</w:t>
      </w:r>
      <w:proofErr w:type="spellEnd"/>
      <w:r w:rsidRPr="00D21803">
        <w:rPr>
          <w:rFonts w:cs="Times New Roman"/>
          <w:szCs w:val="24"/>
          <w:lang w:val="en-IN"/>
        </w:rPr>
        <w:t xml:space="preserve"> primary data from 420 investors, the study concludes that loss aversion is the most significant bias affecting risk perception, followed by overconfidence and herding </w:t>
      </w:r>
      <w:proofErr w:type="spellStart"/>
      <w:r w:rsidRPr="00D21803">
        <w:rPr>
          <w:rFonts w:cs="Times New Roman"/>
          <w:szCs w:val="24"/>
          <w:lang w:val="en-IN"/>
        </w:rPr>
        <w:t>behavior</w:t>
      </w:r>
      <w:proofErr w:type="spellEnd"/>
      <w:r w:rsidRPr="00D21803">
        <w:rPr>
          <w:rFonts w:cs="Times New Roman"/>
          <w:szCs w:val="24"/>
          <w:lang w:val="en-IN"/>
        </w:rPr>
        <w:t xml:space="preserve">. The study also shows that the association between </w:t>
      </w:r>
      <w:proofErr w:type="spellStart"/>
      <w:r w:rsidRPr="00D21803">
        <w:rPr>
          <w:rFonts w:cs="Times New Roman"/>
          <w:szCs w:val="24"/>
          <w:lang w:val="en-IN"/>
        </w:rPr>
        <w:t>behavioral</w:t>
      </w:r>
      <w:proofErr w:type="spellEnd"/>
      <w:r w:rsidRPr="00D21803">
        <w:rPr>
          <w:rFonts w:cs="Times New Roman"/>
          <w:szCs w:val="24"/>
          <w:lang w:val="en-IN"/>
        </w:rPr>
        <w:t xml:space="preserve"> biases and perceived risk is considerably moderated by demographic factors including age, income, and investment experience. Significantly, even in </w:t>
      </w:r>
      <w:proofErr w:type="spellStart"/>
      <w:r w:rsidRPr="00D21803">
        <w:rPr>
          <w:rFonts w:cs="Times New Roman"/>
          <w:szCs w:val="24"/>
          <w:lang w:val="en-IN"/>
        </w:rPr>
        <w:t>favorable</w:t>
      </w:r>
      <w:proofErr w:type="spellEnd"/>
      <w:r w:rsidRPr="00D21803">
        <w:rPr>
          <w:rFonts w:cs="Times New Roman"/>
          <w:szCs w:val="24"/>
          <w:lang w:val="en-IN"/>
        </w:rPr>
        <w:t xml:space="preserve"> market situations, loss-averse investors continuously underinvest in growth-oriented assets, according to the study. </w:t>
      </w:r>
    </w:p>
    <w:p w14:paraId="5910EF6D" w14:textId="77777777" w:rsidR="00AA5F26" w:rsidRPr="004554C4" w:rsidRDefault="00AA5F26" w:rsidP="00FB5DDE">
      <w:pPr>
        <w:spacing w:line="240" w:lineRule="auto"/>
        <w:jc w:val="both"/>
        <w:rPr>
          <w:rFonts w:cs="Times New Roman"/>
          <w:szCs w:val="24"/>
          <w:lang w:val="en-IN"/>
        </w:rPr>
      </w:pPr>
    </w:p>
    <w:p w14:paraId="778A3E15" w14:textId="29103C67" w:rsidR="004B5C8F" w:rsidRPr="0002113E" w:rsidRDefault="004554C4" w:rsidP="00FB5DDE">
      <w:pPr>
        <w:pStyle w:val="Heading2"/>
        <w:spacing w:line="240" w:lineRule="auto"/>
        <w:rPr>
          <w:rFonts w:ascii="Times New Roman" w:hAnsi="Times New Roman" w:cs="Times New Roman"/>
          <w:b/>
          <w:bCs/>
          <w:color w:val="auto"/>
          <w:sz w:val="28"/>
          <w:szCs w:val="28"/>
        </w:rPr>
      </w:pPr>
      <w:r w:rsidRPr="0002113E">
        <w:rPr>
          <w:rFonts w:ascii="Times New Roman" w:hAnsi="Times New Roman" w:cs="Times New Roman"/>
          <w:b/>
          <w:bCs/>
          <w:color w:val="auto"/>
          <w:sz w:val="28"/>
          <w:szCs w:val="28"/>
        </w:rPr>
        <w:t>RESEARCH METHODOLOGY</w:t>
      </w:r>
    </w:p>
    <w:p w14:paraId="39267073" w14:textId="6B731F01" w:rsidR="004B5C8F" w:rsidRPr="00D21803" w:rsidRDefault="004B5C8F" w:rsidP="00FB5DDE">
      <w:pPr>
        <w:spacing w:after="120" w:line="240" w:lineRule="auto"/>
        <w:jc w:val="both"/>
        <w:rPr>
          <w:rFonts w:cs="Times New Roman"/>
          <w:b/>
          <w:bCs/>
        </w:rPr>
      </w:pPr>
      <w:r w:rsidRPr="00D21803">
        <w:rPr>
          <w:rFonts w:cs="Times New Roman"/>
          <w:b/>
          <w:bCs/>
        </w:rPr>
        <w:t>Case A</w:t>
      </w:r>
      <w:r w:rsidR="002A5B40" w:rsidRPr="00D21803">
        <w:rPr>
          <w:rFonts w:cs="Times New Roman"/>
          <w:b/>
          <w:bCs/>
        </w:rPr>
        <w:t>:</w:t>
      </w:r>
      <w:r w:rsidRPr="00D21803">
        <w:rPr>
          <w:rFonts w:cs="Times New Roman"/>
          <w:b/>
          <w:bCs/>
        </w:rPr>
        <w:t xml:space="preserve"> The First-Generation Entrepreneur</w:t>
      </w:r>
    </w:p>
    <w:p w14:paraId="12B4B18A" w14:textId="77777777" w:rsidR="004B5C8F" w:rsidRPr="00D21803" w:rsidRDefault="004B5C8F" w:rsidP="00FB5DDE">
      <w:pPr>
        <w:spacing w:after="120" w:line="240" w:lineRule="auto"/>
        <w:jc w:val="both"/>
        <w:rPr>
          <w:rFonts w:cs="Times New Roman"/>
        </w:rPr>
      </w:pPr>
      <w:r w:rsidRPr="00D21803">
        <w:rPr>
          <w:rFonts w:cs="Times New Roman"/>
          <w:b/>
        </w:rPr>
        <w:t xml:space="preserve">Profile: </w:t>
      </w:r>
      <w:r w:rsidRPr="00D21803">
        <w:rPr>
          <w:rFonts w:cs="Times New Roman"/>
        </w:rPr>
        <w:t>Male, early 50s, founder of a mid-sized manufacturing firm based in Gujarat. Net worth approximately ₹18 crore in investable assets. Built wealth organically over 25 years through business growth and retained profits.</w:t>
      </w:r>
    </w:p>
    <w:p w14:paraId="390BBE32" w14:textId="50E9AC7F" w:rsidR="004B5C8F" w:rsidRPr="00D21803" w:rsidRDefault="004B5C8F" w:rsidP="00FB5DDE">
      <w:pPr>
        <w:spacing w:after="120" w:line="240" w:lineRule="auto"/>
        <w:jc w:val="both"/>
        <w:rPr>
          <w:rFonts w:cs="Times New Roman"/>
        </w:rPr>
      </w:pPr>
      <w:r w:rsidRPr="00D21803">
        <w:rPr>
          <w:rFonts w:cs="Times New Roman"/>
        </w:rPr>
        <w:t>This investor exhibits a concentrated, high-conviction investment approach. A significant portion of his portfolio approximately 45% is allocated to direct equity, with a preference for mid-cap and small-cap stocks in sectors he understands from his business experience, particularly industrials, logistics, and chemicals. He actively participates in IPOs, leveraging the SEBI-mandated 15% HNI quota. SEBI reserves 15% of IPO shares for HNIs, giving them a better chance of allocation compared to retail investors, and many HNIs take their returns within a week of listing when the stock performs well (</w:t>
      </w:r>
      <w:proofErr w:type="spellStart"/>
      <w:r w:rsidRPr="00D21803">
        <w:rPr>
          <w:rFonts w:cs="Times New Roman"/>
        </w:rPr>
        <w:t>Equirus</w:t>
      </w:r>
      <w:proofErr w:type="spellEnd"/>
      <w:r w:rsidRPr="00D21803">
        <w:rPr>
          <w:rFonts w:cs="Times New Roman"/>
        </w:rPr>
        <w:t xml:space="preserve"> Wealth, 2024).</w:t>
      </w:r>
    </w:p>
    <w:p w14:paraId="128C4D72" w14:textId="77777777" w:rsidR="004B5C8F" w:rsidRPr="00D21803" w:rsidRDefault="004B5C8F" w:rsidP="00FB5DDE">
      <w:pPr>
        <w:spacing w:after="120" w:line="240" w:lineRule="auto"/>
        <w:jc w:val="both"/>
        <w:rPr>
          <w:rFonts w:cs="Times New Roman"/>
        </w:rPr>
      </w:pPr>
      <w:r w:rsidRPr="00D21803">
        <w:rPr>
          <w:rFonts w:cs="Times New Roman"/>
        </w:rPr>
        <w:t>Real estate constitutes another 30% of his portfolio, primarily in commercial properties in Tier-1 cities. The remaining 25% is split between mutual funds managed through a PMS provider and a small allocation to Alternative Investment Funds (AIFs).</w:t>
      </w:r>
    </w:p>
    <w:p w14:paraId="2B83DA9E" w14:textId="77777777" w:rsidR="004B5C8F" w:rsidRPr="00D21803" w:rsidRDefault="004B5C8F" w:rsidP="00FB5DDE">
      <w:pPr>
        <w:spacing w:after="120" w:line="240" w:lineRule="auto"/>
        <w:jc w:val="both"/>
        <w:rPr>
          <w:rFonts w:cs="Times New Roman"/>
        </w:rPr>
      </w:pPr>
      <w:r w:rsidRPr="00D21803">
        <w:rPr>
          <w:rFonts w:cs="Times New Roman"/>
          <w:b/>
        </w:rPr>
        <w:t xml:space="preserve">Risk Appetite: </w:t>
      </w:r>
      <w:r w:rsidRPr="00D21803">
        <w:rPr>
          <w:rFonts w:cs="Times New Roman"/>
        </w:rPr>
        <w:t>High. This investor demonstrates overconfidence bias common among first-generation wealth creators. He tends to rely heavily on personal business instincts rather than formal financial advisory.</w:t>
      </w:r>
    </w:p>
    <w:p w14:paraId="7C66AED2" w14:textId="77777777" w:rsidR="004B5C8F" w:rsidRPr="00D21803" w:rsidRDefault="004B5C8F" w:rsidP="00FB5DDE">
      <w:pPr>
        <w:spacing w:after="200" w:line="240" w:lineRule="auto"/>
        <w:jc w:val="both"/>
        <w:rPr>
          <w:rFonts w:cs="Times New Roman"/>
        </w:rPr>
      </w:pPr>
      <w:r w:rsidRPr="00D21803">
        <w:rPr>
          <w:rFonts w:cs="Times New Roman"/>
          <w:b/>
          <w:i/>
        </w:rPr>
        <w:lastRenderedPageBreak/>
        <w:t xml:space="preserve">Key Theme: </w:t>
      </w:r>
      <w:r w:rsidRPr="00D21803">
        <w:rPr>
          <w:rFonts w:cs="Times New Roman"/>
          <w:i/>
        </w:rPr>
        <w:t>High conviction, sector familiarity, and entrepreneurial risk appetite drive a growth-oriented, concentrated portfolio.</w:t>
      </w:r>
    </w:p>
    <w:p w14:paraId="0A4D9CD0" w14:textId="3A7949CC" w:rsidR="004B5C8F" w:rsidRPr="00D21803" w:rsidRDefault="004B5C8F" w:rsidP="00FB5DDE">
      <w:pPr>
        <w:pStyle w:val="Heading2"/>
        <w:spacing w:line="240" w:lineRule="auto"/>
        <w:jc w:val="both"/>
        <w:rPr>
          <w:rFonts w:ascii="Times New Roman" w:hAnsi="Times New Roman" w:cs="Times New Roman"/>
          <w:b/>
          <w:bCs/>
          <w:color w:val="auto"/>
          <w:sz w:val="24"/>
          <w:szCs w:val="24"/>
        </w:rPr>
      </w:pPr>
      <w:r w:rsidRPr="00D21803">
        <w:rPr>
          <w:rFonts w:ascii="Times New Roman" w:hAnsi="Times New Roman" w:cs="Times New Roman"/>
          <w:b/>
          <w:bCs/>
          <w:color w:val="auto"/>
          <w:sz w:val="24"/>
          <w:szCs w:val="24"/>
        </w:rPr>
        <w:t>Case B</w:t>
      </w:r>
      <w:r w:rsidR="00BC797A" w:rsidRPr="00D21803">
        <w:rPr>
          <w:rFonts w:ascii="Times New Roman" w:hAnsi="Times New Roman" w:cs="Times New Roman"/>
          <w:b/>
          <w:bCs/>
          <w:color w:val="auto"/>
          <w:sz w:val="24"/>
          <w:szCs w:val="24"/>
        </w:rPr>
        <w:t xml:space="preserve">: </w:t>
      </w:r>
      <w:r w:rsidRPr="00D21803">
        <w:rPr>
          <w:rFonts w:ascii="Times New Roman" w:hAnsi="Times New Roman" w:cs="Times New Roman"/>
          <w:b/>
          <w:bCs/>
          <w:color w:val="auto"/>
          <w:sz w:val="24"/>
          <w:szCs w:val="24"/>
        </w:rPr>
        <w:t>The Inherited Wealth Professional</w:t>
      </w:r>
    </w:p>
    <w:p w14:paraId="5E85880A" w14:textId="77777777" w:rsidR="004B5C8F" w:rsidRPr="00D21803" w:rsidRDefault="004B5C8F" w:rsidP="00FB5DDE">
      <w:pPr>
        <w:spacing w:after="120" w:line="240" w:lineRule="auto"/>
        <w:jc w:val="both"/>
        <w:rPr>
          <w:rFonts w:cs="Times New Roman"/>
        </w:rPr>
      </w:pPr>
      <w:r w:rsidRPr="00D21803">
        <w:rPr>
          <w:rFonts w:cs="Times New Roman"/>
          <w:b/>
        </w:rPr>
        <w:t xml:space="preserve">Profile: </w:t>
      </w:r>
      <w:r w:rsidRPr="00D21803">
        <w:rPr>
          <w:rFonts w:cs="Times New Roman"/>
        </w:rPr>
        <w:t>Female, late 40s, second-generation wealth holder based in Mumbai. Manages family wealth inherited from a business family, alongside a senior corporate career. Investable assets of approximately ₹35 crore.</w:t>
      </w:r>
    </w:p>
    <w:p w14:paraId="43C0D57A" w14:textId="55AAFAF3" w:rsidR="004B5C8F" w:rsidRPr="00D21803" w:rsidRDefault="004B5C8F" w:rsidP="00FB5DDE">
      <w:pPr>
        <w:spacing w:after="120" w:line="240" w:lineRule="auto"/>
        <w:jc w:val="both"/>
        <w:rPr>
          <w:rFonts w:cs="Times New Roman"/>
        </w:rPr>
      </w:pPr>
      <w:r w:rsidRPr="00D21803">
        <w:rPr>
          <w:rFonts w:cs="Times New Roman"/>
        </w:rPr>
        <w:t>This investor adopts a conservative, diversification-first approach reflective of wealth preservation instincts common in inherited wealth profiles. Equities account for approximately 30%, managed entirely through a professional PMS provider. A PMS is a professionally managed investment portfolio customized to the investor's goals, with portfolios more concentrated and aimed at higher alpha making it an ideal choice for HNIs who want active management without direct market involvement (</w:t>
      </w:r>
      <w:proofErr w:type="spellStart"/>
      <w:r w:rsidRPr="00D21803">
        <w:rPr>
          <w:rFonts w:cs="Times New Roman"/>
        </w:rPr>
        <w:t>Affluense</w:t>
      </w:r>
      <w:proofErr w:type="spellEnd"/>
      <w:r w:rsidRPr="00D21803">
        <w:rPr>
          <w:rFonts w:cs="Times New Roman"/>
        </w:rPr>
        <w:t>, 2025).</w:t>
      </w:r>
    </w:p>
    <w:p w14:paraId="57CA8E19" w14:textId="59D128D2" w:rsidR="004B5C8F" w:rsidRPr="00D21803" w:rsidRDefault="004B5C8F" w:rsidP="00FB5DDE">
      <w:pPr>
        <w:spacing w:after="120" w:line="240" w:lineRule="auto"/>
        <w:jc w:val="both"/>
        <w:rPr>
          <w:rFonts w:cs="Times New Roman"/>
        </w:rPr>
      </w:pPr>
      <w:r w:rsidRPr="00D21803">
        <w:rPr>
          <w:rFonts w:cs="Times New Roman"/>
        </w:rPr>
        <w:t xml:space="preserve">Fixed income instruments including AAA-rated corporate bonds, government securities, and sovereign gold bonds constitute approximately 35% of her portfolio, providing stability and predictable cash flows. Real estate via REITs and </w:t>
      </w:r>
      <w:proofErr w:type="spellStart"/>
      <w:r w:rsidRPr="00D21803">
        <w:rPr>
          <w:rFonts w:cs="Times New Roman"/>
        </w:rPr>
        <w:t>InvITs</w:t>
      </w:r>
      <w:proofErr w:type="spellEnd"/>
      <w:r w:rsidRPr="00D21803">
        <w:rPr>
          <w:rFonts w:cs="Times New Roman"/>
        </w:rPr>
        <w:t xml:space="preserve"> accounts for another 20%, with the remaining 15% in international equities through feeder funds to hedge against rupee depreciation.</w:t>
      </w:r>
    </w:p>
    <w:p w14:paraId="10BA3AB0" w14:textId="77777777" w:rsidR="004B5C8F" w:rsidRPr="00D21803" w:rsidRDefault="004B5C8F" w:rsidP="00FB5DDE">
      <w:pPr>
        <w:spacing w:after="120" w:line="240" w:lineRule="auto"/>
        <w:jc w:val="both"/>
        <w:rPr>
          <w:rFonts w:cs="Times New Roman"/>
        </w:rPr>
      </w:pPr>
      <w:r w:rsidRPr="00D21803">
        <w:rPr>
          <w:rFonts w:cs="Times New Roman"/>
          <w:b/>
        </w:rPr>
        <w:t xml:space="preserve">Risk Appetite: </w:t>
      </w:r>
      <w:r w:rsidRPr="00D21803">
        <w:rPr>
          <w:rFonts w:cs="Times New Roman"/>
        </w:rPr>
        <w:t>Low to moderate. Decisions are made in close consultation with a family wealth advisor and a chartered accountant, with an emphasis on tax efficiency and estate planning.</w:t>
      </w:r>
    </w:p>
    <w:p w14:paraId="536A311A" w14:textId="77777777" w:rsidR="004B5C8F" w:rsidRPr="00D21803" w:rsidRDefault="004B5C8F" w:rsidP="00FB5DDE">
      <w:pPr>
        <w:spacing w:after="200" w:line="240" w:lineRule="auto"/>
        <w:jc w:val="both"/>
        <w:rPr>
          <w:rFonts w:cs="Times New Roman"/>
        </w:rPr>
      </w:pPr>
      <w:r w:rsidRPr="00D21803">
        <w:rPr>
          <w:rFonts w:cs="Times New Roman"/>
          <w:b/>
          <w:i/>
        </w:rPr>
        <w:t xml:space="preserve">Key Theme: </w:t>
      </w:r>
      <w:r w:rsidRPr="00D21803">
        <w:rPr>
          <w:rFonts w:cs="Times New Roman"/>
          <w:i/>
        </w:rPr>
        <w:t>Wealth preservation, professional advisory dependence, and multi-asset diversification characterize an inherited wealth investment approach.</w:t>
      </w:r>
    </w:p>
    <w:p w14:paraId="2BEA9102" w14:textId="7E1C66F6" w:rsidR="004B5C8F" w:rsidRPr="00D21803" w:rsidRDefault="004B5C8F" w:rsidP="00FB5DDE">
      <w:pPr>
        <w:pStyle w:val="Heading2"/>
        <w:spacing w:line="240" w:lineRule="auto"/>
        <w:jc w:val="both"/>
        <w:rPr>
          <w:rFonts w:ascii="Times New Roman" w:hAnsi="Times New Roman" w:cs="Times New Roman"/>
          <w:b/>
          <w:bCs/>
          <w:color w:val="auto"/>
          <w:sz w:val="24"/>
          <w:szCs w:val="24"/>
        </w:rPr>
      </w:pPr>
      <w:r w:rsidRPr="00D21803">
        <w:rPr>
          <w:rFonts w:ascii="Times New Roman" w:hAnsi="Times New Roman" w:cs="Times New Roman"/>
          <w:b/>
          <w:bCs/>
          <w:color w:val="auto"/>
          <w:sz w:val="24"/>
          <w:szCs w:val="24"/>
        </w:rPr>
        <w:t>Case C</w:t>
      </w:r>
      <w:r w:rsidR="00BC64D3" w:rsidRPr="00D21803">
        <w:rPr>
          <w:rFonts w:ascii="Times New Roman" w:hAnsi="Times New Roman" w:cs="Times New Roman"/>
          <w:b/>
          <w:bCs/>
          <w:color w:val="auto"/>
          <w:sz w:val="24"/>
          <w:szCs w:val="24"/>
        </w:rPr>
        <w:t xml:space="preserve">: </w:t>
      </w:r>
      <w:r w:rsidRPr="00D21803">
        <w:rPr>
          <w:rFonts w:ascii="Times New Roman" w:hAnsi="Times New Roman" w:cs="Times New Roman"/>
          <w:b/>
          <w:bCs/>
          <w:color w:val="auto"/>
          <w:sz w:val="24"/>
          <w:szCs w:val="24"/>
        </w:rPr>
        <w:t>The Young Tech-Sector HNI</w:t>
      </w:r>
    </w:p>
    <w:p w14:paraId="60C9B60B" w14:textId="77777777" w:rsidR="004B5C8F" w:rsidRPr="00D21803" w:rsidRDefault="004B5C8F" w:rsidP="00FB5DDE">
      <w:pPr>
        <w:spacing w:after="120" w:line="240" w:lineRule="auto"/>
        <w:jc w:val="both"/>
        <w:rPr>
          <w:rFonts w:cs="Times New Roman"/>
        </w:rPr>
      </w:pPr>
      <w:r w:rsidRPr="00D21803">
        <w:rPr>
          <w:rFonts w:cs="Times New Roman"/>
          <w:b/>
        </w:rPr>
        <w:t xml:space="preserve">Profile: </w:t>
      </w:r>
      <w:r w:rsidRPr="00D21803">
        <w:rPr>
          <w:rFonts w:cs="Times New Roman"/>
        </w:rPr>
        <w:t>Male, early 30s, Chief Technology Officer at a Bengaluru-based unicorn startup. Net worth crossed ₹20 crore following a significant ESOP payout. Digital-native, data-driven, and highly informed investor.</w:t>
      </w:r>
    </w:p>
    <w:p w14:paraId="3559A64E" w14:textId="7A6B5D67" w:rsidR="004B5C8F" w:rsidRPr="00D21803" w:rsidRDefault="004B5C8F" w:rsidP="00FB5DDE">
      <w:pPr>
        <w:spacing w:after="120" w:line="240" w:lineRule="auto"/>
        <w:jc w:val="both"/>
        <w:rPr>
          <w:rFonts w:cs="Times New Roman"/>
        </w:rPr>
      </w:pPr>
      <w:r w:rsidRPr="00D21803">
        <w:rPr>
          <w:rFonts w:cs="Times New Roman"/>
        </w:rPr>
        <w:t>This investor represents an emerging and rapidly growing HNI archetype in India the young, tech-sector wealth creator. His current portfolio is heavily growth-oriented. Direct equity in technology, green energy, and digital infrastructure stocks constitutes approximately 40% of his holdings. He allocates 25% to AIFs, specifically Category I venture capital funds and Category II private equity funds, driven by familiarity with the startup ecosystem. In 2025, approximately 20% of HNI portfolios include allocations to private equity and venture capital, signaling a robust appetite for high-risk, high-reward opportunities (</w:t>
      </w:r>
      <w:proofErr w:type="spellStart"/>
      <w:r w:rsidRPr="00D21803">
        <w:rPr>
          <w:rFonts w:cs="Times New Roman"/>
        </w:rPr>
        <w:t>Affluense</w:t>
      </w:r>
      <w:proofErr w:type="spellEnd"/>
      <w:r w:rsidRPr="00D21803">
        <w:rPr>
          <w:rFonts w:cs="Times New Roman"/>
        </w:rPr>
        <w:t>, 2025). A further 20% is in international equities via global ETFs, and 15% in liquid mutual funds maintained as a strategic buffer.</w:t>
      </w:r>
    </w:p>
    <w:p w14:paraId="4B4DBDCD" w14:textId="77777777" w:rsidR="004B5C8F" w:rsidRPr="00D21803" w:rsidRDefault="004B5C8F" w:rsidP="00FB5DDE">
      <w:pPr>
        <w:spacing w:after="120" w:line="240" w:lineRule="auto"/>
        <w:jc w:val="both"/>
        <w:rPr>
          <w:rFonts w:cs="Times New Roman"/>
        </w:rPr>
      </w:pPr>
      <w:r w:rsidRPr="00D21803">
        <w:rPr>
          <w:rFonts w:cs="Times New Roman"/>
          <w:b/>
        </w:rPr>
        <w:t xml:space="preserve">Risk Appetite: </w:t>
      </w:r>
      <w:r w:rsidRPr="00D21803">
        <w:rPr>
          <w:rFonts w:cs="Times New Roman"/>
        </w:rPr>
        <w:t>High. This investor is comfortable with illiquidity and long investment horizons. He makes independent investment decisions with minimal advisory involvement, relying on data, research reports, and peer networks within the startup community.</w:t>
      </w:r>
    </w:p>
    <w:p w14:paraId="0077358C" w14:textId="77777777" w:rsidR="004B5C8F" w:rsidRPr="00D21803" w:rsidRDefault="004B5C8F" w:rsidP="00FB5DDE">
      <w:pPr>
        <w:spacing w:after="200" w:line="240" w:lineRule="auto"/>
        <w:jc w:val="both"/>
        <w:rPr>
          <w:rFonts w:cs="Times New Roman"/>
        </w:rPr>
      </w:pPr>
      <w:r w:rsidRPr="00D21803">
        <w:rPr>
          <w:rFonts w:cs="Times New Roman"/>
          <w:b/>
          <w:i/>
        </w:rPr>
        <w:t xml:space="preserve">Key Theme: </w:t>
      </w:r>
      <w:r w:rsidRPr="00D21803">
        <w:rPr>
          <w:rFonts w:cs="Times New Roman"/>
          <w:i/>
        </w:rPr>
        <w:t xml:space="preserve">Digital nativity, startup ecosystem familiarity, and </w:t>
      </w:r>
      <w:proofErr w:type="gramStart"/>
      <w:r w:rsidRPr="00D21803">
        <w:rPr>
          <w:rFonts w:cs="Times New Roman"/>
          <w:i/>
        </w:rPr>
        <w:t>high risk</w:t>
      </w:r>
      <w:proofErr w:type="gramEnd"/>
      <w:r w:rsidRPr="00D21803">
        <w:rPr>
          <w:rFonts w:cs="Times New Roman"/>
          <w:i/>
        </w:rPr>
        <w:t xml:space="preserve"> tolerance drive an aggressive, alternatives-heavy portfolio with a global outlook.</w:t>
      </w:r>
    </w:p>
    <w:p w14:paraId="784DE7B0" w14:textId="0F4C3392" w:rsidR="004B5C8F" w:rsidRPr="00D21803" w:rsidRDefault="004B5C8F" w:rsidP="00FB5DDE">
      <w:pPr>
        <w:pStyle w:val="Heading2"/>
        <w:spacing w:line="240" w:lineRule="auto"/>
        <w:jc w:val="both"/>
        <w:rPr>
          <w:rFonts w:ascii="Times New Roman" w:hAnsi="Times New Roman" w:cs="Times New Roman"/>
          <w:b/>
          <w:bCs/>
          <w:color w:val="auto"/>
          <w:sz w:val="24"/>
          <w:szCs w:val="24"/>
        </w:rPr>
      </w:pPr>
      <w:r w:rsidRPr="00D21803">
        <w:rPr>
          <w:rFonts w:ascii="Times New Roman" w:hAnsi="Times New Roman" w:cs="Times New Roman"/>
          <w:b/>
          <w:bCs/>
          <w:color w:val="auto"/>
          <w:sz w:val="24"/>
          <w:szCs w:val="24"/>
        </w:rPr>
        <w:t>Case D</w:t>
      </w:r>
      <w:r w:rsidR="00BC64D3" w:rsidRPr="00D21803">
        <w:rPr>
          <w:rFonts w:ascii="Times New Roman" w:hAnsi="Times New Roman" w:cs="Times New Roman"/>
          <w:b/>
          <w:bCs/>
          <w:color w:val="auto"/>
          <w:sz w:val="24"/>
          <w:szCs w:val="24"/>
        </w:rPr>
        <w:t>:</w:t>
      </w:r>
      <w:r w:rsidRPr="00D21803">
        <w:rPr>
          <w:rFonts w:ascii="Times New Roman" w:hAnsi="Times New Roman" w:cs="Times New Roman"/>
          <w:b/>
          <w:bCs/>
          <w:color w:val="auto"/>
          <w:sz w:val="24"/>
          <w:szCs w:val="24"/>
        </w:rPr>
        <w:t xml:space="preserve"> The Retired Senior Executive</w:t>
      </w:r>
    </w:p>
    <w:p w14:paraId="5FBE551B" w14:textId="77777777" w:rsidR="004B5C8F" w:rsidRPr="00D21803" w:rsidRDefault="004B5C8F" w:rsidP="00FB5DDE">
      <w:pPr>
        <w:spacing w:after="120" w:line="240" w:lineRule="auto"/>
        <w:jc w:val="both"/>
        <w:rPr>
          <w:rFonts w:cs="Times New Roman"/>
        </w:rPr>
      </w:pPr>
      <w:r w:rsidRPr="00D21803">
        <w:rPr>
          <w:rFonts w:cs="Times New Roman"/>
          <w:b/>
        </w:rPr>
        <w:t xml:space="preserve">Profile: </w:t>
      </w:r>
      <w:r w:rsidRPr="00D21803">
        <w:rPr>
          <w:rFonts w:cs="Times New Roman"/>
        </w:rPr>
        <w:t>Male, mid-60s, recently retired CFO of a large listed corporation based in Chennai. Accumulated wealth through three decades of corporate savings, ESOPs, and disciplined investing. Investable assets of approximately ₹12 crore.</w:t>
      </w:r>
    </w:p>
    <w:p w14:paraId="23D3D017" w14:textId="6AB8E1E6" w:rsidR="004B5C8F" w:rsidRPr="00D21803" w:rsidRDefault="004B5C8F" w:rsidP="00FB5DDE">
      <w:pPr>
        <w:spacing w:after="120" w:line="240" w:lineRule="auto"/>
        <w:jc w:val="both"/>
        <w:rPr>
          <w:rFonts w:cs="Times New Roman"/>
        </w:rPr>
      </w:pPr>
      <w:r w:rsidRPr="00D21803">
        <w:rPr>
          <w:rFonts w:cs="Times New Roman"/>
        </w:rPr>
        <w:t xml:space="preserve">This investor prioritizes capital preservation and regular income generation over growth. His investment strategy has undergone a deliberate shift post-retirement moving away from equity-heavy holdings towards a predominantly fixed-income and income-generating portfolio. Fixed income instruments including government bonds, senior secured NCDs, and fixed deposits constitute approximately 50% of his portfolio. Dividend-yielding blue-chip equities account for approximately 20%, retained for long-term capital appreciation. REITs contribute another 15%, providing quarterly income distributions. SEBI directs REITs and </w:t>
      </w:r>
      <w:proofErr w:type="spellStart"/>
      <w:r w:rsidRPr="00D21803">
        <w:rPr>
          <w:rFonts w:cs="Times New Roman"/>
        </w:rPr>
        <w:t>InvITs</w:t>
      </w:r>
      <w:proofErr w:type="spellEnd"/>
      <w:r w:rsidRPr="00D21803">
        <w:rPr>
          <w:rFonts w:cs="Times New Roman"/>
        </w:rPr>
        <w:t xml:space="preserve"> to distribute 90% of their earnings to unit holders, making them highly attractive for income-focused investors (Bonanza Wealth, 2025). The remaining 15% is held in sovereign gold bonds as a hedge against inflation.</w:t>
      </w:r>
    </w:p>
    <w:p w14:paraId="0FE2CFAF" w14:textId="77777777" w:rsidR="004B5C8F" w:rsidRPr="00D21803" w:rsidRDefault="004B5C8F" w:rsidP="00FB5DDE">
      <w:pPr>
        <w:spacing w:after="120" w:line="240" w:lineRule="auto"/>
        <w:jc w:val="both"/>
        <w:rPr>
          <w:rFonts w:cs="Times New Roman"/>
        </w:rPr>
      </w:pPr>
      <w:r w:rsidRPr="00D21803">
        <w:rPr>
          <w:rFonts w:cs="Times New Roman"/>
          <w:b/>
        </w:rPr>
        <w:t xml:space="preserve">Risk Appetite: </w:t>
      </w:r>
      <w:r w:rsidRPr="00D21803">
        <w:rPr>
          <w:rFonts w:cs="Times New Roman"/>
        </w:rPr>
        <w:t>Low. All investment decisions are taken in consultation with a SEBI-registered investment advisor, with a strong focus on succession planning, tax efficiency, and liquidity management.</w:t>
      </w:r>
    </w:p>
    <w:p w14:paraId="0B463170" w14:textId="77777777" w:rsidR="004B5C8F" w:rsidRPr="00D21803" w:rsidRDefault="004B5C8F" w:rsidP="00FB5DDE">
      <w:pPr>
        <w:spacing w:after="200" w:line="240" w:lineRule="auto"/>
        <w:jc w:val="both"/>
        <w:rPr>
          <w:rFonts w:cs="Times New Roman"/>
        </w:rPr>
      </w:pPr>
      <w:r w:rsidRPr="00D21803">
        <w:rPr>
          <w:rFonts w:cs="Times New Roman"/>
          <w:b/>
          <w:i/>
        </w:rPr>
        <w:t xml:space="preserve">Key Theme: </w:t>
      </w:r>
      <w:r w:rsidRPr="00D21803">
        <w:rPr>
          <w:rFonts w:cs="Times New Roman"/>
          <w:i/>
        </w:rPr>
        <w:t>Capital preservation, regular income generation, and succession planning define a post-retirement HNI investment strategy anchored in low-risk instruments.</w:t>
      </w:r>
    </w:p>
    <w:p w14:paraId="0B6B2196" w14:textId="77777777" w:rsidR="00C07316" w:rsidRPr="004242CC" w:rsidRDefault="00C07316" w:rsidP="00FB5DDE">
      <w:pPr>
        <w:spacing w:after="120" w:line="240" w:lineRule="auto"/>
        <w:rPr>
          <w:rFonts w:cs="Times New Roman"/>
          <w:b/>
          <w:bCs/>
          <w:sz w:val="28"/>
          <w:szCs w:val="24"/>
        </w:rPr>
      </w:pPr>
      <w:r w:rsidRPr="004242CC">
        <w:rPr>
          <w:rFonts w:cs="Times New Roman"/>
          <w:b/>
          <w:bCs/>
          <w:sz w:val="28"/>
          <w:szCs w:val="24"/>
        </w:rPr>
        <w:lastRenderedPageBreak/>
        <w:t>DISCUSSION</w:t>
      </w:r>
    </w:p>
    <w:p w14:paraId="201E2D8B" w14:textId="77777777" w:rsidR="00014DA3" w:rsidRPr="00D21803" w:rsidRDefault="00014DA3" w:rsidP="00FB5DDE">
      <w:pPr>
        <w:spacing w:after="120" w:line="240" w:lineRule="auto"/>
        <w:rPr>
          <w:rFonts w:cs="Times New Roman"/>
          <w:b/>
          <w:bCs/>
        </w:rPr>
      </w:pPr>
      <w:r w:rsidRPr="00D21803">
        <w:rPr>
          <w:rFonts w:cs="Times New Roman"/>
          <w:b/>
          <w:bCs/>
        </w:rPr>
        <w:t>Theme 1: Asset Allocation as a Reflection of Wealth Origin</w:t>
      </w:r>
    </w:p>
    <w:p w14:paraId="40C5E9AA" w14:textId="1A8AD120" w:rsidR="00014DA3" w:rsidRPr="00D21803" w:rsidRDefault="00014DA3" w:rsidP="00FB5DDE">
      <w:pPr>
        <w:spacing w:after="120" w:line="240" w:lineRule="auto"/>
        <w:jc w:val="both"/>
        <w:rPr>
          <w:rFonts w:cs="Times New Roman"/>
        </w:rPr>
      </w:pPr>
      <w:r w:rsidRPr="00D21803">
        <w:rPr>
          <w:rFonts w:cs="Times New Roman"/>
        </w:rPr>
        <w:t>A striking pattern across all four cases is that asset allocation is strongly shaped by how wealth was originally created. Case A, the first-generation entrepreneur, gravitates toward sectors he understands from business experience industrials and manufacturing-linked equities</w:t>
      </w:r>
      <w:r w:rsidR="00BC64D3" w:rsidRPr="00D21803">
        <w:rPr>
          <w:rFonts w:cs="Times New Roman"/>
        </w:rPr>
        <w:t xml:space="preserve"> </w:t>
      </w:r>
      <w:r w:rsidRPr="00D21803">
        <w:rPr>
          <w:rFonts w:cs="Times New Roman"/>
        </w:rPr>
        <w:t>while Case C, the tech executive, favors technology and venture capital. This phenomenon aligns with the concept of familiarity bias, wherein investors preferentially allocate capital to assets within their experiential domain.</w:t>
      </w:r>
    </w:p>
    <w:p w14:paraId="03A1F322" w14:textId="3C97E918" w:rsidR="00014DA3" w:rsidRPr="00D21803" w:rsidRDefault="00014DA3" w:rsidP="00FB5DDE">
      <w:pPr>
        <w:spacing w:after="120" w:line="240" w:lineRule="auto"/>
        <w:jc w:val="both"/>
        <w:rPr>
          <w:rFonts w:cs="Times New Roman"/>
        </w:rPr>
      </w:pPr>
      <w:r w:rsidRPr="00D21803">
        <w:rPr>
          <w:rFonts w:cs="Times New Roman"/>
        </w:rPr>
        <w:t>In contrast, Cases B and D representing inherited wealth and post-retirement profiles respectively</w:t>
      </w:r>
      <w:r w:rsidR="00BC64D3" w:rsidRPr="00D21803">
        <w:rPr>
          <w:rFonts w:cs="Times New Roman"/>
        </w:rPr>
        <w:t xml:space="preserve"> </w:t>
      </w:r>
      <w:r w:rsidRPr="00D21803">
        <w:rPr>
          <w:rFonts w:cs="Times New Roman"/>
        </w:rPr>
        <w:t>exhibit broader, more conservative diversification. Cognitive biases such as overconfidence and emotional biases like loss aversion result in suboptimal portfolio choices, impacting both individual wealth and market stability, with tailored financial advisory services needed to mitigate these biases especially in volatile emerging markets like India (Makwana, 2024). This finding underscores the importance of understanding each HNI's wealth narrative before designing an investment strategy.</w:t>
      </w:r>
    </w:p>
    <w:p w14:paraId="76F900B1" w14:textId="1D9870DB" w:rsidR="00014DA3" w:rsidRPr="00D21803" w:rsidRDefault="00014DA3" w:rsidP="00FB5DDE">
      <w:pPr>
        <w:pStyle w:val="Heading2"/>
        <w:spacing w:line="240" w:lineRule="auto"/>
        <w:jc w:val="both"/>
        <w:rPr>
          <w:rFonts w:ascii="Times New Roman" w:hAnsi="Times New Roman" w:cs="Times New Roman"/>
          <w:b/>
          <w:bCs/>
          <w:color w:val="auto"/>
          <w:sz w:val="24"/>
          <w:szCs w:val="24"/>
        </w:rPr>
      </w:pPr>
      <w:r w:rsidRPr="00D21803">
        <w:rPr>
          <w:rFonts w:ascii="Times New Roman" w:hAnsi="Times New Roman" w:cs="Times New Roman"/>
          <w:b/>
          <w:bCs/>
          <w:color w:val="auto"/>
          <w:sz w:val="24"/>
          <w:szCs w:val="24"/>
        </w:rPr>
        <w:t>Theme 2: Behavioral Biases Across HNI Profiles</w:t>
      </w:r>
    </w:p>
    <w:p w14:paraId="499C7FFC" w14:textId="77777777" w:rsidR="00014DA3" w:rsidRPr="00D21803" w:rsidRDefault="00014DA3" w:rsidP="00FB5DDE">
      <w:pPr>
        <w:spacing w:after="120" w:line="240" w:lineRule="auto"/>
        <w:jc w:val="both"/>
        <w:rPr>
          <w:rFonts w:cs="Times New Roman"/>
        </w:rPr>
      </w:pPr>
      <w:r w:rsidRPr="00D21803">
        <w:rPr>
          <w:rFonts w:cs="Times New Roman"/>
        </w:rPr>
        <w:t>Behavioral biases emerged as a central force shaping investment decisions across all four cases, consistent with the growing body of behavioral finance literature on Indian investors.</w:t>
      </w:r>
    </w:p>
    <w:p w14:paraId="13E6BFCA" w14:textId="2AD62007" w:rsidR="00014DA3" w:rsidRPr="00D21803" w:rsidRDefault="00014DA3" w:rsidP="00FB5DDE">
      <w:pPr>
        <w:spacing w:after="120" w:line="240" w:lineRule="auto"/>
        <w:jc w:val="both"/>
        <w:rPr>
          <w:rFonts w:cs="Times New Roman"/>
        </w:rPr>
      </w:pPr>
      <w:r w:rsidRPr="00D21803">
        <w:rPr>
          <w:rFonts w:cs="Times New Roman"/>
        </w:rPr>
        <w:t>Overconfidence Bias was most evident in Cases A and C. Indian HNI investors demonstrate a significant impact of overconfidence bias, manifesting specifically in overestimation of stock price forecasting ability, overtrading, over</w:t>
      </w:r>
      <w:r w:rsidR="00BC64D3" w:rsidRPr="00D21803">
        <w:rPr>
          <w:rFonts w:cs="Times New Roman"/>
        </w:rPr>
        <w:t xml:space="preserve"> </w:t>
      </w:r>
      <w:r w:rsidRPr="00D21803">
        <w:rPr>
          <w:rFonts w:cs="Times New Roman"/>
        </w:rPr>
        <w:t>analysis, and overreaction to short-term market signals (</w:t>
      </w:r>
      <w:proofErr w:type="spellStart"/>
      <w:r w:rsidRPr="00D21803">
        <w:rPr>
          <w:rFonts w:cs="Times New Roman"/>
        </w:rPr>
        <w:t>Parhi</w:t>
      </w:r>
      <w:proofErr w:type="spellEnd"/>
      <w:r w:rsidRPr="00D21803">
        <w:rPr>
          <w:rFonts w:cs="Times New Roman"/>
        </w:rPr>
        <w:t xml:space="preserve"> &amp; Pal, 2022). Case A's heavy concentration in mid-cap and small-cap stocks without formal advisory input, and Case C's high allocation to illiquid AIFs driven by startup-ecosystem optimism, both reflect this bias in practice.</w:t>
      </w:r>
    </w:p>
    <w:p w14:paraId="165868AD" w14:textId="77777777" w:rsidR="00014DA3" w:rsidRPr="00D21803" w:rsidRDefault="00014DA3" w:rsidP="00FB5DDE">
      <w:pPr>
        <w:spacing w:after="120" w:line="240" w:lineRule="auto"/>
        <w:jc w:val="both"/>
        <w:rPr>
          <w:rFonts w:cs="Times New Roman"/>
        </w:rPr>
      </w:pPr>
      <w:r w:rsidRPr="00D21803">
        <w:rPr>
          <w:rFonts w:cs="Times New Roman"/>
        </w:rPr>
        <w:t>Loss Aversion was the dominant behavioral force in Cases B and D. Loss-averse individuals tend to feel more risk-averse when their portfolio performs well, yet paradoxically become risk-seeking after losses in an attempt to recover (</w:t>
      </w:r>
      <w:proofErr w:type="spellStart"/>
      <w:r w:rsidRPr="00D21803">
        <w:rPr>
          <w:rFonts w:cs="Times New Roman"/>
        </w:rPr>
        <w:t>Saivasan</w:t>
      </w:r>
      <w:proofErr w:type="spellEnd"/>
      <w:r w:rsidRPr="00D21803">
        <w:rPr>
          <w:rFonts w:cs="Times New Roman"/>
        </w:rPr>
        <w:t xml:space="preserve"> &amp; Lokhande, 2022). This dynamic explains why Case D maintains a 50% fixed-income allocation even in a low-yield environment.</w:t>
      </w:r>
    </w:p>
    <w:p w14:paraId="58B4627A" w14:textId="4AFCE3E2" w:rsidR="00014DA3" w:rsidRPr="00D21803" w:rsidRDefault="00014DA3" w:rsidP="00FB5DDE">
      <w:pPr>
        <w:spacing w:after="120" w:line="240" w:lineRule="auto"/>
        <w:jc w:val="both"/>
        <w:rPr>
          <w:rFonts w:cs="Times New Roman"/>
        </w:rPr>
      </w:pPr>
      <w:r w:rsidRPr="00D21803">
        <w:rPr>
          <w:rFonts w:cs="Times New Roman"/>
        </w:rPr>
        <w:t>Herding Behavior was subtly present in Cases A and C, both of whom referenced peer networks and industry circles as informal investment signals. Overall, the findings challenge the assumption of investor rationality, with a robust and positive association found between cognitive biases including overconfidence, loss aversion, anchoring, and the gambler's fallacy and equity investment decisions among Indian investors (Makwana, 2024).</w:t>
      </w:r>
    </w:p>
    <w:p w14:paraId="1B32D3EA" w14:textId="6E4862F8" w:rsidR="00014DA3" w:rsidRPr="00D21803" w:rsidRDefault="00014DA3" w:rsidP="00FB5DDE">
      <w:pPr>
        <w:pStyle w:val="Heading2"/>
        <w:spacing w:line="240" w:lineRule="auto"/>
        <w:jc w:val="both"/>
        <w:rPr>
          <w:rFonts w:ascii="Times New Roman" w:hAnsi="Times New Roman" w:cs="Times New Roman"/>
          <w:b/>
          <w:bCs/>
          <w:color w:val="auto"/>
          <w:sz w:val="24"/>
          <w:szCs w:val="24"/>
        </w:rPr>
      </w:pPr>
      <w:r w:rsidRPr="00D21803">
        <w:rPr>
          <w:rFonts w:ascii="Times New Roman" w:hAnsi="Times New Roman" w:cs="Times New Roman"/>
          <w:b/>
          <w:bCs/>
          <w:color w:val="auto"/>
          <w:sz w:val="24"/>
          <w:szCs w:val="24"/>
        </w:rPr>
        <w:t>Theme 3: The Role of Professional Advisory</w:t>
      </w:r>
    </w:p>
    <w:p w14:paraId="07F87993" w14:textId="77777777" w:rsidR="00014DA3" w:rsidRPr="00D21803" w:rsidRDefault="00014DA3" w:rsidP="00FB5DDE">
      <w:pPr>
        <w:spacing w:after="120" w:line="240" w:lineRule="auto"/>
        <w:jc w:val="both"/>
        <w:rPr>
          <w:rFonts w:cs="Times New Roman"/>
        </w:rPr>
      </w:pPr>
      <w:r w:rsidRPr="00D21803">
        <w:rPr>
          <w:rFonts w:cs="Times New Roman"/>
        </w:rPr>
        <w:t>A clear divergence emerged between cases where advisory reliance was high (Cases B and D) and where it was low (Cases A and C). This divergence correlates directly with risk appetite and investment outcomes. Cases with high advisory reliance demonstrated more diversified, tax-efficient, and goal-aligned portfolios, while those with low advisory reliance exhibited higher concentration risk and behavioral bias-driven decisions.</w:t>
      </w:r>
    </w:p>
    <w:p w14:paraId="625CAD67" w14:textId="77777777" w:rsidR="00014DA3" w:rsidRPr="00D21803" w:rsidRDefault="00014DA3" w:rsidP="00FB5DDE">
      <w:pPr>
        <w:spacing w:after="120" w:line="240" w:lineRule="auto"/>
        <w:jc w:val="both"/>
        <w:rPr>
          <w:rFonts w:cs="Times New Roman"/>
        </w:rPr>
      </w:pPr>
      <w:r w:rsidRPr="00D21803">
        <w:rPr>
          <w:rFonts w:cs="Times New Roman"/>
        </w:rPr>
        <w:t>This finding carries important implications for India's wealth management industry. Financial literacy serves as a buffer against psychological factors, enabling investors to remain rational and resulting in better portfolio performance, with increased financial education programs shown to enhance understanding of investment products and empower investors to counteract biases such as overconfidence and loss aversion (Makwana, 2024).</w:t>
      </w:r>
    </w:p>
    <w:p w14:paraId="187540AE" w14:textId="62D7A568" w:rsidR="00014DA3" w:rsidRPr="00D21803" w:rsidRDefault="00014DA3" w:rsidP="00FB5DDE">
      <w:pPr>
        <w:pStyle w:val="Heading2"/>
        <w:spacing w:line="240" w:lineRule="auto"/>
        <w:jc w:val="both"/>
        <w:rPr>
          <w:rFonts w:ascii="Times New Roman" w:hAnsi="Times New Roman" w:cs="Times New Roman"/>
          <w:b/>
          <w:bCs/>
          <w:color w:val="auto"/>
          <w:sz w:val="24"/>
          <w:szCs w:val="24"/>
        </w:rPr>
      </w:pPr>
      <w:r w:rsidRPr="00D21803">
        <w:rPr>
          <w:rFonts w:ascii="Times New Roman" w:hAnsi="Times New Roman" w:cs="Times New Roman"/>
          <w:b/>
          <w:bCs/>
          <w:color w:val="auto"/>
          <w:sz w:val="24"/>
          <w:szCs w:val="24"/>
        </w:rPr>
        <w:t>Theme 4: Risk-Return Calibration Across Life Stages</w:t>
      </w:r>
    </w:p>
    <w:p w14:paraId="653F1B24" w14:textId="77777777" w:rsidR="00014DA3" w:rsidRPr="00D21803" w:rsidRDefault="00014DA3" w:rsidP="00FB5DDE">
      <w:pPr>
        <w:spacing w:after="120" w:line="240" w:lineRule="auto"/>
        <w:jc w:val="both"/>
        <w:rPr>
          <w:rFonts w:cs="Times New Roman"/>
        </w:rPr>
      </w:pPr>
      <w:r w:rsidRPr="00D21803">
        <w:rPr>
          <w:rFonts w:cs="Times New Roman"/>
        </w:rPr>
        <w:t>The case studies collectively demonstrate a lifecycle pattern in HNI investment strategy. Younger HNIs (Cases A and C) adopt high-risk, high-return strategies oriented toward wealth accumulation, while older or inherited-wealth HNIs (Cases B and D) pivot toward wealth preservation. This is consistent with classical life-cycle investment theory (Modigliani, 1966) and its application in modern wealth management.</w:t>
      </w:r>
    </w:p>
    <w:p w14:paraId="41011C4E" w14:textId="15418FE4" w:rsidR="00014DA3" w:rsidRPr="00D21803" w:rsidRDefault="00014DA3" w:rsidP="00FB5DDE">
      <w:pPr>
        <w:spacing w:after="120" w:line="240" w:lineRule="auto"/>
        <w:jc w:val="both"/>
        <w:rPr>
          <w:rFonts w:cs="Times New Roman"/>
        </w:rPr>
      </w:pPr>
      <w:r w:rsidRPr="00D21803">
        <w:rPr>
          <w:rFonts w:cs="Times New Roman"/>
        </w:rPr>
        <w:t>What is notable in the Indian HNI context, however, is that life-stage alone does not determine risk calibration psychological resilience and financial literacy play equally important roles. Loss aversion is a dominant factor influencing risk tolerance even among younger, high-income investors with digital access, where emotional discomfort associated with financial loss leads to underinvestment in growth-oriented portfolios (</w:t>
      </w:r>
      <w:proofErr w:type="spellStart"/>
      <w:r w:rsidRPr="00D21803">
        <w:rPr>
          <w:rFonts w:cs="Times New Roman"/>
        </w:rPr>
        <w:t>Saivasan</w:t>
      </w:r>
      <w:proofErr w:type="spellEnd"/>
      <w:r w:rsidRPr="00D21803">
        <w:rPr>
          <w:rFonts w:cs="Times New Roman"/>
        </w:rPr>
        <w:t xml:space="preserve"> &amp; Lokhande, 2022).</w:t>
      </w:r>
    </w:p>
    <w:p w14:paraId="62A7A936" w14:textId="24DABE73" w:rsidR="00014DA3" w:rsidRPr="00D21803" w:rsidRDefault="00014DA3" w:rsidP="00FB5DDE">
      <w:pPr>
        <w:pStyle w:val="Heading2"/>
        <w:spacing w:line="240" w:lineRule="auto"/>
        <w:jc w:val="both"/>
        <w:rPr>
          <w:rFonts w:ascii="Times New Roman" w:hAnsi="Times New Roman" w:cs="Times New Roman"/>
          <w:b/>
          <w:bCs/>
          <w:color w:val="auto"/>
          <w:sz w:val="24"/>
          <w:szCs w:val="24"/>
        </w:rPr>
      </w:pPr>
      <w:r w:rsidRPr="00D21803">
        <w:rPr>
          <w:rFonts w:ascii="Times New Roman" w:hAnsi="Times New Roman" w:cs="Times New Roman"/>
          <w:b/>
          <w:bCs/>
          <w:color w:val="auto"/>
          <w:sz w:val="24"/>
          <w:szCs w:val="24"/>
        </w:rPr>
        <w:lastRenderedPageBreak/>
        <w:t>Implications for Practice and Policy</w:t>
      </w:r>
    </w:p>
    <w:p w14:paraId="15BB4E24" w14:textId="30A2EAAE" w:rsidR="00A7692C" w:rsidRPr="005A5B78" w:rsidRDefault="00014DA3" w:rsidP="005A5B78">
      <w:pPr>
        <w:spacing w:after="120" w:line="240" w:lineRule="auto"/>
        <w:jc w:val="both"/>
        <w:rPr>
          <w:rFonts w:cs="Times New Roman"/>
        </w:rPr>
      </w:pPr>
      <w:r w:rsidRPr="00D21803">
        <w:rPr>
          <w:rFonts w:cs="Times New Roman"/>
        </w:rPr>
        <w:t>The findings of this study carry three key implications. First, wealth managers should adopt a biography-led advisory model understanding the origin of an HNI's wealth before designing a portfolio, as familiarity and overconfidence biases are deeply rooted in wealth creation history. Second, financial educators and SEBI should invest in behavioral finance literacy programs specifically targeted at HNIs, who despite their sophistication remain significantly susceptible to cognitive and emotional biases that affect both their own returns and broader market stability. Third, product designers in the wealth management space should consider structuring investment products that incorporate behavioral guardrails such as automatic rebalancing, lock-in periods for impulsive selling, and structured review mechanisms to help HNIs overcome loss aversion and overconfidence-driven decisions.</w:t>
      </w:r>
    </w:p>
    <w:p w14:paraId="09E5ED74" w14:textId="700BF4CD" w:rsidR="00672BB9" w:rsidRPr="004242CC" w:rsidRDefault="00A7692C" w:rsidP="00FB5DDE">
      <w:pPr>
        <w:spacing w:after="120" w:line="240" w:lineRule="auto"/>
        <w:rPr>
          <w:rFonts w:cs="Times New Roman"/>
          <w:b/>
          <w:bCs/>
          <w:sz w:val="28"/>
          <w:szCs w:val="24"/>
        </w:rPr>
      </w:pPr>
      <w:r w:rsidRPr="004242CC">
        <w:rPr>
          <w:rFonts w:cs="Times New Roman"/>
          <w:b/>
          <w:bCs/>
          <w:sz w:val="28"/>
          <w:szCs w:val="24"/>
        </w:rPr>
        <w:t>CONCLUSION</w:t>
      </w:r>
    </w:p>
    <w:p w14:paraId="6AAD0E64" w14:textId="5512D9BA" w:rsidR="00D55A2E" w:rsidRPr="00D21803" w:rsidRDefault="00D55A2E" w:rsidP="00FB5DDE">
      <w:pPr>
        <w:spacing w:after="120" w:line="240" w:lineRule="auto"/>
        <w:rPr>
          <w:rFonts w:cs="Times New Roman"/>
          <w:b/>
          <w:bCs/>
        </w:rPr>
      </w:pPr>
      <w:r w:rsidRPr="00D21803">
        <w:rPr>
          <w:rFonts w:cs="Times New Roman"/>
          <w:b/>
          <w:bCs/>
        </w:rPr>
        <w:t>Summary of Findings</w:t>
      </w:r>
    </w:p>
    <w:p w14:paraId="0C0E0319" w14:textId="6ADE3983" w:rsidR="00D55A2E" w:rsidRPr="00D21803" w:rsidRDefault="00D55A2E" w:rsidP="00FB5DDE">
      <w:pPr>
        <w:spacing w:after="120" w:line="240" w:lineRule="auto"/>
        <w:jc w:val="both"/>
        <w:rPr>
          <w:rFonts w:cs="Times New Roman"/>
        </w:rPr>
      </w:pPr>
      <w:r w:rsidRPr="00D21803">
        <w:rPr>
          <w:rFonts w:cs="Times New Roman"/>
        </w:rPr>
        <w:t xml:space="preserve">This study set out to explore the investment strategies of </w:t>
      </w:r>
      <w:proofErr w:type="gramStart"/>
      <w:r w:rsidRPr="00D21803">
        <w:rPr>
          <w:rFonts w:cs="Times New Roman"/>
        </w:rPr>
        <w:t>High Net Worth</w:t>
      </w:r>
      <w:proofErr w:type="gramEnd"/>
      <w:r w:rsidRPr="00D21803">
        <w:rPr>
          <w:rFonts w:cs="Times New Roman"/>
        </w:rPr>
        <w:t xml:space="preserve"> Individuals (HNIs) in India through a qualitative multiple case study approach. By examining four distinct HNI archetypes the first-generation entrepreneur, the inherited wealth professional, the young tech-sector executive, and the retired senior executive the research has yielded rich, contextualized insights into how India's affluent investors allocate assets, manage risk, and make financial decisions.</w:t>
      </w:r>
    </w:p>
    <w:p w14:paraId="109997B9" w14:textId="77777777" w:rsidR="00D55A2E" w:rsidRPr="00D21803" w:rsidRDefault="00D55A2E" w:rsidP="00FB5DDE">
      <w:pPr>
        <w:spacing w:after="120" w:line="240" w:lineRule="auto"/>
        <w:jc w:val="both"/>
        <w:rPr>
          <w:rFonts w:cs="Times New Roman"/>
        </w:rPr>
      </w:pPr>
      <w:r w:rsidRPr="00D21803">
        <w:rPr>
          <w:rFonts w:cs="Times New Roman"/>
        </w:rPr>
        <w:t>Four dominant themes emerged from the cross-case analysis: wealth origin shapes asset allocation; behavioral biases are pervasive across all profiles; advisory reliance correlates positively with portfolio quality; and risk-return calibration follows a discernible lifecycle pattern. These findings collectively reinforce the relevance of behavioral finance theory to the Indian HNI context and highlight the critical role of professional advisory in mitigating suboptimal investment decision-making.</w:t>
      </w:r>
    </w:p>
    <w:p w14:paraId="00372335" w14:textId="77777777" w:rsidR="000D530C" w:rsidRPr="00D21803" w:rsidRDefault="000D530C" w:rsidP="00FB5DDE">
      <w:pPr>
        <w:pStyle w:val="Heading2"/>
        <w:spacing w:line="240" w:lineRule="auto"/>
        <w:jc w:val="both"/>
        <w:rPr>
          <w:rFonts w:ascii="Times New Roman" w:hAnsi="Times New Roman" w:cs="Times New Roman"/>
          <w:b/>
          <w:bCs/>
          <w:color w:val="auto"/>
          <w:sz w:val="24"/>
          <w:szCs w:val="24"/>
        </w:rPr>
      </w:pPr>
      <w:r w:rsidRPr="00D21803">
        <w:rPr>
          <w:rFonts w:ascii="Times New Roman" w:hAnsi="Times New Roman" w:cs="Times New Roman"/>
          <w:b/>
          <w:bCs/>
          <w:color w:val="auto"/>
          <w:sz w:val="24"/>
          <w:szCs w:val="24"/>
        </w:rPr>
        <w:t>Contributions of the Study</w:t>
      </w:r>
    </w:p>
    <w:p w14:paraId="5E4E49AC" w14:textId="4D339ECD" w:rsidR="000D530C" w:rsidRPr="00D21803" w:rsidRDefault="000D530C" w:rsidP="00FB5DDE">
      <w:pPr>
        <w:spacing w:after="120" w:line="240" w:lineRule="auto"/>
        <w:jc w:val="both"/>
        <w:rPr>
          <w:rFonts w:cs="Times New Roman"/>
        </w:rPr>
      </w:pPr>
      <w:r w:rsidRPr="00D21803">
        <w:rPr>
          <w:rFonts w:cs="Times New Roman"/>
        </w:rPr>
        <w:t>This paper makes two primary contributions to existing literature. First, it adds a qualitative, case study-based perspective to a field dominated by quantitative and survey-based methodologies, offering a more nuanced understanding of HNI decision-making. Second, it situates HNI investment behavior within the specific economic, regulatory, and cultural context of India a rapidly growing wealth market that remains underrepresented in global behavioral finance literature.</w:t>
      </w:r>
    </w:p>
    <w:p w14:paraId="305C6F65" w14:textId="77777777" w:rsidR="00755CA7" w:rsidRPr="00D21803" w:rsidRDefault="00755CA7" w:rsidP="00FB5DDE">
      <w:pPr>
        <w:pStyle w:val="Heading2"/>
        <w:spacing w:line="240" w:lineRule="auto"/>
        <w:jc w:val="both"/>
        <w:rPr>
          <w:rFonts w:ascii="Times New Roman" w:hAnsi="Times New Roman" w:cs="Times New Roman"/>
          <w:b/>
          <w:bCs/>
          <w:color w:val="auto"/>
          <w:sz w:val="24"/>
          <w:szCs w:val="24"/>
        </w:rPr>
      </w:pPr>
      <w:r w:rsidRPr="00D21803">
        <w:rPr>
          <w:rFonts w:ascii="Times New Roman" w:hAnsi="Times New Roman" w:cs="Times New Roman"/>
          <w:b/>
          <w:bCs/>
          <w:color w:val="auto"/>
          <w:sz w:val="24"/>
          <w:szCs w:val="24"/>
        </w:rPr>
        <w:t>Future Outlook</w:t>
      </w:r>
    </w:p>
    <w:p w14:paraId="652A353B" w14:textId="77777777" w:rsidR="00755CA7" w:rsidRPr="00D21803" w:rsidRDefault="00755CA7" w:rsidP="00FB5DDE">
      <w:pPr>
        <w:spacing w:after="120" w:line="240" w:lineRule="auto"/>
        <w:jc w:val="both"/>
        <w:rPr>
          <w:rFonts w:cs="Times New Roman"/>
        </w:rPr>
      </w:pPr>
      <w:r w:rsidRPr="00D21803">
        <w:rPr>
          <w:rFonts w:cs="Times New Roman"/>
        </w:rPr>
        <w:t xml:space="preserve">India's HNI landscape is evolving at an unprecedented pace. The HNI population is projected to nearly double to 1.65 million by 2027, with a younger, digital-first generation increasingly driving wealth creation beyond India's major metropolitan </w:t>
      </w:r>
      <w:proofErr w:type="spellStart"/>
      <w:r w:rsidRPr="00D21803">
        <w:rPr>
          <w:rFonts w:cs="Times New Roman"/>
        </w:rPr>
        <w:t>centres</w:t>
      </w:r>
      <w:proofErr w:type="spellEnd"/>
      <w:r w:rsidRPr="00D21803">
        <w:rPr>
          <w:rFonts w:cs="Times New Roman"/>
        </w:rPr>
        <w:t xml:space="preserve"> (Waterfield Advisors, 2024). Deloitte India estimates a remarkable $1.6 trillion AUM growth opportunity for wealth management service providers between FY24 and FY29, with demand for wealth management services expected to nearly double in that period (Deloitte, 2025).</w:t>
      </w:r>
    </w:p>
    <w:p w14:paraId="1F48F379" w14:textId="77777777" w:rsidR="00755CA7" w:rsidRPr="00D21803" w:rsidRDefault="00755CA7" w:rsidP="00FB5DDE">
      <w:pPr>
        <w:spacing w:after="120" w:line="240" w:lineRule="auto"/>
        <w:jc w:val="both"/>
        <w:rPr>
          <w:rFonts w:cs="Times New Roman"/>
        </w:rPr>
      </w:pPr>
      <w:r w:rsidRPr="00D21803">
        <w:rPr>
          <w:rFonts w:cs="Times New Roman"/>
        </w:rPr>
        <w:t xml:space="preserve">Technology is becoming a massive differentiator in wealth management. Clients are growing more tech-savvy as digital penetration grows across the country and into Tier-2 and Tier-3 cities, and firms that fail to build robust technology stacks will struggle as wealth grows (Lighthouse Canton, 2025). The emergence of AI-driven portfolio analytics, </w:t>
      </w:r>
      <w:proofErr w:type="spellStart"/>
      <w:r w:rsidRPr="00D21803">
        <w:rPr>
          <w:rFonts w:cs="Times New Roman"/>
        </w:rPr>
        <w:t>robo</w:t>
      </w:r>
      <w:proofErr w:type="spellEnd"/>
      <w:r w:rsidRPr="00D21803">
        <w:rPr>
          <w:rFonts w:cs="Times New Roman"/>
        </w:rPr>
        <w:t>-advisory, and real-time risk monitoring presents both an opportunity and a challenge for traditional wealth advisors.</w:t>
      </w:r>
    </w:p>
    <w:p w14:paraId="07B4B29A" w14:textId="77777777" w:rsidR="00007EFF" w:rsidRPr="00D21803" w:rsidRDefault="00007EFF" w:rsidP="00FB5DDE">
      <w:pPr>
        <w:pStyle w:val="Heading2"/>
        <w:spacing w:line="240" w:lineRule="auto"/>
        <w:jc w:val="both"/>
        <w:rPr>
          <w:rFonts w:ascii="Times New Roman" w:hAnsi="Times New Roman" w:cs="Times New Roman"/>
          <w:b/>
          <w:bCs/>
          <w:color w:val="auto"/>
          <w:sz w:val="24"/>
          <w:szCs w:val="24"/>
        </w:rPr>
      </w:pPr>
      <w:r w:rsidRPr="00D21803">
        <w:rPr>
          <w:rFonts w:ascii="Times New Roman" w:hAnsi="Times New Roman" w:cs="Times New Roman"/>
          <w:b/>
          <w:bCs/>
          <w:color w:val="auto"/>
          <w:sz w:val="24"/>
          <w:szCs w:val="24"/>
        </w:rPr>
        <w:t>Recommendations for Future Research</w:t>
      </w:r>
    </w:p>
    <w:p w14:paraId="3A3468E1" w14:textId="36868E4A" w:rsidR="00007EFF" w:rsidRPr="00D21803" w:rsidRDefault="00007EFF" w:rsidP="00FB5DDE">
      <w:pPr>
        <w:spacing w:after="120" w:line="240" w:lineRule="auto"/>
        <w:jc w:val="both"/>
        <w:rPr>
          <w:rFonts w:cs="Times New Roman"/>
        </w:rPr>
      </w:pPr>
      <w:r w:rsidRPr="00D21803">
        <w:rPr>
          <w:rFonts w:cs="Times New Roman"/>
        </w:rPr>
        <w:t>Future research should address the limitations of this study by incorporating primary qualitative data through in-depth interviews with actual HNI investors and their wealth advisors. A longitudinal case study design tracking the same HNI profiles across multiple market cycles would yield particularly valuable insights into how behavioral biases evolve over time. Additionally, comparative studies across Indian HNI segments such as NRI investors versus resident HNIs, or metro versus Tier-2 city HNIs</w:t>
      </w:r>
      <w:r w:rsidR="00654FF7" w:rsidRPr="00D21803">
        <w:rPr>
          <w:rFonts w:cs="Times New Roman"/>
        </w:rPr>
        <w:t xml:space="preserve"> </w:t>
      </w:r>
      <w:r w:rsidRPr="00D21803">
        <w:rPr>
          <w:rFonts w:cs="Times New Roman"/>
        </w:rPr>
        <w:t>would further enrich the academic understanding of this important investor category.</w:t>
      </w:r>
    </w:p>
    <w:p w14:paraId="56E48EC2" w14:textId="56EAB14B" w:rsidR="00D454F6" w:rsidRPr="002010E8" w:rsidRDefault="00A86D8F" w:rsidP="00FB5DDE">
      <w:pPr>
        <w:spacing w:after="120" w:line="240" w:lineRule="auto"/>
        <w:jc w:val="both"/>
        <w:rPr>
          <w:rFonts w:cs="Times New Roman"/>
          <w:b/>
          <w:bCs/>
          <w:sz w:val="32"/>
          <w:szCs w:val="28"/>
        </w:rPr>
      </w:pPr>
      <w:r w:rsidRPr="00D454F6">
        <w:rPr>
          <w:rFonts w:cs="Times New Roman"/>
          <w:b/>
          <w:bCs/>
          <w:sz w:val="28"/>
          <w:szCs w:val="28"/>
        </w:rPr>
        <w:t>REFERENCES</w:t>
      </w:r>
    </w:p>
    <w:p w14:paraId="19458D7C" w14:textId="77777777" w:rsidR="00D454F6" w:rsidRPr="00D21803" w:rsidRDefault="00D454F6" w:rsidP="00FB5DDE">
      <w:pPr>
        <w:pStyle w:val="ListParagraph"/>
        <w:numPr>
          <w:ilvl w:val="0"/>
          <w:numId w:val="3"/>
        </w:numPr>
        <w:spacing w:after="120" w:line="240" w:lineRule="auto"/>
        <w:jc w:val="both"/>
        <w:rPr>
          <w:rFonts w:cs="Times New Roman"/>
        </w:rPr>
      </w:pPr>
      <w:r w:rsidRPr="00D21803">
        <w:rPr>
          <w:rFonts w:cs="Times New Roman"/>
          <w:sz w:val="22"/>
        </w:rPr>
        <w:t>Baxter, P., &amp; Jack, S. (2008). Qualitative case study methodology: Study design and implementation for novice researchers. The Qualitative Report, 13(4), 544–559.</w:t>
      </w:r>
    </w:p>
    <w:p w14:paraId="1C517BD5" w14:textId="77777777" w:rsidR="00D454F6" w:rsidRPr="00D21803" w:rsidRDefault="00D454F6" w:rsidP="00FB5DDE">
      <w:pPr>
        <w:pStyle w:val="ListParagraph"/>
        <w:numPr>
          <w:ilvl w:val="0"/>
          <w:numId w:val="3"/>
        </w:numPr>
        <w:spacing w:after="120" w:line="240" w:lineRule="auto"/>
        <w:jc w:val="both"/>
        <w:rPr>
          <w:rFonts w:cs="Times New Roman"/>
        </w:rPr>
      </w:pPr>
      <w:r w:rsidRPr="00D21803">
        <w:rPr>
          <w:rFonts w:cs="Times New Roman"/>
          <w:sz w:val="22"/>
        </w:rPr>
        <w:t>Capgemini. (2024). World Wealth Report 2024. Capgemini Research Institute.</w:t>
      </w:r>
    </w:p>
    <w:p w14:paraId="7D084D2D" w14:textId="77777777" w:rsidR="00D454F6" w:rsidRPr="00D21803" w:rsidRDefault="00D454F6" w:rsidP="00FB5DDE">
      <w:pPr>
        <w:pStyle w:val="ListParagraph"/>
        <w:numPr>
          <w:ilvl w:val="0"/>
          <w:numId w:val="3"/>
        </w:numPr>
        <w:spacing w:after="120" w:line="240" w:lineRule="auto"/>
        <w:jc w:val="both"/>
        <w:rPr>
          <w:rFonts w:cs="Times New Roman"/>
        </w:rPr>
      </w:pPr>
      <w:r w:rsidRPr="00D21803">
        <w:rPr>
          <w:rFonts w:cs="Times New Roman"/>
          <w:sz w:val="22"/>
        </w:rPr>
        <w:t>Deloitte India. (2025). Financial Wealth Management Services in India. Deloitte Touche Tohmatsu India LLP.</w:t>
      </w:r>
    </w:p>
    <w:p w14:paraId="4285BD65" w14:textId="77777777" w:rsidR="00D454F6" w:rsidRPr="00D21803" w:rsidRDefault="00D454F6" w:rsidP="00FB5DDE">
      <w:pPr>
        <w:pStyle w:val="ListParagraph"/>
        <w:numPr>
          <w:ilvl w:val="0"/>
          <w:numId w:val="3"/>
        </w:numPr>
        <w:spacing w:after="120" w:line="240" w:lineRule="auto"/>
        <w:jc w:val="both"/>
        <w:rPr>
          <w:rFonts w:cs="Times New Roman"/>
        </w:rPr>
      </w:pPr>
      <w:r w:rsidRPr="00D21803">
        <w:rPr>
          <w:rFonts w:cs="Times New Roman"/>
          <w:sz w:val="22"/>
        </w:rPr>
        <w:t>Hurun India. (2024). Hurun India Wealth Report 2024. Hurun Research Institute.</w:t>
      </w:r>
    </w:p>
    <w:p w14:paraId="1FBFA3E2" w14:textId="77777777" w:rsidR="00D454F6" w:rsidRPr="00D21803" w:rsidRDefault="00D454F6" w:rsidP="00FB5DDE">
      <w:pPr>
        <w:pStyle w:val="ListParagraph"/>
        <w:numPr>
          <w:ilvl w:val="0"/>
          <w:numId w:val="3"/>
        </w:numPr>
        <w:spacing w:after="120" w:line="240" w:lineRule="auto"/>
        <w:jc w:val="both"/>
        <w:rPr>
          <w:rFonts w:cs="Times New Roman"/>
        </w:rPr>
      </w:pPr>
      <w:r w:rsidRPr="00D21803">
        <w:rPr>
          <w:rFonts w:cs="Times New Roman"/>
          <w:sz w:val="22"/>
        </w:rPr>
        <w:lastRenderedPageBreak/>
        <w:t xml:space="preserve">Kahneman, D., &amp; Tversky, A. (1979). Prospect theory: An analysis of decision under risk. </w:t>
      </w:r>
      <w:proofErr w:type="spellStart"/>
      <w:r w:rsidRPr="00D21803">
        <w:rPr>
          <w:rFonts w:cs="Times New Roman"/>
          <w:sz w:val="22"/>
        </w:rPr>
        <w:t>Econometrica</w:t>
      </w:r>
      <w:proofErr w:type="spellEnd"/>
      <w:r w:rsidRPr="00D21803">
        <w:rPr>
          <w:rFonts w:cs="Times New Roman"/>
          <w:sz w:val="22"/>
        </w:rPr>
        <w:t>, 47(2), 263–291.</w:t>
      </w:r>
    </w:p>
    <w:p w14:paraId="15FEE6ED" w14:textId="77777777" w:rsidR="00D454F6" w:rsidRPr="00D21803" w:rsidRDefault="00D454F6" w:rsidP="00FB5DDE">
      <w:pPr>
        <w:pStyle w:val="ListParagraph"/>
        <w:numPr>
          <w:ilvl w:val="0"/>
          <w:numId w:val="3"/>
        </w:numPr>
        <w:spacing w:after="120" w:line="240" w:lineRule="auto"/>
        <w:jc w:val="both"/>
        <w:rPr>
          <w:rFonts w:cs="Times New Roman"/>
        </w:rPr>
      </w:pPr>
      <w:r w:rsidRPr="00D21803">
        <w:rPr>
          <w:rFonts w:cs="Times New Roman"/>
          <w:sz w:val="22"/>
        </w:rPr>
        <w:t>Knight Frank. (2024). The Wealth Report 2024 (18th ed.). Knight Frank LLP.</w:t>
      </w:r>
    </w:p>
    <w:p w14:paraId="6EEDD30F" w14:textId="77777777" w:rsidR="00D454F6" w:rsidRPr="00D21803" w:rsidRDefault="00D454F6" w:rsidP="00FB5DDE">
      <w:pPr>
        <w:pStyle w:val="ListParagraph"/>
        <w:numPr>
          <w:ilvl w:val="0"/>
          <w:numId w:val="3"/>
        </w:numPr>
        <w:spacing w:after="120" w:line="240" w:lineRule="auto"/>
        <w:jc w:val="both"/>
        <w:rPr>
          <w:rFonts w:cs="Times New Roman"/>
        </w:rPr>
      </w:pPr>
      <w:r w:rsidRPr="00D21803">
        <w:rPr>
          <w:rFonts w:cs="Times New Roman"/>
          <w:sz w:val="22"/>
        </w:rPr>
        <w:t>Kotak Wealth Management. (2024). Top of the Pyramid India 2024. Kotak Mahindra Bank.</w:t>
      </w:r>
    </w:p>
    <w:p w14:paraId="34C6D2CC" w14:textId="77777777" w:rsidR="00D454F6" w:rsidRPr="00D21803" w:rsidRDefault="00D454F6" w:rsidP="00FB5DDE">
      <w:pPr>
        <w:pStyle w:val="ListParagraph"/>
        <w:numPr>
          <w:ilvl w:val="0"/>
          <w:numId w:val="3"/>
        </w:numPr>
        <w:spacing w:after="120" w:line="240" w:lineRule="auto"/>
        <w:jc w:val="both"/>
        <w:rPr>
          <w:rFonts w:cs="Times New Roman"/>
        </w:rPr>
      </w:pPr>
      <w:r w:rsidRPr="00D21803">
        <w:rPr>
          <w:rFonts w:cs="Times New Roman"/>
          <w:sz w:val="22"/>
        </w:rPr>
        <w:t>Lighthouse Canton. (2025). Outlook 2025: India's wealth revolution. LC Ideas: Views &amp; Insights.</w:t>
      </w:r>
    </w:p>
    <w:p w14:paraId="4A91A8C3" w14:textId="77777777" w:rsidR="00D454F6" w:rsidRPr="00D21803" w:rsidRDefault="00D454F6" w:rsidP="00FB5DDE">
      <w:pPr>
        <w:pStyle w:val="ListParagraph"/>
        <w:numPr>
          <w:ilvl w:val="0"/>
          <w:numId w:val="3"/>
        </w:numPr>
        <w:spacing w:after="120" w:line="240" w:lineRule="auto"/>
        <w:jc w:val="both"/>
        <w:rPr>
          <w:rFonts w:cs="Times New Roman"/>
        </w:rPr>
      </w:pPr>
      <w:r w:rsidRPr="00D21803">
        <w:rPr>
          <w:rFonts w:cs="Times New Roman"/>
          <w:sz w:val="22"/>
        </w:rPr>
        <w:t xml:space="preserve">Makwana, C. (2024). Understanding </w:t>
      </w:r>
      <w:proofErr w:type="spellStart"/>
      <w:r w:rsidRPr="00D21803">
        <w:rPr>
          <w:rFonts w:cs="Times New Roman"/>
          <w:sz w:val="22"/>
        </w:rPr>
        <w:t>behavioural</w:t>
      </w:r>
      <w:proofErr w:type="spellEnd"/>
      <w:r w:rsidRPr="00D21803">
        <w:rPr>
          <w:rFonts w:cs="Times New Roman"/>
          <w:sz w:val="22"/>
        </w:rPr>
        <w:t xml:space="preserve"> biases driving equity investors in India: A factor analysis approach. SAGE Open, 14(2), 1–14.</w:t>
      </w:r>
    </w:p>
    <w:p w14:paraId="510413B6" w14:textId="77777777" w:rsidR="00D454F6" w:rsidRPr="00D21803" w:rsidRDefault="00D454F6" w:rsidP="00FB5DDE">
      <w:pPr>
        <w:pStyle w:val="ListParagraph"/>
        <w:numPr>
          <w:ilvl w:val="0"/>
          <w:numId w:val="3"/>
        </w:numPr>
        <w:spacing w:after="120" w:line="240" w:lineRule="auto"/>
        <w:jc w:val="both"/>
        <w:rPr>
          <w:rFonts w:cs="Times New Roman"/>
        </w:rPr>
      </w:pPr>
      <w:r w:rsidRPr="00D21803">
        <w:rPr>
          <w:rFonts w:cs="Times New Roman"/>
          <w:sz w:val="22"/>
        </w:rPr>
        <w:t>Modigliani, F. (1966). The life cycle hypothesis of saving, the demand for wealth and the supply of capital. Social Research, 33(2), 160–217.</w:t>
      </w:r>
    </w:p>
    <w:p w14:paraId="247502E9" w14:textId="77777777" w:rsidR="00D454F6" w:rsidRPr="00D21803" w:rsidRDefault="00D454F6" w:rsidP="00FB5DDE">
      <w:pPr>
        <w:pStyle w:val="ListParagraph"/>
        <w:numPr>
          <w:ilvl w:val="0"/>
          <w:numId w:val="3"/>
        </w:numPr>
        <w:spacing w:after="120" w:line="240" w:lineRule="auto"/>
        <w:jc w:val="both"/>
        <w:rPr>
          <w:rFonts w:cs="Times New Roman"/>
        </w:rPr>
      </w:pPr>
      <w:proofErr w:type="spellStart"/>
      <w:r w:rsidRPr="00D21803">
        <w:rPr>
          <w:rFonts w:cs="Times New Roman"/>
          <w:sz w:val="22"/>
        </w:rPr>
        <w:t>Parhi</w:t>
      </w:r>
      <w:proofErr w:type="spellEnd"/>
      <w:r w:rsidRPr="00D21803">
        <w:rPr>
          <w:rFonts w:cs="Times New Roman"/>
          <w:sz w:val="22"/>
        </w:rPr>
        <w:t>, S. P., &amp; Pal, M. K. (2022). Impact of overconfidence bias in stock trading approach: A study of HNI stock investors in India. Benchmarking: An International Journal, 29(3), 817–834.</w:t>
      </w:r>
    </w:p>
    <w:p w14:paraId="37FD7DA9" w14:textId="77777777" w:rsidR="00D454F6" w:rsidRPr="00D21803" w:rsidRDefault="00D454F6" w:rsidP="00FB5DDE">
      <w:pPr>
        <w:pStyle w:val="ListParagraph"/>
        <w:numPr>
          <w:ilvl w:val="0"/>
          <w:numId w:val="3"/>
        </w:numPr>
        <w:spacing w:after="120" w:line="240" w:lineRule="auto"/>
        <w:jc w:val="both"/>
        <w:rPr>
          <w:rFonts w:cs="Times New Roman"/>
        </w:rPr>
      </w:pPr>
      <w:r w:rsidRPr="00D21803">
        <w:rPr>
          <w:rFonts w:cs="Times New Roman"/>
          <w:sz w:val="22"/>
        </w:rPr>
        <w:t>PwC India. (2024). India Wealth Management Survey 2024. PricewaterhouseCoopers India.</w:t>
      </w:r>
    </w:p>
    <w:p w14:paraId="12CA8E25" w14:textId="77777777" w:rsidR="00D454F6" w:rsidRPr="00D21803" w:rsidRDefault="00D454F6" w:rsidP="00FB5DDE">
      <w:pPr>
        <w:pStyle w:val="ListParagraph"/>
        <w:numPr>
          <w:ilvl w:val="0"/>
          <w:numId w:val="3"/>
        </w:numPr>
        <w:spacing w:after="120" w:line="240" w:lineRule="auto"/>
        <w:jc w:val="both"/>
        <w:rPr>
          <w:rFonts w:cs="Times New Roman"/>
        </w:rPr>
      </w:pPr>
      <w:r w:rsidRPr="00D21803">
        <w:rPr>
          <w:rFonts w:cs="Times New Roman"/>
          <w:sz w:val="22"/>
        </w:rPr>
        <w:t>Rashid, Y., Rashid, A., Warraich, M. A., Sabir, S. S., &amp; Waseem, A. (2019). Case study method: A step-by-step guide for business researchers. International Journal of Qualitative Methods, 18, 1–13.</w:t>
      </w:r>
    </w:p>
    <w:p w14:paraId="7FBBDB6F" w14:textId="77777777" w:rsidR="00D454F6" w:rsidRPr="00D21803" w:rsidRDefault="00D454F6" w:rsidP="00FB5DDE">
      <w:pPr>
        <w:pStyle w:val="ListParagraph"/>
        <w:numPr>
          <w:ilvl w:val="0"/>
          <w:numId w:val="3"/>
        </w:numPr>
        <w:spacing w:after="120" w:line="240" w:lineRule="auto"/>
        <w:jc w:val="both"/>
        <w:rPr>
          <w:rFonts w:cs="Times New Roman"/>
        </w:rPr>
      </w:pPr>
      <w:proofErr w:type="spellStart"/>
      <w:r w:rsidRPr="00D21803">
        <w:rPr>
          <w:rFonts w:cs="Times New Roman"/>
          <w:sz w:val="22"/>
        </w:rPr>
        <w:t>Saivasan</w:t>
      </w:r>
      <w:proofErr w:type="spellEnd"/>
      <w:r w:rsidRPr="00D21803">
        <w:rPr>
          <w:rFonts w:cs="Times New Roman"/>
          <w:sz w:val="22"/>
        </w:rPr>
        <w:t xml:space="preserve">, R., &amp; Lokhande, M. (2022). Influence of risk propensity, </w:t>
      </w:r>
      <w:proofErr w:type="spellStart"/>
      <w:r w:rsidRPr="00D21803">
        <w:rPr>
          <w:rFonts w:cs="Times New Roman"/>
          <w:sz w:val="22"/>
        </w:rPr>
        <w:t>behavioural</w:t>
      </w:r>
      <w:proofErr w:type="spellEnd"/>
      <w:r w:rsidRPr="00D21803">
        <w:rPr>
          <w:rFonts w:cs="Times New Roman"/>
          <w:sz w:val="22"/>
        </w:rPr>
        <w:t xml:space="preserve"> biases and demographic factors on equity investors' risk perception. Asian Journal of Economics and Banking, 6(3), 373–403.</w:t>
      </w:r>
    </w:p>
    <w:p w14:paraId="64DE21CA" w14:textId="77777777" w:rsidR="00D454F6" w:rsidRPr="00D21803" w:rsidRDefault="00D454F6" w:rsidP="00FB5DDE">
      <w:pPr>
        <w:pStyle w:val="ListParagraph"/>
        <w:numPr>
          <w:ilvl w:val="0"/>
          <w:numId w:val="3"/>
        </w:numPr>
        <w:spacing w:after="120" w:line="240" w:lineRule="auto"/>
        <w:jc w:val="both"/>
        <w:rPr>
          <w:rFonts w:cs="Times New Roman"/>
        </w:rPr>
      </w:pPr>
      <w:r w:rsidRPr="00D21803">
        <w:rPr>
          <w:rFonts w:cs="Times New Roman"/>
          <w:sz w:val="22"/>
        </w:rPr>
        <w:t>Securities and Exchange Board of India (SEBI). (2024). Annual Report 2023–24. SEBI Publications.</w:t>
      </w:r>
    </w:p>
    <w:p w14:paraId="38C334F3" w14:textId="77777777" w:rsidR="00D454F6" w:rsidRPr="00D21803" w:rsidRDefault="00D454F6" w:rsidP="00FB5DDE">
      <w:pPr>
        <w:pStyle w:val="ListParagraph"/>
        <w:numPr>
          <w:ilvl w:val="0"/>
          <w:numId w:val="3"/>
        </w:numPr>
        <w:spacing w:after="120" w:line="240" w:lineRule="auto"/>
        <w:jc w:val="both"/>
        <w:rPr>
          <w:rFonts w:cs="Times New Roman"/>
        </w:rPr>
      </w:pPr>
      <w:r w:rsidRPr="00D21803">
        <w:rPr>
          <w:rFonts w:cs="Times New Roman"/>
          <w:sz w:val="22"/>
        </w:rPr>
        <w:t>Waterfield Advisors. (2024). A different model of wealth management in India for HNIs. Waterfield Advisors Research.</w:t>
      </w:r>
    </w:p>
    <w:p w14:paraId="33D31DB4" w14:textId="77777777" w:rsidR="00D454F6" w:rsidRPr="00D21803" w:rsidRDefault="00D454F6" w:rsidP="00FB5DDE">
      <w:pPr>
        <w:pStyle w:val="ListParagraph"/>
        <w:numPr>
          <w:ilvl w:val="0"/>
          <w:numId w:val="3"/>
        </w:numPr>
        <w:spacing w:after="120" w:line="240" w:lineRule="auto"/>
        <w:jc w:val="both"/>
        <w:rPr>
          <w:rFonts w:cs="Times New Roman"/>
        </w:rPr>
      </w:pPr>
      <w:r w:rsidRPr="00D21803">
        <w:rPr>
          <w:rFonts w:cs="Times New Roman"/>
          <w:sz w:val="22"/>
        </w:rPr>
        <w:t>Yin, R. K. (2018). Case Study Research and Applications: Design and Methods (6th ed.). SAGE Publications.</w:t>
      </w:r>
    </w:p>
    <w:sectPr w:rsidR="00D454F6" w:rsidRPr="00D21803" w:rsidSect="00EF77C5">
      <w:footerReference w:type="default" r:id="rId7"/>
      <w:pgSz w:w="11906" w:h="16838"/>
      <w:pgMar w:top="425" w:right="238" w:bottom="238" w:left="238" w:header="136" w:footer="15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2FCB32" w14:textId="77777777" w:rsidR="0036335B" w:rsidRDefault="0036335B" w:rsidP="00E96D6B">
      <w:pPr>
        <w:spacing w:line="240" w:lineRule="auto"/>
      </w:pPr>
      <w:r>
        <w:separator/>
      </w:r>
    </w:p>
  </w:endnote>
  <w:endnote w:type="continuationSeparator" w:id="0">
    <w:p w14:paraId="74DF0F80" w14:textId="77777777" w:rsidR="0036335B" w:rsidRDefault="0036335B" w:rsidP="00E96D6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41E064" w14:textId="4E61EA3A" w:rsidR="00E96D6B" w:rsidRDefault="00E96D6B">
    <w:pPr>
      <w:pStyle w:val="Footer"/>
      <w:jc w:val="center"/>
    </w:pPr>
  </w:p>
  <w:p w14:paraId="4B4AAE12" w14:textId="77777777" w:rsidR="00E96D6B" w:rsidRDefault="00E96D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83B264" w14:textId="77777777" w:rsidR="0036335B" w:rsidRDefault="0036335B" w:rsidP="00E96D6B">
      <w:pPr>
        <w:spacing w:line="240" w:lineRule="auto"/>
      </w:pPr>
      <w:r>
        <w:separator/>
      </w:r>
    </w:p>
  </w:footnote>
  <w:footnote w:type="continuationSeparator" w:id="0">
    <w:p w14:paraId="0E229A1E" w14:textId="77777777" w:rsidR="0036335B" w:rsidRDefault="0036335B" w:rsidP="00E96D6B">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3E5A79C8"/>
    <w:lvl w:ilvl="0">
      <w:start w:val="1"/>
      <w:numFmt w:val="decimal"/>
      <w:pStyle w:val="ListNumber"/>
      <w:lvlText w:val="%1."/>
      <w:lvlJc w:val="left"/>
      <w:pPr>
        <w:tabs>
          <w:tab w:val="num" w:pos="360"/>
        </w:tabs>
        <w:ind w:left="360" w:hanging="360"/>
      </w:pPr>
    </w:lvl>
  </w:abstractNum>
  <w:abstractNum w:abstractNumId="1" w15:restartNumberingAfterBreak="0">
    <w:nsid w:val="354A1465"/>
    <w:multiLevelType w:val="hybridMultilevel"/>
    <w:tmpl w:val="FB580F00"/>
    <w:lvl w:ilvl="0" w:tplc="4009000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 w15:restartNumberingAfterBreak="0">
    <w:nsid w:val="6392318D"/>
    <w:multiLevelType w:val="hybridMultilevel"/>
    <w:tmpl w:val="50D6B1B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1720546775">
    <w:abstractNumId w:val="0"/>
  </w:num>
  <w:num w:numId="2" w16cid:durableId="1024021805">
    <w:abstractNumId w:val="2"/>
  </w:num>
  <w:num w:numId="3" w16cid:durableId="705105166">
    <w:abstractNumId w:val="1"/>
  </w:num>
  <w:num w:numId="4" w16cid:durableId="7611499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3D60"/>
    <w:rsid w:val="00000B18"/>
    <w:rsid w:val="00007EFF"/>
    <w:rsid w:val="00014DA3"/>
    <w:rsid w:val="00020BE5"/>
    <w:rsid w:val="0002113E"/>
    <w:rsid w:val="0002275F"/>
    <w:rsid w:val="00027B65"/>
    <w:rsid w:val="00034BC9"/>
    <w:rsid w:val="000B6024"/>
    <w:rsid w:val="000D530C"/>
    <w:rsid w:val="000D7241"/>
    <w:rsid w:val="00102635"/>
    <w:rsid w:val="00113D60"/>
    <w:rsid w:val="0012343A"/>
    <w:rsid w:val="00130C65"/>
    <w:rsid w:val="0019286F"/>
    <w:rsid w:val="001B3385"/>
    <w:rsid w:val="001D23AE"/>
    <w:rsid w:val="002010E8"/>
    <w:rsid w:val="002237B8"/>
    <w:rsid w:val="00232464"/>
    <w:rsid w:val="00240197"/>
    <w:rsid w:val="00271DE6"/>
    <w:rsid w:val="002848FB"/>
    <w:rsid w:val="00292523"/>
    <w:rsid w:val="002A2FF3"/>
    <w:rsid w:val="002A5B40"/>
    <w:rsid w:val="002B2A95"/>
    <w:rsid w:val="0036335B"/>
    <w:rsid w:val="00366CE8"/>
    <w:rsid w:val="00382112"/>
    <w:rsid w:val="00383C89"/>
    <w:rsid w:val="003C67C4"/>
    <w:rsid w:val="003D7462"/>
    <w:rsid w:val="00405A76"/>
    <w:rsid w:val="00412B68"/>
    <w:rsid w:val="004242CC"/>
    <w:rsid w:val="00451662"/>
    <w:rsid w:val="004554C4"/>
    <w:rsid w:val="004B5C8F"/>
    <w:rsid w:val="004B637F"/>
    <w:rsid w:val="005316F9"/>
    <w:rsid w:val="005416E3"/>
    <w:rsid w:val="005678C7"/>
    <w:rsid w:val="005739F9"/>
    <w:rsid w:val="0059539E"/>
    <w:rsid w:val="005A5B78"/>
    <w:rsid w:val="005E7A7D"/>
    <w:rsid w:val="005F3FA1"/>
    <w:rsid w:val="00621D98"/>
    <w:rsid w:val="00654312"/>
    <w:rsid w:val="00654FF7"/>
    <w:rsid w:val="00672BB9"/>
    <w:rsid w:val="006A134F"/>
    <w:rsid w:val="006B1ADD"/>
    <w:rsid w:val="006C7FDB"/>
    <w:rsid w:val="00705EB9"/>
    <w:rsid w:val="00720913"/>
    <w:rsid w:val="00755CA7"/>
    <w:rsid w:val="007C02DB"/>
    <w:rsid w:val="00817E9B"/>
    <w:rsid w:val="00820496"/>
    <w:rsid w:val="0083203E"/>
    <w:rsid w:val="00843F2E"/>
    <w:rsid w:val="00843FFB"/>
    <w:rsid w:val="0088729E"/>
    <w:rsid w:val="008C5968"/>
    <w:rsid w:val="008D0792"/>
    <w:rsid w:val="00983DC6"/>
    <w:rsid w:val="00A7692C"/>
    <w:rsid w:val="00A86D8F"/>
    <w:rsid w:val="00A979D0"/>
    <w:rsid w:val="00AA5033"/>
    <w:rsid w:val="00AA5F26"/>
    <w:rsid w:val="00AE38CF"/>
    <w:rsid w:val="00AF7A12"/>
    <w:rsid w:val="00B10E6C"/>
    <w:rsid w:val="00B17494"/>
    <w:rsid w:val="00B17D60"/>
    <w:rsid w:val="00B2097D"/>
    <w:rsid w:val="00B35393"/>
    <w:rsid w:val="00B52181"/>
    <w:rsid w:val="00B53888"/>
    <w:rsid w:val="00B73F61"/>
    <w:rsid w:val="00BC64D3"/>
    <w:rsid w:val="00BC797A"/>
    <w:rsid w:val="00BE17C9"/>
    <w:rsid w:val="00BF6198"/>
    <w:rsid w:val="00C07316"/>
    <w:rsid w:val="00C1756D"/>
    <w:rsid w:val="00C57A55"/>
    <w:rsid w:val="00CE0C72"/>
    <w:rsid w:val="00D17842"/>
    <w:rsid w:val="00D21803"/>
    <w:rsid w:val="00D37E2D"/>
    <w:rsid w:val="00D454F6"/>
    <w:rsid w:val="00D55A2E"/>
    <w:rsid w:val="00DA03EF"/>
    <w:rsid w:val="00DA1927"/>
    <w:rsid w:val="00DD2876"/>
    <w:rsid w:val="00DE0D99"/>
    <w:rsid w:val="00E0179A"/>
    <w:rsid w:val="00E21AFB"/>
    <w:rsid w:val="00E45F7D"/>
    <w:rsid w:val="00E45FE7"/>
    <w:rsid w:val="00E53B1E"/>
    <w:rsid w:val="00E85668"/>
    <w:rsid w:val="00E8624D"/>
    <w:rsid w:val="00E96D6B"/>
    <w:rsid w:val="00EA104D"/>
    <w:rsid w:val="00EF77C5"/>
    <w:rsid w:val="00F35DB0"/>
    <w:rsid w:val="00FB5DDE"/>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727CAC"/>
  <w15:chartTrackingRefBased/>
  <w15:docId w15:val="{F0892824-44FD-4E81-A5DA-E64D7A2B9E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3D60"/>
    <w:pPr>
      <w:spacing w:after="0" w:line="276" w:lineRule="auto"/>
    </w:pPr>
    <w:rPr>
      <w:rFonts w:ascii="Times New Roman" w:eastAsiaTheme="minorEastAsia" w:hAnsi="Times New Roman"/>
      <w:kern w:val="0"/>
      <w:szCs w:val="22"/>
      <w:lang w:val="en-US"/>
      <w14:ligatures w14:val="none"/>
    </w:rPr>
  </w:style>
  <w:style w:type="paragraph" w:styleId="Heading1">
    <w:name w:val="heading 1"/>
    <w:basedOn w:val="Normal"/>
    <w:next w:val="Normal"/>
    <w:link w:val="Heading1Char"/>
    <w:uiPriority w:val="9"/>
    <w:qFormat/>
    <w:rsid w:val="00113D6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113D6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13D6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13D6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13D6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13D6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13D6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13D6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13D6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13D6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113D6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13D6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13D6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13D6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13D6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13D6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13D6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13D60"/>
    <w:rPr>
      <w:rFonts w:eastAsiaTheme="majorEastAsia" w:cstheme="majorBidi"/>
      <w:color w:val="272727" w:themeColor="text1" w:themeTint="D8"/>
    </w:rPr>
  </w:style>
  <w:style w:type="paragraph" w:styleId="Title">
    <w:name w:val="Title"/>
    <w:basedOn w:val="Normal"/>
    <w:next w:val="Normal"/>
    <w:link w:val="TitleChar"/>
    <w:uiPriority w:val="10"/>
    <w:qFormat/>
    <w:rsid w:val="00113D6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13D6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13D6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13D6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13D60"/>
    <w:pPr>
      <w:spacing w:before="160"/>
      <w:jc w:val="center"/>
    </w:pPr>
    <w:rPr>
      <w:i/>
      <w:iCs/>
      <w:color w:val="404040" w:themeColor="text1" w:themeTint="BF"/>
    </w:rPr>
  </w:style>
  <w:style w:type="character" w:customStyle="1" w:styleId="QuoteChar">
    <w:name w:val="Quote Char"/>
    <w:basedOn w:val="DefaultParagraphFont"/>
    <w:link w:val="Quote"/>
    <w:uiPriority w:val="29"/>
    <w:rsid w:val="00113D60"/>
    <w:rPr>
      <w:i/>
      <w:iCs/>
      <w:color w:val="404040" w:themeColor="text1" w:themeTint="BF"/>
    </w:rPr>
  </w:style>
  <w:style w:type="paragraph" w:styleId="ListParagraph">
    <w:name w:val="List Paragraph"/>
    <w:basedOn w:val="Normal"/>
    <w:uiPriority w:val="34"/>
    <w:qFormat/>
    <w:rsid w:val="00113D60"/>
    <w:pPr>
      <w:ind w:left="720"/>
      <w:contextualSpacing/>
    </w:pPr>
  </w:style>
  <w:style w:type="character" w:styleId="IntenseEmphasis">
    <w:name w:val="Intense Emphasis"/>
    <w:basedOn w:val="DefaultParagraphFont"/>
    <w:uiPriority w:val="21"/>
    <w:qFormat/>
    <w:rsid w:val="00113D60"/>
    <w:rPr>
      <w:i/>
      <w:iCs/>
      <w:color w:val="0F4761" w:themeColor="accent1" w:themeShade="BF"/>
    </w:rPr>
  </w:style>
  <w:style w:type="paragraph" w:styleId="IntenseQuote">
    <w:name w:val="Intense Quote"/>
    <w:basedOn w:val="Normal"/>
    <w:next w:val="Normal"/>
    <w:link w:val="IntenseQuoteChar"/>
    <w:uiPriority w:val="30"/>
    <w:qFormat/>
    <w:rsid w:val="00113D6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13D60"/>
    <w:rPr>
      <w:i/>
      <w:iCs/>
      <w:color w:val="0F4761" w:themeColor="accent1" w:themeShade="BF"/>
    </w:rPr>
  </w:style>
  <w:style w:type="character" w:styleId="IntenseReference">
    <w:name w:val="Intense Reference"/>
    <w:basedOn w:val="DefaultParagraphFont"/>
    <w:uiPriority w:val="32"/>
    <w:qFormat/>
    <w:rsid w:val="00113D60"/>
    <w:rPr>
      <w:b/>
      <w:bCs/>
      <w:smallCaps/>
      <w:color w:val="0F4761" w:themeColor="accent1" w:themeShade="BF"/>
      <w:spacing w:val="5"/>
    </w:rPr>
  </w:style>
  <w:style w:type="paragraph" w:styleId="ListNumber">
    <w:name w:val="List Number"/>
    <w:basedOn w:val="Normal"/>
    <w:uiPriority w:val="99"/>
    <w:unhideWhenUsed/>
    <w:rsid w:val="00113D60"/>
    <w:pPr>
      <w:numPr>
        <w:numId w:val="1"/>
      </w:numPr>
      <w:tabs>
        <w:tab w:val="clear" w:pos="360"/>
      </w:tabs>
      <w:ind w:left="0" w:firstLine="0"/>
      <w:contextualSpacing/>
    </w:pPr>
  </w:style>
  <w:style w:type="paragraph" w:styleId="Header">
    <w:name w:val="header"/>
    <w:basedOn w:val="Normal"/>
    <w:link w:val="HeaderChar"/>
    <w:uiPriority w:val="99"/>
    <w:unhideWhenUsed/>
    <w:rsid w:val="00E96D6B"/>
    <w:pPr>
      <w:tabs>
        <w:tab w:val="center" w:pos="4513"/>
        <w:tab w:val="right" w:pos="9026"/>
      </w:tabs>
      <w:spacing w:line="240" w:lineRule="auto"/>
    </w:pPr>
  </w:style>
  <w:style w:type="character" w:customStyle="1" w:styleId="HeaderChar">
    <w:name w:val="Header Char"/>
    <w:basedOn w:val="DefaultParagraphFont"/>
    <w:link w:val="Header"/>
    <w:uiPriority w:val="99"/>
    <w:rsid w:val="00E96D6B"/>
    <w:rPr>
      <w:rFonts w:ascii="Times New Roman" w:eastAsiaTheme="minorEastAsia" w:hAnsi="Times New Roman"/>
      <w:kern w:val="0"/>
      <w:szCs w:val="22"/>
      <w:lang w:val="en-US"/>
      <w14:ligatures w14:val="none"/>
    </w:rPr>
  </w:style>
  <w:style w:type="paragraph" w:styleId="Footer">
    <w:name w:val="footer"/>
    <w:basedOn w:val="Normal"/>
    <w:link w:val="FooterChar"/>
    <w:uiPriority w:val="99"/>
    <w:unhideWhenUsed/>
    <w:rsid w:val="00E96D6B"/>
    <w:pPr>
      <w:tabs>
        <w:tab w:val="center" w:pos="4513"/>
        <w:tab w:val="right" w:pos="9026"/>
      </w:tabs>
      <w:spacing w:line="240" w:lineRule="auto"/>
    </w:pPr>
  </w:style>
  <w:style w:type="character" w:customStyle="1" w:styleId="FooterChar">
    <w:name w:val="Footer Char"/>
    <w:basedOn w:val="DefaultParagraphFont"/>
    <w:link w:val="Footer"/>
    <w:uiPriority w:val="99"/>
    <w:rsid w:val="00E96D6B"/>
    <w:rPr>
      <w:rFonts w:ascii="Times New Roman" w:eastAsiaTheme="minorEastAsia" w:hAnsi="Times New Roman"/>
      <w:kern w:val="0"/>
      <w:szCs w:val="22"/>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23</TotalTime>
  <Pages>6</Pages>
  <Words>3599</Words>
  <Characters>20519</Characters>
  <Application>Microsoft Office Word</Application>
  <DocSecurity>0</DocSecurity>
  <Lines>170</Lines>
  <Paragraphs>48</Paragraphs>
  <ScaleCrop>false</ScaleCrop>
  <Company/>
  <LinksUpToDate>false</LinksUpToDate>
  <CharactersWithSpaces>24070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Nithya Sri</dc:creator>
  <cp:keywords/>
  <dc:description/>
  <cp:lastModifiedBy>Nithya Sri</cp:lastModifiedBy>
  <cp:revision>2</cp:revision>
  <cp:lastPrinted>2026-04-13T04:42:00Z</cp:lastPrinted>
  <dcterms:created xsi:type="dcterms:W3CDTF">2026-04-13T05:05:00Z</dcterms:created>
  <dcterms:modified xsi:type="dcterms:W3CDTF">2026-04-13T05:05:00Z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0e9aa963-3121-421e-a40b-57508d9ff0ec</vt:lpwstr>
  </property>
</Properties>
</file>