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8342" w14:textId="77777777" w:rsidR="00737186" w:rsidRDefault="00737186"/>
    <w:p w14:paraId="54DF3C2A" w14:textId="77777777" w:rsidR="00737186" w:rsidRPr="00737186" w:rsidRDefault="00737186">
      <w:pPr>
        <w:rPr>
          <w:b/>
        </w:rPr>
      </w:pPr>
      <w:r w:rsidRPr="00737186">
        <w:rPr>
          <w:b/>
        </w:rPr>
        <w:t>A COMPREHENSIVE REVIEW ON AI APPLICATIONS IN ENZYME CATALYSIS: DATABASES, MODELS, AND FUTURE PROSPECTS</w:t>
      </w:r>
    </w:p>
    <w:p w14:paraId="1E0BDA39" w14:textId="77777777" w:rsidR="0024042D" w:rsidRPr="00BC6F0A" w:rsidRDefault="0024042D">
      <w:pPr>
        <w:rPr>
          <w:b/>
          <w:sz w:val="28"/>
        </w:rPr>
      </w:pPr>
      <w:r w:rsidRPr="00BC6F0A">
        <w:rPr>
          <w:b/>
          <w:sz w:val="28"/>
        </w:rPr>
        <w:t>Abstract</w:t>
      </w:r>
    </w:p>
    <w:p w14:paraId="47BF779A" w14:textId="77777777" w:rsidR="00D05CE9" w:rsidRDefault="00D05CE9" w:rsidP="00D05CE9">
      <w:pPr>
        <w:pStyle w:val="NormalWeb"/>
      </w:pPr>
      <w:r>
        <w:t>Artificial Intelligence (AI) has emerged as a transformative tool in enzyme catalysis, revolutionizing the way researchers design, predict, and optimize enzymatic reactions. Enzymes play a crucial role in biological systems and industrial processes due to their specificity, efficiency, and eco-friendly nature. However, traditional methods of enzyme discovery and engineering are often time-consuming, labor-intensive, and expensive. The integration of AI technologies, including machine learning, deep learning, and data-driven modeling, has accelerated advancements in enzyme catalysis by enabling rapid prediction, design, and optimization of enzyme performance.</w:t>
      </w:r>
    </w:p>
    <w:p w14:paraId="175C1FF2" w14:textId="77777777" w:rsidR="0024042D" w:rsidRDefault="00D05CE9" w:rsidP="00D05CE9">
      <w:pPr>
        <w:pStyle w:val="NormalWeb"/>
      </w:pPr>
      <w:r>
        <w:t>AI-driven approaches facilitate enzyme discovery by analyzing vast biological datasets such as protein sequences, structural information, and functional annotations. Machine learning algorithms can identify patterns and relationships between enzyme structure and function, allowing researchers to predict catalytic activity, substrate specificity, and stability. These predictive models significantly reduce experimental efforts by narrowing down potential enzyme candidates for laboratory validation. Additionally, AI tools like protein structure prediction and molecular docking simulations enhance understanding of enzyme-substrate interactions, further improving catalytic efficiency. It also plays a key role in reaction optimization and process development. Machine learning algorithms can analyze experimental data to determine optimal conditions such as temperature, pH, solvent composition, and substrate concentration. This data-driven optimization enhances catalytic performance while minimizing waste and energy consumption. Furthermore, AI-enabled automation and robotics have enabled high-throughput experimentation, allowing rapid screening of enzyme variants and reaction conditions.Recent advancements in deep learning and computational biology have further expanded AI applications in enzyme catalysis. Tools such as generative models and neural networks enable the design of entirely new enzymes with desired catalytic functions. These innovations open new possibilities for synthetic biology and green chemistry by creating sustainable and efficient biocatalysts. AI-driven enzyme design also contributes to solving global challenges, including climate change, plastic degradation, and renewable energy production.</w:t>
      </w:r>
    </w:p>
    <w:p w14:paraId="444247F4" w14:textId="77777777" w:rsidR="002D3D99" w:rsidRDefault="002D3D99" w:rsidP="00D05CE9">
      <w:pPr>
        <w:pStyle w:val="NormalWeb"/>
      </w:pPr>
      <w:r w:rsidRPr="002D3D99">
        <w:t>This paper reviews AI-driven approaches like CNNs, GNNs, and transformers for protein structure prediction, catalytic activity estimation, and pathway optimization. We discuss datasets, model architectures, and case studies in pharma, biofuel, and green chemistry. Challenges like data scarcity and model interpretability are also addressed.</w:t>
      </w:r>
    </w:p>
    <w:p w14:paraId="3DCF2898" w14:textId="77777777" w:rsidR="00D05CE9" w:rsidRPr="00BC6F0A" w:rsidRDefault="00D05CE9">
      <w:pPr>
        <w:rPr>
          <w:b/>
          <w:sz w:val="24"/>
        </w:rPr>
      </w:pPr>
      <w:r w:rsidRPr="00BC6F0A">
        <w:rPr>
          <w:b/>
          <w:sz w:val="24"/>
        </w:rPr>
        <w:t>KEYWORDS</w:t>
      </w:r>
    </w:p>
    <w:p w14:paraId="4F551799" w14:textId="77777777" w:rsidR="00037332" w:rsidRDefault="002D3D99" w:rsidP="00542E2F">
      <w:r>
        <w:t>A</w:t>
      </w:r>
      <w:r w:rsidR="00D05CE9">
        <w:t>rtifi</w:t>
      </w:r>
      <w:r w:rsidR="00542E2F">
        <w:t xml:space="preserve">cial intelligence, Enzyme engineering, </w:t>
      </w:r>
      <w:r w:rsidR="00542E2F" w:rsidRPr="00542E2F">
        <w:rPr>
          <w:rFonts w:ascii="Times New Roman" w:eastAsia="Times New Roman" w:hAnsi="Times New Roman" w:cs="Times New Roman"/>
          <w:sz w:val="24"/>
          <w:szCs w:val="24"/>
        </w:rPr>
        <w:t xml:space="preserve"> Machine Learning</w:t>
      </w:r>
      <w:r w:rsidR="00542E2F">
        <w:rPr>
          <w:rFonts w:ascii="Times New Roman" w:eastAsia="Times New Roman" w:hAnsi="Times New Roman" w:cs="Times New Roman"/>
          <w:sz w:val="24"/>
          <w:szCs w:val="24"/>
        </w:rPr>
        <w:t xml:space="preserve"> ,</w:t>
      </w:r>
      <w:r w:rsidR="00542E2F" w:rsidRPr="00542E2F">
        <w:rPr>
          <w:rFonts w:ascii="Times New Roman" w:eastAsia="Times New Roman" w:hAnsi="Times New Roman" w:cs="Times New Roman"/>
          <w:sz w:val="24"/>
          <w:szCs w:val="24"/>
        </w:rPr>
        <w:t xml:space="preserve"> Deep Learning</w:t>
      </w:r>
      <w:r w:rsidR="00542E2F">
        <w:rPr>
          <w:rFonts w:ascii="Times New Roman" w:eastAsia="Times New Roman" w:hAnsi="Times New Roman" w:cs="Times New Roman"/>
          <w:sz w:val="24"/>
          <w:szCs w:val="24"/>
        </w:rPr>
        <w:t xml:space="preserve">, </w:t>
      </w:r>
      <w:r w:rsidR="00542E2F">
        <w:t>Bioinformatics</w:t>
      </w:r>
      <w:r>
        <w:t xml:space="preserve">, </w:t>
      </w:r>
      <w:r w:rsidRPr="002D3D99">
        <w:t>, Biocatalysis,</w:t>
      </w:r>
    </w:p>
    <w:p w14:paraId="0E773442" w14:textId="77777777" w:rsidR="00542E2F" w:rsidRPr="00737186" w:rsidRDefault="00542E2F" w:rsidP="00542E2F">
      <w:pPr>
        <w:rPr>
          <w:b/>
        </w:rPr>
      </w:pPr>
      <w:r w:rsidRPr="00737186">
        <w:rPr>
          <w:b/>
        </w:rPr>
        <w:t>INTRODUCTION</w:t>
      </w:r>
    </w:p>
    <w:p w14:paraId="0E1C7C21" w14:textId="77777777" w:rsidR="00542E2F" w:rsidRDefault="00542E2F" w:rsidP="00542E2F">
      <w:pPr>
        <w:pStyle w:val="NormalWeb"/>
      </w:pPr>
      <w:r>
        <w:lastRenderedPageBreak/>
        <w:t xml:space="preserve">Enzymes are biological catalysts that accelerate chemical reactions with remarkable specificity and efficiency under mild environmental conditions. They play a crucial role in various biological processes and have significant applications in industries such as pharmaceuticals, food processing, biofuels, agriculture, and environmental remediation. Traditional enzyme discovery and engineering methods, including random mutagenesis and directed evolution, are often time-consuming, labor-intensive, and costly. These </w:t>
      </w:r>
      <w:r w:rsidR="002D3D99">
        <w:t>limitations have created a grow</w:t>
      </w:r>
      <w:r>
        <w:t>ng need for more efficient approaches to understand, design, and optimize enzyme functions.</w:t>
      </w:r>
    </w:p>
    <w:p w14:paraId="75D2C1A5" w14:textId="77777777" w:rsidR="00542E2F" w:rsidRDefault="00542E2F" w:rsidP="00F26E00">
      <w:pPr>
        <w:pStyle w:val="NormalWeb"/>
      </w:pPr>
      <w:r>
        <w:t>Artificial Intelligence (AI) has emerged as a powerful tool in modern biotechnology and has significantly transformed enzyme catalysis research. AI techniques, including machine learning, deep learning, and data-driven modeling, enable researchers to analyze large datasets of protein sequences, structures, and biochemical properties. These computational approaches help predict enzyme activity, stability, and substrate specificity with high accuracy, thereby reducing the need for extensive laboratory experiments. As a result, AI accelerates enzyme discovery and improves the efficiency of enzyme engineering.Recent advancements in computational biology and bioinformatics have further enhanced the integration of AI into enzyme catalysis. AI-based tools can predict protein structures, identify functional sites, and simulate enzyme-substrate interactions. These capabilities enable researchers to design enzymes with improved catalytic performance and tailor them for specific industrial applications. Additionally, AI supports reaction optimization by analyzing experimental data and determining ideal conditions such as temperature, pH, and solvent systems.</w:t>
      </w:r>
      <w:r w:rsidR="00F26E00">
        <w:t xml:space="preserve"> the use of techniques that apply AI technologies and their modulations to various problems and perspectives in studies involving enzymes. The review focuses on analyzing the research progress, evolution, and trends of methods for applying computational processing in this field. This review contributes to the description of the available technologies that demonstrate effective potential in the study using enzymatic processes, provid- ing the possibility to evaluate the various applications of AIs and explore innovative opportunities for using the tools in specific processes. Therefore, this study effec- tively proposes future research and develops knowledge about the new industrial directions of technological innovations in AI in subareas that involve studying enzymatic processes.</w:t>
      </w:r>
    </w:p>
    <w:p w14:paraId="315BD7F8" w14:textId="77777777" w:rsidR="007B769A" w:rsidRDefault="002D3D99" w:rsidP="00F26E00">
      <w:pPr>
        <w:pStyle w:val="NormalWeb"/>
      </w:pPr>
      <w:r w:rsidRPr="002D3D99">
        <w:t xml:space="preserve">Enzymes are biological catalysts that accelerate chemical reactions with remarkable specificity and efficiency under mild conditions. For decades, they have been central to industries ranging from pharmaceuticals to biofuels. However, the traditional process of discovering and engineering enzymes for industrial use remains slow, expensive, and limited by experimental throughput. A typical directed evolution campaign requires multiple rounds of mutagenesis and screening, often taking months to years to yield a viable candidate. </w:t>
      </w:r>
    </w:p>
    <w:p w14:paraId="2B7916D8" w14:textId="77777777" w:rsidR="007B769A" w:rsidRDefault="002D3D99" w:rsidP="00F26E00">
      <w:pPr>
        <w:pStyle w:val="NormalWeb"/>
      </w:pPr>
      <w:r w:rsidRPr="002D3D99">
        <w:t xml:space="preserve">Moreover, the sequence space of a 300-amino acid protein is astronomically large at 20300, making rational exploration impossible without computational aid.The emergence of Artificial Intelligence, particularly deep learning, has fundamentally changed how we approach enzyme catalysis. AI models can learn complex, non-linear relationships between protein sequence, structure, and function from large datasets that are now publicly available. Instead of blindly testing mutants in the lab, researchers can use trained models to prioritize sequences most likely to exhibit desired properties such as higher turnover number kcat​, improved thermostability, or altered substrate specificity. This shift from trial-and-error to predictive design reduces development time from years to weeks and significantly lowers R&amp;D costs.The breakthrough </w:t>
      </w:r>
      <w:r w:rsidRPr="002D3D99">
        <w:lastRenderedPageBreak/>
        <w:t>came with protein structure prediction. The release of AlphaFold2 in 2021 demonstrated that deep learning could predict protein 3D structures from sequence with atomic accuracy. Since enzyme function is intimately tied to the precise 3D arrangement of active site residues, accurate structures unlock structure-based design. Following this, protein language models like ESM-2 and ProtBERT were trained on hundreds of millions of natural sequences. These models learn evolutionary and biophysical patterns, generating rich numerical embeddings that capture functional properties. When fine-tuned on enzyme-specific datasets, they outperform traditional bioinformatics tools in tasks like EC number annotation, substrate prediction, and kinetic parameter estimation.Several deep learning architectures have proven effective for enzyme catalysis. One-dimensional convolutional neural networks treat protein sequences like text, detecting local motifs that correlate with catalytic activity. Graph neural networks are more powerful for structural problems: they represent proteins as graphs where nodes are amino acids and edges connect spatially adjacent residues. GNNs naturally capture the 3D environment of an active site and have shown state-of-the-art results in predicting catalytic residues and mutation effects. More recently, diffusion models adapted from image generation have been used for de novo protein design. Tools like RFdiffusion and Chroma can generate novel protein backbones that scaffold a desired active site geometry, effectively creating new enzymes from scratch.The data infrastructure supporting this revolution has also matured. Databases such as BRENDA, UniProt, PDB, and Sabio-RK provide millions of curated entries on enzyme sequences, structures, and kinetics. While experimental data remains noisy and sparse compared to fields like computer vision, techniques like transfer learning, multi-task training, and physics-informed neural networks help models generalize from limited data. The community also benefits from standardized benchmarks like ProteinGym and FLIP, which enable fair comparison of new methods.Applications of AI in enzyme catalysis are already moving from academic papers to industry. In plastic recycling, AI-guided engineering of PETase and MHETase has produced variants that depolymerize PET plastic 20 times faster at room temperature. In pharmaceuticals, companies use deep learning to engineer transaminases and ketoreductases for chiral intermediate synthesis, replacing heavy-metal catalysts with green biocatalytic routes. For sustainable chemistry, reinforcement learning frameworks now optimize entire multi-enzyme cascades to maximize yield while minimizing byproducts. These successes demonstrate that AI is not just a theoretical tool but a practical driver of industrial biotechnology.Despite this progress, significant challenges remain. First, models are biased toward published, successful results. Failed experiments are rarely reported, creating a survivorship bias in training data. Second, most models are black boxes; they can predict that a mutation improves activity but cannot explain why in mechanistic terms that chemists trust. Third, the “last-mile problem” persists: even the best AI model has a 40-60% failure rate when predictions are tested in the wet lab. Bridging this gap requires better uncertainty quantification and tighter integration with automated experimentation.</w:t>
      </w:r>
    </w:p>
    <w:p w14:paraId="5F6E1676" w14:textId="77777777" w:rsidR="00D30E51" w:rsidRDefault="002D3D99" w:rsidP="00F26E00">
      <w:pPr>
        <w:pStyle w:val="NormalWeb"/>
      </w:pPr>
      <w:r w:rsidRPr="002D3D99">
        <w:t>This paper aims to provide a comprehensive review of how artificial intelligence, with a focus on deep learning, is being applied to enzyme catalysis. We detail the key datasets, model architectures, and training strategies used in the field. We then examine landmark case studies across pharma, biofuel, and green chemistry to illustrate real-world impact. Finally, we discuss open challenges and outline a roadmap for the next generation of AI-driven enzyme engineering, where foundation models, robotics, and closed-loop learning converge to make on-demand biocatalyst design a reality.</w:t>
      </w:r>
    </w:p>
    <w:p w14:paraId="1D609D56" w14:textId="77777777" w:rsidR="00EB3423" w:rsidRPr="00737186" w:rsidRDefault="00737186" w:rsidP="00F26E00">
      <w:pPr>
        <w:pStyle w:val="NormalWeb"/>
        <w:rPr>
          <w:b/>
        </w:rPr>
      </w:pPr>
      <w:r w:rsidRPr="00737186">
        <w:rPr>
          <w:b/>
        </w:rPr>
        <w:lastRenderedPageBreak/>
        <w:t xml:space="preserve">OBJECTIVES OF THE </w:t>
      </w:r>
      <w:r w:rsidR="00037332" w:rsidRPr="00737186">
        <w:rPr>
          <w:b/>
        </w:rPr>
        <w:t>STUDY</w:t>
      </w:r>
    </w:p>
    <w:p w14:paraId="1E80B85F" w14:textId="77777777" w:rsidR="00EB3423" w:rsidRDefault="00037332" w:rsidP="00F26E00">
      <w:pPr>
        <w:pStyle w:val="NormalWeb"/>
      </w:pPr>
      <w:r w:rsidRPr="00037332">
        <w:t>The present review aims to systematically analyze the intersection of Artificial Intelligence and enzyme catalysis with the following specific objectives</w:t>
      </w:r>
    </w:p>
    <w:p w14:paraId="4B2DDCF8" w14:textId="77777777" w:rsidR="00EB3423" w:rsidRDefault="00037332" w:rsidP="00EB3423">
      <w:pPr>
        <w:pStyle w:val="NormalWeb"/>
        <w:numPr>
          <w:ilvl w:val="0"/>
          <w:numId w:val="3"/>
        </w:numPr>
      </w:pPr>
      <w:r w:rsidRPr="00037332">
        <w:t>To identify and evaluate key public databases like BRENDA, UniProt, PDB, and Sabio-RK that provide foundational data for training AI models in enzyme engineering. The focus will be on assessing their coverage, data quality, and limitations for machine learning applications.</w:t>
      </w:r>
    </w:p>
    <w:p w14:paraId="3982E25F" w14:textId="77777777" w:rsidR="00EB3423" w:rsidRDefault="00037332" w:rsidP="00EB3423">
      <w:pPr>
        <w:pStyle w:val="NormalWeb"/>
        <w:numPr>
          <w:ilvl w:val="0"/>
          <w:numId w:val="3"/>
        </w:numPr>
      </w:pPr>
      <w:r w:rsidRPr="00037332">
        <w:t>To examine current AI/ML methodologies including protein language models, graph neural networks, and diffusion-based generative models, and understand how they are applied to predict enzyme function, stability, and catalytic activity</w:t>
      </w:r>
    </w:p>
    <w:p w14:paraId="6D332CE7" w14:textId="77777777" w:rsidR="00EB3423" w:rsidRDefault="00037332" w:rsidP="00EB3423">
      <w:pPr>
        <w:pStyle w:val="NormalWeb"/>
        <w:numPr>
          <w:ilvl w:val="0"/>
          <w:numId w:val="3"/>
        </w:numPr>
      </w:pPr>
      <w:r w:rsidRPr="00037332">
        <w:t>.To highlight real-world industrial applications where AI-designed enzymes have demonstrated success, particularly in pharmaceuticals, plastic degradation, and biofuel production, thereby establishing the practical impact of this technology.</w:t>
      </w:r>
    </w:p>
    <w:p w14:paraId="5F4E8451" w14:textId="77777777" w:rsidR="00EB3423" w:rsidRDefault="00037332" w:rsidP="00EB3423">
      <w:pPr>
        <w:pStyle w:val="NormalWeb"/>
        <w:numPr>
          <w:ilvl w:val="0"/>
          <w:numId w:val="3"/>
        </w:numPr>
      </w:pPr>
      <w:r w:rsidRPr="00037332">
        <w:t>To critically analyze existing challenges such as data bias, model interpretability, and experimental validation bottlenecks that hinder the widespread adoption of AI in biocatalysis.</w:t>
      </w:r>
    </w:p>
    <w:p w14:paraId="6236EE91" w14:textId="77777777" w:rsidR="00037332" w:rsidRDefault="00037332" w:rsidP="00EB3423">
      <w:pPr>
        <w:pStyle w:val="NormalWeb"/>
        <w:numPr>
          <w:ilvl w:val="0"/>
          <w:numId w:val="3"/>
        </w:numPr>
      </w:pPr>
      <w:r w:rsidRPr="00037332">
        <w:t>To explore future research directions including foundation models, self-driving laboratories, and the potential for designing de novo enzymes for non-natural reactions, outlining a roadmap for the next decade of AI-driven enzyme engineering.</w:t>
      </w:r>
    </w:p>
    <w:p w14:paraId="706B1407" w14:textId="77777777" w:rsidR="00037332" w:rsidRDefault="00037332" w:rsidP="00F26E00">
      <w:pPr>
        <w:pStyle w:val="NormalWeb"/>
      </w:pPr>
    </w:p>
    <w:p w14:paraId="56EC4B33" w14:textId="77777777" w:rsidR="00037332" w:rsidRDefault="00037332" w:rsidP="00F26E00">
      <w:pPr>
        <w:pStyle w:val="NormalWeb"/>
      </w:pPr>
    </w:p>
    <w:p w14:paraId="420DCAB4" w14:textId="77777777" w:rsidR="002D3D99" w:rsidRPr="00737186" w:rsidRDefault="002D3D99" w:rsidP="00F26E00">
      <w:pPr>
        <w:pStyle w:val="NormalWeb"/>
        <w:rPr>
          <w:b/>
        </w:rPr>
      </w:pPr>
      <w:r w:rsidRPr="00737186">
        <w:rPr>
          <w:b/>
        </w:rPr>
        <w:t>METHODS &amp; MATERIALS</w:t>
      </w:r>
    </w:p>
    <w:p w14:paraId="262639CD" w14:textId="77777777" w:rsidR="002D3D99" w:rsidRDefault="002D3D99" w:rsidP="002D3D99">
      <w:pPr>
        <w:pStyle w:val="NormalWeb"/>
      </w:pPr>
      <w:r>
        <w:t>4.1 Datasets Used</w:t>
      </w:r>
    </w:p>
    <w:p w14:paraId="23844238" w14:textId="77777777" w:rsidR="007B769A" w:rsidRDefault="007B769A" w:rsidP="00955794">
      <w:pPr>
        <w:pStyle w:val="NormalWeb"/>
      </w:pPr>
    </w:p>
    <w:p w14:paraId="23ED2288" w14:textId="77777777" w:rsidR="00955794" w:rsidRDefault="00955794" w:rsidP="00955794">
      <w:pPr>
        <w:pStyle w:val="NormalWeb"/>
      </w:pPr>
      <w:r>
        <w:t>THEORETICAL BASIS OF PUBLIC DATABASES USED FOR ENZYME-AI RESEARCH</w:t>
      </w:r>
    </w:p>
    <w:p w14:paraId="5B527A1F" w14:textId="77777777" w:rsidR="007B769A" w:rsidRDefault="007B769A" w:rsidP="00955794">
      <w:pPr>
        <w:pStyle w:val="NormalWeb"/>
      </w:pPr>
    </w:p>
    <w:p w14:paraId="0623D261" w14:textId="77777777" w:rsidR="00955794" w:rsidRDefault="00955794" w:rsidP="00955794">
      <w:pPr>
        <w:pStyle w:val="NormalWeb"/>
      </w:pPr>
      <w:r>
        <w:t>The performance of any artificial intelligence model is fundamentally limited by the quality, quantity, and relevance of its training data. In enzyme catalysis, this presents a unique challenge because functional data is experimentally expensive, sparse, and heterogeneous. The databases listed in Table 1 were selected based on three theoretical criteria: coverage, orthogonality, and machine-readability. This section explains the theoretical justification for each database and how they collectively enable data-driven enzyme engineering.</w:t>
      </w:r>
    </w:p>
    <w:p w14:paraId="274A81EC" w14:textId="77777777" w:rsidR="00955794" w:rsidRDefault="00955794" w:rsidP="00955794">
      <w:pPr>
        <w:pStyle w:val="NormalWeb"/>
        <w:numPr>
          <w:ilvl w:val="0"/>
          <w:numId w:val="1"/>
        </w:numPr>
      </w:pPr>
      <w:r>
        <w:t>BRENDA – The Enzyme Function Knowledgebase</w:t>
      </w:r>
    </w:p>
    <w:p w14:paraId="7066F46D" w14:textId="77777777" w:rsidR="00955794" w:rsidRDefault="00955794" w:rsidP="00955794">
      <w:pPr>
        <w:pStyle w:val="NormalWeb"/>
        <w:numPr>
          <w:ilvl w:val="0"/>
          <w:numId w:val="1"/>
        </w:numPr>
      </w:pPr>
      <w:r>
        <w:t>Theoretical Role: Ground truth for quantitative enzyme kinetics.</w:t>
      </w:r>
    </w:p>
    <w:p w14:paraId="38BBF48E" w14:textId="77777777" w:rsidR="007B769A" w:rsidRDefault="007B769A" w:rsidP="00955794">
      <w:pPr>
        <w:pStyle w:val="NormalWeb"/>
      </w:pPr>
    </w:p>
    <w:p w14:paraId="1DA1C846" w14:textId="77777777" w:rsidR="00955794" w:rsidRDefault="00955794" w:rsidP="00955794">
      <w:pPr>
        <w:pStyle w:val="NormalWeb"/>
      </w:pPr>
      <w:r>
        <w:t>BRENDA is the largest manually curated repository of enzyme functional data, governed by the principle that “no data is better than bad data”. Its theoretical importance stems from the fact that AI models for regression tasks like kcat​ prediction require labeled numerical targets. BRENDA provides kcat​, Km​, pH optimum, and temperature optimum for &gt;8.3 million enzyme entries across 7,000 EC classes. The database resolves a key theoretical problem in ML: label scarcity. While UniProt has 250M sequences, &lt;0.1% have kinetic labels. BRENDA bridges this by aggregating 120 years of published enzymology. However, its data follows a power-law distribution - 20% of well-studied enzymes like alcohol dehydrogenase account for 80% of entries. This creates sampling bias in AI models, which is why we use techniques like inverse frequency weighting during training. The database also includes organism, mutation, and inhibitor data, allowing multi-condition models based on conditional probability theory: P(kcat​</w:t>
      </w:r>
      <w:r>
        <w:rPr>
          <w:rFonts w:ascii="Cambria Math" w:hAnsi="Cambria Math" w:cs="Cambria Math"/>
        </w:rPr>
        <w:t>∣</w:t>
      </w:r>
      <w:r>
        <w:t>sequence,pH,temp).</w:t>
      </w:r>
    </w:p>
    <w:p w14:paraId="628CF35A" w14:textId="77777777" w:rsidR="007B769A" w:rsidRDefault="007B769A" w:rsidP="007B769A">
      <w:pPr>
        <w:pStyle w:val="NormalWeb"/>
      </w:pPr>
    </w:p>
    <w:p w14:paraId="5460C04D" w14:textId="77777777" w:rsidR="00955794" w:rsidRDefault="00955794" w:rsidP="00647159">
      <w:pPr>
        <w:pStyle w:val="NormalWeb"/>
        <w:numPr>
          <w:ilvl w:val="0"/>
          <w:numId w:val="1"/>
        </w:numPr>
      </w:pPr>
      <w:r>
        <w:t>UniProtKB/Swiss-Prot – The Sequence Foundation</w:t>
      </w:r>
    </w:p>
    <w:p w14:paraId="1EBE2670" w14:textId="77777777" w:rsidR="00955794" w:rsidRDefault="00955794" w:rsidP="00955794">
      <w:pPr>
        <w:pStyle w:val="NormalWeb"/>
        <w:numPr>
          <w:ilvl w:val="0"/>
          <w:numId w:val="1"/>
        </w:numPr>
      </w:pPr>
      <w:r>
        <w:t>Theoretical Role: Source of the “pre-training corpus” for protein language models.</w:t>
      </w:r>
    </w:p>
    <w:p w14:paraId="7FD54FB4" w14:textId="77777777" w:rsidR="00955794" w:rsidRDefault="00955794" w:rsidP="00955794">
      <w:pPr>
        <w:pStyle w:val="NormalWeb"/>
      </w:pPr>
      <w:r>
        <w:t>UniProt embodies the central dogma of molecular biology at scale. With &gt;250M sequences, it provides the raw material for self-supervised learning. The theory behind using UniProt is the evolutionary hypothesis: natural selection has sampled functional protein sequences for 3.5 billion years. A model like ESM-2 trained on UniProt via masked language modeling learns the “grammar” of proteins - which amino acids can substitute for others, what motifs indicate transmembrane regions, etc. This is called transfer learning - knowledge from the general task of sequence infilling transfers to specific tasks like enzyme annotation. We use Swiss-Prot subset for fine-tuning because it is manually reviewed. This reduces label noise, which is critical because theory says model error is bounded by Bayes error + bias + variance + noise. TrEMBL is computationally annotated and has higher noise, so it’s only used for pre-training, not final labels.</w:t>
      </w:r>
    </w:p>
    <w:p w14:paraId="355FB55C" w14:textId="77777777" w:rsidR="00955794" w:rsidRDefault="00955794" w:rsidP="00955794">
      <w:pPr>
        <w:pStyle w:val="NormalWeb"/>
      </w:pPr>
      <w:r>
        <w:t>3. Protein Data Bank (PDB) – The Structural Prior</w:t>
      </w:r>
    </w:p>
    <w:p w14:paraId="33BD65C3" w14:textId="77777777" w:rsidR="00955794" w:rsidRDefault="00955794" w:rsidP="00955794">
      <w:pPr>
        <w:pStyle w:val="NormalWeb"/>
      </w:pPr>
      <w:r>
        <w:t>Theoretical Role: Provides 3D inductive bias to overcome sequence limitations.</w:t>
      </w:r>
    </w:p>
    <w:p w14:paraId="03F5AD6E" w14:textId="77777777" w:rsidR="007B769A" w:rsidRDefault="00955794" w:rsidP="00955794">
      <w:pPr>
        <w:pStyle w:val="NormalWeb"/>
      </w:pPr>
      <w:r>
        <w:t xml:space="preserve">Anfinsen’s dogma states that protein sequence determines structure, and structure determines function. PDB provides the experimental validation of this for 220K+ proteins. For AI, PDB solves the sequence-to-function gap. Two enzymes with 15% sequence identity can have identical active sites. A sequence-only model fails here, but a structure-based GNN trained on PDB can detect this. The theoretical limitation is structural coverage bias: </w:t>
      </w:r>
      <w:r>
        <w:rPr>
          <w:rFonts w:ascii="Cambria Math" w:hAnsi="Cambria Math" w:cs="Cambria Math"/>
        </w:rPr>
        <w:t>∼</w:t>
      </w:r>
      <w:r>
        <w:t>50% of PDB is human proteins, and membrane proteins are underrepresented because they are hard to crystallize. This means AI models trained only on PDB will be biased toward soluble, stable proteins. Therefore we use AlphaFold DB as augmentation, but treat those as lower confidence. The 2.5 Å resolution cutoff we use is based on Bragg’s Law and electron density theory - below this resolution, side-chain conformations become uncertain, adding noise to graph feature</w:t>
      </w:r>
      <w:r w:rsidR="007B769A">
        <w:t>s.</w:t>
      </w:r>
    </w:p>
    <w:p w14:paraId="030B024C" w14:textId="77777777" w:rsidR="00955794" w:rsidRDefault="00955794" w:rsidP="00955794">
      <w:pPr>
        <w:pStyle w:val="NormalWeb"/>
      </w:pPr>
    </w:p>
    <w:p w14:paraId="5863CCF7" w14:textId="77777777" w:rsidR="00955794" w:rsidRDefault="00955794" w:rsidP="00647159">
      <w:pPr>
        <w:pStyle w:val="NormalWeb"/>
        <w:numPr>
          <w:ilvl w:val="0"/>
          <w:numId w:val="1"/>
        </w:numPr>
      </w:pPr>
      <w:r>
        <w:t>Sabio-RK – The Kinetic Consistency Layer</w:t>
      </w:r>
    </w:p>
    <w:p w14:paraId="07BAF1C8" w14:textId="77777777" w:rsidR="00955794" w:rsidRDefault="00955794" w:rsidP="00955794">
      <w:pPr>
        <w:pStyle w:val="NormalWeb"/>
        <w:numPr>
          <w:ilvl w:val="0"/>
          <w:numId w:val="1"/>
        </w:numPr>
      </w:pPr>
      <w:r>
        <w:t>Theoretical Role: Standardizes reaction kinetics for machine learning.</w:t>
      </w:r>
    </w:p>
    <w:p w14:paraId="29DA4C2A" w14:textId="77777777" w:rsidR="007B769A" w:rsidRDefault="007B769A" w:rsidP="00955794">
      <w:pPr>
        <w:pStyle w:val="NormalWeb"/>
      </w:pPr>
    </w:p>
    <w:p w14:paraId="36A8BE2D" w14:textId="77777777" w:rsidR="00955794" w:rsidRDefault="00955794" w:rsidP="00955794">
      <w:pPr>
        <w:pStyle w:val="NormalWeb"/>
      </w:pPr>
      <w:r>
        <w:t>While BRENDA collects all data, Sabio-RK curates reaction-centered data with ontological consistency. The theory here is data harmonization. A single reaction like “ATP + glucose → ADP + glucose-6-phosphate” may be reported in 50 papers with different units, conditions, and enzyme names. Sabio-RK maps these to standardized SBO terms and ChEBI IDs. For AI, this is crucial because the model cannot learn that “uM” and “μM” are same without normalization. Sabio-RK also links kinetic parameters to exact reaction equations, enabling multi-task learning: predict kcat​ and Km​ jointly because they are correlated via the Michaelis-Menten equation v=Vmax​[S]/(Km​+[S]). This joint modeling improves data efficiency when individual labels are sparse.</w:t>
      </w:r>
    </w:p>
    <w:p w14:paraId="029492CD" w14:textId="77777777" w:rsidR="007B769A" w:rsidRDefault="007B769A" w:rsidP="002D3D99">
      <w:pPr>
        <w:pStyle w:val="NormalWeb"/>
      </w:pPr>
    </w:p>
    <w:p w14:paraId="18D07CC5" w14:textId="77777777" w:rsidR="009210D4" w:rsidRDefault="002D3D99" w:rsidP="002D3D99">
      <w:pPr>
        <w:pStyle w:val="NormalWeb"/>
      </w:pPr>
      <w:r>
        <w:t>Table 1: Public Databases for Enzyme-AI Research</w:t>
      </w:r>
    </w:p>
    <w:p w14:paraId="114F5130" w14:textId="77777777" w:rsidR="009210D4" w:rsidRDefault="009210D4" w:rsidP="002D3D99">
      <w:pPr>
        <w:pStyle w:val="NormalWeb"/>
      </w:pPr>
    </w:p>
    <w:tbl>
      <w:tblPr>
        <w:tblStyle w:val="TableGrid"/>
        <w:tblW w:w="10345" w:type="dxa"/>
        <w:tblLook w:val="04A0" w:firstRow="1" w:lastRow="0" w:firstColumn="1" w:lastColumn="0" w:noHBand="0" w:noVBand="1"/>
      </w:tblPr>
      <w:tblGrid>
        <w:gridCol w:w="3235"/>
        <w:gridCol w:w="2610"/>
        <w:gridCol w:w="3209"/>
        <w:gridCol w:w="1291"/>
      </w:tblGrid>
      <w:tr w:rsidR="009210D4" w14:paraId="16887130" w14:textId="77777777" w:rsidTr="009210D4">
        <w:trPr>
          <w:trHeight w:val="1443"/>
        </w:trPr>
        <w:tc>
          <w:tcPr>
            <w:tcW w:w="3235" w:type="dxa"/>
          </w:tcPr>
          <w:p w14:paraId="2AEA4AB9" w14:textId="77777777" w:rsidR="009210D4" w:rsidRDefault="009210D4" w:rsidP="002D3D99">
            <w:pPr>
              <w:pStyle w:val="NormalWeb"/>
            </w:pPr>
            <w:r>
              <w:t>Dataset Name</w:t>
            </w:r>
          </w:p>
        </w:tc>
        <w:tc>
          <w:tcPr>
            <w:tcW w:w="2610" w:type="dxa"/>
          </w:tcPr>
          <w:p w14:paraId="79415C17" w14:textId="77777777" w:rsidR="009210D4" w:rsidRDefault="009210D4" w:rsidP="002D3D99">
            <w:pPr>
              <w:pStyle w:val="NormalWeb"/>
            </w:pPr>
            <w:r>
              <w:t>Content</w:t>
            </w:r>
          </w:p>
        </w:tc>
        <w:tc>
          <w:tcPr>
            <w:tcW w:w="3209" w:type="dxa"/>
          </w:tcPr>
          <w:p w14:paraId="5B76EA18" w14:textId="77777777" w:rsidR="009210D4" w:rsidRDefault="009210D4" w:rsidP="002D3D99">
            <w:pPr>
              <w:pStyle w:val="NormalWeb"/>
            </w:pPr>
            <w:r>
              <w:t>Size</w:t>
            </w:r>
          </w:p>
        </w:tc>
        <w:tc>
          <w:tcPr>
            <w:tcW w:w="1291" w:type="dxa"/>
          </w:tcPr>
          <w:p w14:paraId="7BFF91C7" w14:textId="77777777" w:rsidR="009210D4" w:rsidRDefault="009210D4" w:rsidP="002D3D99">
            <w:pPr>
              <w:pStyle w:val="NormalWeb"/>
            </w:pPr>
            <w:r>
              <w:t>Use Case</w:t>
            </w:r>
          </w:p>
        </w:tc>
      </w:tr>
      <w:tr w:rsidR="009210D4" w14:paraId="633E4E25" w14:textId="77777777" w:rsidTr="009210D4">
        <w:trPr>
          <w:trHeight w:val="1443"/>
        </w:trPr>
        <w:tc>
          <w:tcPr>
            <w:tcW w:w="3235" w:type="dxa"/>
          </w:tcPr>
          <w:p w14:paraId="0B6AF583" w14:textId="77777777" w:rsidR="009210D4" w:rsidRDefault="009210D4" w:rsidP="009210D4">
            <w:pPr>
              <w:pStyle w:val="NormalWeb"/>
            </w:pPr>
            <w:r>
              <w:t>BREND</w:t>
            </w:r>
            <w:r w:rsidR="00955794">
              <w:t>A</w:t>
            </w:r>
          </w:p>
          <w:p w14:paraId="21596979" w14:textId="77777777" w:rsidR="009210D4" w:rsidRDefault="009210D4" w:rsidP="002D3D99">
            <w:pPr>
              <w:pStyle w:val="NormalWeb"/>
            </w:pPr>
          </w:p>
        </w:tc>
        <w:tc>
          <w:tcPr>
            <w:tcW w:w="2610" w:type="dxa"/>
          </w:tcPr>
          <w:p w14:paraId="7E301A59" w14:textId="77777777" w:rsidR="009210D4" w:rsidRDefault="009210D4" w:rsidP="002D3D99">
            <w:pPr>
              <w:pStyle w:val="NormalWeb"/>
            </w:pPr>
            <w:r w:rsidRPr="009210D4">
              <w:t>Enzyme function, kinetics</w:t>
            </w:r>
          </w:p>
        </w:tc>
        <w:tc>
          <w:tcPr>
            <w:tcW w:w="3209" w:type="dxa"/>
          </w:tcPr>
          <w:p w14:paraId="166FCEE8" w14:textId="77777777" w:rsidR="009210D4" w:rsidRDefault="009210D4" w:rsidP="002D3D99">
            <w:pPr>
              <w:pStyle w:val="NormalWeb"/>
            </w:pPr>
            <w:r w:rsidRPr="009210D4">
              <w:t>8.3M+ entries</w:t>
            </w:r>
          </w:p>
        </w:tc>
        <w:tc>
          <w:tcPr>
            <w:tcW w:w="1291" w:type="dxa"/>
          </w:tcPr>
          <w:p w14:paraId="5A615673" w14:textId="77777777" w:rsidR="009210D4" w:rsidRDefault="009210D4" w:rsidP="002D3D99">
            <w:pPr>
              <w:pStyle w:val="NormalWeb"/>
            </w:pPr>
            <w:r>
              <w:t>t</w:t>
            </w:r>
            <w:r w:rsidRPr="009210D4">
              <w:t>raining activity prediction models</w:t>
            </w:r>
          </w:p>
        </w:tc>
      </w:tr>
      <w:tr w:rsidR="009210D4" w14:paraId="4104C766" w14:textId="77777777" w:rsidTr="009210D4">
        <w:trPr>
          <w:trHeight w:val="1443"/>
        </w:trPr>
        <w:tc>
          <w:tcPr>
            <w:tcW w:w="3235" w:type="dxa"/>
          </w:tcPr>
          <w:p w14:paraId="6848CF82" w14:textId="77777777" w:rsidR="009210D4" w:rsidRDefault="009210D4" w:rsidP="002D3D99">
            <w:pPr>
              <w:pStyle w:val="NormalWeb"/>
            </w:pPr>
            <w:r w:rsidRPr="009210D4">
              <w:t>UniProt</w:t>
            </w:r>
          </w:p>
          <w:p w14:paraId="4C4DA7E9" w14:textId="77777777" w:rsidR="009210D4" w:rsidRDefault="009210D4" w:rsidP="002D3D99">
            <w:pPr>
              <w:pStyle w:val="NormalWeb"/>
            </w:pPr>
          </w:p>
        </w:tc>
        <w:tc>
          <w:tcPr>
            <w:tcW w:w="2610" w:type="dxa"/>
          </w:tcPr>
          <w:p w14:paraId="5A2F6EE2" w14:textId="77777777" w:rsidR="009210D4" w:rsidRDefault="009210D4" w:rsidP="002D3D99">
            <w:pPr>
              <w:pStyle w:val="NormalWeb"/>
            </w:pPr>
            <w:r>
              <w:t xml:space="preserve">Protein sequences+ annotation </w:t>
            </w:r>
          </w:p>
        </w:tc>
        <w:tc>
          <w:tcPr>
            <w:tcW w:w="3209" w:type="dxa"/>
          </w:tcPr>
          <w:p w14:paraId="68BDBAC0" w14:textId="77777777" w:rsidR="009210D4" w:rsidRDefault="009210D4" w:rsidP="002D3D99">
            <w:pPr>
              <w:pStyle w:val="NormalWeb"/>
            </w:pPr>
            <w:r>
              <w:t xml:space="preserve">250M+ sequences </w:t>
            </w:r>
          </w:p>
        </w:tc>
        <w:tc>
          <w:tcPr>
            <w:tcW w:w="1291" w:type="dxa"/>
          </w:tcPr>
          <w:p w14:paraId="51B2521B" w14:textId="77777777" w:rsidR="009210D4" w:rsidRDefault="00955794" w:rsidP="002D3D99">
            <w:pPr>
              <w:pStyle w:val="NormalWeb"/>
            </w:pPr>
            <w:r w:rsidRPr="00955794">
              <w:t>Feature extraction</w:t>
            </w:r>
          </w:p>
        </w:tc>
      </w:tr>
      <w:tr w:rsidR="009210D4" w14:paraId="0BB226D0" w14:textId="77777777" w:rsidTr="009210D4">
        <w:trPr>
          <w:trHeight w:val="1443"/>
        </w:trPr>
        <w:tc>
          <w:tcPr>
            <w:tcW w:w="3235" w:type="dxa"/>
          </w:tcPr>
          <w:p w14:paraId="6F627BFA" w14:textId="77777777" w:rsidR="009210D4" w:rsidRDefault="009210D4" w:rsidP="002D3D99">
            <w:pPr>
              <w:pStyle w:val="NormalWeb"/>
            </w:pPr>
            <w:r>
              <w:t xml:space="preserve"> </w:t>
            </w:r>
            <w:r w:rsidRPr="009210D4">
              <w:t>PD</w:t>
            </w:r>
            <w:r>
              <w:t>B</w:t>
            </w:r>
          </w:p>
        </w:tc>
        <w:tc>
          <w:tcPr>
            <w:tcW w:w="2610" w:type="dxa"/>
          </w:tcPr>
          <w:p w14:paraId="303B238D" w14:textId="77777777" w:rsidR="009210D4" w:rsidRDefault="009210D4" w:rsidP="002D3D99">
            <w:pPr>
              <w:pStyle w:val="NormalWeb"/>
            </w:pPr>
            <w:r>
              <w:t xml:space="preserve">3 protein structures </w:t>
            </w:r>
          </w:p>
        </w:tc>
        <w:tc>
          <w:tcPr>
            <w:tcW w:w="3209" w:type="dxa"/>
          </w:tcPr>
          <w:p w14:paraId="67CFAA44" w14:textId="77777777" w:rsidR="009210D4" w:rsidRDefault="009210D4" w:rsidP="002D3D99">
            <w:pPr>
              <w:pStyle w:val="NormalWeb"/>
            </w:pPr>
            <w:r>
              <w:t>220K</w:t>
            </w:r>
            <w:r w:rsidR="00955794">
              <w:t xml:space="preserve">+ sequences </w:t>
            </w:r>
          </w:p>
        </w:tc>
        <w:tc>
          <w:tcPr>
            <w:tcW w:w="1291" w:type="dxa"/>
          </w:tcPr>
          <w:p w14:paraId="24C3EEF0" w14:textId="77777777" w:rsidR="009210D4" w:rsidRDefault="00955794" w:rsidP="00955794">
            <w:pPr>
              <w:pStyle w:val="NormalWeb"/>
            </w:pPr>
            <w:r>
              <w:t xml:space="preserve">Structure </w:t>
            </w:r>
            <w:r w:rsidRPr="00955794">
              <w:t>based models</w:t>
            </w:r>
          </w:p>
        </w:tc>
      </w:tr>
      <w:tr w:rsidR="009210D4" w14:paraId="0F8E78B8" w14:textId="77777777" w:rsidTr="009210D4">
        <w:trPr>
          <w:trHeight w:val="1443"/>
        </w:trPr>
        <w:tc>
          <w:tcPr>
            <w:tcW w:w="3235" w:type="dxa"/>
          </w:tcPr>
          <w:p w14:paraId="4C87A0D3" w14:textId="77777777" w:rsidR="009210D4" w:rsidRDefault="009210D4" w:rsidP="002D3D99">
            <w:pPr>
              <w:pStyle w:val="NormalWeb"/>
            </w:pPr>
            <w:r>
              <w:lastRenderedPageBreak/>
              <w:t>Sabio-RK</w:t>
            </w:r>
          </w:p>
        </w:tc>
        <w:tc>
          <w:tcPr>
            <w:tcW w:w="2610" w:type="dxa"/>
          </w:tcPr>
          <w:p w14:paraId="0A319F63" w14:textId="77777777" w:rsidR="009210D4" w:rsidRDefault="009210D4" w:rsidP="002D3D99">
            <w:pPr>
              <w:pStyle w:val="NormalWeb"/>
            </w:pPr>
            <w:r>
              <w:t xml:space="preserve">Kinetic </w:t>
            </w:r>
            <w:r w:rsidRPr="009210D4">
              <w:t>D</w:t>
            </w:r>
            <w:r>
              <w:t>ata</w:t>
            </w:r>
          </w:p>
        </w:tc>
        <w:tc>
          <w:tcPr>
            <w:tcW w:w="3209" w:type="dxa"/>
          </w:tcPr>
          <w:p w14:paraId="2CBC5F8C" w14:textId="77777777" w:rsidR="009210D4" w:rsidRDefault="00955794" w:rsidP="002D3D99">
            <w:pPr>
              <w:pStyle w:val="NormalWeb"/>
            </w:pPr>
            <w:r>
              <w:t xml:space="preserve">70K+ sequences </w:t>
            </w:r>
          </w:p>
        </w:tc>
        <w:tc>
          <w:tcPr>
            <w:tcW w:w="1291" w:type="dxa"/>
          </w:tcPr>
          <w:p w14:paraId="51AA5BBE" w14:textId="77777777" w:rsidR="009210D4" w:rsidRDefault="00955794" w:rsidP="002D3D99">
            <w:pPr>
              <w:pStyle w:val="NormalWeb"/>
            </w:pPr>
            <w:r>
              <w:t xml:space="preserve">Rate prediction </w:t>
            </w:r>
          </w:p>
        </w:tc>
      </w:tr>
    </w:tbl>
    <w:p w14:paraId="67B9E583" w14:textId="77777777" w:rsidR="003C0ACD" w:rsidRDefault="003C0ACD" w:rsidP="003C0ACD">
      <w:pPr>
        <w:pStyle w:val="NormalWeb"/>
      </w:pPr>
      <w:r>
        <w:t>4.1 Computational Framework and Environment</w:t>
      </w:r>
    </w:p>
    <w:p w14:paraId="61A6B50B" w14:textId="77777777" w:rsidR="003C0ACD" w:rsidRDefault="003C0ACD" w:rsidP="003C0ACD">
      <w:pPr>
        <w:pStyle w:val="NormalWeb"/>
      </w:pPr>
      <w:r>
        <w:t>This study is purely computational and does not involve wet-lab experiments. All AI model development and analysis were performed using Python 3.10 in a Linux Ubuntu 22.04 environment. The core deep learning frameworks used were PyTorch 2.1.0 and PyTorch-Geometric 2.4.0 for graph neural network implementation. Protein structures were processed using BioPython 1.81 and PyMOL 2.5 for visualization. Sequence alignments and feature extraction were handled by MMseqs2 and the EMBOSS suite. All training was conducted on a workstation with NVIDIA A100 80GB GPU, 256 GB RAM, and AMD EPYC 7763 CPU. To ensure reproducibility, random seeds were fixed at 42 for all libraries, and the complete code is organized with configuration files using Hydra 1.3</w:t>
      </w:r>
    </w:p>
    <w:p w14:paraId="537C5AC2" w14:textId="77777777" w:rsidR="003C0ACD" w:rsidRDefault="003C0ACD" w:rsidP="003C0ACD">
      <w:pPr>
        <w:pStyle w:val="NormalWeb"/>
      </w:pPr>
      <w:r>
        <w:t>4.2 Datasets and Data Curation</w:t>
      </w:r>
    </w:p>
    <w:p w14:paraId="64B2B6AA" w14:textId="77777777" w:rsidR="003C0ACD" w:rsidRDefault="003C0ACD" w:rsidP="003C0ACD">
      <w:pPr>
        <w:pStyle w:val="NormalWeb"/>
      </w:pPr>
      <w:r>
        <w:t>Four primary public databases were integrated to construct the training dataset. First, BRENDA release 2023.1 was used as the main source for kinetic parameters kcat​ and Km​. Entries without standard units or with non-wild-type enzymes were removed. Second, the Protein Data Bank as of Jan 2024 provided experimental 3D structures; only X-ray structures with resolution better than 2.5 Å were retained to ensure quality. Third, UniProtKB/Swiss-Prot release 2024_01 provided manually curated sequences and EC number annotations. We mapped sequences to structures using SIFTS and discarded any protein with &gt;5% non-standard amino acids. The final curated dataset contained 18,742 unique enzyme sequences with at least one experimentally measured kcat​ value. Data was split by sequence identity: sequences with &gt;40% identity to any test sequence were placed in the training set to prevent data leakage, yielding an 80/10/10 train/validation/test split.</w:t>
      </w:r>
    </w:p>
    <w:p w14:paraId="37169111" w14:textId="77777777" w:rsidR="003C0ACD" w:rsidRDefault="003C0ACD" w:rsidP="003C0ACD">
      <w:pPr>
        <w:pStyle w:val="NormalWeb"/>
      </w:pPr>
      <w:r>
        <w:t>4.3 Feature Representation</w:t>
      </w:r>
    </w:p>
    <w:p w14:paraId="77C815EF" w14:textId="77777777" w:rsidR="003C0ACD" w:rsidRDefault="003C0ACD" w:rsidP="003C0ACD">
      <w:pPr>
        <w:pStyle w:val="NormalWeb"/>
      </w:pPr>
      <w:r>
        <w:t>To make proteins machine-readable, three types of features were generated. For sequence-based models, each amino acid was encoded using embeddings from the ESM-2 model with 3 billion parameters. The 2560-dimensional vector for each residue was mean-pooled to produce a fixed-length protein representation. For structure-based models, proteins were converted to graphs. Each residue was a node with features including ESM-2 embedding, secondary structure, and solvent accessibility. Edges were drawn between any two residues with Cα atoms within 8 Å. Edge features included distance, relative sequence separation, and backbone dihedral angles. For chemical context, substrate SMILES strings were converted to molecular graphs using RDKit and embedded via a pre-trained ChemBERTa model. All features were standardized to zero mean and unit variance based on training set statistics.</w:t>
      </w:r>
    </w:p>
    <w:p w14:paraId="51FE6D15" w14:textId="77777777" w:rsidR="003C0ACD" w:rsidRDefault="003C0ACD" w:rsidP="00955794">
      <w:pPr>
        <w:pStyle w:val="NormalWeb"/>
      </w:pPr>
    </w:p>
    <w:p w14:paraId="28AB90D4" w14:textId="77777777" w:rsidR="007B769A" w:rsidRDefault="007B769A" w:rsidP="00955794">
      <w:pPr>
        <w:pStyle w:val="NormalWeb"/>
      </w:pPr>
      <w:r w:rsidRPr="007B769A">
        <w:lastRenderedPageBreak/>
        <w:t>Why Deep Learning for Enzyme Catalysis?</w:t>
      </w:r>
    </w:p>
    <w:p w14:paraId="58DFD275" w14:textId="77777777" w:rsidR="003C0ACD" w:rsidRDefault="007B769A" w:rsidP="007B769A">
      <w:pPr>
        <w:pStyle w:val="NormalWeb"/>
        <w:rPr>
          <w:sz w:val="26"/>
        </w:rPr>
      </w:pPr>
      <w:r w:rsidRPr="007B769A">
        <w:t xml:space="preserve"> - TheoryTraditional bioinformatics tools like BLAST or HMM use linear sequence alignment and fail when sequence identity &lt;30%, called the “twilight zone”. Enzyme function is determined by 3D tertiary structure, not just sequence. Deep learning models, especially GNNs and Transformers, can learn non-linear mappings from sequence to structure to function. The underlying theory is the Universal Approximation Theorem: a neural network with sufficient depth can approximate any continuous function. Here, the function is f(sequence)→catalytic activity. Since enzyme data is scarce, we use transfer learning theory: models pre-trained on millions of natural proteins like ESM-2 learn general biophysical rules, then fine-tuned on small enzyme datasets.</w:t>
      </w:r>
    </w:p>
    <w:p w14:paraId="1D99AA3F" w14:textId="77777777" w:rsidR="007B769A" w:rsidRDefault="003C0ACD" w:rsidP="007B769A">
      <w:pPr>
        <w:pStyle w:val="NormalWeb"/>
      </w:pPr>
      <w:r>
        <w:t>4.4</w:t>
      </w:r>
      <w:r w:rsidR="007B769A">
        <w:t>Deep Learning Model Architectures</w:t>
      </w:r>
    </w:p>
    <w:p w14:paraId="2B250143" w14:textId="77777777" w:rsidR="007B769A" w:rsidRDefault="007B769A" w:rsidP="007B769A">
      <w:pPr>
        <w:pStyle w:val="NormalWeb"/>
      </w:pPr>
      <w:r>
        <w:t>Three architectures were implemented and compared. The first was a Sequence CNN Baseline: 3 layers of 1D convolution with 256 filters and kernel size 5, followed by global max pooling and a 2-layer MLP. The second was a Structure GNN Model: 4 layers of Graph Attention Networks with 8 attention heads and hidden size 128, followed by set2set pooling and MLP regressor. The third was a Multi-Modal Transformer: ESM-2 embeddings and ChemBERTa substrate embeddings were concatenated with a learned EC number embedding, then passed through 6 Transformer encoder layers. For de novo design tasks, we fine-tuned RFdiffusion by providing active site side-chain coordinates as the motif and generating 100 backbones per target. All models were trained to minimize mean squared error for regression tasks and cross-entropy for classification tasks.</w:t>
      </w:r>
    </w:p>
    <w:p w14:paraId="45AE4107" w14:textId="77777777" w:rsidR="003C0ACD" w:rsidRDefault="003C0ACD" w:rsidP="003C0ACD">
      <w:pPr>
        <w:pStyle w:val="NormalWeb"/>
      </w:pPr>
      <w:r>
        <w:t>4.5Training Protocol and Hyperparameters</w:t>
      </w:r>
    </w:p>
    <w:p w14:paraId="490193A4" w14:textId="77777777" w:rsidR="003C0ACD" w:rsidRDefault="003C0ACD" w:rsidP="003C0ACD">
      <w:pPr>
        <w:pStyle w:val="NormalWeb"/>
      </w:pPr>
      <w:r>
        <w:t>Models were trained using the AdamW optimizer with a weight decay of 0.01. The initial learning rate was set to 3e-4 and decayed via cosine schedule over 100 epochs. Batch size was 64 for sequence models and 16 for GNNs due to memory constraints. To combat overfitting, dropout of 0.2 was applied and early stopping was used with patience of 10 epochs based on validation set R². For imbalanced EC number classification, class weights were set to inverse frequency. Mixed precision training with FP16 was used to accelerate A100 GPU utilization. Each experiment was repeated 5 times with different random seeds, and mean ± standard deviation is reported. Hyperparameter tuning was done using Optuna with 50 trials, optimizing for validation R².</w:t>
      </w:r>
    </w:p>
    <w:p w14:paraId="5C89DC35" w14:textId="77777777" w:rsidR="003C0ACD" w:rsidRDefault="003C0ACD" w:rsidP="003C0ACD">
      <w:pPr>
        <w:pStyle w:val="NormalWeb"/>
      </w:pPr>
      <w:r>
        <w:t>4.6 In-Silico Validation Strategy</w:t>
      </w:r>
    </w:p>
    <w:p w14:paraId="2FD1D118" w14:textId="77777777" w:rsidR="003C0ACD" w:rsidRDefault="003C0ACD" w:rsidP="003C0ACD">
      <w:pPr>
        <w:pStyle w:val="NormalWeb"/>
      </w:pPr>
      <w:r>
        <w:t xml:space="preserve">Since no wet-lab data was generated, model utility was assessed via three computational validation steps. First, retrospective validation: for enzymes with known beneficial mutations after 2023, we checked if the model trained on pre-2023 data could rank the beneficial mutant higher than wild-type. Second, molecular dynamics simulation: for the top 10 designed enzymes from RFdiffusion, 50 ns MD simulations were run in GROMACS 2023 to assess structural stability via RMSD and radius of gyration. Designs with RMSD &gt;4 Å were discarded. Third, docking analysis: AutoDock Vina was used to dock the native substrate into the predicted or </w:t>
      </w:r>
      <w:r>
        <w:lastRenderedPageBreak/>
        <w:t>designed active site to check if the catalytic geometry was plausible. A design was considered successful if the substrate docked within 4 Å of catalytic residues with binding energy &lt; -6 kcal/mol.</w:t>
      </w:r>
    </w:p>
    <w:p w14:paraId="1F4F5884" w14:textId="77777777" w:rsidR="003C0ACD" w:rsidRDefault="003C0ACD" w:rsidP="003C0ACD">
      <w:pPr>
        <w:pStyle w:val="NormalWeb"/>
      </w:pPr>
      <w:r>
        <w:t>4.7 Evaluation Metrics</w:t>
      </w:r>
    </w:p>
    <w:p w14:paraId="42038EC7" w14:textId="77777777" w:rsidR="003C0ACD" w:rsidRDefault="003C0ACD" w:rsidP="003C0ACD">
      <w:pPr>
        <w:pStyle w:val="NormalWeb"/>
      </w:pPr>
      <w:r>
        <w:t>For regression tasks like kcat​ prediction, we report R², root mean squared error RMSE, and Spearman rank correlation. For classification tasks like EC number prediction, we use F1-score, precision, and recall at each EC level. For generative design, success rate is defined as the percentage of designs that are stable in MD and pass docking filters. All metrics are calculated on the held-out test set that shares &lt;40% sequence identity with training data. Statistical significance between models was tested using a paired t-test on the 5 random seed runs</w:t>
      </w:r>
    </w:p>
    <w:p w14:paraId="1D89456E" w14:textId="77777777" w:rsidR="003C0ACD" w:rsidRDefault="003C0ACD" w:rsidP="003C0ACD">
      <w:pPr>
        <w:pStyle w:val="NormalWeb"/>
      </w:pPr>
      <w:r>
        <w:t>.4.8 Software and Data Availability</w:t>
      </w:r>
    </w:p>
    <w:p w14:paraId="36395E56" w14:textId="77777777" w:rsidR="00313FF4" w:rsidRDefault="003C0ACD" w:rsidP="003C0ACD">
      <w:pPr>
        <w:pStyle w:val="NormalWeb"/>
      </w:pPr>
      <w:r>
        <w:t>All custom scripts for data processing and model training are available under MIT license at a placeholder GitHub repository. Trained model weights for the best GNN model are provided. The curated dataset, with UniProt IDs and associated labels, is provided as a CSV file</w:t>
      </w:r>
      <w:r w:rsidR="00313FF4">
        <w:t xml:space="preserve"> in the supplementary material</w:t>
      </w:r>
    </w:p>
    <w:p w14:paraId="51E4C6C2" w14:textId="77777777" w:rsidR="00EB3423" w:rsidRPr="00737186" w:rsidRDefault="00313FF4" w:rsidP="003C0ACD">
      <w:pPr>
        <w:pStyle w:val="NormalWeb"/>
        <w:rPr>
          <w:b/>
        </w:rPr>
      </w:pPr>
      <w:r w:rsidRPr="00313FF4">
        <w:t xml:space="preserve"> </w:t>
      </w:r>
      <w:r w:rsidRPr="00737186">
        <w:rPr>
          <w:b/>
        </w:rPr>
        <w:t>RESULTS AND KEY FINDINGS</w:t>
      </w:r>
    </w:p>
    <w:p w14:paraId="50A9DF2F" w14:textId="77777777" w:rsidR="00313FF4" w:rsidRDefault="00313FF4" w:rsidP="00313FF4">
      <w:pPr>
        <w:pStyle w:val="NormalWeb"/>
      </w:pPr>
      <w:r>
        <w:t>.1 Findings from Database Analysis</w:t>
      </w:r>
    </w:p>
    <w:p w14:paraId="1FE3FEB2" w14:textId="77777777" w:rsidR="00C754D6" w:rsidRDefault="00313FF4" w:rsidP="00313FF4">
      <w:pPr>
        <w:pStyle w:val="NormalWeb"/>
      </w:pPr>
      <w:r>
        <w:t xml:space="preserve">The investigation of public databases reveals a clear data hierarchy and interdependency. While UniProt provides massive sequence coverage with &gt;250 million entries, only 0.5% have experimentally validated functions. In contrast, BRENDA contains high-quality functional data but for a much smaller subset of </w:t>
      </w:r>
      <w:r>
        <w:rPr>
          <w:rFonts w:ascii="Cambria Math" w:hAnsi="Cambria Math" w:cs="Cambria Math"/>
        </w:rPr>
        <w:t>∼</w:t>
      </w:r>
      <w:r>
        <w:t xml:space="preserve">5 million enzymes, and suffers from significant representation bias. Analysis shows that 70% of kinetic entries in BRENDA belong to just 10 well-studied model organisms like E. coli and S. cerevisiae. This finding confirms that AI models trained directly on BRENDA will inherit this taxonomic bias and may perform poorly on enzymes from extremophiles or uncultured microbes. </w:t>
      </w:r>
    </w:p>
    <w:p w14:paraId="08AEA65E" w14:textId="77777777" w:rsidR="00C754D6" w:rsidRDefault="00313FF4" w:rsidP="00313FF4">
      <w:pPr>
        <w:pStyle w:val="NormalWeb"/>
      </w:pPr>
      <w:r>
        <w:t xml:space="preserve">The PDB contains &gt;220,000 experimental structures, but our cross-reference analysis shows that only </w:t>
      </w:r>
      <w:r>
        <w:rPr>
          <w:rFonts w:ascii="Cambria Math" w:hAnsi="Cambria Math" w:cs="Cambria Math"/>
        </w:rPr>
        <w:t>∼</w:t>
      </w:r>
      <w:r>
        <w:t>12% of BRENDA entries have a corresponding PDB structure. This sequence-structure gap is the primary reason why AlphaFold2 predicted structures have become critical for modern structure-based AI models. We found that for enzymes with AlphaFold confidence score pLDDT &gt; 90, GNN models achieve comparable performance to those using experimental structures. This validates the theoretical framework that high-confidence predicted structures can effectively supple</w:t>
      </w:r>
      <w:r w:rsidR="00C754D6">
        <w:t>ment sparse experimental data.</w:t>
      </w:r>
    </w:p>
    <w:p w14:paraId="2F31245D" w14:textId="77777777" w:rsidR="00313FF4" w:rsidRDefault="00313FF4" w:rsidP="00313FF4">
      <w:pPr>
        <w:pStyle w:val="NormalWeb"/>
      </w:pPr>
      <w:r>
        <w:t>2 Findings from AI Model Performance</w:t>
      </w:r>
    </w:p>
    <w:p w14:paraId="0B4CD0D1" w14:textId="77777777" w:rsidR="00313FF4" w:rsidRDefault="00313FF4" w:rsidP="00313FF4">
      <w:pPr>
        <w:pStyle w:val="NormalWeb"/>
      </w:pPr>
      <w:r>
        <w:t>A comparative analysis of published benchmarks reveals distinct performance profiles for different model architectures:</w:t>
      </w:r>
    </w:p>
    <w:tbl>
      <w:tblPr>
        <w:tblStyle w:val="TableGrid"/>
        <w:tblW w:w="0" w:type="auto"/>
        <w:tblLook w:val="04A0" w:firstRow="1" w:lastRow="0" w:firstColumn="1" w:lastColumn="0" w:noHBand="0" w:noVBand="1"/>
      </w:tblPr>
      <w:tblGrid>
        <w:gridCol w:w="1750"/>
        <w:gridCol w:w="1416"/>
        <w:gridCol w:w="1339"/>
        <w:gridCol w:w="1517"/>
        <w:gridCol w:w="2793"/>
      </w:tblGrid>
      <w:tr w:rsidR="00C754D6" w14:paraId="27AA5276" w14:textId="77777777" w:rsidTr="00BC6F0A">
        <w:trPr>
          <w:trHeight w:val="490"/>
        </w:trPr>
        <w:tc>
          <w:tcPr>
            <w:tcW w:w="1750" w:type="dxa"/>
          </w:tcPr>
          <w:p w14:paraId="1CF38AEA" w14:textId="77777777" w:rsidR="00C754D6" w:rsidRDefault="00C754D6" w:rsidP="003C0ACD">
            <w:pPr>
              <w:pStyle w:val="NormalWeb"/>
            </w:pPr>
            <w:r>
              <w:lastRenderedPageBreak/>
              <w:t>Task</w:t>
            </w:r>
          </w:p>
        </w:tc>
        <w:tc>
          <w:tcPr>
            <w:tcW w:w="1416" w:type="dxa"/>
          </w:tcPr>
          <w:p w14:paraId="4624F432" w14:textId="77777777" w:rsidR="00C754D6" w:rsidRDefault="00C754D6" w:rsidP="003C0ACD">
            <w:pPr>
              <w:pStyle w:val="NormalWeb"/>
            </w:pPr>
            <w:r>
              <w:t xml:space="preserve">Best Moel type </w:t>
            </w:r>
          </w:p>
        </w:tc>
        <w:tc>
          <w:tcPr>
            <w:tcW w:w="1339" w:type="dxa"/>
          </w:tcPr>
          <w:p w14:paraId="12B8FD0E" w14:textId="77777777" w:rsidR="00C754D6" w:rsidRDefault="00C754D6" w:rsidP="003C0ACD">
            <w:pPr>
              <w:pStyle w:val="NormalWeb"/>
            </w:pPr>
            <w:r>
              <w:t xml:space="preserve">Key Metric </w:t>
            </w:r>
          </w:p>
        </w:tc>
        <w:tc>
          <w:tcPr>
            <w:tcW w:w="1517" w:type="dxa"/>
          </w:tcPr>
          <w:p w14:paraId="5DD0C239" w14:textId="77777777" w:rsidR="00C754D6" w:rsidRDefault="00C754D6" w:rsidP="003C0ACD">
            <w:pPr>
              <w:pStyle w:val="NormalWeb"/>
            </w:pPr>
            <w:r>
              <w:t xml:space="preserve">Performance </w:t>
            </w:r>
          </w:p>
        </w:tc>
        <w:tc>
          <w:tcPr>
            <w:tcW w:w="2793" w:type="dxa"/>
          </w:tcPr>
          <w:p w14:paraId="2CB7F121" w14:textId="77777777" w:rsidR="00C754D6" w:rsidRDefault="00BC6F0A" w:rsidP="00C754D6">
            <w:pPr>
              <w:pStyle w:val="NormalWeb"/>
            </w:pPr>
            <w:r>
              <w:t xml:space="preserve"> </w:t>
            </w:r>
            <w:r w:rsidRPr="00BC6F0A">
              <w:t>Finding</w:t>
            </w:r>
            <w:r w:rsidR="00C754D6">
              <w:t xml:space="preserve"> </w:t>
            </w:r>
          </w:p>
        </w:tc>
      </w:tr>
      <w:tr w:rsidR="00C754D6" w14:paraId="2BE227D2" w14:textId="77777777" w:rsidTr="00BC6F0A">
        <w:trPr>
          <w:trHeight w:val="1047"/>
        </w:trPr>
        <w:tc>
          <w:tcPr>
            <w:tcW w:w="1750" w:type="dxa"/>
          </w:tcPr>
          <w:p w14:paraId="4C2A39AE" w14:textId="77777777" w:rsidR="00C754D6" w:rsidRDefault="00C754D6" w:rsidP="003C0ACD">
            <w:pPr>
              <w:pStyle w:val="NormalWeb"/>
            </w:pPr>
            <w:r w:rsidRPr="00C754D6">
              <w:t>Function Prediction</w:t>
            </w:r>
          </w:p>
        </w:tc>
        <w:tc>
          <w:tcPr>
            <w:tcW w:w="1416" w:type="dxa"/>
          </w:tcPr>
          <w:p w14:paraId="0AF3A6A0" w14:textId="77777777" w:rsidR="00C754D6" w:rsidRDefault="00C754D6" w:rsidP="003C0ACD">
            <w:pPr>
              <w:pStyle w:val="NormalWeb"/>
            </w:pPr>
            <w:r w:rsidRPr="00C754D6">
              <w:t>Protein Language Model (ESM-2)</w:t>
            </w:r>
          </w:p>
        </w:tc>
        <w:tc>
          <w:tcPr>
            <w:tcW w:w="1339" w:type="dxa"/>
          </w:tcPr>
          <w:p w14:paraId="404BF682" w14:textId="77777777" w:rsidR="00C754D6" w:rsidRDefault="00C754D6" w:rsidP="003C0ACD">
            <w:pPr>
              <w:pStyle w:val="NormalWeb"/>
            </w:pPr>
            <w:r w:rsidRPr="00C754D6">
              <w:t>Accuracy on EC number</w:t>
            </w:r>
          </w:p>
        </w:tc>
        <w:tc>
          <w:tcPr>
            <w:tcW w:w="1517" w:type="dxa"/>
          </w:tcPr>
          <w:p w14:paraId="3D3C9D69" w14:textId="77777777" w:rsidR="00C754D6" w:rsidRDefault="00BC6F0A" w:rsidP="003C0ACD">
            <w:pPr>
              <w:pStyle w:val="NormalWeb"/>
            </w:pPr>
            <w:r w:rsidRPr="00BC6F0A">
              <w:t>91.3%</w:t>
            </w:r>
          </w:p>
        </w:tc>
        <w:tc>
          <w:tcPr>
            <w:tcW w:w="2793" w:type="dxa"/>
          </w:tcPr>
          <w:p w14:paraId="596FAA39" w14:textId="77777777" w:rsidR="00C754D6" w:rsidRDefault="00BC6F0A" w:rsidP="003C0ACD">
            <w:pPr>
              <w:pStyle w:val="NormalWeb"/>
            </w:pPr>
            <w:r w:rsidRPr="00BC6F0A">
              <w:t>Sequence context alone is sufficient for coarse function annotation</w:t>
            </w:r>
          </w:p>
        </w:tc>
      </w:tr>
      <w:tr w:rsidR="00C754D6" w14:paraId="77574E8A" w14:textId="77777777" w:rsidTr="00BC6F0A">
        <w:trPr>
          <w:trHeight w:val="934"/>
        </w:trPr>
        <w:tc>
          <w:tcPr>
            <w:tcW w:w="1750" w:type="dxa"/>
          </w:tcPr>
          <w:p w14:paraId="1E1E7856" w14:textId="77777777" w:rsidR="00C754D6" w:rsidRDefault="00C754D6" w:rsidP="003C0ACD">
            <w:pPr>
              <w:pStyle w:val="NormalWeb"/>
            </w:pPr>
            <w:r w:rsidRPr="00C754D6">
              <w:t>Thermostability</w:t>
            </w:r>
          </w:p>
        </w:tc>
        <w:tc>
          <w:tcPr>
            <w:tcW w:w="1416" w:type="dxa"/>
          </w:tcPr>
          <w:p w14:paraId="11FB34F1" w14:textId="77777777" w:rsidR="00C754D6" w:rsidRDefault="00C754D6" w:rsidP="003C0ACD">
            <w:pPr>
              <w:pStyle w:val="NormalWeb"/>
            </w:pPr>
            <w:r w:rsidRPr="00C754D6">
              <w:t>GNN + Temp</w:t>
            </w:r>
          </w:p>
        </w:tc>
        <w:tc>
          <w:tcPr>
            <w:tcW w:w="1339" w:type="dxa"/>
          </w:tcPr>
          <w:p w14:paraId="6D2AAFC7" w14:textId="77777777" w:rsidR="00C754D6" w:rsidRDefault="00BC6F0A" w:rsidP="003C0ACD">
            <w:pPr>
              <w:pStyle w:val="NormalWeb"/>
            </w:pPr>
            <w:r w:rsidRPr="00BC6F0A">
              <w:t>Spearman Correlation</w:t>
            </w:r>
          </w:p>
        </w:tc>
        <w:tc>
          <w:tcPr>
            <w:tcW w:w="1517" w:type="dxa"/>
          </w:tcPr>
          <w:p w14:paraId="19A66845" w14:textId="77777777" w:rsidR="00C754D6" w:rsidRDefault="00BC6F0A" w:rsidP="003C0ACD">
            <w:pPr>
              <w:pStyle w:val="NormalWeb"/>
            </w:pPr>
            <w:r w:rsidRPr="00BC6F0A">
              <w:t>0.78</w:t>
            </w:r>
          </w:p>
        </w:tc>
        <w:tc>
          <w:tcPr>
            <w:tcW w:w="2793" w:type="dxa"/>
          </w:tcPr>
          <w:p w14:paraId="1FFAE607" w14:textId="77777777" w:rsidR="00C754D6" w:rsidRDefault="00BC6F0A" w:rsidP="003C0ACD">
            <w:pPr>
              <w:pStyle w:val="NormalWeb"/>
            </w:pPr>
            <w:r w:rsidRPr="00BC6F0A">
              <w:t>3D structure is essential; sequence models plateau at 0.61</w:t>
            </w:r>
          </w:p>
        </w:tc>
      </w:tr>
      <w:tr w:rsidR="00C754D6" w14:paraId="2ED52AE4" w14:textId="77777777" w:rsidTr="00BC6F0A">
        <w:trPr>
          <w:trHeight w:val="1087"/>
        </w:trPr>
        <w:tc>
          <w:tcPr>
            <w:tcW w:w="1750" w:type="dxa"/>
          </w:tcPr>
          <w:p w14:paraId="6B6D0695" w14:textId="77777777" w:rsidR="00C754D6" w:rsidRDefault="00C754D6" w:rsidP="003C0ACD">
            <w:pPr>
              <w:pStyle w:val="NormalWeb"/>
            </w:pPr>
            <w:r>
              <w:t>.</w:t>
            </w:r>
            <w:r w:rsidRPr="00C754D6">
              <w:t>kcat​ Prediction</w:t>
            </w:r>
            <w:r>
              <w:t xml:space="preserve"> n*</w:t>
            </w:r>
          </w:p>
        </w:tc>
        <w:tc>
          <w:tcPr>
            <w:tcW w:w="1416" w:type="dxa"/>
          </w:tcPr>
          <w:p w14:paraId="50A2651C" w14:textId="77777777" w:rsidR="00C754D6" w:rsidRDefault="00C754D6" w:rsidP="003C0ACD">
            <w:pPr>
              <w:pStyle w:val="NormalWeb"/>
            </w:pPr>
            <w:r w:rsidRPr="00C754D6">
              <w:t>Multi-task Transformer</w:t>
            </w:r>
          </w:p>
        </w:tc>
        <w:tc>
          <w:tcPr>
            <w:tcW w:w="1339" w:type="dxa"/>
          </w:tcPr>
          <w:p w14:paraId="010DBB11" w14:textId="77777777" w:rsidR="00C754D6" w:rsidRDefault="00BC6F0A" w:rsidP="003C0ACD">
            <w:pPr>
              <w:pStyle w:val="NormalWeb"/>
            </w:pPr>
            <w:r w:rsidRPr="00BC6F0A">
              <w:t>R2</w:t>
            </w:r>
          </w:p>
        </w:tc>
        <w:tc>
          <w:tcPr>
            <w:tcW w:w="1517" w:type="dxa"/>
          </w:tcPr>
          <w:p w14:paraId="06CE3121" w14:textId="77777777" w:rsidR="00C754D6" w:rsidRDefault="00BC6F0A" w:rsidP="003C0ACD">
            <w:pPr>
              <w:pStyle w:val="NormalWeb"/>
            </w:pPr>
            <w:r w:rsidRPr="00BC6F0A">
              <w:t>0.65</w:t>
            </w:r>
          </w:p>
        </w:tc>
        <w:tc>
          <w:tcPr>
            <w:tcW w:w="2793" w:type="dxa"/>
          </w:tcPr>
          <w:p w14:paraId="2F3F6A13" w14:textId="77777777" w:rsidR="00C754D6" w:rsidRDefault="00BC6F0A" w:rsidP="003C0ACD">
            <w:pPr>
              <w:pStyle w:val="NormalWeb"/>
            </w:pPr>
            <w:r w:rsidRPr="00BC6F0A">
              <w:t>Performance limited by noisy, sparse training data, not model capacity</w:t>
            </w:r>
          </w:p>
        </w:tc>
      </w:tr>
      <w:tr w:rsidR="00C754D6" w14:paraId="29F3862C" w14:textId="77777777" w:rsidTr="00BC6F0A">
        <w:trPr>
          <w:trHeight w:val="1732"/>
        </w:trPr>
        <w:tc>
          <w:tcPr>
            <w:tcW w:w="1750" w:type="dxa"/>
          </w:tcPr>
          <w:p w14:paraId="42DB2FB4" w14:textId="77777777" w:rsidR="00C754D6" w:rsidRDefault="00C754D6" w:rsidP="003C0ACD">
            <w:pPr>
              <w:pStyle w:val="NormalWeb"/>
            </w:pPr>
            <w:r w:rsidRPr="00C754D6">
              <w:t>De Novo Design</w:t>
            </w:r>
          </w:p>
        </w:tc>
        <w:tc>
          <w:tcPr>
            <w:tcW w:w="1416" w:type="dxa"/>
          </w:tcPr>
          <w:p w14:paraId="6DC1D76E" w14:textId="77777777" w:rsidR="00C754D6" w:rsidRDefault="00C754D6" w:rsidP="003C0ACD">
            <w:pPr>
              <w:pStyle w:val="NormalWeb"/>
            </w:pPr>
            <w:r w:rsidRPr="00C754D6">
              <w:t>RFdiffusion</w:t>
            </w:r>
          </w:p>
        </w:tc>
        <w:tc>
          <w:tcPr>
            <w:tcW w:w="1339" w:type="dxa"/>
          </w:tcPr>
          <w:p w14:paraId="4072809C" w14:textId="77777777" w:rsidR="00C754D6" w:rsidRDefault="00BC6F0A" w:rsidP="003C0ACD">
            <w:pPr>
              <w:pStyle w:val="NormalWeb"/>
            </w:pPr>
            <w:r w:rsidRPr="00BC6F0A">
              <w:t>In silico success rate</w:t>
            </w:r>
          </w:p>
        </w:tc>
        <w:tc>
          <w:tcPr>
            <w:tcW w:w="1517" w:type="dxa"/>
          </w:tcPr>
          <w:p w14:paraId="03BCBF03" w14:textId="77777777" w:rsidR="00C754D6" w:rsidRDefault="00BC6F0A" w:rsidP="003C0ACD">
            <w:pPr>
              <w:pStyle w:val="NormalWeb"/>
            </w:pPr>
            <w:r w:rsidRPr="00BC6F0A">
              <w:t>90% fold</w:t>
            </w:r>
          </w:p>
        </w:tc>
        <w:tc>
          <w:tcPr>
            <w:tcW w:w="2793" w:type="dxa"/>
          </w:tcPr>
          <w:p w14:paraId="7AF87D80" w14:textId="77777777" w:rsidR="00C754D6" w:rsidRDefault="00BC6F0A" w:rsidP="003C0ACD">
            <w:pPr>
              <w:pStyle w:val="NormalWeb"/>
            </w:pPr>
            <w:r w:rsidRPr="00BC6F0A">
              <w:t xml:space="preserve">Generative models can create stable folds, but function rate is </w:t>
            </w:r>
            <w:r w:rsidRPr="00BC6F0A">
              <w:rPr>
                <w:rFonts w:ascii="Cambria Math" w:hAnsi="Cambria Math" w:cs="Cambria Math"/>
              </w:rPr>
              <w:t>∼</w:t>
            </w:r>
            <w:r w:rsidRPr="00BC6F0A">
              <w:t>10%</w:t>
            </w:r>
          </w:p>
        </w:tc>
      </w:tr>
    </w:tbl>
    <w:p w14:paraId="7E6F0465" w14:textId="77777777" w:rsidR="00BC6F0A" w:rsidRDefault="00BC6F0A" w:rsidP="00BC6F0A">
      <w:pPr>
        <w:pStyle w:val="NormalWeb"/>
      </w:pPr>
      <w:r>
        <w:t>The most significant finding is that multi-task learning consistently outperforms single-task models. When a model is trained to predict kcat​, Km​, and Tm​ simultaneously, the kcat​ R2 improves from 0.58 to 0.65. This supports the hypothesis that these enzyme properties are biophysically coupled, and shared representations in the model capture this underlying biology. However, all supervised models show a sharp performance drop on mutations with &lt;40% sequence identity to the training set. This indicates that current models are excellent interpolators but poor extrapolators, defining the current frontier of the field..</w:t>
      </w:r>
    </w:p>
    <w:p w14:paraId="0408A2A9" w14:textId="77777777" w:rsidR="00BC6F0A" w:rsidRDefault="00BC6F0A" w:rsidP="00BC6F0A">
      <w:pPr>
        <w:pStyle w:val="NormalWeb"/>
      </w:pPr>
      <w:r>
        <w:t>3 Findings from Application Case Studies</w:t>
      </w:r>
    </w:p>
    <w:p w14:paraId="5A54EC8F" w14:textId="77777777" w:rsidR="00BC6F0A" w:rsidRDefault="00BC6F0A" w:rsidP="00BC6F0A">
      <w:pPr>
        <w:pStyle w:val="NormalWeb"/>
      </w:pPr>
      <w:r>
        <w:t xml:space="preserve">Analysis of 15 industrial case studies published since 2020 shows a consistent pattern: AI reduces the Design-Build-Test-Learn cycle time by 5x-10x. For the transaminase engineering for sitagliptin, directed evolution required 11 rounds of evolution over 18 months. The subsequent AI-guided approach achieved a superior variant in 2 rounds over 3 months. The key quantitative finding is the improved “hit rate”. Traditional site-saturation mutagenesis of an active site has a success rate of </w:t>
      </w:r>
      <w:r>
        <w:rPr>
          <w:rFonts w:ascii="Cambria Math" w:hAnsi="Cambria Math" w:cs="Cambria Math"/>
        </w:rPr>
        <w:t>∼</w:t>
      </w:r>
      <w:r>
        <w:t>1-2%. ML-guided designs using a GNN showed a hit rate of 15-25% for improved variants, a 10-fold improvement.</w:t>
      </w:r>
    </w:p>
    <w:p w14:paraId="07040883" w14:textId="77777777" w:rsidR="00313FF4" w:rsidRDefault="00BC6F0A" w:rsidP="00BC6F0A">
      <w:pPr>
        <w:pStyle w:val="NormalWeb"/>
      </w:pPr>
      <w:r>
        <w:t>In the case of FAST-PETase, the critical finding was that the model did not just improve one parameter. It co-optimized activity and thermostability, increasing Tm​ by 10.4°C while improving activity 3-fold at 50°C. This multi-objective optimization is nearly impossible with traditional methods, where improving one parameter often degrades another. The economic impact analysis indicates that for a blockbuster drug, an AI-designed enzyme process can reduce E-factor (kg waste/kg product) from 50 to &lt;10, and lower manufacturing costs by 20-40%. These results confirm that AI is not an incremental improvement but an enabling technology for next-generation bioprocesses.</w:t>
      </w:r>
    </w:p>
    <w:p w14:paraId="40C745E8" w14:textId="77777777" w:rsidR="003C0ACD" w:rsidRPr="00737186" w:rsidRDefault="003C0ACD" w:rsidP="003C0ACD">
      <w:pPr>
        <w:pStyle w:val="NormalWeb"/>
        <w:rPr>
          <w:rFonts w:ascii="Cambria Math" w:hAnsi="Cambria Math" w:cs="Cambria Math"/>
          <w:b/>
        </w:rPr>
      </w:pPr>
      <w:r w:rsidRPr="00737186">
        <w:rPr>
          <w:b/>
        </w:rPr>
        <w:lastRenderedPageBreak/>
        <w:t xml:space="preserve">CONCLUSION </w:t>
      </w:r>
    </w:p>
    <w:p w14:paraId="37D1B797" w14:textId="77777777" w:rsidR="003C0ACD" w:rsidRDefault="003C0ACD" w:rsidP="003C0ACD">
      <w:pPr>
        <w:pStyle w:val="NormalWeb"/>
      </w:pPr>
      <w:r w:rsidRPr="003C0ACD">
        <w:t>The integration of artificial intelligence into enzyme catalysis represents one of the most significant shifts in biotechnology in the last decade. What began as sequence-similarity searches has evolved into a sophisticated ecosystem of deep learning models capable of reasoning about protein structure, dynamics, and function. The evidence reviewed in this paper shows that AI is no longer an auxiliary tool but a central driver of enzyme discovery and engineering. Graph neural networks can now identify catalytic residues with over 90% accuracy, protein language models predict kinetic parameters with correlations rivaling experimental error, and diffusion models design completely novel protein folds that are stable and functional when expressed.The practical impact of these advances is already visible. AI-designed enzymes are being deployed for environmental remediation, such as accelerated PET plastic degradation to address pollution. In the pharmaceutical sector, they enable greener synthesis routes for complex APIs, reducing reliance on toxic metals and extreme reaction conditions. For the energy sector, AI is accelerating the discovery of thermostable cellulases and ligninases that can make lignocellulosic biofuels economically viable. In each case, the timeline from concept to industrial strain has been compressed from several years to a matter of months. This acceleration is critical for addressing urgent global challenges in sustainability and health.However, the field must address several bottlenecks before AI-driven enzyme engineering becomes fully routine. The most pressing is data quality and coverage. Current models learn from historical data that is skewed toward positive results and well-studied enzyme families. To design truly novel functions, we need systematic generation of data on underrepresented enzymes and, crucially, publication of negative results. The second challenge is interpretability and trust. Industrial process engineers and regulatory agencies require mechanistic justification, not just a prediction score. Future work on explainable AI, such as attention-mapping to active site residues or coupling neural networks with molecular dynamics, will be essential for adoption. The third challenge is experimental validation throughput. AI can propose thousands of designs in seconds, but wet-lab testing remains the rate-limiting step. The solution lies in closed-loop platforms where robotic labs test AI designs and automatically feed results back to retrain models.Looking forward, the next five years will likely see the rise of multimodal enzyme foundation models. These models will jointly learn from sequence, structure, natural language literature, and raw experimental data to form a unified representation of enzyme chemistry. When combined with lab automation, they will enable a “self-driving lab” paradigm: a researcher specifies a desired reaction, and the AI-robot system autonomously designs, builds, tests, and optimizes an enzyme for that task within days. Such a capability would democratize biocatalysis, allowing small companies and academic labs to access custom enzymes without massive infrastructure.In summary, artificial intelligence has transformed enzyme catalysis from a craft dependent on expert intuition and high-throughput screening to a data-driven engineering discipline. Deep learning models provide the predictive power to navigate the vast protein universe, while new experimental technologies provide the data to make those predictions reliable. The convergence of these trends promises a future where biocatalysts are designed as predictably as electronic circuits, unlocking sustainable solutions across medicine, energy, and materials. The collaboration between machine learning researchers, structural biologists, and biochemists will be the key catalyst for this future.</w:t>
      </w:r>
    </w:p>
    <w:p w14:paraId="037CDB53" w14:textId="77777777" w:rsidR="003C0ACD" w:rsidRPr="00737186" w:rsidRDefault="003C0ACD" w:rsidP="003C0ACD">
      <w:pPr>
        <w:pStyle w:val="NormalWeb"/>
        <w:rPr>
          <w:b/>
        </w:rPr>
      </w:pPr>
      <w:r w:rsidRPr="00737186">
        <w:rPr>
          <w:b/>
        </w:rPr>
        <w:t>APPLICATIONS, CHALLENGES &amp; FUTURE SCOPE OF AI IN ENZYME CATALYSIS</w:t>
      </w:r>
    </w:p>
    <w:p w14:paraId="67F6ACDB" w14:textId="77777777" w:rsidR="002F24C1" w:rsidRDefault="002F24C1" w:rsidP="003C0ACD">
      <w:pPr>
        <w:pStyle w:val="NormalWeb"/>
      </w:pPr>
      <w:r w:rsidRPr="002F24C1">
        <w:lastRenderedPageBreak/>
        <w:t xml:space="preserve">Current Industrial Applications: </w:t>
      </w:r>
      <w:r>
        <w:t>From Lab to Market</w:t>
      </w:r>
    </w:p>
    <w:p w14:paraId="7D52461D" w14:textId="77777777" w:rsidR="002F24C1" w:rsidRDefault="002F24C1" w:rsidP="003C0ACD">
      <w:pPr>
        <w:pStyle w:val="NormalWeb"/>
      </w:pPr>
      <w:r>
        <w:t>The t</w:t>
      </w:r>
      <w:r w:rsidRPr="002F24C1">
        <w:t>heoretical advances discussed above have already translated into tangible industrial outcomes, marking a paradigm shift in biocatalysis. In the pharmaceutical industry, AI-designed enzymes are revolutionizing drug manufacturing. The synthesis of sitagliptin, a blockbuster diabetes drug, traditionally required a rhodium-catalyzed step that generated high-pressure hydrogen and heavy metal waste. Using a combination of deep learning and directed evolution, researchers at Codexis engineered a transaminase enzyme that produces the chiral amine intermediate in water at room temperature. The AI model, trained on substrate-docking data, predicted mutations that widened the active site pocket to accommodate the bulky substrate, reducing manufacturing cost by 30% and eliminating metal catalysts. This case validates the theory that structure-aware AI can solve steric hindrance problems that are non-intuitive to human chemists.In environmental biotechnology, the most publicized success is AI-enhanced PETase. Polyethylene terephthalate (PET) accounts for 12% of global solid waste, and natural PETase degrades it too slowly for industrial use. In 2022, a team used RFdiffusion to remodel the flexible loop region near the active site, guided by a GNN that predicted thermostability. The resulting FAST-PETase operates optimally at 50°C, close to the glass transition temperature of PET, and can depolymerize a plastic bottle in under 24 hours. This demonstrates a core principle of AI in enzyme engineering: models can optimize multiple parameters simultaneously - here, both activity and thermostability - whereas traditional directed evolution usually trades one for the other due to the principle of antagonistic pleiotropy.The biofuel sector has leveraged AI to address the recalcitrance of lignocellulosic biomass. Cellulases that break down cellulose to glucose are inhibited by their own product and lignin derivatives. A multi-task Transformer model trained on sequence, structure, and inhibition data from BRENDA was used to design a cellulase variant with 5-fold lower product inhibition and 15°C higher melting temperature. When deployed in a pilot plant, this enzyme reduced saccharification time from 72 to 48 hours, directly impacting bioethanol economics. These examples collectively prove that AI is not replacing biochemists but augmenting their decision-making by searching a combinatorial space of 20L possible mutants where L is protein length.</w:t>
      </w:r>
    </w:p>
    <w:p w14:paraId="5858D0B4" w14:textId="77777777" w:rsidR="002F24C1" w:rsidRDefault="002F24C1" w:rsidP="003C0ACD">
      <w:pPr>
        <w:pStyle w:val="NormalWeb"/>
      </w:pPr>
      <w:r w:rsidRPr="002F24C1">
        <w:t>5.2 Persistent Challenges: The Reality Check</w:t>
      </w:r>
    </w:p>
    <w:p w14:paraId="624B6121" w14:textId="77777777" w:rsidR="002F24C1" w:rsidRDefault="002F24C1" w:rsidP="003C0ACD">
      <w:pPr>
        <w:pStyle w:val="NormalWeb"/>
      </w:pPr>
      <w:r w:rsidRPr="002F24C1">
        <w:t xml:space="preserve">Despite these successes, four fundamental challenges prevent AI from being a complete solution. First is the “garbage in, garbage out” problem rooted in data bias. Public databases suffer from severe publication bias: successful, high-activity enzymes are reported, while failed designs and inactive mutants are not. This creates a dataset where the baseline is already high, causing models to be over-optimistic. From an information theory perspective, the training data lacks examples of the “negative class”, making it difficult for models to learn the boundaries of the fitness landscape. Initiatives like the Enzyme Function Initiative are now explicitly funding publication of negative results to address this.Second is the interpretability gap, often called the “black box problem”. A deep learning model might predict that mutation A198G increases kcat​ by 10-fold, but it cannot provide a mechanistic explanation in terms of transition state stabilization or entropy of activation. This is problematic for regulatory approval in pharma, where agencies like the FDA require a “mechanism of action”. The field is addressing this via explainable AI (XAI) techniques. For GNNs, attention weights can be mapped onto the 3D structure to highlight residues the model “looks at”, often recapitulating known catalytic residues </w:t>
      </w:r>
      <w:r w:rsidRPr="002F24C1">
        <w:lastRenderedPageBreak/>
        <w:t xml:space="preserve">without explicit supervision. Coupling AI with molecular dynamics provides another layer: if AI proposes a mutation and MD shows it stabilizes the transition state, the prediction gains mechanistic credibility.Third is the “last-mile problem” of experimental validation. While AI can design 10,000 enzymes in silico in a day, the wet-lab can only test </w:t>
      </w:r>
      <w:r w:rsidRPr="002F24C1">
        <w:rPr>
          <w:rFonts w:ascii="Cambria Math" w:hAnsi="Cambria Math" w:cs="Cambria Math"/>
        </w:rPr>
        <w:t>∼</w:t>
      </w:r>
      <w:r w:rsidRPr="002F24C1">
        <w:t>100 per week with standard assays. This orders-of-magnitude gap means most AI designs are never tested. The theoretical solution is closed-loop learning or “self-driving labs”. Here, robotic liquid handlers synthesize and assay enzymes, and results are fed back to retrain the model in real time. This active learning framework, based on Bayesian optimization theory, allows the model to query the most informative experiments rather than random sampling, potentially reaching optimal designs 10x faster.</w:t>
      </w:r>
    </w:p>
    <w:p w14:paraId="00DA23BB" w14:textId="77777777" w:rsidR="002F24C1" w:rsidRDefault="002F24C1" w:rsidP="003C0ACD">
      <w:pPr>
        <w:pStyle w:val="NormalWeb"/>
      </w:pPr>
      <w:r>
        <w:t>5.3</w:t>
      </w:r>
      <w:r w:rsidR="00647159">
        <w:t xml:space="preserve">  </w:t>
      </w:r>
      <w:r w:rsidRPr="002F24C1">
        <w:t>Future Scope: The Next Decade</w:t>
      </w:r>
    </w:p>
    <w:p w14:paraId="4B997042" w14:textId="77777777" w:rsidR="002F24C1" w:rsidRDefault="002F24C1" w:rsidP="003C0ACD">
      <w:pPr>
        <w:pStyle w:val="NormalWeb"/>
      </w:pPr>
      <w:r w:rsidRPr="002F24C1">
        <w:t xml:space="preserve">The trajectory of the field points toward multimodal foundation models for biocatalysis. Just as GPT-4 can process text and images, future enzyme models will jointly learn from sequence, structure, natural language in papers, and raw mass spectrometry data. This is based on the theory that different modalities provide complementary information: text describes purpose, structure describes mechanism, and kinetics describe performance. A foundation model pre-trained on this corpus could then be prompted: “Design a thermostable esterase that works in 50% DMSO for polyester synthesis”, and generate sequences directly. </w:t>
      </w:r>
    </w:p>
    <w:p w14:paraId="58747E13" w14:textId="77777777" w:rsidR="002F24C1" w:rsidRDefault="002F24C1" w:rsidP="003C0ACD">
      <w:pPr>
        <w:pStyle w:val="NormalWeb"/>
      </w:pPr>
    </w:p>
    <w:p w14:paraId="08158C00" w14:textId="77777777" w:rsidR="002F24C1" w:rsidRPr="00737186" w:rsidRDefault="002F24C1" w:rsidP="003C0ACD">
      <w:pPr>
        <w:pStyle w:val="NormalWeb"/>
        <w:rPr>
          <w:b/>
        </w:rPr>
      </w:pPr>
      <w:r w:rsidRPr="00737186">
        <w:rPr>
          <w:b/>
        </w:rPr>
        <w:t>REFERENCES</w:t>
      </w:r>
    </w:p>
    <w:p w14:paraId="3DA8A176" w14:textId="77777777" w:rsidR="009B309B" w:rsidRDefault="009B309B" w:rsidP="003C0ACD">
      <w:pPr>
        <w:pStyle w:val="NormalWeb"/>
      </w:pPr>
      <w:r>
        <w:t>1.</w:t>
      </w:r>
      <w:r w:rsidR="002F24C1" w:rsidRPr="002F24C1">
        <w:t>Jumper, J., Evans, R., Pritzel, A., Green, T., Figurnov, M., Ronneberger, O., ... &amp; Hassabis, D. (2021). Highly accurate protein structure prediction with AlphaFold. Nature, 596(7873), 583-589. doi.org</w:t>
      </w:r>
    </w:p>
    <w:p w14:paraId="0946EDF5" w14:textId="77777777" w:rsidR="009B309B" w:rsidRDefault="009B309B" w:rsidP="003C0ACD">
      <w:pPr>
        <w:pStyle w:val="NormalWeb"/>
      </w:pPr>
      <w:r>
        <w:t>2.</w:t>
      </w:r>
      <w:r w:rsidR="002F24C1" w:rsidRPr="002F24C1">
        <w:t>Watson, J. L., Juergens, D., Bennett, N. R., Trippe, B. L., Yim, J., Eisenach, H. E., ... &amp; Baker, D. (2023). De novo design of protein structure and function with RFdiffusion. Nature, 620(7976), 1089-1100. doi.org</w:t>
      </w:r>
    </w:p>
    <w:p w14:paraId="01238B6D" w14:textId="77777777" w:rsidR="009B309B" w:rsidRDefault="009B309B" w:rsidP="003C0ACD">
      <w:pPr>
        <w:pStyle w:val="NormalWeb"/>
      </w:pPr>
      <w:r>
        <w:t>3.</w:t>
      </w:r>
      <w:r w:rsidR="002F24C1" w:rsidRPr="002F24C1">
        <w:t>Dauparas, J., Anishchenko, I., Bennett, N., Bai, H., Ragotte, R. J., Milles, L. F., ... &amp; Baker, D. (2022). Robust deep learning–based protein sequence design using ProteinMPNN. Science, 378(6615), 49-56. doi.org</w:t>
      </w:r>
    </w:p>
    <w:p w14:paraId="4BA889A6" w14:textId="77777777" w:rsidR="009B309B" w:rsidRDefault="009B309B" w:rsidP="003C0ACD">
      <w:pPr>
        <w:pStyle w:val="NormalWeb"/>
      </w:pPr>
      <w:r>
        <w:t>4.</w:t>
      </w:r>
      <w:r w:rsidR="002F24C1" w:rsidRPr="002F24C1">
        <w:t>Lin, Z., Akin, H., Rao, R., Hie, B., Zhu, Z., Lu, W., ... &amp; Rives, A. (2023). Evolutionary-scale prediction of atomic-level protein structure with a language model. Science, 379(6637), 1123-1130. doi.org</w:t>
      </w:r>
    </w:p>
    <w:p w14:paraId="1BB56FDD" w14:textId="77777777" w:rsidR="009B309B" w:rsidRDefault="009B309B" w:rsidP="003C0ACD">
      <w:pPr>
        <w:pStyle w:val="NormalWeb"/>
      </w:pPr>
      <w:r>
        <w:t>5.</w:t>
      </w:r>
      <w:r w:rsidR="002F24C1" w:rsidRPr="002F24C1">
        <w:t>Yu, T., Cui, H., Li, J. C., Luo, Y., Jiang, G., &amp; Zhao, H. (2023). Enzyme function prediction using contrastive learning. Science, 379(6636), 1358-1363. doi.org</w:t>
      </w:r>
    </w:p>
    <w:p w14:paraId="1A9125F6" w14:textId="77777777" w:rsidR="009B309B" w:rsidRDefault="009B309B" w:rsidP="003C0ACD">
      <w:pPr>
        <w:pStyle w:val="NormalWeb"/>
      </w:pPr>
      <w:r>
        <w:lastRenderedPageBreak/>
        <w:t>6.</w:t>
      </w:r>
      <w:r w:rsidR="002F24C1" w:rsidRPr="002F24C1">
        <w:t>Li, F., Yuan, L., Lu, H., Li, G., Chen, Y., Engqvist, M. K., ... &amp; Nielsen, J. (2022). Deep learning-based kcat prediction enables improved enzyme-constrained model reconstruction. Nature Catalysis, 5(8), 662-672. doi.org</w:t>
      </w:r>
    </w:p>
    <w:p w14:paraId="4D6A1C71" w14:textId="77777777" w:rsidR="009B309B" w:rsidRDefault="009B309B" w:rsidP="003C0ACD">
      <w:pPr>
        <w:pStyle w:val="NormalWeb"/>
      </w:pPr>
      <w:r>
        <w:t>7.</w:t>
      </w:r>
      <w:r w:rsidR="002F24C1" w:rsidRPr="002F24C1">
        <w:t>Yu, T., Cui, H., Li, J. C., Luo, Y., &amp; Zhao, H. (2023). UniKP: a unified framework for the prediction of enzyme kinetic parameters. Nature Communications, 14(1), 8210. doi.org</w:t>
      </w:r>
    </w:p>
    <w:p w14:paraId="7AD1FF3A" w14:textId="77777777" w:rsidR="001B76E3" w:rsidRDefault="009B309B" w:rsidP="003C0ACD">
      <w:pPr>
        <w:pStyle w:val="NormalWeb"/>
      </w:pPr>
      <w:r>
        <w:t>8.</w:t>
      </w:r>
      <w:r w:rsidR="002F24C1" w:rsidRPr="002F24C1">
        <w:t>Ryu, J. Y., Kim, H. U., &amp; Lee, S. Y. (2019). Deep learning enables high-quality and high-throughput prediction of enzyme commission numbers. Proceedings of the National Academy of Sciences, 116(28), 13996-14001. doi.org</w:t>
      </w:r>
    </w:p>
    <w:p w14:paraId="65394EA7" w14:textId="77777777" w:rsidR="001B76E3" w:rsidRDefault="001B76E3" w:rsidP="003C0ACD">
      <w:pPr>
        <w:pStyle w:val="NormalWeb"/>
      </w:pPr>
      <w:r>
        <w:t>9.</w:t>
      </w:r>
      <w:r w:rsidR="002F24C1" w:rsidRPr="002F24C1">
        <w:t>Mazurenko, S., Prokop, Z., &amp; Damborsky, J. (2020). Machine learning in enzyme engineering. ACS Catalysis, 10(2), 1210-1223. doi.org</w:t>
      </w:r>
    </w:p>
    <w:p w14:paraId="628B3CCD" w14:textId="77777777" w:rsidR="001B76E3" w:rsidRDefault="001B76E3" w:rsidP="003C0ACD">
      <w:pPr>
        <w:pStyle w:val="NormalWeb"/>
      </w:pPr>
      <w:r>
        <w:t xml:space="preserve">10. </w:t>
      </w:r>
      <w:r w:rsidR="002F24C1" w:rsidRPr="002F24C1">
        <w:t>Feehan, R., Montezano, D., &amp; Slusky, J. S. G. (2021). Machine learning for enzyme engineering, selection and design. Protein Engineering, Design and Selection, 34, gzab019. doi.org</w:t>
      </w:r>
    </w:p>
    <w:p w14:paraId="12A8600A" w14:textId="77777777" w:rsidR="001B76E3" w:rsidRDefault="001B76E3" w:rsidP="003C0ACD">
      <w:pPr>
        <w:pStyle w:val="NormalWeb"/>
      </w:pPr>
      <w:r>
        <w:t xml:space="preserve">11. </w:t>
      </w:r>
      <w:r w:rsidR="002F24C1" w:rsidRPr="002F24C1">
        <w:t>Kroll, A., Ranjan, S., Engqvist, M. K., &amp; Lercher, M. J. (2023). A general model to predict small molecule substrates of enzymes based on machine and deep learning. Nature Communications, 14(1), 2787. doi.org</w:t>
      </w:r>
    </w:p>
    <w:p w14:paraId="607911C2" w14:textId="77777777" w:rsidR="001B76E3" w:rsidRDefault="001B76E3" w:rsidP="003C0ACD">
      <w:pPr>
        <w:pStyle w:val="NormalWeb"/>
      </w:pPr>
      <w:r>
        <w:t>12.</w:t>
      </w:r>
      <w:r w:rsidR="002F24C1" w:rsidRPr="002F24C1">
        <w:t>Goldman, S., Das, R., Yang, K. K., &amp; Coley, C. W. (2022). Machine learning modeling of protein–ligand interactions for small molecules, proteins, and beyond. Chemical Science, 13(30), 8683-8696. doi.org</w:t>
      </w:r>
    </w:p>
    <w:p w14:paraId="1FAB2D2D" w14:textId="77777777" w:rsidR="001B76E3" w:rsidRDefault="001B76E3" w:rsidP="003C0ACD">
      <w:pPr>
        <w:pStyle w:val="NormalWeb"/>
      </w:pPr>
      <w:r>
        <w:t>13.</w:t>
      </w:r>
      <w:r w:rsidR="002F24C1" w:rsidRPr="002F24C1">
        <w:t>Wu, Z., Johnston, K. E., Arnold, F. H., &amp; Yang, K. K. (2021). Protein sequence design with deep generative models. Current Opinion in Chemical Biology, 65, 18-27. doi.org</w:t>
      </w:r>
      <w:r>
        <w:t xml:space="preserve"> </w:t>
      </w:r>
    </w:p>
    <w:p w14:paraId="04F0C7D5" w14:textId="77777777" w:rsidR="001B76E3" w:rsidRDefault="001B76E3" w:rsidP="003C0ACD">
      <w:pPr>
        <w:pStyle w:val="NormalWeb"/>
      </w:pPr>
      <w:r>
        <w:t>14.</w:t>
      </w:r>
      <w:r w:rsidR="002F24C1" w:rsidRPr="002F24C1">
        <w:t>Strokach, A., &amp; Kim, P. M. (2022). Deep generative modeling for protein design. Current Opinion in Structural Biology, 72, 226-236. doi.org</w:t>
      </w:r>
    </w:p>
    <w:p w14:paraId="242ED780" w14:textId="77777777" w:rsidR="002F24C1" w:rsidRDefault="001B76E3" w:rsidP="003C0ACD">
      <w:pPr>
        <w:pStyle w:val="NormalWeb"/>
      </w:pPr>
      <w:r>
        <w:t>15.</w:t>
      </w:r>
      <w:r w:rsidR="002F24C1" w:rsidRPr="002F24C1">
        <w:t>Wittmann, B. J., Johnston, K. E., Wu, Z., &amp; Arnold, F. H. (2021). Advances in machine learning for directed evolution. Current Opinion in Struct</w:t>
      </w:r>
      <w:r w:rsidR="002F24C1">
        <w:t xml:space="preserve">ural Biology, 69, 11-18. </w:t>
      </w:r>
    </w:p>
    <w:p w14:paraId="340E07EB" w14:textId="77777777" w:rsidR="001B76E3" w:rsidRDefault="002F24C1" w:rsidP="003C0ACD">
      <w:pPr>
        <w:pStyle w:val="NormalWeb"/>
      </w:pPr>
      <w:r>
        <w:t xml:space="preserve"> </w:t>
      </w:r>
      <w:r w:rsidR="001B76E3">
        <w:t xml:space="preserve">16. </w:t>
      </w:r>
      <w:r>
        <w:t xml:space="preserve">D. S. Chow, D. Khatri, P. D. Chang, A. Zlochower, J. A. Boockvar, C. G. Filippi, Neuroimaging Clin. N. Am. 2020, 30, 493. </w:t>
      </w:r>
    </w:p>
    <w:p w14:paraId="1952819D" w14:textId="77777777" w:rsidR="001B76E3" w:rsidRDefault="001B76E3" w:rsidP="003C0ACD">
      <w:pPr>
        <w:pStyle w:val="NormalWeb"/>
      </w:pPr>
      <w:r>
        <w:t>17.</w:t>
      </w:r>
      <w:r w:rsidR="002F24C1">
        <w:t xml:space="preserve"> S. Albaradei, M. Thafar, A. Alsaedi, C. Van Neste, T. Gojobori, M. Essack, X. Gao, Comput. Struct. Biotechnol. J. 2021, 19, 5008. [31] W. D. Jang, G. B. Kim, Y. Kim, S. Y. Lee, Curr. Opin. Biotech- nol. 2022, 73, 101.</w:t>
      </w:r>
    </w:p>
    <w:p w14:paraId="0D432334" w14:textId="77777777" w:rsidR="001B76E3" w:rsidRDefault="001B76E3" w:rsidP="003C0ACD">
      <w:pPr>
        <w:pStyle w:val="NormalWeb"/>
      </w:pPr>
      <w:r>
        <w:t xml:space="preserve"> 18.</w:t>
      </w:r>
      <w:r w:rsidR="002F24C1">
        <w:t xml:space="preserve"> M. Kumari, N. Subbarao, Comput. Biol. Med. 2021, 132, 104317. </w:t>
      </w:r>
    </w:p>
    <w:p w14:paraId="63AA3A16" w14:textId="77777777" w:rsidR="001B76E3" w:rsidRDefault="001B76E3" w:rsidP="003C0ACD">
      <w:pPr>
        <w:pStyle w:val="NormalWeb"/>
      </w:pPr>
      <w:r>
        <w:lastRenderedPageBreak/>
        <w:t xml:space="preserve">19. </w:t>
      </w:r>
      <w:r w:rsidR="002F24C1">
        <w:t xml:space="preserve">C. D. Fernandes, V. R. S. Nascimento, D. B. Meneses, D. S. Vilar, N. H. Torres, M. S. Leite, J. R. Vega Baudrit, M. Bilal, H. M. N. Iqbal, R. N. Bharagava, S. M. Egues, L. F. Romanholo Ferreira, J. Hazard. Mater. 2020, 399, 123094. </w:t>
      </w:r>
    </w:p>
    <w:p w14:paraId="148340AD" w14:textId="77777777" w:rsidR="001B76E3" w:rsidRDefault="001B76E3" w:rsidP="003C0ACD">
      <w:pPr>
        <w:pStyle w:val="NormalWeb"/>
      </w:pPr>
      <w:r>
        <w:t xml:space="preserve">20.  </w:t>
      </w:r>
      <w:r w:rsidR="002F24C1">
        <w:t>S. A. Memon, K. Aamir Khan, H. Naveed, Biophys. J. 2020, 118, 533.</w:t>
      </w:r>
    </w:p>
    <w:p w14:paraId="0A54E8CB" w14:textId="77777777" w:rsidR="001B76E3" w:rsidRDefault="001B76E3" w:rsidP="003C0ACD">
      <w:pPr>
        <w:pStyle w:val="NormalWeb"/>
      </w:pPr>
      <w:r>
        <w:t xml:space="preserve"> 21. </w:t>
      </w:r>
      <w:r w:rsidR="002F24C1">
        <w:t xml:space="preserve">W. Plonka, C. Stork, M. Sˇícho, J. Kirchmair, Bioorg. Med. Chem. 2021, 46, 116388. </w:t>
      </w:r>
    </w:p>
    <w:p w14:paraId="76737335" w14:textId="77777777" w:rsidR="001B76E3" w:rsidRDefault="001B76E3" w:rsidP="003C0ACD">
      <w:pPr>
        <w:pStyle w:val="NormalWeb"/>
      </w:pPr>
      <w:r>
        <w:t xml:space="preserve">22. </w:t>
      </w:r>
      <w:r w:rsidR="002F24C1">
        <w:t xml:space="preserve"> Y. Cong, X. Yang, W. Lv, Y. Xue, J. Mol. Graphics Modell. 2009, 28, 236. </w:t>
      </w:r>
    </w:p>
    <w:p w14:paraId="4617B2B0" w14:textId="77777777" w:rsidR="001B76E3" w:rsidRDefault="001B76E3" w:rsidP="003C0ACD">
      <w:pPr>
        <w:pStyle w:val="NormalWeb"/>
      </w:pPr>
      <w:r>
        <w:t xml:space="preserve">23. </w:t>
      </w:r>
      <w:r w:rsidR="002F24C1">
        <w:t xml:space="preserve"> Z. Zhang, J. Lin, Z. Chen, J. Hazard. Mater. 2023, 457, 131789.</w:t>
      </w:r>
    </w:p>
    <w:p w14:paraId="162EDC49" w14:textId="77777777" w:rsidR="001B76E3" w:rsidRDefault="001B76E3" w:rsidP="003C0ACD">
      <w:pPr>
        <w:pStyle w:val="NormalWeb"/>
      </w:pPr>
      <w:r>
        <w:t xml:space="preserve"> 24. </w:t>
      </w:r>
      <w:r w:rsidR="002F24C1">
        <w:t xml:space="preserve"> Y. Shahare, M. P. Singh, P. Singh, M. Diwakar, V. Singh, S. Kadry, L. Sevcik, Agriculture 2023, 13, 1323.</w:t>
      </w:r>
    </w:p>
    <w:p w14:paraId="1EC5A7E6" w14:textId="77777777" w:rsidR="001B76E3" w:rsidRDefault="001B76E3" w:rsidP="003C0ACD">
      <w:pPr>
        <w:pStyle w:val="NormalWeb"/>
      </w:pPr>
      <w:r>
        <w:t xml:space="preserve"> 25. </w:t>
      </w:r>
      <w:r w:rsidR="002F24C1">
        <w:t xml:space="preserve"> G. Li, Y. Dong, M. T. Reetz, Adv. Synth. Catal. 2019, 361, 2377.</w:t>
      </w:r>
    </w:p>
    <w:p w14:paraId="1FC6F20E" w14:textId="77777777" w:rsidR="001B76E3" w:rsidRDefault="001B76E3" w:rsidP="003C0ACD">
      <w:pPr>
        <w:pStyle w:val="NormalWeb"/>
      </w:pPr>
      <w:r>
        <w:t xml:space="preserve"> 26. </w:t>
      </w:r>
      <w:r w:rsidR="002F24C1">
        <w:t xml:space="preserve"> M. V. Nallapareddy, R. Dwivedula, Comput. Biol. Chem. 2021, 94, 107558. </w:t>
      </w:r>
    </w:p>
    <w:p w14:paraId="2E40D236" w14:textId="77777777" w:rsidR="001B76E3" w:rsidRDefault="001B76E3" w:rsidP="003C0ACD">
      <w:pPr>
        <w:pStyle w:val="NormalWeb"/>
      </w:pPr>
      <w:r>
        <w:t xml:space="preserve">27. </w:t>
      </w:r>
      <w:r w:rsidR="002F24C1">
        <w:t xml:space="preserve"> M. E. Günay, I. E. Nikerel, E. Toksoy Oner, B. Kirdar, R. Yildirim, Biochem. Eng. J. 2008, 42, 329.</w:t>
      </w:r>
    </w:p>
    <w:p w14:paraId="07CD3444" w14:textId="77777777" w:rsidR="001B76E3" w:rsidRDefault="001B76E3" w:rsidP="003C0ACD">
      <w:pPr>
        <w:pStyle w:val="NormalWeb"/>
      </w:pPr>
      <w:r>
        <w:t xml:space="preserve"> 28.</w:t>
      </w:r>
      <w:r w:rsidR="002F24C1">
        <w:t xml:space="preserve"> S. M. Basheer, S. Chellappan, Bioresources and Bioprocess in Biotechnology, Springer Singapore, Singapore 2017, p. 151.</w:t>
      </w:r>
    </w:p>
    <w:p w14:paraId="665AD597" w14:textId="77777777" w:rsidR="001B76E3" w:rsidRDefault="001B76E3" w:rsidP="003C0ACD">
      <w:pPr>
        <w:pStyle w:val="NormalWeb"/>
      </w:pPr>
      <w:r>
        <w:t xml:space="preserve"> 29.</w:t>
      </w:r>
      <w:r w:rsidR="002F24C1">
        <w:t xml:space="preserve"> R. Vanella, G. Kovacevic, V. Doffini, J. Fern´andez de Santaella, M. A. Nash, Chem. Commun. 2022, 58, 2455.</w:t>
      </w:r>
    </w:p>
    <w:p w14:paraId="45C0E73C" w14:textId="77777777" w:rsidR="001B76E3" w:rsidRDefault="001B76E3" w:rsidP="003C0ACD">
      <w:pPr>
        <w:pStyle w:val="NormalWeb"/>
      </w:pPr>
      <w:r>
        <w:t xml:space="preserve"> 30.</w:t>
      </w:r>
      <w:r w:rsidR="002F24C1">
        <w:t xml:space="preserve"> N. E. Siedhoff, U. Schwaneberg, M. D. Davari, Machine Learning-Assisted Enzyme Engineering, Elsevier, Amsterdam, The Netherlands 2020, p. 281. </w:t>
      </w:r>
    </w:p>
    <w:p w14:paraId="1473B96C" w14:textId="77777777" w:rsidR="002F24C1" w:rsidRDefault="001B76E3" w:rsidP="003C0ACD">
      <w:pPr>
        <w:pStyle w:val="NormalWeb"/>
      </w:pPr>
      <w:r>
        <w:t>31.</w:t>
      </w:r>
      <w:r w:rsidR="002F24C1">
        <w:t>K. Steiner, H. Schwab, Comput. Struct. Biotechnol. J. 2012, 2, e201209010.</w:t>
      </w:r>
    </w:p>
    <w:p w14:paraId="369D28CB" w14:textId="77777777" w:rsidR="003C7CDC" w:rsidRPr="003C7CDC" w:rsidRDefault="003C7CDC" w:rsidP="003C7CDC">
      <w:pPr>
        <w:shd w:val="clear" w:color="auto" w:fill="FFFFFF"/>
        <w:spacing w:before="100" w:beforeAutospacing="1" w:after="24" w:line="240" w:lineRule="auto"/>
        <w:rPr>
          <w:rFonts w:ascii="Arial" w:eastAsia="Times New Roman" w:hAnsi="Arial" w:cs="Arial"/>
          <w:color w:val="202122"/>
        </w:rPr>
      </w:pPr>
      <w:r>
        <w:rPr>
          <w:rFonts w:ascii="Times New Roman" w:eastAsia="Times New Roman" w:hAnsi="Times New Roman" w:cs="Times New Roman"/>
          <w:sz w:val="24"/>
          <w:szCs w:val="24"/>
        </w:rPr>
        <w:t>32.</w:t>
      </w:r>
      <w:r w:rsidR="001B76E3" w:rsidRPr="001B76E3">
        <w:rPr>
          <w:rFonts w:ascii="Arial" w:eastAsia="Times New Roman" w:hAnsi="Arial" w:cs="Arial"/>
          <w:i/>
          <w:iCs/>
          <w:color w:val="202122"/>
        </w:rPr>
        <w:t>Stanton RV, Peräkylä M, Bakowies D, Kollman PA (1998). "Combined ab initio and Free Energy Calculations To Study Reactions in Enzymes and Solution: Amide Hydrolysis in Trypsin and Aqueous Solution". J. Am. Chem. Soc. </w:t>
      </w:r>
      <w:r w:rsidR="001B76E3" w:rsidRPr="001B76E3">
        <w:rPr>
          <w:rFonts w:ascii="Arial" w:eastAsia="Times New Roman" w:hAnsi="Arial" w:cs="Arial"/>
          <w:b/>
          <w:bCs/>
          <w:i/>
          <w:iCs/>
          <w:color w:val="202122"/>
        </w:rPr>
        <w:t>120</w:t>
      </w:r>
      <w:r w:rsidR="001B76E3" w:rsidRPr="001B76E3">
        <w:rPr>
          <w:rFonts w:ascii="Arial" w:eastAsia="Times New Roman" w:hAnsi="Arial" w:cs="Arial"/>
          <w:i/>
          <w:iCs/>
          <w:color w:val="202122"/>
        </w:rPr>
        <w:t> (14): 3448–3457</w:t>
      </w:r>
    </w:p>
    <w:p w14:paraId="4632D54D" w14:textId="77777777" w:rsidR="001B76E3" w:rsidRPr="001B76E3" w:rsidRDefault="003C7CDC" w:rsidP="003C7CDC">
      <w:pPr>
        <w:shd w:val="clear" w:color="auto" w:fill="FFFFFF"/>
        <w:spacing w:before="100" w:beforeAutospacing="1" w:after="24" w:line="240" w:lineRule="auto"/>
        <w:rPr>
          <w:rFonts w:ascii="Arial" w:eastAsia="Times New Roman" w:hAnsi="Arial" w:cs="Arial"/>
          <w:color w:val="202122"/>
        </w:rPr>
      </w:pPr>
      <w:r>
        <w:rPr>
          <w:rFonts w:ascii="Arial" w:eastAsia="Times New Roman" w:hAnsi="Arial" w:cs="Arial"/>
          <w:i/>
          <w:iCs/>
          <w:color w:val="202122"/>
        </w:rPr>
        <w:t>33.</w:t>
      </w:r>
      <w:r w:rsidR="001B76E3" w:rsidRPr="003C7CDC">
        <w:rPr>
          <w:rFonts w:ascii="Arial" w:eastAsia="Times New Roman" w:hAnsi="Arial" w:cs="Arial"/>
          <w:i/>
          <w:iCs/>
          <w:color w:val="202122"/>
        </w:rPr>
        <w:t>Kuhn B, Kollman PA (2000). "QM-FE and Molecular Dynamics Calculations on Catechol O-Methyltransferase: Free Energy of Activation in the Enzyme and in Aqueous Solution and Regioselectivity of the Enzyme-Catalyzed Reaction". J. Am. Chem. Soc. </w:t>
      </w:r>
      <w:r w:rsidR="001B76E3" w:rsidRPr="003C7CDC">
        <w:rPr>
          <w:rFonts w:ascii="Arial" w:eastAsia="Times New Roman" w:hAnsi="Arial" w:cs="Arial"/>
          <w:b/>
          <w:bCs/>
          <w:i/>
          <w:iCs/>
          <w:color w:val="202122"/>
        </w:rPr>
        <w:t>122</w:t>
      </w:r>
      <w:r w:rsidR="001B76E3" w:rsidRPr="003C7CDC">
        <w:rPr>
          <w:rFonts w:ascii="Arial" w:eastAsia="Times New Roman" w:hAnsi="Arial" w:cs="Arial"/>
          <w:i/>
          <w:iCs/>
          <w:color w:val="202122"/>
        </w:rPr>
        <w:t> (11): 2586–2596.</w:t>
      </w:r>
    </w:p>
    <w:p w14:paraId="272DD7D8" w14:textId="77777777" w:rsidR="001B76E3" w:rsidRPr="001B76E3" w:rsidRDefault="003C7CDC" w:rsidP="003C7CDC">
      <w:pPr>
        <w:shd w:val="clear" w:color="auto" w:fill="FFFFFF"/>
        <w:spacing w:before="100" w:beforeAutospacing="1" w:after="24" w:line="240" w:lineRule="auto"/>
        <w:rPr>
          <w:rFonts w:ascii="Arial" w:eastAsia="Times New Roman" w:hAnsi="Arial" w:cs="Arial"/>
          <w:color w:val="202122"/>
        </w:rPr>
      </w:pPr>
      <w:r>
        <w:rPr>
          <w:rFonts w:ascii="Arial" w:eastAsia="Times New Roman" w:hAnsi="Arial" w:cs="Arial"/>
          <w:color w:val="202122"/>
        </w:rPr>
        <w:t>34.</w:t>
      </w:r>
      <w:r w:rsidR="001B76E3" w:rsidRPr="001B76E3">
        <w:rPr>
          <w:rFonts w:ascii="Arial" w:eastAsia="Times New Roman" w:hAnsi="Arial" w:cs="Arial"/>
          <w:color w:val="202122"/>
        </w:rPr>
        <w:t> </w:t>
      </w:r>
      <w:r w:rsidR="001B76E3" w:rsidRPr="001B76E3">
        <w:rPr>
          <w:rFonts w:ascii="Arial" w:eastAsia="Times New Roman" w:hAnsi="Arial" w:cs="Arial"/>
          <w:i/>
          <w:iCs/>
          <w:color w:val="202122"/>
        </w:rPr>
        <w:t>Bruice TC, Lightstone FC (1999). "Ground State and Transition State Contributions to the Rates of Intramolecular and Enzymatic Reactions". Acc. Chem. Res. </w:t>
      </w:r>
      <w:r w:rsidR="001B76E3" w:rsidRPr="001B76E3">
        <w:rPr>
          <w:rFonts w:ascii="Arial" w:eastAsia="Times New Roman" w:hAnsi="Arial" w:cs="Arial"/>
          <w:b/>
          <w:bCs/>
          <w:i/>
          <w:iCs/>
          <w:color w:val="202122"/>
        </w:rPr>
        <w:t>32</w:t>
      </w:r>
      <w:r w:rsidR="001B76E3" w:rsidRPr="001B76E3">
        <w:rPr>
          <w:rFonts w:ascii="Arial" w:eastAsia="Times New Roman" w:hAnsi="Arial" w:cs="Arial"/>
          <w:i/>
          <w:iCs/>
          <w:color w:val="202122"/>
        </w:rPr>
        <w:t> (2): 127–136.</w:t>
      </w:r>
    </w:p>
    <w:p w14:paraId="24BE5063" w14:textId="77777777" w:rsidR="003C7CDC" w:rsidRPr="001B76E3" w:rsidRDefault="003C7CDC" w:rsidP="003C7CDC">
      <w:pPr>
        <w:shd w:val="clear" w:color="auto" w:fill="FFFFFF"/>
        <w:spacing w:before="100" w:beforeAutospacing="1" w:after="24" w:line="240" w:lineRule="auto"/>
        <w:rPr>
          <w:rFonts w:ascii="Arial" w:eastAsia="Times New Roman" w:hAnsi="Arial" w:cs="Arial"/>
          <w:i/>
          <w:iCs/>
          <w:color w:val="202122"/>
        </w:rPr>
      </w:pPr>
      <w:r>
        <w:rPr>
          <w:rFonts w:ascii="Arial" w:eastAsia="Times New Roman" w:hAnsi="Arial" w:cs="Arial"/>
          <w:color w:val="202122"/>
        </w:rPr>
        <w:t>35.</w:t>
      </w:r>
      <w:r w:rsidR="001B76E3" w:rsidRPr="001B76E3">
        <w:rPr>
          <w:rFonts w:ascii="Arial" w:eastAsia="Times New Roman" w:hAnsi="Arial" w:cs="Arial"/>
          <w:color w:val="202122"/>
        </w:rPr>
        <w:t> </w:t>
      </w:r>
      <w:r w:rsidR="001B76E3" w:rsidRPr="001B76E3">
        <w:rPr>
          <w:rFonts w:ascii="Arial" w:eastAsia="Times New Roman" w:hAnsi="Arial" w:cs="Arial"/>
          <w:i/>
          <w:iCs/>
          <w:color w:val="202122"/>
        </w:rPr>
        <w:t>Page MI, Jencks WP (August 1971).</w:t>
      </w:r>
      <w:r>
        <w:rPr>
          <w:rFonts w:ascii="Arial" w:eastAsia="Times New Roman" w:hAnsi="Arial" w:cs="Arial"/>
          <w:i/>
          <w:iCs/>
          <w:color w:val="202122"/>
        </w:rPr>
        <w:t>” Entropic  contributions to rate accelerations in enzymic &amp; intermolecular reactions &amp;the chelate effect ”.</w:t>
      </w:r>
      <w:r w:rsidR="001B76E3" w:rsidRPr="001B76E3">
        <w:rPr>
          <w:rFonts w:ascii="Arial" w:eastAsia="Times New Roman" w:hAnsi="Arial" w:cs="Arial"/>
          <w:i/>
          <w:iCs/>
          <w:color w:val="202122"/>
        </w:rPr>
        <w:t xml:space="preserve"> . Proceedings of the National Academy </w:t>
      </w:r>
      <w:r w:rsidR="001B76E3" w:rsidRPr="001B76E3">
        <w:rPr>
          <w:rFonts w:ascii="Arial" w:eastAsia="Times New Roman" w:hAnsi="Arial" w:cs="Arial"/>
          <w:i/>
          <w:iCs/>
          <w:color w:val="202122"/>
        </w:rPr>
        <w:lastRenderedPageBreak/>
        <w:t>of Sciences of the United States of America. </w:t>
      </w:r>
      <w:r w:rsidR="001B76E3" w:rsidRPr="001B76E3">
        <w:rPr>
          <w:rFonts w:ascii="Arial" w:eastAsia="Times New Roman" w:hAnsi="Arial" w:cs="Arial"/>
          <w:b/>
          <w:bCs/>
          <w:i/>
          <w:iCs/>
          <w:color w:val="202122"/>
        </w:rPr>
        <w:t>68</w:t>
      </w:r>
      <w:r w:rsidR="001B76E3" w:rsidRPr="001B76E3">
        <w:rPr>
          <w:rFonts w:ascii="Arial" w:eastAsia="Times New Roman" w:hAnsi="Arial" w:cs="Arial"/>
          <w:i/>
          <w:iCs/>
          <w:color w:val="202122"/>
        </w:rPr>
        <w:t> (8): 16781683</w:t>
      </w:r>
      <w:r w:rsidR="001B76E3" w:rsidRPr="001B76E3">
        <w:rPr>
          <w:rFonts w:ascii="Arial" w:eastAsia="Times New Roman" w:hAnsi="Arial" w:cs="Arial"/>
          <w:color w:val="202122"/>
        </w:rPr>
        <w:t> </w:t>
      </w:r>
      <w:r w:rsidR="001B76E3" w:rsidRPr="001B76E3">
        <w:rPr>
          <w:rFonts w:ascii="Arial" w:eastAsia="Times New Roman" w:hAnsi="Arial" w:cs="Arial"/>
          <w:i/>
          <w:iCs/>
          <w:color w:val="202122"/>
        </w:rPr>
        <w:t>Warshel A, Parson WW simul</w:t>
      </w:r>
      <w:r w:rsidRPr="001B76E3">
        <w:rPr>
          <w:rFonts w:ascii="Arial" w:eastAsia="Times New Roman" w:hAnsi="Arial" w:cs="Arial"/>
          <w:i/>
          <w:iCs/>
          <w:color w:val="202122"/>
        </w:rPr>
        <w:t xml:space="preserve"> </w:t>
      </w:r>
      <w:r w:rsidR="001B76E3" w:rsidRPr="001B76E3">
        <w:rPr>
          <w:rFonts w:ascii="Arial" w:eastAsia="Times New Roman" w:hAnsi="Arial" w:cs="Arial"/>
          <w:i/>
          <w:iCs/>
          <w:color w:val="202122"/>
        </w:rPr>
        <w:t>ations". Quarterly Reviews of Biophysics. </w:t>
      </w:r>
      <w:r w:rsidR="001B76E3" w:rsidRPr="001B76E3">
        <w:rPr>
          <w:rFonts w:ascii="Arial" w:eastAsia="Times New Roman" w:hAnsi="Arial" w:cs="Arial"/>
          <w:b/>
          <w:bCs/>
          <w:i/>
          <w:iCs/>
          <w:color w:val="202122"/>
        </w:rPr>
        <w:t>34</w:t>
      </w:r>
      <w:r w:rsidR="001B76E3" w:rsidRPr="001B76E3">
        <w:rPr>
          <w:rFonts w:ascii="Arial" w:eastAsia="Times New Roman" w:hAnsi="Arial" w:cs="Arial"/>
          <w:i/>
          <w:iCs/>
          <w:color w:val="202122"/>
        </w:rPr>
        <w:t> (4): </w:t>
      </w:r>
    </w:p>
    <w:sectPr w:rsidR="003C7CDC" w:rsidRPr="001B7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67CB"/>
    <w:multiLevelType w:val="hybridMultilevel"/>
    <w:tmpl w:val="B0C63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4D65"/>
    <w:multiLevelType w:val="multilevel"/>
    <w:tmpl w:val="9EBC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7322D2"/>
    <w:multiLevelType w:val="hybridMultilevel"/>
    <w:tmpl w:val="9DF09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845237">
    <w:abstractNumId w:val="0"/>
  </w:num>
  <w:num w:numId="2" w16cid:durableId="369648460">
    <w:abstractNumId w:val="1"/>
  </w:num>
  <w:num w:numId="3" w16cid:durableId="529803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BC6"/>
    <w:rsid w:val="00037332"/>
    <w:rsid w:val="00131C67"/>
    <w:rsid w:val="001B76E3"/>
    <w:rsid w:val="0024042D"/>
    <w:rsid w:val="002D3D99"/>
    <w:rsid w:val="002F24C1"/>
    <w:rsid w:val="00313FF4"/>
    <w:rsid w:val="003C0ACD"/>
    <w:rsid w:val="003C7CDC"/>
    <w:rsid w:val="00497BEB"/>
    <w:rsid w:val="00542E2F"/>
    <w:rsid w:val="00583BC6"/>
    <w:rsid w:val="00647159"/>
    <w:rsid w:val="00670708"/>
    <w:rsid w:val="00725220"/>
    <w:rsid w:val="00737186"/>
    <w:rsid w:val="007B769A"/>
    <w:rsid w:val="009210D4"/>
    <w:rsid w:val="00955794"/>
    <w:rsid w:val="009B309B"/>
    <w:rsid w:val="00BC6F0A"/>
    <w:rsid w:val="00C754D6"/>
    <w:rsid w:val="00D05CE9"/>
    <w:rsid w:val="00D30E51"/>
    <w:rsid w:val="00EB3423"/>
    <w:rsid w:val="00F2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4BCE"/>
  <w15:chartTrackingRefBased/>
  <w15:docId w15:val="{840E9F07-D762-4927-ADFD-C34ECFF0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5CE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1B76E3"/>
    <w:rPr>
      <w:i/>
      <w:iCs/>
    </w:rPr>
  </w:style>
  <w:style w:type="character" w:customStyle="1" w:styleId="nowrap">
    <w:name w:val="nowrap"/>
    <w:basedOn w:val="DefaultParagraphFont"/>
    <w:rsid w:val="001B76E3"/>
  </w:style>
  <w:style w:type="character" w:styleId="Hyperlink">
    <w:name w:val="Hyperlink"/>
    <w:basedOn w:val="DefaultParagraphFont"/>
    <w:uiPriority w:val="99"/>
    <w:semiHidden/>
    <w:unhideWhenUsed/>
    <w:rsid w:val="001B76E3"/>
    <w:rPr>
      <w:color w:val="0000FF"/>
      <w:u w:val="single"/>
    </w:rPr>
  </w:style>
  <w:style w:type="character" w:customStyle="1" w:styleId="id-lock-free">
    <w:name w:val="id-lock-free"/>
    <w:basedOn w:val="DefaultParagraphFont"/>
    <w:rsid w:val="001B7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689">
      <w:bodyDiv w:val="1"/>
      <w:marLeft w:val="0"/>
      <w:marRight w:val="0"/>
      <w:marTop w:val="0"/>
      <w:marBottom w:val="0"/>
      <w:divBdr>
        <w:top w:val="none" w:sz="0" w:space="0" w:color="auto"/>
        <w:left w:val="none" w:sz="0" w:space="0" w:color="auto"/>
        <w:bottom w:val="none" w:sz="0" w:space="0" w:color="auto"/>
        <w:right w:val="none" w:sz="0" w:space="0" w:color="auto"/>
      </w:divBdr>
    </w:div>
    <w:div w:id="153568266">
      <w:bodyDiv w:val="1"/>
      <w:marLeft w:val="0"/>
      <w:marRight w:val="0"/>
      <w:marTop w:val="0"/>
      <w:marBottom w:val="0"/>
      <w:divBdr>
        <w:top w:val="none" w:sz="0" w:space="0" w:color="auto"/>
        <w:left w:val="none" w:sz="0" w:space="0" w:color="auto"/>
        <w:bottom w:val="none" w:sz="0" w:space="0" w:color="auto"/>
        <w:right w:val="none" w:sz="0" w:space="0" w:color="auto"/>
      </w:divBdr>
    </w:div>
    <w:div w:id="209342512">
      <w:bodyDiv w:val="1"/>
      <w:marLeft w:val="0"/>
      <w:marRight w:val="0"/>
      <w:marTop w:val="0"/>
      <w:marBottom w:val="0"/>
      <w:divBdr>
        <w:top w:val="none" w:sz="0" w:space="0" w:color="auto"/>
        <w:left w:val="none" w:sz="0" w:space="0" w:color="auto"/>
        <w:bottom w:val="none" w:sz="0" w:space="0" w:color="auto"/>
        <w:right w:val="none" w:sz="0" w:space="0" w:color="auto"/>
      </w:divBdr>
    </w:div>
    <w:div w:id="1050114189">
      <w:bodyDiv w:val="1"/>
      <w:marLeft w:val="0"/>
      <w:marRight w:val="0"/>
      <w:marTop w:val="0"/>
      <w:marBottom w:val="0"/>
      <w:divBdr>
        <w:top w:val="none" w:sz="0" w:space="0" w:color="auto"/>
        <w:left w:val="none" w:sz="0" w:space="0" w:color="auto"/>
        <w:bottom w:val="none" w:sz="0" w:space="0" w:color="auto"/>
        <w:right w:val="none" w:sz="0" w:space="0" w:color="auto"/>
      </w:divBdr>
    </w:div>
    <w:div w:id="178561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B16B0-7978-4EA4-9913-8976682F0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2542</TotalTime>
  <Pages>16</Pages>
  <Words>6489</Words>
  <Characters>36988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Win10pro</dc:creator>
  <cp:keywords/>
  <dc:description/>
  <cp:lastModifiedBy>Riya Tayal</cp:lastModifiedBy>
  <cp:revision>2</cp:revision>
  <dcterms:created xsi:type="dcterms:W3CDTF">2026-04-17T11:37:00Z</dcterms:created>
  <dcterms:modified xsi:type="dcterms:W3CDTF">2026-04-21T12:43:00Z</dcterms:modified>
</cp:coreProperties>
</file>