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68580" w14:textId="481476CA" w:rsidR="00E43051" w:rsidRDefault="00E43051" w:rsidP="00F42F0D">
      <w:pPr>
        <w:rPr>
          <w:rStyle w:val="Strong"/>
          <w:rFonts w:ascii="Segoe UI" w:hAnsi="Segoe UI" w:cs="Segoe UI"/>
          <w:color w:val="0F1115"/>
          <w:shd w:val="clear" w:color="auto" w:fill="FFFFFF"/>
        </w:rPr>
      </w:pPr>
      <w:r>
        <w:rPr>
          <w:rStyle w:val="Strong"/>
          <w:rFonts w:ascii="Segoe UI" w:hAnsi="Segoe UI" w:cs="Segoe UI"/>
          <w:color w:val="0F1115"/>
          <w:shd w:val="clear" w:color="auto" w:fill="FFFFFF"/>
        </w:rPr>
        <w:t xml:space="preserve">OPTIMIZING BUILDING-INTEGRATED RENEWABLE ENERGY SYSTEMS </w:t>
      </w:r>
      <w:r w:rsidR="00F42F0D">
        <w:rPr>
          <w:rStyle w:val="Strong"/>
          <w:rFonts w:ascii="Segoe UI" w:hAnsi="Segoe UI" w:cs="Segoe UI"/>
          <w:color w:val="0F1115"/>
          <w:shd w:val="clear" w:color="auto" w:fill="FFFFFF"/>
        </w:rPr>
        <w:t xml:space="preserve">(BIRES) </w:t>
      </w:r>
      <w:r>
        <w:rPr>
          <w:rStyle w:val="Strong"/>
          <w:rFonts w:ascii="Segoe UI" w:hAnsi="Segoe UI" w:cs="Segoe UI"/>
          <w:color w:val="0F1115"/>
          <w:shd w:val="clear" w:color="auto" w:fill="FFFFFF"/>
        </w:rPr>
        <w:t>FOR CLIMATE AND ENVIRONMENTAL SECURITY IN SOUTH-EAST NIGERIA</w:t>
      </w:r>
    </w:p>
    <w:p w14:paraId="7244BDD1" w14:textId="7C5330DD" w:rsidR="00E43051" w:rsidRPr="009B6C06" w:rsidRDefault="00E43051" w:rsidP="00F42F0D">
      <w:pPr>
        <w:ind w:left="2880" w:firstLine="720"/>
        <w:rPr>
          <w:b/>
          <w:bCs/>
        </w:rPr>
      </w:pPr>
      <w:r w:rsidRPr="009B6C06">
        <w:rPr>
          <w:b/>
          <w:bCs/>
        </w:rPr>
        <w:t/>
      </w:r>
    </w:p>
    <w:p w14:paraId="5232F522" w14:textId="7D58638E" w:rsidR="00E43051" w:rsidRPr="009B6C06" w:rsidRDefault="00E43051" w:rsidP="009633D1">
      <w:pPr>
        <w:ind w:left="720" w:firstLine="720"/>
        <w:rPr>
          <w:b/>
          <w:bCs/>
        </w:rPr>
      </w:pPr>
      <w:r w:rsidRPr="009B6C06">
        <w:rPr>
          <w:b/>
          <w:bCs/>
        </w:rPr>
        <w:t/>
      </w:r>
      <w:r w:rsidR="00BF5531">
        <w:rPr>
          <w:b/>
          <w:bCs/>
        </w:rPr>
        <w:t xml:space="preserve"/>
      </w:r>
      <w:r w:rsidR="009633D1" w:rsidRPr="009633D1">
        <w:rPr>
          <w:b/>
          <w:bCs/>
        </w:rPr>
        <w:t xml:space="preserve"/>
      </w:r>
      <w:proofErr w:type="spellStart"/>
      <w:r w:rsidR="009633D1" w:rsidRPr="009633D1">
        <w:rPr>
          <w:b/>
          <w:bCs/>
        </w:rPr>
        <w:t/>
      </w:r>
      <w:proofErr w:type="spellEnd"/>
      <w:r w:rsidR="009633D1" w:rsidRPr="009633D1">
        <w:rPr>
          <w:b/>
          <w:bCs/>
        </w:rPr>
        <w:t xml:space="preserve"/>
      </w:r>
      <w:proofErr w:type="spellStart"/>
      <w:r w:rsidR="009633D1" w:rsidRPr="009633D1">
        <w:rPr>
          <w:b/>
          <w:bCs/>
        </w:rPr>
        <w:t/>
      </w:r>
      <w:proofErr w:type="spellEnd"/>
      <w:r w:rsidR="00BF5531">
        <w:rPr>
          <w:b/>
          <w:bCs/>
        </w:rPr>
        <w:t xml:space="preserve"/>
      </w:r>
      <w:proofErr w:type="spellStart"/>
      <w:r w:rsidR="00BF5531">
        <w:rPr>
          <w:b/>
          <w:bCs/>
        </w:rPr>
        <w:t/>
      </w:r>
      <w:proofErr w:type="spellEnd"/>
      <w:r w:rsidR="00BF5531">
        <w:rPr>
          <w:b/>
          <w:bCs/>
        </w:rPr>
        <w:t xml:space="preserve"/>
      </w:r>
    </w:p>
    <w:p w14:paraId="07F2FD16" w14:textId="77777777" w:rsidR="00E43051" w:rsidRDefault="00E43051" w:rsidP="00DB263B">
      <w:r>
        <w:t/>
      </w:r>
    </w:p>
    <w:p w14:paraId="0A26DB4B" w14:textId="5493AD40" w:rsidR="009633D1" w:rsidRDefault="009633D1" w:rsidP="009633D1">
      <w:r w:rsidRPr="009633D1">
        <w:t/>
      </w:r>
      <w:r w:rsidR="00BF5531">
        <w:t xml:space="preserve"/>
      </w:r>
      <w:r w:rsidRPr="009633D1">
        <w:t xml:space="preserve"/>
      </w:r>
      <w:proofErr w:type="spellStart"/>
      <w:r w:rsidRPr="009633D1">
        <w:t/>
      </w:r>
      <w:proofErr w:type="spellEnd"/>
      <w:r w:rsidRPr="009633D1">
        <w:t xml:space="preserve"/>
      </w:r>
      <w:proofErr w:type="spellStart"/>
      <w:r w:rsidRPr="009633D1">
        <w:t/>
      </w:r>
      <w:proofErr w:type="spellEnd"/>
      <w:r w:rsidRPr="009633D1">
        <w:t xml:space="preserve"/>
      </w:r>
      <w:proofErr w:type="spellStart"/>
      <w:r w:rsidRPr="009633D1">
        <w:t/>
      </w:r>
      <w:proofErr w:type="spellEnd"/>
      <w:r w:rsidRPr="009633D1">
        <w:t xml:space="preserve"/>
      </w:r>
    </w:p>
    <w:p w14:paraId="406A5301" w14:textId="495558DA" w:rsidR="00BF5531" w:rsidRDefault="00BF5531" w:rsidP="009633D1">
      <w:r>
        <w:t xml:space="preserve"/>
      </w:r>
      <w:proofErr w:type="spellStart"/>
      <w:r>
        <w:t/>
      </w:r>
      <w:proofErr w:type="spellEnd"/>
      <w:r>
        <w:t xml:space="preserve"/>
      </w:r>
      <w:proofErr w:type="spellStart"/>
      <w:r>
        <w:t/>
      </w:r>
      <w:proofErr w:type="spellEnd"/>
      <w:r>
        <w:t xml:space="preserve"/>
      </w:r>
    </w:p>
    <w:p w14:paraId="6B9AA26C" w14:textId="392B7004" w:rsidR="00E43051" w:rsidRPr="008C650B" w:rsidRDefault="00E43051" w:rsidP="008C650B">
      <w:pPr>
        <w:ind w:left="720" w:firstLine="720"/>
      </w:pPr>
      <w:r>
        <w:t xml:space="preserve"/>
      </w:r>
      <w:hyperlink r:id="rId5" w:history="1">
        <w:r w:rsidRPr="00602043">
          <w:rPr>
            <w:rStyle w:val="Hyperlink"/>
          </w:rPr>
          <w:t/>
        </w:r>
      </w:hyperlink>
    </w:p>
    <w:p w14:paraId="6F688FD4" w14:textId="01249582" w:rsidR="008C650B" w:rsidRPr="008360A8" w:rsidRDefault="008C650B" w:rsidP="008C650B">
      <w:pPr>
        <w:pStyle w:val="NormalWeb"/>
        <w:rPr>
          <w:i/>
          <w:iCs/>
        </w:rPr>
      </w:pPr>
      <w:r>
        <w:rPr>
          <w:rStyle w:val="Strong"/>
        </w:rPr>
        <w:t/>
      </w:r>
      <w:r>
        <w:br/>
      </w:r>
      <w:r w:rsidRPr="008360A8">
        <w:rPr>
          <w:i/>
          <w:iCs/>
        </w:rPr>
        <w:t xml:space="preserve"/>
      </w:r>
      <w:r w:rsidR="008360A8">
        <w:rPr>
          <w:i/>
          <w:iCs/>
        </w:rPr>
        <w:t/>
      </w:r>
      <w:r w:rsidRPr="008360A8">
        <w:rPr>
          <w:i/>
          <w:iCs/>
        </w:rPr>
        <w:t xml:space="preserve"/>
      </w:r>
      <w:r w:rsidR="003C24E0">
        <w:rPr>
          <w:i/>
          <w:iCs/>
        </w:rPr>
        <w:t/>
      </w:r>
      <w:r w:rsidRPr="008360A8">
        <w:rPr>
          <w:i/>
          <w:iCs/>
        </w:rPr>
        <w:t/>
      </w:r>
      <w:r w:rsidR="003C24E0">
        <w:rPr>
          <w:i/>
          <w:iCs/>
        </w:rPr>
        <w:t xml:space="preserve"/>
      </w:r>
      <w:r w:rsidRPr="008360A8">
        <w:rPr>
          <w:i/>
          <w:iCs/>
        </w:rPr>
        <w:t xml:space="preserve"/>
      </w:r>
      <w:r w:rsidR="003C24E0">
        <w:rPr>
          <w:i/>
          <w:iCs/>
        </w:rPr>
        <w:t/>
      </w:r>
      <w:r w:rsidRPr="008360A8">
        <w:rPr>
          <w:i/>
          <w:iCs/>
        </w:rPr>
        <w:t/>
      </w:r>
      <w:r w:rsidR="003C24E0">
        <w:rPr>
          <w:i/>
          <w:iCs/>
        </w:rPr>
        <w:t xml:space="preserve"/>
      </w:r>
      <w:r w:rsidRPr="008360A8">
        <w:rPr>
          <w:i/>
          <w:iCs/>
        </w:rPr>
        <w:t xml:space="preserve"/>
      </w:r>
      <w:r w:rsidR="003C24E0">
        <w:rPr>
          <w:i/>
          <w:iCs/>
        </w:rPr>
        <w:t xml:space="preserve"/>
      </w:r>
      <w:r w:rsidRPr="008360A8">
        <w:rPr>
          <w:i/>
          <w:iCs/>
        </w:rPr>
        <w:t/>
      </w:r>
    </w:p>
    <w:p w14:paraId="4B257CEC" w14:textId="18671268" w:rsidR="00E43051" w:rsidRDefault="00E1634C" w:rsidP="00E43051">
      <w:pPr>
        <w:pStyle w:val="ds-markdown-paragraph"/>
        <w:shd w:val="clear" w:color="auto" w:fill="FFFFFF"/>
        <w:spacing w:before="240" w:beforeAutospacing="0" w:after="240" w:afterAutospacing="0"/>
        <w:rPr>
          <w:rFonts w:ascii="Segoe UI" w:hAnsi="Segoe UI" w:cs="Segoe UI"/>
          <w:color w:val="0F1115"/>
        </w:rPr>
      </w:pPr>
      <w:r>
        <w:rPr>
          <w:rStyle w:val="Strong"/>
        </w:rPr>
        <w:t/>
      </w:r>
      <w:r>
        <w:t xml:space="preserve"/>
      </w:r>
    </w:p>
    <w:p w14:paraId="22D746B3" w14:textId="77777777" w:rsidR="00AF17C5" w:rsidRPr="00AF17C5" w:rsidRDefault="00AF17C5" w:rsidP="00AF17C5">
      <w:pPr>
        <w:spacing w:before="100" w:beforeAutospacing="1" w:after="100" w:afterAutospacing="1" w:line="480" w:lineRule="auto"/>
        <w:outlineLvl w:val="1"/>
        <w:rPr>
          <w:rFonts w:ascii="Times New Roman" w:eastAsia="Times New Roman" w:hAnsi="Times New Roman" w:cs="Times New Roman"/>
          <w:b/>
          <w:bCs/>
          <w:kern w:val="0"/>
          <w14:ligatures w14:val="none"/>
        </w:rPr>
      </w:pPr>
      <w:r w:rsidRPr="00AF17C5">
        <w:rPr>
          <w:rFonts w:ascii="Times New Roman" w:eastAsia="Times New Roman" w:hAnsi="Times New Roman" w:cs="Times New Roman"/>
          <w:b/>
          <w:bCs/>
          <w:kern w:val="0"/>
          <w14:ligatures w14:val="none"/>
        </w:rPr>
        <w:t>Introduction</w:t>
      </w:r>
    </w:p>
    <w:p w14:paraId="37C00823" w14:textId="0826C43A" w:rsidR="00AF17C5" w:rsidRPr="00AF17C5" w:rsidRDefault="00AF17C5" w:rsidP="00AF17C5">
      <w:pPr>
        <w:spacing w:before="100" w:beforeAutospacing="1" w:after="100" w:afterAutospacing="1" w:line="480" w:lineRule="auto"/>
        <w:rPr>
          <w:rFonts w:ascii="Times New Roman" w:eastAsia="Times New Roman" w:hAnsi="Times New Roman" w:cs="Times New Roman"/>
          <w:kern w:val="0"/>
          <w14:ligatures w14:val="none"/>
        </w:rPr>
      </w:pPr>
      <w:r w:rsidRPr="00AF17C5">
        <w:rPr>
          <w:rFonts w:ascii="Times New Roman" w:eastAsia="Times New Roman" w:hAnsi="Times New Roman" w:cs="Times New Roman"/>
          <w:kern w:val="0"/>
          <w14:ligatures w14:val="none"/>
        </w:rPr>
        <w:t xml:space="preserve">Nigeria is situated at a critical climate–energy crossroads where persistent energy insecurity, rapid urbanization, and escalating environmental degradation increasingly threaten sustainable development. Despite its large population and growing built environment, over 85 million Nigerians still lack access to grid electricity, while the building sector alone accounts for nearly </w:t>
      </w:r>
      <w:r w:rsidRPr="00AF17C5">
        <w:rPr>
          <w:rFonts w:ascii="Times New Roman" w:eastAsia="Times New Roman" w:hAnsi="Times New Roman" w:cs="Times New Roman"/>
          <w:kern w:val="0"/>
          <w14:ligatures w14:val="none"/>
        </w:rPr>
        <w:lastRenderedPageBreak/>
        <w:t xml:space="preserve">45% of urban energy consumption, much of which is inefficient and poorly regulated (Nigerian Bureau of Statistics, 2025; UNEP, 2024). This structural inefficiency has led to heavy reliance on diesel-powered backup systems, further intensifying greenhouse gas emissions, air pollution, and environmental health risks (Nigerian Electricity Regulatory Commission, 2025; </w:t>
      </w:r>
      <w:proofErr w:type="spellStart"/>
      <w:proofErr w:type="gramStart"/>
      <w:r w:rsidRPr="00AF17C5">
        <w:rPr>
          <w:rFonts w:ascii="Times New Roman" w:eastAsia="Times New Roman" w:hAnsi="Times New Roman" w:cs="Times New Roman"/>
          <w:kern w:val="0"/>
          <w14:ligatures w14:val="none"/>
        </w:rPr>
        <w:t>Ohunakin</w:t>
      </w:r>
      <w:proofErr w:type="spellEnd"/>
      <w:r w:rsidRPr="00AF17C5">
        <w:rPr>
          <w:rFonts w:ascii="Times New Roman" w:eastAsia="Times New Roman" w:hAnsi="Times New Roman" w:cs="Times New Roman"/>
          <w:kern w:val="0"/>
          <w14:ligatures w14:val="none"/>
        </w:rPr>
        <w:t>,</w:t>
      </w:r>
      <w:r w:rsidR="008B2B94">
        <w:rPr>
          <w:rFonts w:ascii="Times New Roman" w:eastAsia="Times New Roman" w:hAnsi="Times New Roman" w:cs="Times New Roman"/>
          <w:kern w:val="0"/>
          <w14:ligatures w14:val="none"/>
        </w:rPr>
        <w:t xml:space="preserve"> </w:t>
      </w:r>
      <w:r w:rsidRPr="00AF17C5">
        <w:rPr>
          <w:rFonts w:ascii="Times New Roman" w:eastAsia="Times New Roman" w:hAnsi="Times New Roman" w:cs="Times New Roman"/>
          <w:kern w:val="0"/>
          <w14:ligatures w14:val="none"/>
        </w:rPr>
        <w:t xml:space="preserve"> </w:t>
      </w:r>
      <w:proofErr w:type="spellStart"/>
      <w:r w:rsidR="008B2B94" w:rsidRPr="001F0BF4">
        <w:rPr>
          <w:rFonts w:ascii="Times New Roman" w:eastAsia="Times New Roman" w:hAnsi="Times New Roman" w:cs="Times New Roman"/>
          <w:kern w:val="0"/>
          <w14:ligatures w14:val="none"/>
        </w:rPr>
        <w:t>Adaramola</w:t>
      </w:r>
      <w:proofErr w:type="spellEnd"/>
      <w:proofErr w:type="gramEnd"/>
      <w:r w:rsidR="008B2B94" w:rsidRPr="001F0BF4">
        <w:rPr>
          <w:rFonts w:ascii="Times New Roman" w:eastAsia="Times New Roman" w:hAnsi="Times New Roman" w:cs="Times New Roman"/>
          <w:kern w:val="0"/>
          <w14:ligatures w14:val="none"/>
        </w:rPr>
        <w:t xml:space="preserve">, &amp; </w:t>
      </w:r>
      <w:proofErr w:type="spellStart"/>
      <w:r w:rsidR="008B2B94" w:rsidRPr="001F0BF4">
        <w:rPr>
          <w:rFonts w:ascii="Times New Roman" w:eastAsia="Times New Roman" w:hAnsi="Times New Roman" w:cs="Times New Roman"/>
          <w:kern w:val="0"/>
          <w14:ligatures w14:val="none"/>
        </w:rPr>
        <w:t>Oyewola</w:t>
      </w:r>
      <w:proofErr w:type="spellEnd"/>
      <w:r w:rsidR="008B2B94" w:rsidRPr="00AF17C5">
        <w:rPr>
          <w:rFonts w:ascii="Times New Roman" w:eastAsia="Times New Roman" w:hAnsi="Times New Roman" w:cs="Times New Roman"/>
          <w:kern w:val="0"/>
          <w14:ligatures w14:val="none"/>
        </w:rPr>
        <w:t xml:space="preserve"> </w:t>
      </w:r>
      <w:r w:rsidRPr="00AF17C5">
        <w:rPr>
          <w:rFonts w:ascii="Times New Roman" w:eastAsia="Times New Roman" w:hAnsi="Times New Roman" w:cs="Times New Roman"/>
          <w:kern w:val="0"/>
          <w14:ligatures w14:val="none"/>
        </w:rPr>
        <w:t>2024).</w:t>
      </w:r>
    </w:p>
    <w:p w14:paraId="5D04E8A6" w14:textId="17839B13" w:rsidR="00AF17C5" w:rsidRPr="00AF17C5" w:rsidRDefault="00AF17C5" w:rsidP="00AF17C5">
      <w:pPr>
        <w:spacing w:before="100" w:beforeAutospacing="1" w:after="100" w:afterAutospacing="1" w:line="480" w:lineRule="auto"/>
        <w:rPr>
          <w:rFonts w:ascii="Times New Roman" w:eastAsia="Times New Roman" w:hAnsi="Times New Roman" w:cs="Times New Roman"/>
          <w:kern w:val="0"/>
          <w14:ligatures w14:val="none"/>
        </w:rPr>
      </w:pPr>
      <w:r w:rsidRPr="00AF17C5">
        <w:rPr>
          <w:rFonts w:ascii="Times New Roman" w:eastAsia="Times New Roman" w:hAnsi="Times New Roman" w:cs="Times New Roman"/>
          <w:kern w:val="0"/>
          <w14:ligatures w14:val="none"/>
        </w:rPr>
        <w:t>In response to these challenges, Building-Integrated Renewable Energy Systems (</w:t>
      </w:r>
      <w:r w:rsidR="00DD7831" w:rsidRPr="00AF17C5">
        <w:rPr>
          <w:rFonts w:ascii="Times New Roman" w:eastAsia="Times New Roman" w:hAnsi="Times New Roman" w:cs="Times New Roman"/>
          <w:kern w:val="0"/>
          <w14:ligatures w14:val="none"/>
        </w:rPr>
        <w:t>BIRES)</w:t>
      </w:r>
      <w:r w:rsidR="00DD7831">
        <w:rPr>
          <w:rFonts w:ascii="Times New Roman" w:eastAsia="Times New Roman" w:hAnsi="Times New Roman" w:cs="Times New Roman"/>
          <w:kern w:val="0"/>
          <w14:ligatures w14:val="none"/>
        </w:rPr>
        <w:t xml:space="preserve"> </w:t>
      </w:r>
      <w:r w:rsidRPr="00AF17C5">
        <w:rPr>
          <w:rFonts w:ascii="Times New Roman" w:eastAsia="Times New Roman" w:hAnsi="Times New Roman" w:cs="Times New Roman"/>
          <w:kern w:val="0"/>
          <w14:ligatures w14:val="none"/>
        </w:rPr>
        <w:t>including photovoltaic façades, solar shading systems, and integrated wind-energy technologies</w:t>
      </w:r>
      <w:r>
        <w:rPr>
          <w:rFonts w:ascii="Times New Roman" w:eastAsia="Times New Roman" w:hAnsi="Times New Roman" w:cs="Times New Roman"/>
          <w:kern w:val="0"/>
          <w14:ligatures w14:val="none"/>
        </w:rPr>
        <w:t xml:space="preserve"> </w:t>
      </w:r>
      <w:r w:rsidRPr="00AF17C5">
        <w:rPr>
          <w:rFonts w:ascii="Times New Roman" w:eastAsia="Times New Roman" w:hAnsi="Times New Roman" w:cs="Times New Roman"/>
          <w:kern w:val="0"/>
          <w14:ligatures w14:val="none"/>
        </w:rPr>
        <w:t>are increasingly recognized as transformative solutions capable of converting buildings from passive energy consumers into active energy generators. Globally, optimized BIRES have demonstrated strong potential for improving building energy performance, reducing operational emissions, and enhancing climate resilience when properly designed and integrated (Ma,</w:t>
      </w:r>
      <w:r w:rsidR="00D05113">
        <w:rPr>
          <w:rFonts w:ascii="Times New Roman" w:eastAsia="Times New Roman" w:hAnsi="Times New Roman" w:cs="Times New Roman"/>
          <w:kern w:val="0"/>
          <w14:ligatures w14:val="none"/>
        </w:rPr>
        <w:t xml:space="preserve"> </w:t>
      </w:r>
      <w:r w:rsidR="00D05113" w:rsidRPr="001F0BF4">
        <w:rPr>
          <w:rFonts w:ascii="Times New Roman" w:eastAsia="Times New Roman" w:hAnsi="Times New Roman" w:cs="Times New Roman"/>
          <w:kern w:val="0"/>
          <w14:ligatures w14:val="none"/>
        </w:rPr>
        <w:t>Yang, &amp; Zhang</w:t>
      </w:r>
      <w:r w:rsidRPr="00AF17C5">
        <w:rPr>
          <w:rFonts w:ascii="Times New Roman" w:eastAsia="Times New Roman" w:hAnsi="Times New Roman" w:cs="Times New Roman"/>
          <w:kern w:val="0"/>
          <w14:ligatures w14:val="none"/>
        </w:rPr>
        <w:t xml:space="preserve"> 2023; D’Agostino,</w:t>
      </w:r>
      <w:r w:rsidR="00D05113">
        <w:rPr>
          <w:rFonts w:ascii="Times New Roman" w:eastAsia="Times New Roman" w:hAnsi="Times New Roman" w:cs="Times New Roman"/>
          <w:kern w:val="0"/>
          <w14:ligatures w14:val="none"/>
        </w:rPr>
        <w:t xml:space="preserve"> </w:t>
      </w:r>
      <w:r w:rsidR="00D05113" w:rsidRPr="001F0BF4">
        <w:rPr>
          <w:rFonts w:ascii="Times New Roman" w:eastAsia="Times New Roman" w:hAnsi="Times New Roman" w:cs="Times New Roman"/>
          <w:kern w:val="0"/>
          <w14:ligatures w14:val="none"/>
        </w:rPr>
        <w:t>Mazzarella, &amp; Minelli</w:t>
      </w:r>
      <w:r w:rsidRPr="00AF17C5">
        <w:rPr>
          <w:rFonts w:ascii="Times New Roman" w:eastAsia="Times New Roman" w:hAnsi="Times New Roman" w:cs="Times New Roman"/>
          <w:kern w:val="0"/>
          <w14:ligatures w14:val="none"/>
        </w:rPr>
        <w:t xml:space="preserve"> 2024). However, their effectiveness is highly dependent on context-specific optimization, particularly in environments with extreme climatic and infrastructural constraints.</w:t>
      </w:r>
    </w:p>
    <w:p w14:paraId="205E2284" w14:textId="776C4637" w:rsidR="00AF17C5" w:rsidRPr="00AF17C5" w:rsidRDefault="00AF17C5" w:rsidP="00AF17C5">
      <w:pPr>
        <w:spacing w:before="100" w:beforeAutospacing="1" w:after="100" w:afterAutospacing="1" w:line="480" w:lineRule="auto"/>
        <w:rPr>
          <w:rFonts w:ascii="Times New Roman" w:eastAsia="Times New Roman" w:hAnsi="Times New Roman" w:cs="Times New Roman"/>
          <w:kern w:val="0"/>
          <w14:ligatures w14:val="none"/>
        </w:rPr>
      </w:pPr>
      <w:r w:rsidRPr="00AF17C5">
        <w:rPr>
          <w:rFonts w:ascii="Times New Roman" w:eastAsia="Times New Roman" w:hAnsi="Times New Roman" w:cs="Times New Roman"/>
          <w:kern w:val="0"/>
          <w14:ligatures w14:val="none"/>
        </w:rPr>
        <w:t>In Nigeria, the adoption and performance of BIRES remain significantly constrained by systemic and technical deficiencies. Studies have described prevailing practices as “guesswork installation,” reflecting the absence of standardized optimization frameworks and weak professional capacity for system design and integration (Adekunle,</w:t>
      </w:r>
      <w:r w:rsidR="00557965">
        <w:rPr>
          <w:rFonts w:ascii="Times New Roman" w:eastAsia="Times New Roman" w:hAnsi="Times New Roman" w:cs="Times New Roman"/>
          <w:kern w:val="0"/>
          <w14:ligatures w14:val="none"/>
        </w:rPr>
        <w:t xml:space="preserve"> </w:t>
      </w:r>
      <w:r w:rsidR="00557965" w:rsidRPr="009B4382">
        <w:rPr>
          <w:rFonts w:ascii="Times New Roman" w:eastAsia="Times New Roman" w:hAnsi="Times New Roman" w:cs="Times New Roman"/>
          <w:kern w:val="0"/>
          <w14:ligatures w14:val="none"/>
        </w:rPr>
        <w:t>Ajayi, &amp; Olaniyi</w:t>
      </w:r>
      <w:r w:rsidRPr="00AF17C5">
        <w:rPr>
          <w:rFonts w:ascii="Times New Roman" w:eastAsia="Times New Roman" w:hAnsi="Times New Roman" w:cs="Times New Roman"/>
          <w:kern w:val="0"/>
          <w14:ligatures w14:val="none"/>
        </w:rPr>
        <w:t xml:space="preserve"> 2025; Okafor &amp; Nwosu, 2024). Although limited capacity-building efforts exist, such as pilot training initiatives by the Nigerian Green Building Council (</w:t>
      </w:r>
      <w:r w:rsidR="00557965">
        <w:rPr>
          <w:rFonts w:ascii="Times New Roman" w:eastAsia="Times New Roman" w:hAnsi="Times New Roman" w:cs="Times New Roman"/>
          <w:kern w:val="0"/>
          <w14:ligatures w14:val="none"/>
        </w:rPr>
        <w:t>NGBC) (</w:t>
      </w:r>
      <w:r w:rsidRPr="00AF17C5">
        <w:rPr>
          <w:rFonts w:ascii="Times New Roman" w:eastAsia="Times New Roman" w:hAnsi="Times New Roman" w:cs="Times New Roman"/>
          <w:kern w:val="0"/>
          <w14:ligatures w14:val="none"/>
        </w:rPr>
        <w:t xml:space="preserve">2025), widespread expertise in BIRES optimization and lifecycle management remains insufficient. Furthermore, awareness of </w:t>
      </w:r>
      <w:r w:rsidRPr="00AF17C5">
        <w:rPr>
          <w:rFonts w:ascii="Times New Roman" w:eastAsia="Times New Roman" w:hAnsi="Times New Roman" w:cs="Times New Roman"/>
          <w:kern w:val="0"/>
          <w14:ligatures w14:val="none"/>
        </w:rPr>
        <w:lastRenderedPageBreak/>
        <w:t>alternative integrated technologies, such as building-integrated wind systems, is still emerging among professionals in the built environment (Umar &amp; Kolo, 2025).</w:t>
      </w:r>
    </w:p>
    <w:p w14:paraId="565EDF3E" w14:textId="077433D1" w:rsidR="00AF17C5" w:rsidRPr="00AF17C5" w:rsidRDefault="00AF17C5" w:rsidP="00AF17C5">
      <w:pPr>
        <w:spacing w:before="100" w:beforeAutospacing="1" w:after="100" w:afterAutospacing="1" w:line="480" w:lineRule="auto"/>
        <w:rPr>
          <w:rFonts w:ascii="Times New Roman" w:eastAsia="Times New Roman" w:hAnsi="Times New Roman" w:cs="Times New Roman"/>
          <w:kern w:val="0"/>
          <w14:ligatures w14:val="none"/>
        </w:rPr>
      </w:pPr>
      <w:r w:rsidRPr="00AF17C5">
        <w:rPr>
          <w:rFonts w:ascii="Times New Roman" w:eastAsia="Times New Roman" w:hAnsi="Times New Roman" w:cs="Times New Roman"/>
          <w:kern w:val="0"/>
          <w14:ligatures w14:val="none"/>
        </w:rPr>
        <w:t xml:space="preserve">Beyond technical limitations, emerging evidence highlights critical environmental trade-offs associated with renewable energy integration in buildings. While BIRES contribute to decarbonization, they may also introduce unintended consequences such as lifecycle carbon emissions, toxicity risks, and e-waste accumulation if not properly managed (Hasan &amp; Jelle, 2024; Kumar &amp; Singh, 2025). Photovoltaic systems, for instance, have been linked to material toxicity concerns and end-of-life disposal challenges that threaten environmental safety (Ogundipe &amp; Adebayo, 2024; </w:t>
      </w:r>
      <w:proofErr w:type="spellStart"/>
      <w:r w:rsidRPr="00AF17C5">
        <w:rPr>
          <w:rFonts w:ascii="Times New Roman" w:eastAsia="Times New Roman" w:hAnsi="Times New Roman" w:cs="Times New Roman"/>
          <w:kern w:val="0"/>
          <w14:ligatures w14:val="none"/>
        </w:rPr>
        <w:t>Raugei</w:t>
      </w:r>
      <w:proofErr w:type="spellEnd"/>
      <w:r w:rsidRPr="00AF17C5">
        <w:rPr>
          <w:rFonts w:ascii="Times New Roman" w:eastAsia="Times New Roman" w:hAnsi="Times New Roman" w:cs="Times New Roman"/>
          <w:kern w:val="0"/>
          <w14:ligatures w14:val="none"/>
        </w:rPr>
        <w:t xml:space="preserve"> &amp; </w:t>
      </w:r>
      <w:proofErr w:type="spellStart"/>
      <w:r w:rsidRPr="00AF17C5">
        <w:rPr>
          <w:rFonts w:ascii="Times New Roman" w:eastAsia="Times New Roman" w:hAnsi="Times New Roman" w:cs="Times New Roman"/>
          <w:kern w:val="0"/>
          <w14:ligatures w14:val="none"/>
        </w:rPr>
        <w:t>Leccisi</w:t>
      </w:r>
      <w:proofErr w:type="spellEnd"/>
      <w:r w:rsidRPr="00AF17C5">
        <w:rPr>
          <w:rFonts w:ascii="Times New Roman" w:eastAsia="Times New Roman" w:hAnsi="Times New Roman" w:cs="Times New Roman"/>
          <w:kern w:val="0"/>
          <w14:ligatures w14:val="none"/>
        </w:rPr>
        <w:t>, 2024). Similarly, rebound effects may reduce net environmental benefits by increasing overall energy consumption following efficiency improvements (</w:t>
      </w:r>
      <w:proofErr w:type="spellStart"/>
      <w:r w:rsidRPr="00AF17C5">
        <w:rPr>
          <w:rFonts w:ascii="Times New Roman" w:eastAsia="Times New Roman" w:hAnsi="Times New Roman" w:cs="Times New Roman"/>
          <w:kern w:val="0"/>
          <w14:ligatures w14:val="none"/>
        </w:rPr>
        <w:t>Berrill</w:t>
      </w:r>
      <w:proofErr w:type="spellEnd"/>
      <w:r w:rsidRPr="00AF17C5">
        <w:rPr>
          <w:rFonts w:ascii="Times New Roman" w:eastAsia="Times New Roman" w:hAnsi="Times New Roman" w:cs="Times New Roman"/>
          <w:kern w:val="0"/>
          <w14:ligatures w14:val="none"/>
        </w:rPr>
        <w:t>,</w:t>
      </w:r>
      <w:r w:rsidR="001249B4">
        <w:rPr>
          <w:rFonts w:ascii="Times New Roman" w:eastAsia="Times New Roman" w:hAnsi="Times New Roman" w:cs="Times New Roman"/>
          <w:kern w:val="0"/>
          <w14:ligatures w14:val="none"/>
        </w:rPr>
        <w:t xml:space="preserve"> </w:t>
      </w:r>
      <w:proofErr w:type="spellStart"/>
      <w:r w:rsidR="001249B4" w:rsidRPr="001F0BF4">
        <w:rPr>
          <w:rFonts w:ascii="Times New Roman" w:eastAsia="Times New Roman" w:hAnsi="Times New Roman" w:cs="Times New Roman"/>
          <w:kern w:val="0"/>
          <w14:ligatures w14:val="none"/>
        </w:rPr>
        <w:t>Arvesen</w:t>
      </w:r>
      <w:proofErr w:type="spellEnd"/>
      <w:r w:rsidR="001249B4" w:rsidRPr="001F0BF4">
        <w:rPr>
          <w:rFonts w:ascii="Times New Roman" w:eastAsia="Times New Roman" w:hAnsi="Times New Roman" w:cs="Times New Roman"/>
          <w:kern w:val="0"/>
          <w14:ligatures w14:val="none"/>
        </w:rPr>
        <w:t xml:space="preserve">, &amp; </w:t>
      </w:r>
      <w:proofErr w:type="spellStart"/>
      <w:r w:rsidR="001249B4" w:rsidRPr="001F0BF4">
        <w:rPr>
          <w:rFonts w:ascii="Times New Roman" w:eastAsia="Times New Roman" w:hAnsi="Times New Roman" w:cs="Times New Roman"/>
          <w:kern w:val="0"/>
          <w14:ligatures w14:val="none"/>
        </w:rPr>
        <w:t>Hertwich</w:t>
      </w:r>
      <w:proofErr w:type="spellEnd"/>
      <w:r w:rsidRPr="00AF17C5">
        <w:rPr>
          <w:rFonts w:ascii="Times New Roman" w:eastAsia="Times New Roman" w:hAnsi="Times New Roman" w:cs="Times New Roman"/>
          <w:kern w:val="0"/>
          <w14:ligatures w14:val="none"/>
        </w:rPr>
        <w:t xml:space="preserve"> 2025), while dematerialization pressures in renewable supply chains can generate additional </w:t>
      </w:r>
      <w:r w:rsidR="001E0286" w:rsidRPr="00AF17C5">
        <w:rPr>
          <w:rFonts w:ascii="Times New Roman" w:eastAsia="Times New Roman" w:hAnsi="Times New Roman" w:cs="Times New Roman"/>
          <w:kern w:val="0"/>
          <w14:ligatures w14:val="none"/>
        </w:rPr>
        <w:t>resources</w:t>
      </w:r>
      <w:r w:rsidRPr="00AF17C5">
        <w:rPr>
          <w:rFonts w:ascii="Times New Roman" w:eastAsia="Times New Roman" w:hAnsi="Times New Roman" w:cs="Times New Roman"/>
          <w:kern w:val="0"/>
          <w14:ligatures w14:val="none"/>
        </w:rPr>
        <w:t xml:space="preserve"> and environmental burdens (Liang,</w:t>
      </w:r>
      <w:r w:rsidR="001249B4">
        <w:rPr>
          <w:rFonts w:ascii="Times New Roman" w:eastAsia="Times New Roman" w:hAnsi="Times New Roman" w:cs="Times New Roman"/>
          <w:kern w:val="0"/>
          <w14:ligatures w14:val="none"/>
        </w:rPr>
        <w:t xml:space="preserve"> </w:t>
      </w:r>
      <w:r w:rsidR="001249B4" w:rsidRPr="001F0BF4">
        <w:rPr>
          <w:rFonts w:ascii="Times New Roman" w:eastAsia="Times New Roman" w:hAnsi="Times New Roman" w:cs="Times New Roman"/>
          <w:kern w:val="0"/>
          <w14:ligatures w14:val="none"/>
        </w:rPr>
        <w:t>Zhang, &amp; Wang</w:t>
      </w:r>
      <w:r w:rsidRPr="00AF17C5">
        <w:rPr>
          <w:rFonts w:ascii="Times New Roman" w:eastAsia="Times New Roman" w:hAnsi="Times New Roman" w:cs="Times New Roman"/>
          <w:kern w:val="0"/>
          <w14:ligatures w14:val="none"/>
        </w:rPr>
        <w:t xml:space="preserve"> 2024). These findings underscore that renewable energy adoption without proper optimization and lifecycle planning may inadvertently compromise environmental security.</w:t>
      </w:r>
    </w:p>
    <w:p w14:paraId="10A73DB2" w14:textId="77777777" w:rsidR="00AF17C5" w:rsidRPr="00AF17C5" w:rsidRDefault="00AF17C5" w:rsidP="00AF17C5">
      <w:pPr>
        <w:spacing w:before="100" w:beforeAutospacing="1" w:after="100" w:afterAutospacing="1" w:line="480" w:lineRule="auto"/>
        <w:rPr>
          <w:rFonts w:ascii="Times New Roman" w:eastAsia="Times New Roman" w:hAnsi="Times New Roman" w:cs="Times New Roman"/>
          <w:kern w:val="0"/>
          <w14:ligatures w14:val="none"/>
        </w:rPr>
      </w:pPr>
      <w:r w:rsidRPr="00AF17C5">
        <w:rPr>
          <w:rFonts w:ascii="Times New Roman" w:eastAsia="Times New Roman" w:hAnsi="Times New Roman" w:cs="Times New Roman"/>
          <w:kern w:val="0"/>
          <w14:ligatures w14:val="none"/>
        </w:rPr>
        <w:t xml:space="preserve">The Nigerian context further complicates BIRES deployment due to its unique climatic and infrastructural conditions. South-East Nigeria experiences high solar irradiance, high humidity, heavy rainfall, dust accumulation, and frequent grid instability, all of which significantly influence system performance and durability. Evidence from tropical climate studies indicates that optimal performance of integrated photovoltaic and shading systems requires careful adaptation to local environmental conditions rather than reliance on imported design assumptions </w:t>
      </w:r>
      <w:r w:rsidRPr="00AF17C5">
        <w:rPr>
          <w:rFonts w:ascii="Times New Roman" w:eastAsia="Times New Roman" w:hAnsi="Times New Roman" w:cs="Times New Roman"/>
          <w:kern w:val="0"/>
          <w14:ligatures w14:val="none"/>
        </w:rPr>
        <w:lastRenderedPageBreak/>
        <w:t>(Ma et al., 2023). However, in the absence of localized optimization frameworks, many systems installed in Nigeria are underperforming or prematurely failing.</w:t>
      </w:r>
    </w:p>
    <w:p w14:paraId="7AF685EA" w14:textId="51951B11" w:rsidR="00AF17C5" w:rsidRPr="00AF17C5" w:rsidRDefault="00AF17C5" w:rsidP="00AF17C5">
      <w:pPr>
        <w:spacing w:before="100" w:beforeAutospacing="1" w:after="100" w:afterAutospacing="1" w:line="480" w:lineRule="auto"/>
        <w:rPr>
          <w:rFonts w:ascii="Times New Roman" w:eastAsia="Times New Roman" w:hAnsi="Times New Roman" w:cs="Times New Roman"/>
          <w:kern w:val="0"/>
          <w14:ligatures w14:val="none"/>
        </w:rPr>
      </w:pPr>
      <w:r w:rsidRPr="00AF17C5">
        <w:rPr>
          <w:rFonts w:ascii="Times New Roman" w:eastAsia="Times New Roman" w:hAnsi="Times New Roman" w:cs="Times New Roman"/>
          <w:kern w:val="0"/>
          <w14:ligatures w14:val="none"/>
        </w:rPr>
        <w:t>Policy and comparative studies also demonstrate that structured optimization frameworks are critical to successful BIRES deployment in developing contexts. For example, East African experiences show that policy-guided optimization and professional capacity development significantly improve adoption rates and system effectiveness (Mukasa,</w:t>
      </w:r>
      <w:r w:rsidR="00DE7E70" w:rsidRPr="00DE7E70">
        <w:rPr>
          <w:rFonts w:ascii="Times New Roman" w:eastAsia="Times New Roman" w:hAnsi="Times New Roman" w:cs="Times New Roman"/>
          <w:kern w:val="0"/>
          <w14:ligatures w14:val="none"/>
        </w:rPr>
        <w:t xml:space="preserve"> </w:t>
      </w:r>
      <w:r w:rsidR="00DE7E70" w:rsidRPr="001F0BF4">
        <w:rPr>
          <w:rFonts w:ascii="Times New Roman" w:eastAsia="Times New Roman" w:hAnsi="Times New Roman" w:cs="Times New Roman"/>
          <w:kern w:val="0"/>
          <w14:ligatures w14:val="none"/>
        </w:rPr>
        <w:t xml:space="preserve">Ochieng, &amp; </w:t>
      </w:r>
      <w:proofErr w:type="gramStart"/>
      <w:r w:rsidR="00DE7E70" w:rsidRPr="001F0BF4">
        <w:rPr>
          <w:rFonts w:ascii="Times New Roman" w:eastAsia="Times New Roman" w:hAnsi="Times New Roman" w:cs="Times New Roman"/>
          <w:kern w:val="0"/>
          <w14:ligatures w14:val="none"/>
        </w:rPr>
        <w:t>Ndunda</w:t>
      </w:r>
      <w:r w:rsidR="00DE7E70">
        <w:rPr>
          <w:rFonts w:ascii="Times New Roman" w:eastAsia="Times New Roman" w:hAnsi="Times New Roman" w:cs="Times New Roman"/>
          <w:kern w:val="0"/>
          <w14:ligatures w14:val="none"/>
        </w:rPr>
        <w:t xml:space="preserve"> </w:t>
      </w:r>
      <w:r w:rsidRPr="00AF17C5">
        <w:rPr>
          <w:rFonts w:ascii="Times New Roman" w:eastAsia="Times New Roman" w:hAnsi="Times New Roman" w:cs="Times New Roman"/>
          <w:kern w:val="0"/>
          <w14:ligatures w14:val="none"/>
        </w:rPr>
        <w:t xml:space="preserve"> 2025</w:t>
      </w:r>
      <w:proofErr w:type="gramEnd"/>
      <w:r w:rsidRPr="00AF17C5">
        <w:rPr>
          <w:rFonts w:ascii="Times New Roman" w:eastAsia="Times New Roman" w:hAnsi="Times New Roman" w:cs="Times New Roman"/>
          <w:kern w:val="0"/>
          <w14:ligatures w14:val="none"/>
        </w:rPr>
        <w:t>). Conversely, the lack of such frameworks in Nigeria continues to limit the transition from pilot projects to scalable sustainable solutions.</w:t>
      </w:r>
    </w:p>
    <w:p w14:paraId="5E7C614F" w14:textId="77777777" w:rsidR="00AF17C5" w:rsidRPr="00AF17C5" w:rsidRDefault="00AF17C5" w:rsidP="00AF17C5">
      <w:pPr>
        <w:spacing w:before="100" w:beforeAutospacing="1" w:after="100" w:afterAutospacing="1" w:line="480" w:lineRule="auto"/>
        <w:rPr>
          <w:rFonts w:ascii="Times New Roman" w:eastAsia="Times New Roman" w:hAnsi="Times New Roman" w:cs="Times New Roman"/>
          <w:kern w:val="0"/>
          <w14:ligatures w14:val="none"/>
        </w:rPr>
      </w:pPr>
      <w:r w:rsidRPr="00AF17C5">
        <w:rPr>
          <w:rFonts w:ascii="Times New Roman" w:eastAsia="Times New Roman" w:hAnsi="Times New Roman" w:cs="Times New Roman"/>
          <w:kern w:val="0"/>
          <w14:ligatures w14:val="none"/>
        </w:rPr>
        <w:t>Given these gaps, BIRES in Nigeria remain at a developmental crossroads where potential benefits are undermined by weak optimization capacity, environmental oversight deficiencies, and inadequate lifecycle governance. Without evidence-based optimization tailored to local climatic, economic, and infrastructural realities, BIRES risk becoming inefficient investments that fail to deliver intended climate and environmental security outcomes (UNEP, 2024; Nigerian Ministry of Environment, 2024).</w:t>
      </w:r>
    </w:p>
    <w:p w14:paraId="06C177B8" w14:textId="771ACF47" w:rsidR="00884FA9" w:rsidRDefault="00AF17C5" w:rsidP="001E0286">
      <w:pPr>
        <w:spacing w:before="100" w:beforeAutospacing="1" w:after="100" w:afterAutospacing="1" w:line="480" w:lineRule="auto"/>
        <w:rPr>
          <w:rFonts w:ascii="Times New Roman" w:eastAsia="Times New Roman" w:hAnsi="Times New Roman" w:cs="Times New Roman"/>
          <w:kern w:val="0"/>
          <w14:ligatures w14:val="none"/>
        </w:rPr>
      </w:pPr>
      <w:r w:rsidRPr="00AF17C5">
        <w:rPr>
          <w:rFonts w:ascii="Times New Roman" w:eastAsia="Times New Roman" w:hAnsi="Times New Roman" w:cs="Times New Roman"/>
          <w:kern w:val="0"/>
          <w14:ligatures w14:val="none"/>
        </w:rPr>
        <w:t xml:space="preserve">Against this background, this study investigates the optimization of </w:t>
      </w:r>
      <w:r w:rsidR="00DE008E">
        <w:rPr>
          <w:rFonts w:ascii="Times New Roman" w:eastAsia="Times New Roman" w:hAnsi="Times New Roman" w:cs="Times New Roman"/>
          <w:kern w:val="0"/>
          <w14:ligatures w14:val="none"/>
        </w:rPr>
        <w:t>b</w:t>
      </w:r>
      <w:r w:rsidRPr="00AF17C5">
        <w:rPr>
          <w:rFonts w:ascii="Times New Roman" w:eastAsia="Times New Roman" w:hAnsi="Times New Roman" w:cs="Times New Roman"/>
          <w:kern w:val="0"/>
          <w14:ligatures w14:val="none"/>
        </w:rPr>
        <w:t>uilding-</w:t>
      </w:r>
      <w:r w:rsidR="00DE008E">
        <w:rPr>
          <w:rFonts w:ascii="Times New Roman" w:eastAsia="Times New Roman" w:hAnsi="Times New Roman" w:cs="Times New Roman"/>
          <w:kern w:val="0"/>
          <w14:ligatures w14:val="none"/>
        </w:rPr>
        <w:t>i</w:t>
      </w:r>
      <w:r w:rsidRPr="00AF17C5">
        <w:rPr>
          <w:rFonts w:ascii="Times New Roman" w:eastAsia="Times New Roman" w:hAnsi="Times New Roman" w:cs="Times New Roman"/>
          <w:kern w:val="0"/>
          <w14:ligatures w14:val="none"/>
        </w:rPr>
        <w:t xml:space="preserve">ntegrated </w:t>
      </w:r>
      <w:r w:rsidR="00DE008E">
        <w:rPr>
          <w:rFonts w:ascii="Times New Roman" w:eastAsia="Times New Roman" w:hAnsi="Times New Roman" w:cs="Times New Roman"/>
          <w:kern w:val="0"/>
          <w14:ligatures w14:val="none"/>
        </w:rPr>
        <w:t>r</w:t>
      </w:r>
      <w:r w:rsidRPr="00AF17C5">
        <w:rPr>
          <w:rFonts w:ascii="Times New Roman" w:eastAsia="Times New Roman" w:hAnsi="Times New Roman" w:cs="Times New Roman"/>
          <w:kern w:val="0"/>
          <w14:ligatures w14:val="none"/>
        </w:rPr>
        <w:t xml:space="preserve">enewable </w:t>
      </w:r>
      <w:r w:rsidR="00DE008E">
        <w:rPr>
          <w:rFonts w:ascii="Times New Roman" w:eastAsia="Times New Roman" w:hAnsi="Times New Roman" w:cs="Times New Roman"/>
          <w:kern w:val="0"/>
          <w14:ligatures w14:val="none"/>
        </w:rPr>
        <w:t>e</w:t>
      </w:r>
      <w:r w:rsidRPr="00AF17C5">
        <w:rPr>
          <w:rFonts w:ascii="Times New Roman" w:eastAsia="Times New Roman" w:hAnsi="Times New Roman" w:cs="Times New Roman"/>
          <w:kern w:val="0"/>
          <w14:ligatures w14:val="none"/>
        </w:rPr>
        <w:t xml:space="preserve">nergy </w:t>
      </w:r>
      <w:r w:rsidR="00DE008E">
        <w:rPr>
          <w:rFonts w:ascii="Times New Roman" w:eastAsia="Times New Roman" w:hAnsi="Times New Roman" w:cs="Times New Roman"/>
          <w:kern w:val="0"/>
          <w14:ligatures w14:val="none"/>
        </w:rPr>
        <w:t>s</w:t>
      </w:r>
      <w:r w:rsidRPr="00AF17C5">
        <w:rPr>
          <w:rFonts w:ascii="Times New Roman" w:eastAsia="Times New Roman" w:hAnsi="Times New Roman" w:cs="Times New Roman"/>
          <w:kern w:val="0"/>
          <w14:ligatures w14:val="none"/>
        </w:rPr>
        <w:t>ystems for climate and environmental security in South-East Nigeria. It aims to generate empirically grounded insights that bridge technical, environmental, and professional capacity gaps, thereby supporting the development of resilient, efficient, and environmentally responsible energy systems within the built environment.</w:t>
      </w:r>
    </w:p>
    <w:p w14:paraId="344D7537" w14:textId="77777777" w:rsidR="00CC07C8" w:rsidRDefault="00CC07C8" w:rsidP="00A832FB">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p>
    <w:p w14:paraId="2F1B136D" w14:textId="32B06633" w:rsidR="00A832FB" w:rsidRPr="00A832FB" w:rsidRDefault="00A832FB" w:rsidP="00A832FB">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A832FB">
        <w:rPr>
          <w:rFonts w:ascii="Times New Roman" w:eastAsia="Times New Roman" w:hAnsi="Times New Roman" w:cs="Times New Roman"/>
          <w:b/>
          <w:bCs/>
          <w:kern w:val="0"/>
          <w:sz w:val="36"/>
          <w:szCs w:val="36"/>
          <w14:ligatures w14:val="none"/>
        </w:rPr>
        <w:lastRenderedPageBreak/>
        <w:t>Statement of the Problem</w:t>
      </w:r>
    </w:p>
    <w:p w14:paraId="3CC4FB2A" w14:textId="04CAD8E8" w:rsidR="00A832FB" w:rsidRPr="00A832FB" w:rsidRDefault="00A832FB" w:rsidP="00A832FB">
      <w:pPr>
        <w:spacing w:before="100" w:beforeAutospacing="1" w:after="100" w:afterAutospacing="1" w:line="480" w:lineRule="auto"/>
        <w:rPr>
          <w:rFonts w:ascii="Times New Roman" w:eastAsia="Times New Roman" w:hAnsi="Times New Roman" w:cs="Times New Roman"/>
          <w:kern w:val="0"/>
          <w14:ligatures w14:val="none"/>
        </w:rPr>
      </w:pPr>
      <w:r w:rsidRPr="00A832FB">
        <w:rPr>
          <w:rFonts w:ascii="Times New Roman" w:eastAsia="Times New Roman" w:hAnsi="Times New Roman" w:cs="Times New Roman"/>
          <w:kern w:val="0"/>
          <w14:ligatures w14:val="none"/>
        </w:rPr>
        <w:t>Despite Nigeria’s vast solar and wind energy potential, the adoption of BIRES remains low and largely inefficient, particularly in relation to achieving both climate and environmental security goals. In practice, most BIRES installations in Nigeria are direct adaptations of designs developed for temperate climates, with little or no adjustment to local environmental and infrastructural realities. This results in suboptimal performance under conditions such as persistently high ambient temperatures, which can reduce photovoltaic efficiency by approximately 0.3–0.5% per °C above 25°C, severe dust accumulation that may decrease energy yield by up to 25–30% in some regions, and unstable grid conditions that increase battery cycling stress and system degradation.</w:t>
      </w:r>
    </w:p>
    <w:p w14:paraId="6BE4476E" w14:textId="31CC12B1" w:rsidR="00A832FB" w:rsidRPr="00A832FB" w:rsidRDefault="00A832FB" w:rsidP="00A832FB">
      <w:pPr>
        <w:spacing w:before="100" w:beforeAutospacing="1" w:after="100" w:afterAutospacing="1" w:line="480" w:lineRule="auto"/>
        <w:rPr>
          <w:rFonts w:ascii="Times New Roman" w:eastAsia="Times New Roman" w:hAnsi="Times New Roman" w:cs="Times New Roman"/>
          <w:kern w:val="0"/>
          <w14:ligatures w14:val="none"/>
        </w:rPr>
      </w:pPr>
      <w:r w:rsidRPr="00A832FB">
        <w:rPr>
          <w:rFonts w:ascii="Times New Roman" w:eastAsia="Times New Roman" w:hAnsi="Times New Roman" w:cs="Times New Roman"/>
          <w:kern w:val="0"/>
          <w14:ligatures w14:val="none"/>
        </w:rPr>
        <w:t>In addition to technical inefficiencies, significant environmental security risks are emerging from poorly managed BIRES components. The absence of structured end-of-life management systems has led to growing concerns over the disposal of lead-containing photovoltaic modules and battery waste in urban areas. Evidence already indicates that a large proportion of electronic waste from renewable energy systems ends up in uncontrolled dumpsites, with about 68% not properly managed or recycled (Nigerian Ministry of Environment, 2024). This situation poses serious risks to soil, water, and public health, thereby undermining the environmental benefits of renewable energy adoption.</w:t>
      </w:r>
    </w:p>
    <w:p w14:paraId="2F954A9C" w14:textId="1AC894CD" w:rsidR="00A832FB" w:rsidRPr="00A832FB" w:rsidRDefault="00A832FB" w:rsidP="00A832FB">
      <w:pPr>
        <w:spacing w:before="100" w:beforeAutospacing="1" w:after="100" w:afterAutospacing="1" w:line="480" w:lineRule="auto"/>
        <w:rPr>
          <w:rFonts w:ascii="Times New Roman" w:eastAsia="Times New Roman" w:hAnsi="Times New Roman" w:cs="Times New Roman"/>
          <w:kern w:val="0"/>
          <w14:ligatures w14:val="none"/>
        </w:rPr>
      </w:pPr>
      <w:r w:rsidRPr="00A832FB">
        <w:rPr>
          <w:rFonts w:ascii="Times New Roman" w:eastAsia="Times New Roman" w:hAnsi="Times New Roman" w:cs="Times New Roman"/>
          <w:kern w:val="0"/>
          <w14:ligatures w14:val="none"/>
        </w:rPr>
        <w:t xml:space="preserve">Furthermore, there exists a critical knowledge and policy gap among built environment professionals in Nigeria. Many architects, builders, and engineers lack adequate training in multi-objective optimization approaches that balance energy efficiency, embodied carbon, </w:t>
      </w:r>
      <w:r w:rsidRPr="00A832FB">
        <w:rPr>
          <w:rFonts w:ascii="Times New Roman" w:eastAsia="Times New Roman" w:hAnsi="Times New Roman" w:cs="Times New Roman"/>
          <w:kern w:val="0"/>
          <w14:ligatures w14:val="none"/>
        </w:rPr>
        <w:lastRenderedPageBreak/>
        <w:t>lifecycle cost, and toxicity impacts. As a result, BIRES systems are often either over-designed</w:t>
      </w:r>
      <w:r>
        <w:rPr>
          <w:rFonts w:ascii="Times New Roman" w:eastAsia="Times New Roman" w:hAnsi="Times New Roman" w:cs="Times New Roman"/>
          <w:kern w:val="0"/>
          <w14:ligatures w14:val="none"/>
        </w:rPr>
        <w:t xml:space="preserve"> </w:t>
      </w:r>
      <w:r w:rsidRPr="00A832FB">
        <w:rPr>
          <w:rFonts w:ascii="Times New Roman" w:eastAsia="Times New Roman" w:hAnsi="Times New Roman" w:cs="Times New Roman"/>
          <w:kern w:val="0"/>
          <w14:ligatures w14:val="none"/>
        </w:rPr>
        <w:t>leading to unnecessary material use and increased e-waste generation</w:t>
      </w:r>
      <w:r>
        <w:rPr>
          <w:rFonts w:ascii="Times New Roman" w:eastAsia="Times New Roman" w:hAnsi="Times New Roman" w:cs="Times New Roman"/>
          <w:kern w:val="0"/>
          <w14:ligatures w14:val="none"/>
        </w:rPr>
        <w:t xml:space="preserve">, </w:t>
      </w:r>
      <w:r w:rsidRPr="00A832FB">
        <w:rPr>
          <w:rFonts w:ascii="Times New Roman" w:eastAsia="Times New Roman" w:hAnsi="Times New Roman" w:cs="Times New Roman"/>
          <w:kern w:val="0"/>
          <w14:ligatures w14:val="none"/>
        </w:rPr>
        <w:t>or under-designed, thereby perpetuating dependence on diesel generators and increasing greenhouse gas emissions.</w:t>
      </w:r>
    </w:p>
    <w:p w14:paraId="2C9D46E1" w14:textId="34DCC539" w:rsidR="00A832FB" w:rsidRDefault="00A832FB" w:rsidP="00A832FB">
      <w:pPr>
        <w:spacing w:before="100" w:beforeAutospacing="1" w:after="100" w:afterAutospacing="1" w:line="480" w:lineRule="auto"/>
        <w:rPr>
          <w:rFonts w:ascii="Times New Roman" w:eastAsia="Times New Roman" w:hAnsi="Times New Roman" w:cs="Times New Roman"/>
          <w:kern w:val="0"/>
          <w14:ligatures w14:val="none"/>
        </w:rPr>
      </w:pPr>
      <w:r w:rsidRPr="00A832FB">
        <w:rPr>
          <w:rFonts w:ascii="Times New Roman" w:eastAsia="Times New Roman" w:hAnsi="Times New Roman" w:cs="Times New Roman"/>
          <w:kern w:val="0"/>
          <w14:ligatures w14:val="none"/>
        </w:rPr>
        <w:t xml:space="preserve">Against this background, how can </w:t>
      </w:r>
      <w:r w:rsidR="00F23051">
        <w:rPr>
          <w:rFonts w:ascii="Times New Roman" w:eastAsia="Times New Roman" w:hAnsi="Times New Roman" w:cs="Times New Roman"/>
          <w:kern w:val="0"/>
          <w14:ligatures w14:val="none"/>
        </w:rPr>
        <w:t>b</w:t>
      </w:r>
      <w:r w:rsidRPr="00A832FB">
        <w:rPr>
          <w:rFonts w:ascii="Times New Roman" w:eastAsia="Times New Roman" w:hAnsi="Times New Roman" w:cs="Times New Roman"/>
          <w:kern w:val="0"/>
          <w14:ligatures w14:val="none"/>
        </w:rPr>
        <w:t>uilding-</w:t>
      </w:r>
      <w:r w:rsidR="00F23051">
        <w:rPr>
          <w:rFonts w:ascii="Times New Roman" w:eastAsia="Times New Roman" w:hAnsi="Times New Roman" w:cs="Times New Roman"/>
          <w:kern w:val="0"/>
          <w14:ligatures w14:val="none"/>
        </w:rPr>
        <w:t>i</w:t>
      </w:r>
      <w:r w:rsidRPr="00A832FB">
        <w:rPr>
          <w:rFonts w:ascii="Times New Roman" w:eastAsia="Times New Roman" w:hAnsi="Times New Roman" w:cs="Times New Roman"/>
          <w:kern w:val="0"/>
          <w14:ligatures w14:val="none"/>
        </w:rPr>
        <w:t xml:space="preserve">ntegrated </w:t>
      </w:r>
      <w:r w:rsidR="00F23051">
        <w:rPr>
          <w:rFonts w:ascii="Times New Roman" w:eastAsia="Times New Roman" w:hAnsi="Times New Roman" w:cs="Times New Roman"/>
          <w:kern w:val="0"/>
          <w14:ligatures w14:val="none"/>
        </w:rPr>
        <w:t>r</w:t>
      </w:r>
      <w:r w:rsidRPr="00A832FB">
        <w:rPr>
          <w:rFonts w:ascii="Times New Roman" w:eastAsia="Times New Roman" w:hAnsi="Times New Roman" w:cs="Times New Roman"/>
          <w:kern w:val="0"/>
          <w14:ligatures w14:val="none"/>
        </w:rPr>
        <w:t xml:space="preserve">enewable </w:t>
      </w:r>
      <w:r w:rsidR="00F23051">
        <w:rPr>
          <w:rFonts w:ascii="Times New Roman" w:eastAsia="Times New Roman" w:hAnsi="Times New Roman" w:cs="Times New Roman"/>
          <w:kern w:val="0"/>
          <w14:ligatures w14:val="none"/>
        </w:rPr>
        <w:t>e</w:t>
      </w:r>
      <w:r w:rsidRPr="00A832FB">
        <w:rPr>
          <w:rFonts w:ascii="Times New Roman" w:eastAsia="Times New Roman" w:hAnsi="Times New Roman" w:cs="Times New Roman"/>
          <w:kern w:val="0"/>
          <w14:ligatures w14:val="none"/>
        </w:rPr>
        <w:t xml:space="preserve">nergy </w:t>
      </w:r>
      <w:r w:rsidR="00F23051">
        <w:rPr>
          <w:rFonts w:ascii="Times New Roman" w:eastAsia="Times New Roman" w:hAnsi="Times New Roman" w:cs="Times New Roman"/>
          <w:kern w:val="0"/>
          <w14:ligatures w14:val="none"/>
        </w:rPr>
        <w:t>s</w:t>
      </w:r>
      <w:r w:rsidRPr="00A832FB">
        <w:rPr>
          <w:rFonts w:ascii="Times New Roman" w:eastAsia="Times New Roman" w:hAnsi="Times New Roman" w:cs="Times New Roman"/>
          <w:kern w:val="0"/>
          <w14:ligatures w14:val="none"/>
        </w:rPr>
        <w:t>ystems be effectively optimized within the Nigerian context to simultaneously enhance climate and environmental security while addressing existing technical, environmental, and professional capacity gaps?</w:t>
      </w:r>
      <w:r>
        <w:rPr>
          <w:rFonts w:ascii="Times New Roman" w:eastAsia="Times New Roman" w:hAnsi="Times New Roman" w:cs="Times New Roman"/>
          <w:kern w:val="0"/>
          <w14:ligatures w14:val="none"/>
        </w:rPr>
        <w:t xml:space="preserve"> This was the question the study sought to address.</w:t>
      </w:r>
    </w:p>
    <w:p w14:paraId="5030F218" w14:textId="795AEE6B" w:rsidR="002D5F99" w:rsidRPr="002D5F99" w:rsidRDefault="002D5F99" w:rsidP="002D5F99">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2D5F99">
        <w:rPr>
          <w:rFonts w:ascii="Times New Roman" w:eastAsia="Times New Roman" w:hAnsi="Times New Roman" w:cs="Times New Roman"/>
          <w:b/>
          <w:bCs/>
          <w:kern w:val="0"/>
          <w:sz w:val="36"/>
          <w:szCs w:val="36"/>
          <w14:ligatures w14:val="none"/>
        </w:rPr>
        <w:t>Purpose of the Study</w:t>
      </w:r>
    </w:p>
    <w:p w14:paraId="00C4724B" w14:textId="7D1289A3" w:rsidR="002D5F99" w:rsidRPr="002D5F99" w:rsidRDefault="002D5F99" w:rsidP="002D5F99">
      <w:pPr>
        <w:spacing w:before="100" w:beforeAutospacing="1" w:after="100" w:afterAutospacing="1" w:line="480" w:lineRule="auto"/>
        <w:rPr>
          <w:rFonts w:ascii="Times New Roman" w:eastAsia="Times New Roman" w:hAnsi="Times New Roman" w:cs="Times New Roman"/>
          <w:kern w:val="0"/>
          <w14:ligatures w14:val="none"/>
        </w:rPr>
      </w:pPr>
      <w:r w:rsidRPr="002D5F99">
        <w:rPr>
          <w:rFonts w:ascii="Times New Roman" w:eastAsia="Times New Roman" w:hAnsi="Times New Roman" w:cs="Times New Roman"/>
          <w:kern w:val="0"/>
          <w14:ligatures w14:val="none"/>
        </w:rPr>
        <w:t>The main purpose of th</w:t>
      </w:r>
      <w:r>
        <w:rPr>
          <w:rFonts w:ascii="Times New Roman" w:eastAsia="Times New Roman" w:hAnsi="Times New Roman" w:cs="Times New Roman"/>
          <w:kern w:val="0"/>
          <w14:ligatures w14:val="none"/>
        </w:rPr>
        <w:t>e</w:t>
      </w:r>
      <w:r w:rsidRPr="002D5F99">
        <w:rPr>
          <w:rFonts w:ascii="Times New Roman" w:eastAsia="Times New Roman" w:hAnsi="Times New Roman" w:cs="Times New Roman"/>
          <w:kern w:val="0"/>
          <w14:ligatures w14:val="none"/>
        </w:rPr>
        <w:t xml:space="preserve"> study </w:t>
      </w:r>
      <w:r>
        <w:rPr>
          <w:rFonts w:ascii="Times New Roman" w:eastAsia="Times New Roman" w:hAnsi="Times New Roman" w:cs="Times New Roman"/>
          <w:kern w:val="0"/>
          <w14:ligatures w14:val="none"/>
        </w:rPr>
        <w:t>wa</w:t>
      </w:r>
      <w:r w:rsidRPr="002D5F99">
        <w:rPr>
          <w:rFonts w:ascii="Times New Roman" w:eastAsia="Times New Roman" w:hAnsi="Times New Roman" w:cs="Times New Roman"/>
          <w:kern w:val="0"/>
          <w14:ligatures w14:val="none"/>
        </w:rPr>
        <w:t>s to examine BIRES optimization practices among built environment professionals in Nigeria and to analyze the relationship between optimization awareness, perceived climate security benefits, and environmental security concerns.</w:t>
      </w:r>
    </w:p>
    <w:p w14:paraId="0B61461F" w14:textId="77777777" w:rsidR="002D5F99" w:rsidRPr="002D5F99" w:rsidRDefault="002D5F99" w:rsidP="002D5F99">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2D5F99">
        <w:rPr>
          <w:rFonts w:ascii="Times New Roman" w:eastAsia="Times New Roman" w:hAnsi="Times New Roman" w:cs="Times New Roman"/>
          <w:b/>
          <w:bCs/>
          <w:kern w:val="0"/>
          <w:sz w:val="27"/>
          <w:szCs w:val="27"/>
          <w14:ligatures w14:val="none"/>
        </w:rPr>
        <w:t>Specific Purposes</w:t>
      </w:r>
    </w:p>
    <w:p w14:paraId="2DCBC072" w14:textId="31F66654" w:rsidR="002D5F99" w:rsidRPr="002D5F99" w:rsidRDefault="002D5F99" w:rsidP="002D5F99">
      <w:pPr>
        <w:numPr>
          <w:ilvl w:val="0"/>
          <w:numId w:val="10"/>
        </w:numPr>
        <w:spacing w:before="100" w:beforeAutospacing="1" w:after="100" w:afterAutospacing="1" w:line="480" w:lineRule="auto"/>
        <w:rPr>
          <w:rFonts w:ascii="Times New Roman" w:eastAsia="Times New Roman" w:hAnsi="Times New Roman" w:cs="Times New Roman"/>
          <w:kern w:val="0"/>
          <w14:ligatures w14:val="none"/>
        </w:rPr>
      </w:pPr>
      <w:r w:rsidRPr="002D5F99">
        <w:rPr>
          <w:rFonts w:ascii="Times New Roman" w:eastAsia="Times New Roman" w:hAnsi="Times New Roman" w:cs="Times New Roman"/>
          <w:kern w:val="0"/>
          <w14:ligatures w14:val="none"/>
        </w:rPr>
        <w:t xml:space="preserve">To assess the level of BIRES adoption, optimization practices, and perceived barriers to implementation within Nigeria’s built environment sector. </w:t>
      </w:r>
    </w:p>
    <w:p w14:paraId="40FF6D54" w14:textId="77777777" w:rsidR="007066CA" w:rsidRDefault="002D5F99" w:rsidP="007066CA">
      <w:pPr>
        <w:numPr>
          <w:ilvl w:val="0"/>
          <w:numId w:val="10"/>
        </w:numPr>
        <w:spacing w:before="100" w:beforeAutospacing="1" w:after="100" w:afterAutospacing="1" w:line="480" w:lineRule="auto"/>
        <w:rPr>
          <w:rFonts w:ascii="Times New Roman" w:eastAsia="Times New Roman" w:hAnsi="Times New Roman" w:cs="Times New Roman"/>
          <w:kern w:val="0"/>
          <w14:ligatures w14:val="none"/>
        </w:rPr>
      </w:pPr>
      <w:r w:rsidRPr="002D5F99">
        <w:rPr>
          <w:rFonts w:ascii="Times New Roman" w:eastAsia="Times New Roman" w:hAnsi="Times New Roman" w:cs="Times New Roman"/>
          <w:kern w:val="0"/>
          <w14:ligatures w14:val="none"/>
        </w:rPr>
        <w:t>To examine the relationship between professionals’ awareness of BIRES optimization techniques and perceived climate security benefits, as well as perceived environmental security risks.</w:t>
      </w:r>
    </w:p>
    <w:p w14:paraId="79306F46" w14:textId="77777777" w:rsidR="007066CA" w:rsidRPr="007066CA" w:rsidRDefault="007066CA" w:rsidP="007066CA">
      <w:pPr>
        <w:pStyle w:val="NormalWeb"/>
        <w:spacing w:line="480" w:lineRule="auto"/>
        <w:rPr>
          <w:rFonts w:ascii="Segoe UI" w:hAnsi="Segoe UI" w:cs="Segoe UI"/>
          <w:b/>
          <w:bCs/>
        </w:rPr>
      </w:pPr>
      <w:r w:rsidRPr="007066CA">
        <w:rPr>
          <w:rFonts w:ascii="Segoe UI" w:hAnsi="Segoe UI" w:cs="Segoe UI"/>
          <w:b/>
          <w:bCs/>
        </w:rPr>
        <w:t xml:space="preserve">Research Question </w:t>
      </w:r>
    </w:p>
    <w:p w14:paraId="40BE8458" w14:textId="0B34871F" w:rsidR="007066CA" w:rsidRDefault="007066CA" w:rsidP="007066CA">
      <w:pPr>
        <w:pStyle w:val="NormalWeb"/>
        <w:spacing w:line="480" w:lineRule="auto"/>
      </w:pPr>
      <w:r>
        <w:t>To guide the study, the following research questions were formulated:</w:t>
      </w:r>
    </w:p>
    <w:p w14:paraId="67E7F15E" w14:textId="14EC170C" w:rsidR="007066CA" w:rsidRDefault="007066CA" w:rsidP="007066CA">
      <w:pPr>
        <w:pStyle w:val="NormalWeb"/>
        <w:numPr>
          <w:ilvl w:val="0"/>
          <w:numId w:val="11"/>
        </w:numPr>
        <w:spacing w:line="480" w:lineRule="auto"/>
      </w:pPr>
      <w:r>
        <w:lastRenderedPageBreak/>
        <w:t>What is the level of adoption and optimization of BIRES among Nigerian built environment professionals, and what key barriers limit effective optimization?</w:t>
      </w:r>
    </w:p>
    <w:p w14:paraId="576ACC5F" w14:textId="6D40CFE6" w:rsidR="00062523" w:rsidRPr="00B711B9" w:rsidRDefault="007066CA" w:rsidP="00B711B9">
      <w:pPr>
        <w:pStyle w:val="NormalWeb"/>
        <w:numPr>
          <w:ilvl w:val="0"/>
          <w:numId w:val="11"/>
        </w:numPr>
        <w:spacing w:line="480" w:lineRule="auto"/>
      </w:pPr>
      <w:r>
        <w:t>What is the relationship between professionals’ awareness of BIRES optimization methods and their perceived ability to achieve climate and environmental security outcomes in Nigerian building projects?</w:t>
      </w:r>
    </w:p>
    <w:p w14:paraId="51F17F13" w14:textId="77777777" w:rsidR="00AE5877" w:rsidRDefault="00062523" w:rsidP="00062523">
      <w:pPr>
        <w:spacing w:before="100" w:beforeAutospacing="1" w:after="100" w:afterAutospacing="1" w:line="480" w:lineRule="auto"/>
        <w:ind w:left="360"/>
        <w:outlineLvl w:val="1"/>
        <w:rPr>
          <w:rFonts w:ascii="Times New Roman" w:eastAsia="Times New Roman" w:hAnsi="Times New Roman" w:cs="Times New Roman"/>
          <w:b/>
          <w:bCs/>
          <w:kern w:val="0"/>
          <w14:ligatures w14:val="none"/>
        </w:rPr>
      </w:pPr>
      <w:r w:rsidRPr="00062523">
        <w:rPr>
          <w:rFonts w:ascii="Times New Roman" w:eastAsia="Times New Roman" w:hAnsi="Times New Roman" w:cs="Times New Roman"/>
          <w:b/>
          <w:bCs/>
          <w:kern w:val="0"/>
          <w14:ligatures w14:val="none"/>
        </w:rPr>
        <w:t>Hypotheses</w:t>
      </w:r>
      <w:r>
        <w:rPr>
          <w:rFonts w:ascii="Times New Roman" w:eastAsia="Times New Roman" w:hAnsi="Times New Roman" w:cs="Times New Roman"/>
          <w:b/>
          <w:bCs/>
          <w:kern w:val="0"/>
          <w14:ligatures w14:val="none"/>
        </w:rPr>
        <w:t xml:space="preserve"> </w:t>
      </w:r>
    </w:p>
    <w:p w14:paraId="70A03DD7" w14:textId="0A760C5D" w:rsidR="00062523" w:rsidRPr="00AE5877" w:rsidRDefault="00062523" w:rsidP="00062523">
      <w:pPr>
        <w:spacing w:before="100" w:beforeAutospacing="1" w:after="100" w:afterAutospacing="1" w:line="480" w:lineRule="auto"/>
        <w:ind w:left="360"/>
        <w:outlineLvl w:val="1"/>
        <w:rPr>
          <w:rFonts w:ascii="Times New Roman" w:eastAsia="Times New Roman" w:hAnsi="Times New Roman" w:cs="Times New Roman"/>
          <w:kern w:val="0"/>
          <w14:ligatures w14:val="none"/>
        </w:rPr>
      </w:pPr>
      <w:r w:rsidRPr="00AE5877">
        <w:rPr>
          <w:rFonts w:ascii="Times New Roman" w:eastAsia="Times New Roman" w:hAnsi="Times New Roman" w:cs="Times New Roman"/>
          <w:kern w:val="0"/>
          <w14:ligatures w14:val="none"/>
        </w:rPr>
        <w:t>Two hypotheses formulated at 0.05</w:t>
      </w:r>
      <w:r w:rsidR="00AE5877" w:rsidRPr="00AE5877">
        <w:rPr>
          <w:rFonts w:ascii="Times New Roman" w:eastAsia="Times New Roman" w:hAnsi="Times New Roman" w:cs="Times New Roman"/>
          <w:kern w:val="0"/>
          <w14:ligatures w14:val="none"/>
        </w:rPr>
        <w:t xml:space="preserve"> level of significance</w:t>
      </w:r>
      <w:r w:rsidR="00AE5877">
        <w:rPr>
          <w:rFonts w:ascii="Times New Roman" w:eastAsia="Times New Roman" w:hAnsi="Times New Roman" w:cs="Times New Roman"/>
          <w:kern w:val="0"/>
          <w14:ligatures w14:val="none"/>
        </w:rPr>
        <w:t xml:space="preserve"> include:</w:t>
      </w:r>
    </w:p>
    <w:p w14:paraId="4E714EBA" w14:textId="279D8B71" w:rsidR="00062523" w:rsidRPr="00062523" w:rsidRDefault="00062523" w:rsidP="00062523">
      <w:pPr>
        <w:pStyle w:val="ListParagraph"/>
        <w:spacing w:before="100" w:beforeAutospacing="1" w:after="100" w:afterAutospacing="1" w:line="480" w:lineRule="auto"/>
        <w:rPr>
          <w:rFonts w:ascii="Times New Roman" w:eastAsia="Times New Roman" w:hAnsi="Times New Roman" w:cs="Times New Roman"/>
          <w:kern w:val="0"/>
          <w14:ligatures w14:val="none"/>
        </w:rPr>
      </w:pPr>
      <w:r w:rsidRPr="00062523">
        <w:rPr>
          <w:rFonts w:ascii="Times New Roman" w:eastAsia="Times New Roman" w:hAnsi="Times New Roman" w:cs="Times New Roman"/>
          <w:b/>
          <w:bCs/>
          <w:kern w:val="0"/>
          <w14:ligatures w14:val="none"/>
        </w:rPr>
        <w:t>H</w:t>
      </w:r>
      <w:r>
        <w:rPr>
          <w:rFonts w:ascii="Times New Roman" w:eastAsia="Times New Roman" w:hAnsi="Times New Roman" w:cs="Times New Roman"/>
          <w:b/>
          <w:bCs/>
          <w:kern w:val="0"/>
          <w:vertAlign w:val="subscript"/>
          <w14:ligatures w14:val="none"/>
        </w:rPr>
        <w:t>01</w:t>
      </w:r>
      <w:r w:rsidRPr="00062523">
        <w:rPr>
          <w:rFonts w:ascii="Times New Roman" w:eastAsia="Times New Roman" w:hAnsi="Times New Roman" w:cs="Times New Roman"/>
          <w:b/>
          <w:bCs/>
          <w:kern w:val="0"/>
          <w14:ligatures w14:val="none"/>
        </w:rPr>
        <w:t>:</w:t>
      </w:r>
      <w:r w:rsidR="00AB681D">
        <w:rPr>
          <w:rFonts w:ascii="Times New Roman" w:eastAsia="Times New Roman" w:hAnsi="Times New Roman" w:cs="Times New Roman"/>
          <w:kern w:val="0"/>
          <w14:ligatures w14:val="none"/>
        </w:rPr>
        <w:t xml:space="preserve"> There is no</w:t>
      </w:r>
      <w:r w:rsidRPr="00062523">
        <w:rPr>
          <w:rFonts w:ascii="Times New Roman" w:eastAsia="Times New Roman" w:hAnsi="Times New Roman" w:cs="Times New Roman"/>
          <w:kern w:val="0"/>
          <w14:ligatures w14:val="none"/>
        </w:rPr>
        <w:t xml:space="preserve"> statistically significant positive relationship between awareness of BIRES optimization techniques and perceived climate security benefits among builders and civil engineers.</w:t>
      </w:r>
    </w:p>
    <w:p w14:paraId="03C8469E" w14:textId="116AC470" w:rsidR="00884FA9" w:rsidRPr="00062523" w:rsidRDefault="00062523" w:rsidP="00062523">
      <w:pPr>
        <w:pStyle w:val="ListParagraph"/>
        <w:spacing w:before="100" w:beforeAutospacing="1" w:after="100" w:afterAutospacing="1" w:line="480" w:lineRule="auto"/>
        <w:rPr>
          <w:rFonts w:ascii="Times New Roman" w:eastAsia="Times New Roman" w:hAnsi="Times New Roman" w:cs="Times New Roman"/>
          <w:kern w:val="0"/>
          <w14:ligatures w14:val="none"/>
        </w:rPr>
      </w:pPr>
      <w:r w:rsidRPr="00062523">
        <w:rPr>
          <w:rFonts w:ascii="Times New Roman" w:eastAsia="Times New Roman" w:hAnsi="Times New Roman" w:cs="Times New Roman"/>
          <w:b/>
          <w:bCs/>
          <w:kern w:val="0"/>
          <w14:ligatures w14:val="none"/>
        </w:rPr>
        <w:t>H</w:t>
      </w:r>
      <w:r>
        <w:rPr>
          <w:rFonts w:ascii="Times New Roman" w:eastAsia="Times New Roman" w:hAnsi="Times New Roman" w:cs="Times New Roman"/>
          <w:b/>
          <w:bCs/>
          <w:kern w:val="0"/>
          <w:vertAlign w:val="subscript"/>
          <w14:ligatures w14:val="none"/>
        </w:rPr>
        <w:t>02</w:t>
      </w:r>
      <w:r w:rsidRPr="00062523">
        <w:rPr>
          <w:rFonts w:ascii="Times New Roman" w:eastAsia="Times New Roman" w:hAnsi="Times New Roman" w:cs="Times New Roman"/>
          <w:b/>
          <w:bCs/>
          <w:kern w:val="0"/>
          <w14:ligatures w14:val="none"/>
        </w:rPr>
        <w:t>:</w:t>
      </w:r>
      <w:r w:rsidR="00AB681D">
        <w:rPr>
          <w:rFonts w:ascii="Times New Roman" w:eastAsia="Times New Roman" w:hAnsi="Times New Roman" w:cs="Times New Roman"/>
          <w:kern w:val="0"/>
          <w14:ligatures w14:val="none"/>
        </w:rPr>
        <w:t xml:space="preserve"> There is no </w:t>
      </w:r>
      <w:r w:rsidRPr="00062523">
        <w:rPr>
          <w:rFonts w:ascii="Times New Roman" w:eastAsia="Times New Roman" w:hAnsi="Times New Roman" w:cs="Times New Roman"/>
          <w:kern w:val="0"/>
          <w14:ligatures w14:val="none"/>
        </w:rPr>
        <w:t xml:space="preserve">statistically significant positive relationship between lack of lifecycle optimization practices and perceived environmental security </w:t>
      </w:r>
      <w:r w:rsidR="00AE5877" w:rsidRPr="00062523">
        <w:rPr>
          <w:rFonts w:ascii="Times New Roman" w:eastAsia="Times New Roman" w:hAnsi="Times New Roman" w:cs="Times New Roman"/>
          <w:kern w:val="0"/>
          <w14:ligatures w14:val="none"/>
        </w:rPr>
        <w:t>risks among</w:t>
      </w:r>
      <w:r w:rsidRPr="00062523">
        <w:rPr>
          <w:rFonts w:ascii="Times New Roman" w:eastAsia="Times New Roman" w:hAnsi="Times New Roman" w:cs="Times New Roman"/>
          <w:kern w:val="0"/>
          <w14:ligatures w14:val="none"/>
        </w:rPr>
        <w:t xml:space="preserve"> builders and civil engineers in BIRES projects.</w:t>
      </w:r>
    </w:p>
    <w:p w14:paraId="515DFC0C" w14:textId="76B37255" w:rsidR="00EA668F" w:rsidRPr="00EA668F" w:rsidRDefault="00EA668F" w:rsidP="00EA668F">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A668F">
        <w:rPr>
          <w:rFonts w:ascii="Times New Roman" w:eastAsia="Times New Roman" w:hAnsi="Times New Roman" w:cs="Times New Roman"/>
          <w:b/>
          <w:bCs/>
          <w:kern w:val="0"/>
          <w:sz w:val="36"/>
          <w:szCs w:val="36"/>
          <w14:ligatures w14:val="none"/>
        </w:rPr>
        <w:t xml:space="preserve">Methodology </w:t>
      </w:r>
    </w:p>
    <w:p w14:paraId="1D9B46E2" w14:textId="77777777" w:rsidR="00EA668F" w:rsidRPr="00EA668F" w:rsidRDefault="00EA668F" w:rsidP="00EA668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A668F">
        <w:rPr>
          <w:rFonts w:ascii="Times New Roman" w:eastAsia="Times New Roman" w:hAnsi="Times New Roman" w:cs="Times New Roman"/>
          <w:b/>
          <w:bCs/>
          <w:kern w:val="0"/>
          <w:sz w:val="27"/>
          <w:szCs w:val="27"/>
          <w14:ligatures w14:val="none"/>
        </w:rPr>
        <w:t>Research Design</w:t>
      </w:r>
    </w:p>
    <w:p w14:paraId="68FAFC81" w14:textId="77777777" w:rsidR="00EA668F" w:rsidRPr="00EA668F" w:rsidRDefault="00EA668F" w:rsidP="00EA668F">
      <w:pPr>
        <w:spacing w:before="100" w:beforeAutospacing="1" w:after="100" w:afterAutospacing="1" w:line="480" w:lineRule="auto"/>
        <w:rPr>
          <w:rFonts w:ascii="Times New Roman" w:eastAsia="Times New Roman" w:hAnsi="Times New Roman" w:cs="Times New Roman"/>
          <w:kern w:val="0"/>
          <w14:ligatures w14:val="none"/>
        </w:rPr>
      </w:pPr>
      <w:r w:rsidRPr="00EA668F">
        <w:rPr>
          <w:rFonts w:ascii="Times New Roman" w:eastAsia="Times New Roman" w:hAnsi="Times New Roman" w:cs="Times New Roman"/>
          <w:kern w:val="0"/>
          <w14:ligatures w14:val="none"/>
        </w:rPr>
        <w:t>The study adopted a cross-sectional descriptive survey design using a structured questionnaire. This design enabled the collection of quantitative data from builders and civil engineers to examine BIRES optimization practices and related perceptions at a single point in time.</w:t>
      </w:r>
    </w:p>
    <w:p w14:paraId="7FB5C7BC" w14:textId="77777777" w:rsidR="00EA668F" w:rsidRPr="00EA668F" w:rsidRDefault="00EA668F" w:rsidP="00EA668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A668F">
        <w:rPr>
          <w:rFonts w:ascii="Times New Roman" w:eastAsia="Times New Roman" w:hAnsi="Times New Roman" w:cs="Times New Roman"/>
          <w:b/>
          <w:bCs/>
          <w:kern w:val="0"/>
          <w:sz w:val="27"/>
          <w:szCs w:val="27"/>
          <w14:ligatures w14:val="none"/>
        </w:rPr>
        <w:t>Area of Study</w:t>
      </w:r>
    </w:p>
    <w:p w14:paraId="4CDE6082" w14:textId="2139CE7E" w:rsidR="00EA668F" w:rsidRPr="00692D4C" w:rsidRDefault="00EA668F" w:rsidP="00692D4C">
      <w:pPr>
        <w:spacing w:before="100" w:beforeAutospacing="1" w:after="100" w:afterAutospacing="1" w:line="480" w:lineRule="auto"/>
        <w:rPr>
          <w:rFonts w:ascii="Times New Roman" w:eastAsia="Times New Roman" w:hAnsi="Times New Roman" w:cs="Times New Roman"/>
          <w:kern w:val="0"/>
          <w14:ligatures w14:val="none"/>
        </w:rPr>
      </w:pPr>
      <w:r w:rsidRPr="00EA668F">
        <w:rPr>
          <w:rFonts w:ascii="Times New Roman" w:eastAsia="Times New Roman" w:hAnsi="Times New Roman" w:cs="Times New Roman"/>
          <w:kern w:val="0"/>
          <w14:ligatures w14:val="none"/>
        </w:rPr>
        <w:lastRenderedPageBreak/>
        <w:t>The study was conducted in the South-East geopolitical zone of Nigeria, comprising Abia, Anambra, Ebonyi, Enugu, and Imo States.</w:t>
      </w:r>
    </w:p>
    <w:p w14:paraId="0A83012E" w14:textId="2392AC07" w:rsidR="00EA668F" w:rsidRPr="00EA668F" w:rsidRDefault="00EA668F" w:rsidP="00EA668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A668F">
        <w:rPr>
          <w:rFonts w:ascii="Times New Roman" w:eastAsia="Times New Roman" w:hAnsi="Times New Roman" w:cs="Times New Roman"/>
          <w:b/>
          <w:bCs/>
          <w:kern w:val="0"/>
          <w:sz w:val="27"/>
          <w:szCs w:val="27"/>
          <w14:ligatures w14:val="none"/>
        </w:rPr>
        <w:t>Population of the Study</w:t>
      </w:r>
    </w:p>
    <w:p w14:paraId="672F6EE6" w14:textId="433043B8" w:rsidR="00EA668F" w:rsidRPr="00EA668F" w:rsidRDefault="00EF60F0" w:rsidP="00EA668F">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population comprised 150</w:t>
      </w:r>
      <w:r w:rsidR="00EA668F" w:rsidRPr="00EA668F">
        <w:rPr>
          <w:rFonts w:ascii="Times New Roman" w:eastAsia="Times New Roman" w:hAnsi="Times New Roman" w:cs="Times New Roman"/>
          <w:kern w:val="0"/>
          <w14:ligatures w14:val="none"/>
        </w:rPr>
        <w:t xml:space="preserve"> registered builders and civil engineers practicing in South-East Nigeria. Specifically, the study targeted professionals registered with:</w:t>
      </w:r>
      <w:r w:rsidR="00EA668F">
        <w:rPr>
          <w:rFonts w:ascii="Times New Roman" w:eastAsia="Times New Roman" w:hAnsi="Times New Roman" w:cs="Times New Roman"/>
          <w:kern w:val="0"/>
          <w14:ligatures w14:val="none"/>
        </w:rPr>
        <w:t xml:space="preserve"> </w:t>
      </w:r>
      <w:r w:rsidR="00EA668F" w:rsidRPr="00EA668F">
        <w:rPr>
          <w:rFonts w:ascii="Times New Roman" w:eastAsia="Times New Roman" w:hAnsi="Times New Roman" w:cs="Times New Roman"/>
          <w:kern w:val="0"/>
          <w14:ligatures w14:val="none"/>
        </w:rPr>
        <w:t xml:space="preserve">Nigerian Institute of Building (NIOB) </w:t>
      </w:r>
      <w:r w:rsidR="00EA668F">
        <w:rPr>
          <w:rFonts w:ascii="Times New Roman" w:eastAsia="Times New Roman" w:hAnsi="Times New Roman" w:cs="Times New Roman"/>
          <w:kern w:val="0"/>
          <w14:ligatures w14:val="none"/>
        </w:rPr>
        <w:t xml:space="preserve">&amp; </w:t>
      </w:r>
      <w:r w:rsidR="00EA668F" w:rsidRPr="00EA668F">
        <w:rPr>
          <w:rFonts w:ascii="Times New Roman" w:eastAsia="Times New Roman" w:hAnsi="Times New Roman" w:cs="Times New Roman"/>
          <w:kern w:val="0"/>
          <w14:ligatures w14:val="none"/>
        </w:rPr>
        <w:t>Council for the Regulation of Engineering in Nigeria (COREN)</w:t>
      </w:r>
      <w:r w:rsidR="00EA668F">
        <w:rPr>
          <w:rFonts w:ascii="Times New Roman" w:eastAsia="Times New Roman" w:hAnsi="Times New Roman" w:cs="Times New Roman"/>
          <w:kern w:val="0"/>
          <w14:ligatures w14:val="none"/>
        </w:rPr>
        <w:t>.</w:t>
      </w:r>
      <w:r w:rsidR="00EA668F" w:rsidRPr="00EA668F">
        <w:rPr>
          <w:rFonts w:ascii="Times New Roman" w:eastAsia="Times New Roman" w:hAnsi="Times New Roman" w:cs="Times New Roman"/>
          <w:kern w:val="0"/>
          <w14:ligatures w14:val="none"/>
        </w:rPr>
        <w:t xml:space="preserve"> Inclusion criteria included a minimum of five years of professional experience and active engagement in building design, construction, or engineering practice within the region.</w:t>
      </w:r>
    </w:p>
    <w:p w14:paraId="21BE6A2A" w14:textId="77777777" w:rsidR="00EA668F" w:rsidRPr="00EA668F" w:rsidRDefault="00EA668F" w:rsidP="00EA668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A668F">
        <w:rPr>
          <w:rFonts w:ascii="Times New Roman" w:eastAsia="Times New Roman" w:hAnsi="Times New Roman" w:cs="Times New Roman"/>
          <w:b/>
          <w:bCs/>
          <w:kern w:val="0"/>
          <w:sz w:val="27"/>
          <w:szCs w:val="27"/>
          <w14:ligatures w14:val="none"/>
        </w:rPr>
        <w:t>Sampling Technique and Sample Size</w:t>
      </w:r>
    </w:p>
    <w:p w14:paraId="20FB835C" w14:textId="1FCF6C5B" w:rsidR="00EA668F" w:rsidRDefault="00EA668F" w:rsidP="00EA668F">
      <w:pPr>
        <w:spacing w:before="100" w:beforeAutospacing="1" w:after="100" w:afterAutospacing="1" w:line="480" w:lineRule="auto"/>
        <w:rPr>
          <w:rFonts w:ascii="Times New Roman" w:eastAsia="Times New Roman" w:hAnsi="Times New Roman" w:cs="Times New Roman"/>
          <w:kern w:val="0"/>
          <w14:ligatures w14:val="none"/>
        </w:rPr>
      </w:pPr>
      <w:r w:rsidRPr="00EA668F">
        <w:rPr>
          <w:rFonts w:ascii="Times New Roman" w:eastAsia="Times New Roman" w:hAnsi="Times New Roman" w:cs="Times New Roman"/>
          <w:kern w:val="0"/>
          <w14:ligatures w14:val="none"/>
        </w:rPr>
        <w:t xml:space="preserve">A </w:t>
      </w:r>
      <w:r w:rsidRPr="00DF6505">
        <w:rPr>
          <w:rFonts w:ascii="Times New Roman" w:eastAsia="Times New Roman" w:hAnsi="Times New Roman" w:cs="Times New Roman"/>
          <w:kern w:val="0"/>
          <w14:ligatures w14:val="none"/>
        </w:rPr>
        <w:t>stratified random sampling technique</w:t>
      </w:r>
      <w:r w:rsidRPr="00EA668F">
        <w:rPr>
          <w:rFonts w:ascii="Times New Roman" w:eastAsia="Times New Roman" w:hAnsi="Times New Roman" w:cs="Times New Roman"/>
          <w:kern w:val="0"/>
          <w14:ligatures w14:val="none"/>
        </w:rPr>
        <w:t xml:space="preserve"> was used, with strata based on the five South-East states to ensure equal regional representation. A sample size of </w:t>
      </w:r>
      <w:r w:rsidR="00DF6505" w:rsidRPr="00DF6505">
        <w:rPr>
          <w:rFonts w:ascii="Times New Roman" w:eastAsia="Times New Roman" w:hAnsi="Times New Roman" w:cs="Times New Roman"/>
          <w:kern w:val="0"/>
          <w14:ligatures w14:val="none"/>
        </w:rPr>
        <w:t>1</w:t>
      </w:r>
      <w:r w:rsidR="00DF6505">
        <w:rPr>
          <w:rFonts w:ascii="Times New Roman" w:eastAsia="Times New Roman" w:hAnsi="Times New Roman" w:cs="Times New Roman"/>
          <w:kern w:val="0"/>
          <w14:ligatures w14:val="none"/>
        </w:rPr>
        <w:t>50</w:t>
      </w:r>
      <w:r w:rsidRPr="00DF6505">
        <w:rPr>
          <w:rFonts w:ascii="Times New Roman" w:eastAsia="Times New Roman" w:hAnsi="Times New Roman" w:cs="Times New Roman"/>
          <w:kern w:val="0"/>
          <w14:ligatures w14:val="none"/>
        </w:rPr>
        <w:t xml:space="preserve"> respondents</w:t>
      </w:r>
      <w:r w:rsidRPr="00EA668F">
        <w:rPr>
          <w:rFonts w:ascii="Times New Roman" w:eastAsia="Times New Roman" w:hAnsi="Times New Roman" w:cs="Times New Roman"/>
          <w:kern w:val="0"/>
          <w14:ligatures w14:val="none"/>
        </w:rPr>
        <w:t xml:space="preserve"> was determined using Krejcie and Morgan’s sampling </w:t>
      </w:r>
      <w:r w:rsidR="00DF6505" w:rsidRPr="00EA668F">
        <w:rPr>
          <w:rFonts w:ascii="Times New Roman" w:eastAsia="Times New Roman" w:hAnsi="Times New Roman" w:cs="Times New Roman"/>
          <w:kern w:val="0"/>
          <w14:ligatures w14:val="none"/>
        </w:rPr>
        <w:t>framework and</w:t>
      </w:r>
      <w:r w:rsidRPr="00EA668F">
        <w:rPr>
          <w:rFonts w:ascii="Times New Roman" w:eastAsia="Times New Roman" w:hAnsi="Times New Roman" w:cs="Times New Roman"/>
          <w:kern w:val="0"/>
          <w14:ligatures w14:val="none"/>
        </w:rPr>
        <w:t xml:space="preserve"> proportionally allocated across the strata.</w:t>
      </w:r>
    </w:p>
    <w:p w14:paraId="23618C0F" w14:textId="77777777" w:rsidR="00DF6505" w:rsidRPr="00DF6505" w:rsidRDefault="00DF6505" w:rsidP="00DF6505">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DF6505">
        <w:rPr>
          <w:rFonts w:ascii="Times New Roman" w:eastAsia="Times New Roman" w:hAnsi="Times New Roman" w:cs="Times New Roman"/>
          <w:b/>
          <w:bCs/>
          <w:kern w:val="0"/>
          <w:sz w:val="27"/>
          <w:szCs w:val="27"/>
          <w14:ligatures w14:val="none"/>
        </w:rPr>
        <w:t>Instrument for Data Collection</w:t>
      </w:r>
    </w:p>
    <w:p w14:paraId="7BC73999" w14:textId="1657E25D" w:rsidR="00DF6505" w:rsidRPr="00B711B9" w:rsidRDefault="00DF6505" w:rsidP="00B711B9">
      <w:pPr>
        <w:spacing w:before="100" w:beforeAutospacing="1" w:after="100" w:afterAutospacing="1" w:line="480" w:lineRule="auto"/>
        <w:rPr>
          <w:rFonts w:ascii="Times New Roman" w:eastAsia="Times New Roman" w:hAnsi="Times New Roman" w:cs="Times New Roman"/>
          <w:kern w:val="0"/>
          <w14:ligatures w14:val="none"/>
        </w:rPr>
      </w:pPr>
      <w:r w:rsidRPr="00DF6505">
        <w:rPr>
          <w:rFonts w:ascii="Times New Roman" w:eastAsia="Times New Roman" w:hAnsi="Times New Roman" w:cs="Times New Roman"/>
          <w:kern w:val="0"/>
          <w14:ligatures w14:val="none"/>
        </w:rPr>
        <w:t xml:space="preserve">The instrument for data collection was a structured questionnaire titled “BIRES Optimization and Security Questionnaire (BOS-SQ)”, designed to obtain relevant data from registered builders and civil engineers in South-East Nigeria. The questionnaire comprised three sections. Section A captured the demographic and professional characteristics of the respondents. Section B focused on BIRES adoption and optimization practices among the professionals. Section C assessed both the perceived climate security benefits and environmental security risks associated with </w:t>
      </w:r>
      <w:r w:rsidRPr="00DF6505">
        <w:rPr>
          <w:rFonts w:ascii="Times New Roman" w:eastAsia="Times New Roman" w:hAnsi="Times New Roman" w:cs="Times New Roman"/>
          <w:kern w:val="0"/>
          <w14:ligatures w14:val="none"/>
        </w:rPr>
        <w:lastRenderedPageBreak/>
        <w:t>Building-Integrated Renewable Energy Systems. All items in Sections B and C were measured on a 5-point Likert scale ranging from Strongly Disagree (1) to Strongly Agree (5).</w:t>
      </w:r>
    </w:p>
    <w:p w14:paraId="4209212F" w14:textId="10071BEE" w:rsidR="00DF6505" w:rsidRPr="00DF6505" w:rsidRDefault="00DF6505" w:rsidP="00DF6505">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DF6505">
        <w:rPr>
          <w:rFonts w:ascii="Times New Roman" w:eastAsia="Times New Roman" w:hAnsi="Times New Roman" w:cs="Times New Roman"/>
          <w:b/>
          <w:bCs/>
          <w:kern w:val="0"/>
          <w:sz w:val="27"/>
          <w:szCs w:val="27"/>
          <w14:ligatures w14:val="none"/>
        </w:rPr>
        <w:t>Data Collection Procedure</w:t>
      </w:r>
    </w:p>
    <w:p w14:paraId="734ACE94" w14:textId="77777777" w:rsidR="00DF6505" w:rsidRPr="00DF6505" w:rsidRDefault="00DF6505" w:rsidP="00DF6505">
      <w:pPr>
        <w:spacing w:before="100" w:beforeAutospacing="1" w:after="100" w:afterAutospacing="1" w:line="480" w:lineRule="auto"/>
        <w:rPr>
          <w:rFonts w:ascii="Times New Roman" w:eastAsia="Times New Roman" w:hAnsi="Times New Roman" w:cs="Times New Roman"/>
          <w:kern w:val="0"/>
          <w14:ligatures w14:val="none"/>
        </w:rPr>
      </w:pPr>
      <w:r w:rsidRPr="00DF6505">
        <w:rPr>
          <w:rFonts w:ascii="Times New Roman" w:eastAsia="Times New Roman" w:hAnsi="Times New Roman" w:cs="Times New Roman"/>
          <w:kern w:val="0"/>
          <w14:ligatures w14:val="none"/>
        </w:rPr>
        <w:t>Data were collected through both physical administration and online distribution (Google Forms) via professional associations and networks of builders and civil engineers in South-East Nigeria.</w:t>
      </w:r>
    </w:p>
    <w:p w14:paraId="17E4010C" w14:textId="77777777" w:rsidR="00DF6505" w:rsidRPr="00DF6505" w:rsidRDefault="00DF6505" w:rsidP="00DF6505">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DF6505">
        <w:rPr>
          <w:rFonts w:ascii="Times New Roman" w:eastAsia="Times New Roman" w:hAnsi="Times New Roman" w:cs="Times New Roman"/>
          <w:b/>
          <w:bCs/>
          <w:kern w:val="0"/>
          <w:sz w:val="27"/>
          <w:szCs w:val="27"/>
          <w14:ligatures w14:val="none"/>
        </w:rPr>
        <w:t>Data Analysis</w:t>
      </w:r>
    </w:p>
    <w:p w14:paraId="5582D789" w14:textId="5E668D1C" w:rsidR="00DF6505" w:rsidRDefault="00DF6505" w:rsidP="00DF6505">
      <w:pPr>
        <w:spacing w:before="100" w:beforeAutospacing="1" w:after="100" w:afterAutospacing="1" w:line="480" w:lineRule="auto"/>
        <w:rPr>
          <w:rFonts w:ascii="Times New Roman" w:eastAsia="Times New Roman" w:hAnsi="Times New Roman" w:cs="Times New Roman"/>
          <w:kern w:val="0"/>
          <w14:ligatures w14:val="none"/>
        </w:rPr>
      </w:pPr>
      <w:r w:rsidRPr="00DF6505">
        <w:rPr>
          <w:rFonts w:ascii="Times New Roman" w:eastAsia="Times New Roman" w:hAnsi="Times New Roman" w:cs="Times New Roman"/>
          <w:kern w:val="0"/>
          <w14:ligatures w14:val="none"/>
        </w:rPr>
        <w:t>Data was analyzed using SPSS version 25. Descriptive statistics were used to answer research questions</w:t>
      </w:r>
      <w:r w:rsidR="00EF60F0">
        <w:rPr>
          <w:rFonts w:ascii="Times New Roman" w:eastAsia="Times New Roman" w:hAnsi="Times New Roman" w:cs="Times New Roman"/>
          <w:kern w:val="0"/>
          <w14:ligatures w14:val="none"/>
        </w:rPr>
        <w:t xml:space="preserve"> while, two-way ANOVA analysis</w:t>
      </w:r>
      <w:r w:rsidRPr="00DF6505">
        <w:rPr>
          <w:rFonts w:ascii="Times New Roman" w:eastAsia="Times New Roman" w:hAnsi="Times New Roman" w:cs="Times New Roman"/>
          <w:kern w:val="0"/>
          <w14:ligatures w14:val="none"/>
        </w:rPr>
        <w:t xml:space="preserve"> test</w:t>
      </w:r>
      <w:r>
        <w:rPr>
          <w:rFonts w:ascii="Times New Roman" w:eastAsia="Times New Roman" w:hAnsi="Times New Roman" w:cs="Times New Roman"/>
          <w:kern w:val="0"/>
          <w14:ligatures w14:val="none"/>
        </w:rPr>
        <w:t xml:space="preserve">ed the </w:t>
      </w:r>
      <w:r w:rsidRPr="00DF6505">
        <w:rPr>
          <w:rFonts w:ascii="Times New Roman" w:eastAsia="Times New Roman" w:hAnsi="Times New Roman" w:cs="Times New Roman"/>
          <w:kern w:val="0"/>
          <w14:ligatures w14:val="none"/>
        </w:rPr>
        <w:t xml:space="preserve">hypotheses at a 0.05 level of significance. </w:t>
      </w:r>
    </w:p>
    <w:p w14:paraId="41AF4C47" w14:textId="77777777" w:rsidR="00AD63AA" w:rsidRPr="00AD63AA" w:rsidRDefault="00AD63AA" w:rsidP="00AD63AA">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AD63AA">
        <w:rPr>
          <w:rFonts w:ascii="Times New Roman" w:eastAsia="Times New Roman" w:hAnsi="Times New Roman" w:cs="Times New Roman"/>
          <w:b/>
          <w:bCs/>
          <w:kern w:val="0"/>
          <w:sz w:val="27"/>
          <w:szCs w:val="27"/>
          <w14:ligatures w14:val="none"/>
        </w:rPr>
        <w:t>Ethical Considerations</w:t>
      </w:r>
    </w:p>
    <w:p w14:paraId="5B42215B" w14:textId="685D4A61" w:rsidR="00406F27" w:rsidRDefault="00AD63AA" w:rsidP="00EC7CAA">
      <w:pPr>
        <w:spacing w:before="100" w:beforeAutospacing="1" w:after="100" w:afterAutospacing="1" w:line="480" w:lineRule="auto"/>
        <w:rPr>
          <w:rFonts w:ascii="Times New Roman" w:eastAsia="Times New Roman" w:hAnsi="Times New Roman" w:cs="Times New Roman"/>
          <w:kern w:val="0"/>
          <w14:ligatures w14:val="none"/>
        </w:rPr>
      </w:pPr>
      <w:r w:rsidRPr="00AD63AA">
        <w:rPr>
          <w:rFonts w:ascii="Times New Roman" w:eastAsia="Times New Roman" w:hAnsi="Times New Roman" w:cs="Times New Roman"/>
          <w:kern w:val="0"/>
          <w14:ligatures w14:val="none"/>
        </w:rPr>
        <w:t>Ethical approval was duly observed in the conduct of this study. Informed consent was obtained from all participants, either in written form for physically administered questionnaires or through a digital consent checkbox for online responses. Participation was entirely voluntary, and respondents were clearly informed of their right to withdraw from the study at any point without any penalty or negative consequence. In addition, strict anonymity was maintained throughout the research process, as no personal identifiers were collected or linked to individual responses, thereby ensuring confidentiality and protecting participants’ privacy.</w:t>
      </w:r>
    </w:p>
    <w:p w14:paraId="5DFB48F9" w14:textId="0C2B5B37" w:rsidR="00406F27" w:rsidRDefault="00406F27" w:rsidP="00EC7CAA">
      <w:pPr>
        <w:spacing w:before="100" w:beforeAutospacing="1" w:after="100" w:afterAutospacing="1" w:line="480" w:lineRule="auto"/>
        <w:rPr>
          <w:rFonts w:ascii="Times New Roman" w:eastAsia="Times New Roman" w:hAnsi="Times New Roman" w:cs="Times New Roman"/>
          <w:kern w:val="0"/>
          <w14:ligatures w14:val="none"/>
        </w:rPr>
      </w:pPr>
    </w:p>
    <w:p w14:paraId="76570FE3" w14:textId="77777777" w:rsidR="00406F27" w:rsidRPr="00406F27" w:rsidRDefault="00406F27" w:rsidP="00EC7CAA">
      <w:pPr>
        <w:spacing w:before="100" w:beforeAutospacing="1" w:after="100" w:afterAutospacing="1" w:line="480" w:lineRule="auto"/>
        <w:rPr>
          <w:rFonts w:ascii="Times New Roman" w:eastAsia="Times New Roman" w:hAnsi="Times New Roman" w:cs="Times New Roman"/>
          <w:kern w:val="0"/>
          <w14:ligatures w14:val="none"/>
        </w:rPr>
      </w:pPr>
    </w:p>
    <w:p w14:paraId="00F3669D" w14:textId="77777777" w:rsidR="00406F27" w:rsidRPr="00185E1D" w:rsidRDefault="00406F27" w:rsidP="00406F27">
      <w:pPr>
        <w:shd w:val="clear" w:color="auto" w:fill="FFFFFF"/>
        <w:spacing w:before="240" w:after="0" w:line="480" w:lineRule="auto"/>
        <w:rPr>
          <w:rFonts w:ascii="Segoe UI" w:eastAsia="Times New Roman" w:hAnsi="Segoe UI" w:cs="Segoe UI"/>
          <w:b/>
          <w:bCs/>
          <w:color w:val="0F1115"/>
        </w:rPr>
      </w:pPr>
      <w:r w:rsidRPr="001066B3">
        <w:rPr>
          <w:rFonts w:ascii="Segoe UI" w:eastAsia="Times New Roman" w:hAnsi="Segoe UI" w:cs="Segoe UI"/>
          <w:b/>
          <w:bCs/>
          <w:color w:val="0F1115"/>
        </w:rPr>
        <w:lastRenderedPageBreak/>
        <w:t xml:space="preserve">Results </w:t>
      </w:r>
    </w:p>
    <w:p w14:paraId="14B438DB" w14:textId="77777777" w:rsidR="00406F27" w:rsidRDefault="00406F27" w:rsidP="00406F27">
      <w:pPr>
        <w:spacing w:line="360" w:lineRule="auto"/>
        <w:jc w:val="both"/>
        <w:rPr>
          <w:rFonts w:ascii="Times New Roman" w:hAnsi="Times New Roman"/>
          <w:b/>
        </w:rPr>
      </w:pPr>
      <w:r>
        <w:rPr>
          <w:rFonts w:ascii="Times New Roman" w:hAnsi="Times New Roman"/>
          <w:b/>
        </w:rPr>
        <w:t>Table 1</w:t>
      </w:r>
    </w:p>
    <w:p w14:paraId="60F5D64A" w14:textId="18D8B6A0" w:rsidR="00406F27" w:rsidRPr="00125517" w:rsidRDefault="00125517" w:rsidP="00E512A5">
      <w:pPr>
        <w:spacing w:before="100" w:beforeAutospacing="1" w:after="100" w:afterAutospacing="1" w:line="240" w:lineRule="auto"/>
        <w:ind w:firstLine="720"/>
        <w:outlineLvl w:val="2"/>
        <w:rPr>
          <w:rFonts w:ascii="Times New Roman" w:eastAsia="Times New Roman" w:hAnsi="Times New Roman" w:cs="Times New Roman"/>
          <w:b/>
          <w:bCs/>
        </w:rPr>
      </w:pPr>
      <w:bookmarkStart w:id="0" w:name="_Hlk209776660"/>
      <w:r w:rsidRPr="00125517">
        <w:rPr>
          <w:rFonts w:ascii="Times New Roman" w:eastAsia="Times New Roman" w:hAnsi="Times New Roman" w:cs="Times New Roman"/>
          <w:b/>
          <w:bCs/>
        </w:rPr>
        <w:t>M</w:t>
      </w:r>
      <w:r w:rsidR="00F91EE3">
        <w:rPr>
          <w:rFonts w:ascii="Times New Roman" w:eastAsia="Times New Roman" w:hAnsi="Times New Roman" w:cs="Times New Roman"/>
          <w:b/>
          <w:bCs/>
        </w:rPr>
        <w:t>ean Ratings on BIRES Adoption, o</w:t>
      </w:r>
      <w:r w:rsidRPr="00125517">
        <w:rPr>
          <w:rFonts w:ascii="Times New Roman" w:eastAsia="Times New Roman" w:hAnsi="Times New Roman" w:cs="Times New Roman"/>
          <w:b/>
          <w:bCs/>
        </w:rPr>
        <w:t>ptimization</w:t>
      </w:r>
      <w:r w:rsidR="00F91EE3">
        <w:rPr>
          <w:rFonts w:ascii="Times New Roman" w:eastAsia="Times New Roman" w:hAnsi="Times New Roman" w:cs="Times New Roman"/>
          <w:b/>
          <w:bCs/>
        </w:rPr>
        <w:t xml:space="preserve"> practices and barriers to its implementation among builders and civil e</w:t>
      </w:r>
      <w:r w:rsidRPr="00125517">
        <w:rPr>
          <w:rFonts w:ascii="Times New Roman" w:eastAsia="Times New Roman" w:hAnsi="Times New Roman" w:cs="Times New Roman"/>
          <w:b/>
          <w:bCs/>
        </w:rPr>
        <w:t xml:space="preserve">ngineers </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Pr="00125517">
        <w:rPr>
          <w:rFonts w:ascii="Times New Roman" w:eastAsia="Times New Roman" w:hAnsi="Times New Roman" w:cs="Times New Roman"/>
          <w:b/>
          <w:bCs/>
        </w:rPr>
        <w:t>(N = 150)</w:t>
      </w:r>
    </w:p>
    <w:tbl>
      <w:tblPr>
        <w:tblStyle w:val="TableGrid"/>
        <w:tblW w:w="10445" w:type="dxa"/>
        <w:tblInd w:w="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5"/>
      </w:tblGrid>
      <w:tr w:rsidR="00406F27" w:rsidRPr="00057647" w14:paraId="607770CF" w14:textId="77777777" w:rsidTr="002532A0">
        <w:trPr>
          <w:trHeight w:val="317"/>
        </w:trPr>
        <w:tc>
          <w:tcPr>
            <w:tcW w:w="10445" w:type="dxa"/>
          </w:tcPr>
          <w:bookmarkEnd w:id="0"/>
          <w:p w14:paraId="16B32946" w14:textId="77777777" w:rsidR="00F91EE3" w:rsidRPr="00D11DA8" w:rsidRDefault="00F91EE3" w:rsidP="00F91EE3">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S/N   Item statements                                                                      </w:t>
            </w:r>
            <m:oMath>
              <m:sSub>
                <m:sSubPr>
                  <m:ctrlPr>
                    <w:rPr>
                      <w:rFonts w:ascii="Cambria Math" w:eastAsia="Times New Roman" w:hAnsi="Cambria Math" w:cs="Times New Roman"/>
                    </w:rPr>
                  </m:ctrlPr>
                </m:sSubPr>
                <m:e>
                  <m:acc>
                    <m:accPr>
                      <m:chr m:val="ˉ"/>
                      <m:ctrlPr>
                        <w:rPr>
                          <w:rFonts w:ascii="Cambria Math" w:eastAsia="Times New Roman" w:hAnsi="Cambria Math" w:cs="Times New Roman"/>
                        </w:rPr>
                      </m:ctrlPr>
                    </m:accPr>
                    <m:e>
                      <m:r>
                        <w:rPr>
                          <w:rFonts w:ascii="Cambria Math" w:eastAsia="Times New Roman" w:hAnsi="Cambria Math" w:cs="Times New Roman"/>
                        </w:rPr>
                        <m:t>X</m:t>
                      </m:r>
                    </m:e>
                  </m:acc>
                </m:e>
                <m:sub>
                  <m:r>
                    <w:rPr>
                      <w:rFonts w:ascii="Cambria Math" w:eastAsia="Times New Roman" w:hAnsi="Cambria Math" w:cs="Times New Roman"/>
                    </w:rPr>
                    <m:t>1</m:t>
                  </m:r>
                </m:sub>
              </m:sSub>
            </m:oMath>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m:oMath>
              <m:sSub>
                <m:sSubPr>
                  <m:ctrlPr>
                    <w:rPr>
                      <w:rFonts w:ascii="Cambria Math" w:eastAsia="Times New Roman" w:hAnsi="Cambria Math" w:cs="Times New Roman"/>
                    </w:rPr>
                  </m:ctrlPr>
                </m:sSubPr>
                <m:e>
                  <m:acc>
                    <m:accPr>
                      <m:chr m:val="ˉ"/>
                      <m:ctrlPr>
                        <w:rPr>
                          <w:rFonts w:ascii="Cambria Math" w:eastAsia="Times New Roman" w:hAnsi="Cambria Math" w:cs="Times New Roman"/>
                        </w:rPr>
                      </m:ctrlPr>
                    </m:accPr>
                    <m:e>
                      <m:r>
                        <w:rPr>
                          <w:rFonts w:ascii="Cambria Math" w:eastAsia="Times New Roman" w:hAnsi="Cambria Math" w:cs="Times New Roman"/>
                        </w:rPr>
                        <m:t>X</m:t>
                      </m:r>
                    </m:e>
                  </m:acc>
                </m:e>
                <m:sub>
                  <m:r>
                    <w:rPr>
                      <w:rFonts w:ascii="Cambria Math" w:eastAsia="Times New Roman" w:hAnsi="Cambria Math" w:cs="Times New Roman"/>
                    </w:rPr>
                    <m:t>2</m:t>
                  </m:r>
                </m:sub>
              </m:sSub>
            </m:oMath>
            <w:r>
              <w:rPr>
                <w:rFonts w:ascii="Times New Roman" w:hAnsi="Times New Roman" w:cs="Times New Roman"/>
                <w:sz w:val="24"/>
                <w:szCs w:val="24"/>
                <w:vertAlign w:val="subscript"/>
              </w:rPr>
              <w:t xml:space="preserve">           </w:t>
            </w:r>
            <w:r>
              <w:rPr>
                <w:rFonts w:ascii="Times New Roman" w:hAnsi="Times New Roman" w:cs="Times New Roman"/>
                <w:sz w:val="24"/>
                <w:szCs w:val="24"/>
              </w:rPr>
              <w:t>SD</w:t>
            </w:r>
            <w:r>
              <w:rPr>
                <w:rFonts w:ascii="Times New Roman" w:hAnsi="Times New Roman" w:cs="Times New Roman"/>
                <w:sz w:val="24"/>
                <w:szCs w:val="24"/>
                <w:vertAlign w:val="subscript"/>
              </w:rPr>
              <w:t xml:space="preserve">1          </w:t>
            </w:r>
            <w:r>
              <w:rPr>
                <w:rFonts w:ascii="Times New Roman" w:hAnsi="Times New Roman" w:cs="Times New Roman"/>
                <w:sz w:val="24"/>
                <w:szCs w:val="24"/>
              </w:rPr>
              <w:t>SD</w:t>
            </w:r>
            <w:r>
              <w:rPr>
                <w:rFonts w:ascii="Times New Roman" w:hAnsi="Times New Roman" w:cs="Times New Roman"/>
                <w:sz w:val="24"/>
                <w:szCs w:val="24"/>
                <w:vertAlign w:val="subscript"/>
              </w:rPr>
              <w:t>2</w:t>
            </w:r>
          </w:p>
          <w:p w14:paraId="4EBDBFE4" w14:textId="724330CD" w:rsidR="00406F27" w:rsidRPr="00057647" w:rsidRDefault="00F91EE3" w:rsidP="00F91EE3">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1742BA9D" w14:textId="6ADAF17D" w:rsidR="00493EAD" w:rsidRDefault="00493EAD"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BIRES level </w:t>
      </w:r>
      <w:r w:rsidR="0096226B">
        <w:rPr>
          <w:rFonts w:ascii="Times New Roman" w:eastAsia="Times New Roman" w:hAnsi="Times New Roman" w:cs="Times New Roman"/>
        </w:rPr>
        <w:t xml:space="preserve">of </w:t>
      </w:r>
      <w:r>
        <w:rPr>
          <w:rFonts w:ascii="Times New Roman" w:eastAsia="Times New Roman" w:hAnsi="Times New Roman" w:cs="Times New Roman"/>
        </w:rPr>
        <w:t xml:space="preserve">adoption by professional </w:t>
      </w:r>
      <w:r>
        <w:rPr>
          <w:rFonts w:ascii="Times New Roman" w:eastAsia="Times New Roman" w:hAnsi="Times New Roman" w:cs="Times New Roman"/>
        </w:rPr>
        <w:tab/>
      </w:r>
      <w:r>
        <w:rPr>
          <w:rFonts w:ascii="Times New Roman" w:eastAsia="Times New Roman" w:hAnsi="Times New Roman" w:cs="Times New Roman"/>
        </w:rPr>
        <w:tab/>
        <w:t>2.03</w:t>
      </w:r>
      <w:r>
        <w:rPr>
          <w:rFonts w:ascii="Times New Roman" w:eastAsia="Times New Roman" w:hAnsi="Times New Roman" w:cs="Times New Roman"/>
        </w:rPr>
        <w:tab/>
        <w:t>2.19</w:t>
      </w:r>
      <w:r>
        <w:rPr>
          <w:rFonts w:ascii="Times New Roman" w:eastAsia="Times New Roman" w:hAnsi="Times New Roman" w:cs="Times New Roman"/>
        </w:rPr>
        <w:tab/>
        <w:t>0.71</w:t>
      </w:r>
      <w:r>
        <w:rPr>
          <w:rFonts w:ascii="Times New Roman" w:eastAsia="Times New Roman" w:hAnsi="Times New Roman" w:cs="Times New Roman"/>
        </w:rPr>
        <w:tab/>
        <w:t>0.77</w:t>
      </w:r>
    </w:p>
    <w:p w14:paraId="6F8A8A7E" w14:textId="62EC75B5" w:rsidR="00493EAD" w:rsidRDefault="00493EAD"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BIRES level </w:t>
      </w:r>
      <w:r w:rsidR="0096226B">
        <w:rPr>
          <w:rFonts w:ascii="Times New Roman" w:eastAsia="Times New Roman" w:hAnsi="Times New Roman" w:cs="Times New Roman"/>
        </w:rPr>
        <w:t xml:space="preserve">of </w:t>
      </w:r>
      <w:r>
        <w:rPr>
          <w:rFonts w:ascii="Times New Roman" w:eastAsia="Times New Roman" w:hAnsi="Times New Roman" w:cs="Times New Roman"/>
        </w:rPr>
        <w:t>optimi</w:t>
      </w:r>
      <w:r w:rsidR="0096226B">
        <w:rPr>
          <w:rFonts w:ascii="Times New Roman" w:eastAsia="Times New Roman" w:hAnsi="Times New Roman" w:cs="Times New Roman"/>
        </w:rPr>
        <w:t xml:space="preserve">zation practices by </w:t>
      </w:r>
    </w:p>
    <w:p w14:paraId="246C9951" w14:textId="73171D2D" w:rsidR="0096226B" w:rsidRDefault="0096226B" w:rsidP="0096226B">
      <w:pPr>
        <w:pStyle w:val="ListParagraph"/>
        <w:spacing w:after="0" w:line="276" w:lineRule="auto"/>
        <w:ind w:left="1440"/>
        <w:rPr>
          <w:rFonts w:ascii="Times New Roman" w:eastAsia="Times New Roman" w:hAnsi="Times New Roman" w:cs="Times New Roman"/>
        </w:rPr>
      </w:pPr>
      <w:r>
        <w:rPr>
          <w:rFonts w:ascii="Times New Roman" w:eastAsia="Times New Roman" w:hAnsi="Times New Roman" w:cs="Times New Roman"/>
        </w:rPr>
        <w:t xml:space="preserve">Professionals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1.81</w:t>
      </w:r>
      <w:r>
        <w:rPr>
          <w:rFonts w:ascii="Times New Roman" w:eastAsia="Times New Roman" w:hAnsi="Times New Roman" w:cs="Times New Roman"/>
        </w:rPr>
        <w:tab/>
        <w:t>1.97</w:t>
      </w:r>
      <w:r>
        <w:rPr>
          <w:rFonts w:ascii="Times New Roman" w:eastAsia="Times New Roman" w:hAnsi="Times New Roman" w:cs="Times New Roman"/>
        </w:rPr>
        <w:tab/>
        <w:t>0.66</w:t>
      </w:r>
      <w:r>
        <w:rPr>
          <w:rFonts w:ascii="Times New Roman" w:eastAsia="Times New Roman" w:hAnsi="Times New Roman" w:cs="Times New Roman"/>
        </w:rPr>
        <w:tab/>
        <w:t>0.69</w:t>
      </w:r>
    </w:p>
    <w:p w14:paraId="7D626886" w14:textId="57E7D930" w:rsidR="00493EAD" w:rsidRDefault="00493EAD"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Awareness optimization level by professionals</w:t>
      </w:r>
      <w:r w:rsidR="0096226B">
        <w:rPr>
          <w:rFonts w:ascii="Times New Roman" w:eastAsia="Times New Roman" w:hAnsi="Times New Roman" w:cs="Times New Roman"/>
        </w:rPr>
        <w:tab/>
        <w:t>2.28</w:t>
      </w:r>
      <w:r w:rsidR="0096226B">
        <w:rPr>
          <w:rFonts w:ascii="Times New Roman" w:eastAsia="Times New Roman" w:hAnsi="Times New Roman" w:cs="Times New Roman"/>
        </w:rPr>
        <w:tab/>
        <w:t>2.46</w:t>
      </w:r>
      <w:r w:rsidR="0096226B">
        <w:rPr>
          <w:rFonts w:ascii="Times New Roman" w:eastAsia="Times New Roman" w:hAnsi="Times New Roman" w:cs="Times New Roman"/>
        </w:rPr>
        <w:tab/>
        <w:t>0.79</w:t>
      </w:r>
      <w:r w:rsidR="0096226B">
        <w:rPr>
          <w:rFonts w:ascii="Times New Roman" w:eastAsia="Times New Roman" w:hAnsi="Times New Roman" w:cs="Times New Roman"/>
        </w:rPr>
        <w:tab/>
        <w:t>0.83</w:t>
      </w:r>
    </w:p>
    <w:p w14:paraId="2F640D26" w14:textId="77777777" w:rsidR="0096226B" w:rsidRDefault="00493EAD"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Climate-zone design adaptation level by</w:t>
      </w:r>
    </w:p>
    <w:p w14:paraId="01DD6167" w14:textId="6C8076A4" w:rsidR="00493EAD" w:rsidRDefault="00493EAD" w:rsidP="0096226B">
      <w:pPr>
        <w:pStyle w:val="ListParagraph"/>
        <w:spacing w:after="0" w:line="276" w:lineRule="auto"/>
        <w:ind w:left="1440"/>
        <w:rPr>
          <w:rFonts w:ascii="Times New Roman" w:eastAsia="Times New Roman" w:hAnsi="Times New Roman" w:cs="Times New Roman"/>
        </w:rPr>
      </w:pPr>
      <w:r>
        <w:rPr>
          <w:rFonts w:ascii="Times New Roman" w:eastAsia="Times New Roman" w:hAnsi="Times New Roman" w:cs="Times New Roman"/>
        </w:rPr>
        <w:t xml:space="preserve"> professional </w:t>
      </w:r>
      <w:r w:rsidR="0096226B">
        <w:rPr>
          <w:rFonts w:ascii="Times New Roman" w:eastAsia="Times New Roman" w:hAnsi="Times New Roman" w:cs="Times New Roman"/>
        </w:rPr>
        <w:tab/>
      </w:r>
      <w:r w:rsidR="0096226B">
        <w:rPr>
          <w:rFonts w:ascii="Times New Roman" w:eastAsia="Times New Roman" w:hAnsi="Times New Roman" w:cs="Times New Roman"/>
        </w:rPr>
        <w:tab/>
      </w:r>
      <w:r w:rsidR="0096226B">
        <w:rPr>
          <w:rFonts w:ascii="Times New Roman" w:eastAsia="Times New Roman" w:hAnsi="Times New Roman" w:cs="Times New Roman"/>
        </w:rPr>
        <w:tab/>
      </w:r>
      <w:r w:rsidR="0096226B">
        <w:rPr>
          <w:rFonts w:ascii="Times New Roman" w:eastAsia="Times New Roman" w:hAnsi="Times New Roman" w:cs="Times New Roman"/>
        </w:rPr>
        <w:tab/>
      </w:r>
      <w:r w:rsidR="0096226B">
        <w:rPr>
          <w:rFonts w:ascii="Times New Roman" w:eastAsia="Times New Roman" w:hAnsi="Times New Roman" w:cs="Times New Roman"/>
        </w:rPr>
        <w:tab/>
      </w:r>
      <w:r w:rsidR="0096226B">
        <w:rPr>
          <w:rFonts w:ascii="Times New Roman" w:eastAsia="Times New Roman" w:hAnsi="Times New Roman" w:cs="Times New Roman"/>
        </w:rPr>
        <w:tab/>
        <w:t>1.83</w:t>
      </w:r>
      <w:r w:rsidR="0096226B">
        <w:rPr>
          <w:rFonts w:ascii="Times New Roman" w:eastAsia="Times New Roman" w:hAnsi="Times New Roman" w:cs="Times New Roman"/>
        </w:rPr>
        <w:tab/>
        <w:t>2.01</w:t>
      </w:r>
      <w:r w:rsidR="0096226B">
        <w:rPr>
          <w:rFonts w:ascii="Times New Roman" w:eastAsia="Times New Roman" w:hAnsi="Times New Roman" w:cs="Times New Roman"/>
        </w:rPr>
        <w:tab/>
        <w:t>0.68</w:t>
      </w:r>
      <w:r w:rsidR="0096226B">
        <w:rPr>
          <w:rFonts w:ascii="Times New Roman" w:eastAsia="Times New Roman" w:hAnsi="Times New Roman" w:cs="Times New Roman"/>
        </w:rPr>
        <w:tab/>
        <w:t>0.72</w:t>
      </w:r>
    </w:p>
    <w:p w14:paraId="22E3F267" w14:textId="4DD79EB2" w:rsidR="00493EAD" w:rsidRDefault="00493EAD"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Lack of tropical climate design guidelines barrier</w:t>
      </w:r>
      <w:r w:rsidR="0096226B">
        <w:rPr>
          <w:rFonts w:ascii="Times New Roman" w:eastAsia="Times New Roman" w:hAnsi="Times New Roman" w:cs="Times New Roman"/>
        </w:rPr>
        <w:tab/>
        <w:t>4.36</w:t>
      </w:r>
      <w:r w:rsidR="0096226B">
        <w:rPr>
          <w:rFonts w:ascii="Times New Roman" w:eastAsia="Times New Roman" w:hAnsi="Times New Roman" w:cs="Times New Roman"/>
        </w:rPr>
        <w:tab/>
        <w:t>4.28</w:t>
      </w:r>
      <w:r w:rsidR="0096226B">
        <w:rPr>
          <w:rFonts w:ascii="Times New Roman" w:eastAsia="Times New Roman" w:hAnsi="Times New Roman" w:cs="Times New Roman"/>
        </w:rPr>
        <w:tab/>
        <w:t>0.69</w:t>
      </w:r>
      <w:r w:rsidR="0096226B">
        <w:rPr>
          <w:rFonts w:ascii="Times New Roman" w:eastAsia="Times New Roman" w:hAnsi="Times New Roman" w:cs="Times New Roman"/>
        </w:rPr>
        <w:tab/>
        <w:t>0.73</w:t>
      </w:r>
    </w:p>
    <w:p w14:paraId="71602CFA" w14:textId="7D715582" w:rsidR="00493EAD" w:rsidRDefault="00493EAD"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High cost of imported components barrier</w:t>
      </w:r>
      <w:r w:rsidR="0096226B">
        <w:rPr>
          <w:rFonts w:ascii="Times New Roman" w:eastAsia="Times New Roman" w:hAnsi="Times New Roman" w:cs="Times New Roman"/>
        </w:rPr>
        <w:tab/>
      </w:r>
      <w:r w:rsidR="0096226B">
        <w:rPr>
          <w:rFonts w:ascii="Times New Roman" w:eastAsia="Times New Roman" w:hAnsi="Times New Roman" w:cs="Times New Roman"/>
        </w:rPr>
        <w:tab/>
        <w:t>4.08</w:t>
      </w:r>
      <w:r w:rsidR="0096226B">
        <w:rPr>
          <w:rFonts w:ascii="Times New Roman" w:eastAsia="Times New Roman" w:hAnsi="Times New Roman" w:cs="Times New Roman"/>
        </w:rPr>
        <w:tab/>
        <w:t>4.12</w:t>
      </w:r>
      <w:r w:rsidR="0096226B">
        <w:rPr>
          <w:rFonts w:ascii="Times New Roman" w:eastAsia="Times New Roman" w:hAnsi="Times New Roman" w:cs="Times New Roman"/>
        </w:rPr>
        <w:tab/>
        <w:t>0.75</w:t>
      </w:r>
      <w:r w:rsidR="0096226B">
        <w:rPr>
          <w:rFonts w:ascii="Times New Roman" w:eastAsia="Times New Roman" w:hAnsi="Times New Roman" w:cs="Times New Roman"/>
        </w:rPr>
        <w:tab/>
        <w:t>0.77</w:t>
      </w:r>
    </w:p>
    <w:p w14:paraId="22597F3B" w14:textId="0CC273C0" w:rsidR="00493EAD" w:rsidRDefault="00493EAD"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Optimization training barrier</w:t>
      </w:r>
      <w:r w:rsidR="0096226B">
        <w:rPr>
          <w:rFonts w:ascii="Times New Roman" w:eastAsia="Times New Roman" w:hAnsi="Times New Roman" w:cs="Times New Roman"/>
        </w:rPr>
        <w:tab/>
      </w:r>
      <w:r w:rsidR="0096226B">
        <w:rPr>
          <w:rFonts w:ascii="Times New Roman" w:eastAsia="Times New Roman" w:hAnsi="Times New Roman" w:cs="Times New Roman"/>
        </w:rPr>
        <w:tab/>
      </w:r>
      <w:r w:rsidR="0096226B">
        <w:rPr>
          <w:rFonts w:ascii="Times New Roman" w:eastAsia="Times New Roman" w:hAnsi="Times New Roman" w:cs="Times New Roman"/>
        </w:rPr>
        <w:tab/>
      </w:r>
      <w:r w:rsidR="0096226B">
        <w:rPr>
          <w:rFonts w:ascii="Times New Roman" w:eastAsia="Times New Roman" w:hAnsi="Times New Roman" w:cs="Times New Roman"/>
        </w:rPr>
        <w:tab/>
        <w:t>4.04</w:t>
      </w:r>
      <w:r w:rsidR="0096226B">
        <w:rPr>
          <w:rFonts w:ascii="Times New Roman" w:eastAsia="Times New Roman" w:hAnsi="Times New Roman" w:cs="Times New Roman"/>
        </w:rPr>
        <w:tab/>
        <w:t>3.92</w:t>
      </w:r>
      <w:r w:rsidR="0096226B">
        <w:rPr>
          <w:rFonts w:ascii="Times New Roman" w:eastAsia="Times New Roman" w:hAnsi="Times New Roman" w:cs="Times New Roman"/>
        </w:rPr>
        <w:tab/>
        <w:t>0.80</w:t>
      </w:r>
      <w:r w:rsidR="0096226B">
        <w:rPr>
          <w:rFonts w:ascii="Times New Roman" w:eastAsia="Times New Roman" w:hAnsi="Times New Roman" w:cs="Times New Roman"/>
        </w:rPr>
        <w:tab/>
        <w:t>0.84</w:t>
      </w:r>
    </w:p>
    <w:p w14:paraId="7A8339FB" w14:textId="313349CE" w:rsidR="0096226B" w:rsidRDefault="0096226B"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Building and </w:t>
      </w:r>
      <w:r w:rsidR="00493EAD">
        <w:rPr>
          <w:rFonts w:ascii="Times New Roman" w:eastAsia="Times New Roman" w:hAnsi="Times New Roman" w:cs="Times New Roman"/>
        </w:rPr>
        <w:t>installation code barrier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4.24</w:t>
      </w:r>
      <w:r>
        <w:rPr>
          <w:rFonts w:ascii="Times New Roman" w:eastAsia="Times New Roman" w:hAnsi="Times New Roman" w:cs="Times New Roman"/>
        </w:rPr>
        <w:tab/>
        <w:t>4.18</w:t>
      </w:r>
      <w:r>
        <w:rPr>
          <w:rFonts w:ascii="Times New Roman" w:eastAsia="Times New Roman" w:hAnsi="Times New Roman" w:cs="Times New Roman"/>
        </w:rPr>
        <w:tab/>
        <w:t>0.72</w:t>
      </w:r>
      <w:r>
        <w:rPr>
          <w:rFonts w:ascii="Times New Roman" w:eastAsia="Times New Roman" w:hAnsi="Times New Roman" w:cs="Times New Roman"/>
        </w:rPr>
        <w:tab/>
        <w:t>0.78</w:t>
      </w:r>
    </w:p>
    <w:p w14:paraId="69E8BB62" w14:textId="0A6CF246" w:rsidR="0096226B" w:rsidRDefault="0096226B"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Life cycle assessment practices availability</w:t>
      </w:r>
      <w:r>
        <w:rPr>
          <w:rFonts w:ascii="Times New Roman" w:eastAsia="Times New Roman" w:hAnsi="Times New Roman" w:cs="Times New Roman"/>
        </w:rPr>
        <w:tab/>
      </w:r>
      <w:r>
        <w:rPr>
          <w:rFonts w:ascii="Times New Roman" w:eastAsia="Times New Roman" w:hAnsi="Times New Roman" w:cs="Times New Roman"/>
        </w:rPr>
        <w:tab/>
      </w:r>
      <w:r w:rsidR="00E512A5">
        <w:rPr>
          <w:rFonts w:ascii="Times New Roman" w:eastAsia="Times New Roman" w:hAnsi="Times New Roman" w:cs="Times New Roman"/>
        </w:rPr>
        <w:t>1.74</w:t>
      </w:r>
      <w:r w:rsidR="00E512A5">
        <w:rPr>
          <w:rFonts w:ascii="Times New Roman" w:eastAsia="Times New Roman" w:hAnsi="Times New Roman" w:cs="Times New Roman"/>
        </w:rPr>
        <w:tab/>
        <w:t>1.96</w:t>
      </w:r>
      <w:r w:rsidR="00E512A5">
        <w:rPr>
          <w:rFonts w:ascii="Times New Roman" w:eastAsia="Times New Roman" w:hAnsi="Times New Roman" w:cs="Times New Roman"/>
        </w:rPr>
        <w:tab/>
        <w:t>0.62</w:t>
      </w:r>
      <w:r w:rsidR="00E512A5">
        <w:rPr>
          <w:rFonts w:ascii="Times New Roman" w:eastAsia="Times New Roman" w:hAnsi="Times New Roman" w:cs="Times New Roman"/>
        </w:rPr>
        <w:tab/>
        <w:t>0.71</w:t>
      </w:r>
    </w:p>
    <w:p w14:paraId="12353CBB" w14:textId="77777777" w:rsidR="0096226B" w:rsidRDefault="0096226B" w:rsidP="00493EAD">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Awareness of lifecycle assessment by</w:t>
      </w:r>
    </w:p>
    <w:p w14:paraId="175743B3" w14:textId="5AE85E8C" w:rsidR="0096226B" w:rsidRDefault="0096226B" w:rsidP="0096226B">
      <w:pPr>
        <w:pStyle w:val="ListParagraph"/>
        <w:spacing w:after="0" w:line="276" w:lineRule="auto"/>
        <w:ind w:left="1440"/>
        <w:rPr>
          <w:rFonts w:ascii="Times New Roman" w:eastAsia="Times New Roman" w:hAnsi="Times New Roman" w:cs="Times New Roman"/>
        </w:rPr>
      </w:pPr>
      <w:r>
        <w:rPr>
          <w:rFonts w:ascii="Times New Roman" w:eastAsia="Times New Roman" w:hAnsi="Times New Roman" w:cs="Times New Roman"/>
        </w:rPr>
        <w:t xml:space="preserve"> professionals </w:t>
      </w:r>
      <w:r w:rsidR="00E512A5">
        <w:rPr>
          <w:rFonts w:ascii="Times New Roman" w:eastAsia="Times New Roman" w:hAnsi="Times New Roman" w:cs="Times New Roman"/>
        </w:rPr>
        <w:tab/>
      </w:r>
      <w:r w:rsidR="00E512A5">
        <w:rPr>
          <w:rFonts w:ascii="Times New Roman" w:eastAsia="Times New Roman" w:hAnsi="Times New Roman" w:cs="Times New Roman"/>
        </w:rPr>
        <w:tab/>
      </w:r>
      <w:r w:rsidR="00E512A5">
        <w:rPr>
          <w:rFonts w:ascii="Times New Roman" w:eastAsia="Times New Roman" w:hAnsi="Times New Roman" w:cs="Times New Roman"/>
        </w:rPr>
        <w:tab/>
      </w:r>
      <w:r w:rsidR="00E512A5">
        <w:rPr>
          <w:rFonts w:ascii="Times New Roman" w:eastAsia="Times New Roman" w:hAnsi="Times New Roman" w:cs="Times New Roman"/>
        </w:rPr>
        <w:tab/>
      </w:r>
      <w:r w:rsidR="00E512A5">
        <w:rPr>
          <w:rFonts w:ascii="Times New Roman" w:eastAsia="Times New Roman" w:hAnsi="Times New Roman" w:cs="Times New Roman"/>
        </w:rPr>
        <w:tab/>
      </w:r>
      <w:r w:rsidR="00E512A5">
        <w:rPr>
          <w:rFonts w:ascii="Times New Roman" w:eastAsia="Times New Roman" w:hAnsi="Times New Roman" w:cs="Times New Roman"/>
        </w:rPr>
        <w:tab/>
        <w:t>4.01</w:t>
      </w:r>
      <w:r w:rsidR="00E512A5">
        <w:rPr>
          <w:rFonts w:ascii="Times New Roman" w:eastAsia="Times New Roman" w:hAnsi="Times New Roman" w:cs="Times New Roman"/>
        </w:rPr>
        <w:tab/>
        <w:t>3.95</w:t>
      </w:r>
      <w:r w:rsidR="00E512A5">
        <w:rPr>
          <w:rFonts w:ascii="Times New Roman" w:eastAsia="Times New Roman" w:hAnsi="Times New Roman" w:cs="Times New Roman"/>
        </w:rPr>
        <w:tab/>
        <w:t>0.77</w:t>
      </w:r>
      <w:r w:rsidR="00E512A5">
        <w:rPr>
          <w:rFonts w:ascii="Times New Roman" w:eastAsia="Times New Roman" w:hAnsi="Times New Roman" w:cs="Times New Roman"/>
        </w:rPr>
        <w:tab/>
        <w:t>0.82</w:t>
      </w:r>
    </w:p>
    <w:p w14:paraId="10E85A23" w14:textId="0DAD0096" w:rsidR="00406F27" w:rsidRPr="00493EAD" w:rsidRDefault="00406F27" w:rsidP="0096226B">
      <w:pPr>
        <w:pStyle w:val="ListParagraph"/>
        <w:spacing w:after="0" w:line="276" w:lineRule="auto"/>
        <w:ind w:left="1440"/>
        <w:rPr>
          <w:rFonts w:ascii="Times New Roman" w:eastAsia="Times New Roman" w:hAnsi="Times New Roman" w:cs="Times New Roman"/>
        </w:rPr>
      </w:pPr>
    </w:p>
    <w:tbl>
      <w:tblPr>
        <w:tblStyle w:val="TableGrid"/>
        <w:tblW w:w="10438" w:type="dxa"/>
        <w:tblInd w:w="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8"/>
      </w:tblGrid>
      <w:tr w:rsidR="00406F27" w:rsidRPr="00057647" w14:paraId="0FBF307D" w14:textId="77777777" w:rsidTr="002532A0">
        <w:trPr>
          <w:trHeight w:val="60"/>
        </w:trPr>
        <w:tc>
          <w:tcPr>
            <w:tcW w:w="10438" w:type="dxa"/>
            <w:tcBorders>
              <w:top w:val="nil"/>
              <w:bottom w:val="single" w:sz="4" w:space="0" w:color="auto"/>
            </w:tcBorders>
          </w:tcPr>
          <w:p w14:paraId="3CD6992D" w14:textId="77777777" w:rsidR="00406F27" w:rsidRPr="00B87CC1" w:rsidRDefault="00406F27" w:rsidP="002532A0">
            <w:pPr>
              <w:spacing w:line="276" w:lineRule="auto"/>
              <w:jc w:val="both"/>
              <w:rPr>
                <w:rFonts w:ascii="Times New Roman" w:hAnsi="Times New Roman" w:cs="Times New Roman"/>
                <w:b/>
                <w:sz w:val="24"/>
                <w:szCs w:val="24"/>
              </w:rPr>
            </w:pPr>
          </w:p>
        </w:tc>
      </w:tr>
    </w:tbl>
    <w:p w14:paraId="34B3D66C" w14:textId="77777777" w:rsidR="00406F27" w:rsidRPr="003463F0" w:rsidRDefault="00406F27" w:rsidP="00406F27">
      <w:pPr>
        <w:spacing w:line="276" w:lineRule="auto"/>
      </w:pPr>
    </w:p>
    <w:p w14:paraId="37EB31B9" w14:textId="7773FFE8" w:rsidR="00E512A5" w:rsidRDefault="00E512A5" w:rsidP="00E512A5">
      <w:pPr>
        <w:spacing w:before="100" w:beforeAutospacing="1" w:after="100" w:afterAutospacing="1" w:line="480" w:lineRule="auto"/>
        <w:rPr>
          <w:rFonts w:ascii="Times New Roman" w:eastAsia="Times New Roman" w:hAnsi="Times New Roman" w:cs="Times New Roman"/>
        </w:rPr>
      </w:pPr>
      <w:r w:rsidRPr="00511C14">
        <w:rPr>
          <w:rFonts w:ascii="Times New Roman" w:eastAsia="Times New Roman" w:hAnsi="Times New Roman" w:cs="Times New Roman"/>
        </w:rPr>
        <w:t xml:space="preserve">The findings </w:t>
      </w:r>
      <w:r>
        <w:rPr>
          <w:rFonts w:ascii="Times New Roman" w:eastAsia="Times New Roman" w:hAnsi="Times New Roman" w:cs="Times New Roman"/>
        </w:rPr>
        <w:t xml:space="preserve">in table 1 </w:t>
      </w:r>
      <w:r w:rsidRPr="00511C14">
        <w:rPr>
          <w:rFonts w:ascii="Times New Roman" w:eastAsia="Times New Roman" w:hAnsi="Times New Roman" w:cs="Times New Roman"/>
        </w:rPr>
        <w:t>indicate that BIRES adoption and optimization practices among builders and civil engineers in South-East Nigeria remain low. Although civil engineers reported slightly higher adoption and optimization scores than builders, both groups exhibited inadequate utilization of optimization techniques. The major barriers identified include lack of tropical-climate design guidelines, high cost of imported components, inadequate professional training, weak lifecycle assessment awareness, and absence of building code requirements.</w:t>
      </w:r>
    </w:p>
    <w:p w14:paraId="3D975D98" w14:textId="77777777" w:rsidR="00E512A5" w:rsidRDefault="00E512A5" w:rsidP="00E512A5">
      <w:pPr>
        <w:pStyle w:val="NormalWeb"/>
        <w:spacing w:line="480" w:lineRule="auto"/>
        <w:rPr>
          <w:b/>
        </w:rPr>
      </w:pPr>
    </w:p>
    <w:p w14:paraId="3DDDC4D7" w14:textId="77777777" w:rsidR="00E512A5" w:rsidRDefault="00E512A5" w:rsidP="00E512A5">
      <w:pPr>
        <w:pStyle w:val="NormalWeb"/>
        <w:spacing w:line="480" w:lineRule="auto"/>
        <w:rPr>
          <w:b/>
        </w:rPr>
      </w:pPr>
    </w:p>
    <w:p w14:paraId="7BC7E247" w14:textId="72EE5FCA" w:rsidR="00E512A5" w:rsidRDefault="00E512A5" w:rsidP="00E512A5">
      <w:pPr>
        <w:pStyle w:val="NormalWeb"/>
        <w:spacing w:line="480" w:lineRule="auto"/>
        <w:rPr>
          <w:b/>
        </w:rPr>
      </w:pPr>
      <w:r w:rsidRPr="003E47F4">
        <w:rPr>
          <w:b/>
        </w:rPr>
        <w:lastRenderedPageBreak/>
        <w:t>Table 2</w:t>
      </w:r>
    </w:p>
    <w:p w14:paraId="21B1E26B" w14:textId="77777777" w:rsidR="003703BB" w:rsidRPr="003703BB" w:rsidRDefault="003703BB" w:rsidP="003703BB">
      <w:pPr>
        <w:spacing w:before="100" w:beforeAutospacing="1" w:after="100" w:afterAutospacing="1" w:line="240" w:lineRule="auto"/>
        <w:ind w:firstLine="720"/>
        <w:outlineLvl w:val="2"/>
        <w:rPr>
          <w:rFonts w:ascii="Times New Roman" w:eastAsia="Times New Roman" w:hAnsi="Times New Roman" w:cs="Times New Roman"/>
          <w:b/>
          <w:bCs/>
        </w:rPr>
      </w:pPr>
      <w:r w:rsidRPr="003703BB">
        <w:rPr>
          <w:rFonts w:ascii="Times New Roman" w:eastAsia="Times New Roman" w:hAnsi="Times New Roman" w:cs="Times New Roman"/>
          <w:b/>
          <w:bCs/>
        </w:rPr>
        <w:t>Two-Way ANOVA on Optimization Awareness, Professional Category and Perceived Climate Security Benefits</w:t>
      </w:r>
    </w:p>
    <w:tbl>
      <w:tblPr>
        <w:tblStyle w:val="LightShading"/>
        <w:tblW w:w="9284" w:type="dxa"/>
        <w:tblLook w:val="0020" w:firstRow="1" w:lastRow="0" w:firstColumn="0" w:lastColumn="0" w:noHBand="0" w:noVBand="0"/>
      </w:tblPr>
      <w:tblGrid>
        <w:gridCol w:w="2041"/>
        <w:gridCol w:w="222"/>
        <w:gridCol w:w="756"/>
        <w:gridCol w:w="2038"/>
        <w:gridCol w:w="1312"/>
        <w:gridCol w:w="979"/>
        <w:gridCol w:w="756"/>
        <w:gridCol w:w="1180"/>
      </w:tblGrid>
      <w:tr w:rsidR="003703BB" w:rsidRPr="008A123E" w14:paraId="006BC38F" w14:textId="77777777" w:rsidTr="002532A0">
        <w:trPr>
          <w:cnfStyle w:val="100000000000" w:firstRow="1" w:lastRow="0" w:firstColumn="0" w:lastColumn="0" w:oddVBand="0" w:evenVBand="0" w:oddHBand="0"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52BA88EC" w14:textId="5104A725" w:rsidR="00E512A5" w:rsidRPr="008A123E" w:rsidRDefault="003703BB"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Source</w:t>
            </w:r>
          </w:p>
        </w:tc>
        <w:tc>
          <w:tcPr>
            <w:tcW w:w="0" w:type="auto"/>
          </w:tcPr>
          <w:p w14:paraId="592394DC" w14:textId="53C0B231" w:rsidR="00E512A5" w:rsidRPr="008A123E" w:rsidRDefault="00E512A5" w:rsidP="002532A0">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5128E91" w14:textId="2F9376FF" w:rsidR="00E512A5" w:rsidRPr="008A123E" w:rsidRDefault="003703BB" w:rsidP="003703BB">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2038" w:type="dxa"/>
          </w:tcPr>
          <w:p w14:paraId="73F437ED" w14:textId="2C0A9164" w:rsidR="00E512A5" w:rsidRPr="008A123E" w:rsidRDefault="003703BB" w:rsidP="003703BB">
            <w:pPr>
              <w:autoSpaceDE w:val="0"/>
              <w:autoSpaceDN w:val="0"/>
              <w:adjustRightInd w:val="0"/>
              <w:spacing w:line="32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df</w:t>
            </w:r>
            <w:proofErr w:type="spellEnd"/>
          </w:p>
        </w:tc>
        <w:tc>
          <w:tcPr>
            <w:cnfStyle w:val="000010000000" w:firstRow="0" w:lastRow="0" w:firstColumn="0" w:lastColumn="0" w:oddVBand="1" w:evenVBand="0" w:oddHBand="0" w:evenHBand="0" w:firstRowFirstColumn="0" w:firstRowLastColumn="0" w:lastRowFirstColumn="0" w:lastRowLastColumn="0"/>
            <w:tcW w:w="1312" w:type="dxa"/>
            <w:shd w:val="clear" w:color="auto" w:fill="auto"/>
          </w:tcPr>
          <w:p w14:paraId="7B126479" w14:textId="6641406A" w:rsidR="00E512A5" w:rsidRPr="008A123E" w:rsidRDefault="003703BB"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979" w:type="dxa"/>
          </w:tcPr>
          <w:p w14:paraId="0BA56D06" w14:textId="3DD18986" w:rsidR="00E512A5" w:rsidRPr="008A123E" w:rsidRDefault="003703BB" w:rsidP="002532A0">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454246B" w14:textId="77777777" w:rsidR="00E512A5" w:rsidRPr="008A123E" w:rsidRDefault="00E512A5" w:rsidP="002532A0">
            <w:pPr>
              <w:autoSpaceDE w:val="0"/>
              <w:autoSpaceDN w:val="0"/>
              <w:adjustRightInd w:val="0"/>
              <w:spacing w:line="320" w:lineRule="atLeast"/>
              <w:jc w:val="center"/>
              <w:rPr>
                <w:rFonts w:ascii="Times New Roman" w:hAnsi="Times New Roman" w:cs="Times New Roman"/>
                <w:color w:val="000000"/>
                <w:sz w:val="24"/>
                <w:szCs w:val="24"/>
              </w:rPr>
            </w:pPr>
            <w:r w:rsidRPr="008A123E">
              <w:rPr>
                <w:rFonts w:ascii="Times New Roman" w:hAnsi="Times New Roman" w:cs="Times New Roman"/>
                <w:color w:val="000000"/>
                <w:sz w:val="24"/>
                <w:szCs w:val="24"/>
              </w:rPr>
              <w:t>Sig.</w:t>
            </w:r>
          </w:p>
        </w:tc>
        <w:tc>
          <w:tcPr>
            <w:tcW w:w="0" w:type="auto"/>
          </w:tcPr>
          <w:p w14:paraId="0B060147" w14:textId="77777777" w:rsidR="00E512A5" w:rsidRPr="008A123E" w:rsidRDefault="00E512A5" w:rsidP="002532A0">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123E">
              <w:rPr>
                <w:rFonts w:ascii="Times New Roman" w:hAnsi="Times New Roman" w:cs="Times New Roman"/>
                <w:color w:val="000000"/>
                <w:sz w:val="24"/>
                <w:szCs w:val="24"/>
              </w:rPr>
              <w:t>Dec.</w:t>
            </w:r>
          </w:p>
        </w:tc>
      </w:tr>
      <w:tr w:rsidR="003703BB" w:rsidRPr="008A123E" w14:paraId="248FEEC4" w14:textId="77777777" w:rsidTr="002532A0">
        <w:trPr>
          <w:cnfStyle w:val="000000100000" w:firstRow="0" w:lastRow="0" w:firstColumn="0" w:lastColumn="0" w:oddVBand="0" w:evenVBand="0" w:oddHBand="1" w:evenHBand="0" w:firstRowFirstColumn="0" w:firstRowLastColumn="0" w:lastRowFirstColumn="0" w:lastRowLastColumn="0"/>
          <w:trHeight w:val="398"/>
        </w:trPr>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3FB74E1D" w14:textId="77777777" w:rsidR="00E512A5" w:rsidRDefault="003703BB"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Optimization awareness </w:t>
            </w:r>
          </w:p>
          <w:p w14:paraId="75D32B92" w14:textId="77777777" w:rsidR="003703BB" w:rsidRDefault="003703BB"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Professional category</w:t>
            </w:r>
          </w:p>
          <w:p w14:paraId="7218D819" w14:textId="77777777" w:rsidR="003703BB" w:rsidRDefault="003703BB"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Awareness x professional category</w:t>
            </w:r>
          </w:p>
          <w:p w14:paraId="4139F25B" w14:textId="4EC376A4" w:rsidR="003703BB" w:rsidRPr="008A123E" w:rsidRDefault="003703BB"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Error </w:t>
            </w:r>
          </w:p>
        </w:tc>
        <w:tc>
          <w:tcPr>
            <w:tcW w:w="0" w:type="auto"/>
            <w:shd w:val="clear" w:color="auto" w:fill="auto"/>
          </w:tcPr>
          <w:p w14:paraId="671369BE" w14:textId="560FF508" w:rsidR="00E512A5" w:rsidRPr="008A123E" w:rsidRDefault="00E512A5"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A56E6E7" w14:textId="77777777" w:rsidR="00E512A5" w:rsidRDefault="003703BB" w:rsidP="003703BB">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18.36</w:t>
            </w:r>
          </w:p>
          <w:p w14:paraId="3887C4BA" w14:textId="77777777" w:rsidR="003703BB" w:rsidRDefault="003703BB" w:rsidP="003703BB">
            <w:pPr>
              <w:autoSpaceDE w:val="0"/>
              <w:autoSpaceDN w:val="0"/>
              <w:adjustRightInd w:val="0"/>
              <w:spacing w:line="320" w:lineRule="atLeast"/>
              <w:rPr>
                <w:rFonts w:ascii="Times New Roman" w:hAnsi="Times New Roman" w:cs="Times New Roman"/>
                <w:color w:val="000000"/>
                <w:sz w:val="24"/>
                <w:szCs w:val="24"/>
              </w:rPr>
            </w:pPr>
          </w:p>
          <w:p w14:paraId="617713D4" w14:textId="6FFD2398" w:rsidR="003703BB" w:rsidRDefault="004876B5" w:rsidP="003703BB">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0.58</w:t>
            </w:r>
          </w:p>
          <w:p w14:paraId="3AF97615" w14:textId="77777777" w:rsidR="003703BB" w:rsidRDefault="003703BB" w:rsidP="003703BB">
            <w:pPr>
              <w:autoSpaceDE w:val="0"/>
              <w:autoSpaceDN w:val="0"/>
              <w:adjustRightInd w:val="0"/>
              <w:spacing w:line="320" w:lineRule="atLeast"/>
              <w:rPr>
                <w:rFonts w:ascii="Times New Roman" w:hAnsi="Times New Roman" w:cs="Times New Roman"/>
                <w:color w:val="000000"/>
                <w:sz w:val="24"/>
                <w:szCs w:val="24"/>
              </w:rPr>
            </w:pPr>
          </w:p>
          <w:p w14:paraId="66A40974" w14:textId="36A41ECF" w:rsidR="003703BB" w:rsidRDefault="004876B5" w:rsidP="003703BB">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0.31</w:t>
            </w:r>
          </w:p>
          <w:p w14:paraId="5D372E22" w14:textId="77777777" w:rsidR="003703BB" w:rsidRDefault="003703BB" w:rsidP="003703BB">
            <w:pPr>
              <w:autoSpaceDE w:val="0"/>
              <w:autoSpaceDN w:val="0"/>
              <w:adjustRightInd w:val="0"/>
              <w:spacing w:line="320" w:lineRule="atLeast"/>
              <w:rPr>
                <w:rFonts w:ascii="Times New Roman" w:hAnsi="Times New Roman" w:cs="Times New Roman"/>
                <w:color w:val="000000"/>
                <w:sz w:val="24"/>
                <w:szCs w:val="24"/>
              </w:rPr>
            </w:pPr>
          </w:p>
          <w:p w14:paraId="5E771BCD" w14:textId="77777777" w:rsidR="003703BB" w:rsidRDefault="003703BB" w:rsidP="003703BB">
            <w:pPr>
              <w:autoSpaceDE w:val="0"/>
              <w:autoSpaceDN w:val="0"/>
              <w:adjustRightInd w:val="0"/>
              <w:spacing w:line="320" w:lineRule="atLeast"/>
              <w:rPr>
                <w:rFonts w:ascii="Times New Roman" w:hAnsi="Times New Roman" w:cs="Times New Roman"/>
                <w:color w:val="000000"/>
                <w:sz w:val="24"/>
                <w:szCs w:val="24"/>
              </w:rPr>
            </w:pPr>
          </w:p>
          <w:p w14:paraId="6ECC9DC6" w14:textId="084D6DF0" w:rsidR="003703BB" w:rsidRPr="008A123E" w:rsidRDefault="004876B5" w:rsidP="003703BB">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70.18</w:t>
            </w:r>
          </w:p>
        </w:tc>
        <w:tc>
          <w:tcPr>
            <w:tcW w:w="2038" w:type="dxa"/>
            <w:shd w:val="clear" w:color="auto" w:fill="auto"/>
          </w:tcPr>
          <w:p w14:paraId="69037D85" w14:textId="77777777" w:rsidR="00E512A5" w:rsidRDefault="003703BB"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p w14:paraId="23857A16" w14:textId="77777777" w:rsidR="003703BB" w:rsidRDefault="003703BB"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7DBB28DC" w14:textId="77777777" w:rsidR="003703BB" w:rsidRDefault="003703BB"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w:t>
            </w:r>
          </w:p>
          <w:p w14:paraId="095CE565" w14:textId="77777777" w:rsidR="003703BB" w:rsidRDefault="003703BB"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53ACF026" w14:textId="77777777" w:rsidR="003703BB" w:rsidRDefault="003703BB"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p w14:paraId="209C44B4" w14:textId="77777777" w:rsidR="003703BB" w:rsidRDefault="003703BB"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3CDE0D48" w14:textId="77777777" w:rsidR="003703BB" w:rsidRDefault="003703BB"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p w14:paraId="3ACDA985" w14:textId="25E8C626" w:rsidR="004876B5" w:rsidRPr="008A123E" w:rsidRDefault="004876B5"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cnfStyle w:val="000010000000" w:firstRow="0" w:lastRow="0" w:firstColumn="0" w:lastColumn="0" w:oddVBand="1" w:evenVBand="0" w:oddHBand="0" w:evenHBand="0" w:firstRowFirstColumn="0" w:firstRowLastColumn="0" w:lastRowFirstColumn="0" w:lastRowLastColumn="0"/>
            <w:tcW w:w="1312" w:type="dxa"/>
            <w:shd w:val="clear" w:color="auto" w:fill="auto"/>
          </w:tcPr>
          <w:p w14:paraId="2D249B98" w14:textId="77777777" w:rsidR="00E512A5" w:rsidRDefault="003703BB"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9.180</w:t>
            </w:r>
          </w:p>
          <w:p w14:paraId="5E1BE0BB" w14:textId="77777777" w:rsidR="003703BB" w:rsidRDefault="003703BB" w:rsidP="002532A0">
            <w:pPr>
              <w:autoSpaceDE w:val="0"/>
              <w:autoSpaceDN w:val="0"/>
              <w:adjustRightInd w:val="0"/>
              <w:spacing w:line="320" w:lineRule="atLeast"/>
              <w:jc w:val="center"/>
              <w:rPr>
                <w:rFonts w:ascii="Times New Roman" w:hAnsi="Times New Roman" w:cs="Times New Roman"/>
                <w:color w:val="000000"/>
                <w:sz w:val="24"/>
                <w:szCs w:val="24"/>
              </w:rPr>
            </w:pPr>
          </w:p>
          <w:p w14:paraId="52A4B747" w14:textId="77777777" w:rsidR="003703BB" w:rsidRDefault="003703BB"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0.584</w:t>
            </w:r>
          </w:p>
          <w:p w14:paraId="75683F01" w14:textId="77777777" w:rsidR="003703BB" w:rsidRDefault="003703BB" w:rsidP="002532A0">
            <w:pPr>
              <w:autoSpaceDE w:val="0"/>
              <w:autoSpaceDN w:val="0"/>
              <w:adjustRightInd w:val="0"/>
              <w:spacing w:line="320" w:lineRule="atLeast"/>
              <w:jc w:val="center"/>
              <w:rPr>
                <w:rFonts w:ascii="Times New Roman" w:hAnsi="Times New Roman" w:cs="Times New Roman"/>
                <w:color w:val="000000"/>
                <w:sz w:val="24"/>
                <w:szCs w:val="24"/>
              </w:rPr>
            </w:pPr>
          </w:p>
          <w:p w14:paraId="79004B98" w14:textId="77777777" w:rsidR="003703BB" w:rsidRDefault="003703BB"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0.156</w:t>
            </w:r>
          </w:p>
          <w:p w14:paraId="74DB67FF" w14:textId="77777777" w:rsidR="003703BB" w:rsidRDefault="003703BB" w:rsidP="002532A0">
            <w:pPr>
              <w:autoSpaceDE w:val="0"/>
              <w:autoSpaceDN w:val="0"/>
              <w:adjustRightInd w:val="0"/>
              <w:spacing w:line="320" w:lineRule="atLeast"/>
              <w:jc w:val="center"/>
              <w:rPr>
                <w:rFonts w:ascii="Times New Roman" w:hAnsi="Times New Roman" w:cs="Times New Roman"/>
                <w:color w:val="000000"/>
                <w:sz w:val="24"/>
                <w:szCs w:val="24"/>
              </w:rPr>
            </w:pPr>
          </w:p>
          <w:p w14:paraId="7EED1F11" w14:textId="5267340A" w:rsidR="003703BB" w:rsidRPr="008A123E" w:rsidRDefault="003703BB"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0.491</w:t>
            </w:r>
          </w:p>
        </w:tc>
        <w:tc>
          <w:tcPr>
            <w:tcW w:w="979" w:type="dxa"/>
            <w:shd w:val="clear" w:color="auto" w:fill="auto"/>
          </w:tcPr>
          <w:p w14:paraId="417C62F3" w14:textId="35A80A8C" w:rsidR="00E512A5" w:rsidRDefault="000C7A3C"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18.72 </w:t>
            </w:r>
          </w:p>
          <w:p w14:paraId="1FC31F27" w14:textId="77777777" w:rsidR="000C7A3C" w:rsidRDefault="000C7A3C"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163999D8" w14:textId="0AA96638" w:rsidR="003703BB" w:rsidRDefault="003703BB"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1.19</w:t>
            </w:r>
          </w:p>
          <w:p w14:paraId="4C35D8B9" w14:textId="77777777" w:rsidR="003703BB" w:rsidRDefault="003703BB"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69CDC184" w14:textId="26EE0AAB" w:rsidR="003703BB" w:rsidRPr="008A123E" w:rsidRDefault="000C7A3C"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0.32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02AF77A" w14:textId="77777777" w:rsidR="00E512A5" w:rsidRDefault="000C7A3C"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0.001</w:t>
            </w:r>
          </w:p>
          <w:p w14:paraId="56F865E7" w14:textId="77777777" w:rsidR="000C7A3C" w:rsidRDefault="000C7A3C" w:rsidP="002532A0">
            <w:pPr>
              <w:autoSpaceDE w:val="0"/>
              <w:autoSpaceDN w:val="0"/>
              <w:adjustRightInd w:val="0"/>
              <w:spacing w:line="320" w:lineRule="atLeast"/>
              <w:jc w:val="center"/>
              <w:rPr>
                <w:rFonts w:ascii="Times New Roman" w:hAnsi="Times New Roman" w:cs="Times New Roman"/>
                <w:color w:val="000000"/>
                <w:sz w:val="24"/>
                <w:szCs w:val="24"/>
              </w:rPr>
            </w:pPr>
          </w:p>
          <w:p w14:paraId="71D6C0E0" w14:textId="77777777" w:rsidR="000C7A3C" w:rsidRDefault="000C7A3C"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0.277</w:t>
            </w:r>
          </w:p>
          <w:p w14:paraId="0F610A01" w14:textId="77777777" w:rsidR="000C7A3C" w:rsidRDefault="000C7A3C" w:rsidP="002532A0">
            <w:pPr>
              <w:autoSpaceDE w:val="0"/>
              <w:autoSpaceDN w:val="0"/>
              <w:adjustRightInd w:val="0"/>
              <w:spacing w:line="320" w:lineRule="atLeast"/>
              <w:jc w:val="center"/>
              <w:rPr>
                <w:rFonts w:ascii="Times New Roman" w:hAnsi="Times New Roman" w:cs="Times New Roman"/>
                <w:color w:val="000000"/>
                <w:sz w:val="24"/>
                <w:szCs w:val="24"/>
              </w:rPr>
            </w:pPr>
          </w:p>
          <w:p w14:paraId="1585C5FD" w14:textId="01547665" w:rsidR="000C7A3C" w:rsidRPr="008A123E" w:rsidRDefault="000C7A3C"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0.726</w:t>
            </w:r>
          </w:p>
        </w:tc>
        <w:tc>
          <w:tcPr>
            <w:tcW w:w="0" w:type="auto"/>
            <w:shd w:val="clear" w:color="auto" w:fill="auto"/>
          </w:tcPr>
          <w:p w14:paraId="48093701" w14:textId="33B904C1" w:rsidR="00E512A5" w:rsidRPr="008A123E" w:rsidRDefault="003703BB" w:rsidP="002532A0">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C7A3C">
              <w:rPr>
                <w:rFonts w:ascii="Times New Roman" w:hAnsi="Times New Roman" w:cs="Times New Roman"/>
                <w:color w:val="000000"/>
                <w:sz w:val="24"/>
                <w:szCs w:val="24"/>
              </w:rPr>
              <w:t xml:space="preserve">Do not accept </w:t>
            </w:r>
            <w:r w:rsidR="000C7A3C" w:rsidRPr="008A123E">
              <w:rPr>
                <w:rFonts w:ascii="Times New Roman" w:hAnsi="Times New Roman" w:cs="Times New Roman"/>
                <w:color w:val="000000"/>
                <w:sz w:val="24"/>
                <w:szCs w:val="24"/>
              </w:rPr>
              <w:t>H</w:t>
            </w:r>
            <w:r w:rsidR="000C7A3C" w:rsidRPr="008A123E">
              <w:rPr>
                <w:rFonts w:ascii="Times New Roman" w:hAnsi="Times New Roman" w:cs="Times New Roman"/>
                <w:color w:val="000000"/>
                <w:sz w:val="24"/>
                <w:szCs w:val="24"/>
                <w:vertAlign w:val="subscript"/>
              </w:rPr>
              <w:t>0</w:t>
            </w:r>
            <w:r w:rsidR="000C7A3C">
              <w:rPr>
                <w:rFonts w:ascii="Times New Roman" w:hAnsi="Times New Roman" w:cs="Times New Roman"/>
                <w:color w:val="000000"/>
                <w:sz w:val="24"/>
                <w:szCs w:val="24"/>
                <w:vertAlign w:val="subscript"/>
              </w:rPr>
              <w:t>1</w:t>
            </w:r>
          </w:p>
        </w:tc>
      </w:tr>
      <w:tr w:rsidR="003703BB" w:rsidRPr="008A123E" w14:paraId="798EB009" w14:textId="77777777" w:rsidTr="002532A0">
        <w:trPr>
          <w:trHeight w:val="166"/>
        </w:trPr>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40C7A108" w14:textId="3D15F832" w:rsidR="00E512A5" w:rsidRPr="008A123E" w:rsidRDefault="00E512A5" w:rsidP="002532A0">
            <w:pPr>
              <w:autoSpaceDE w:val="0"/>
              <w:autoSpaceDN w:val="0"/>
              <w:adjustRightInd w:val="0"/>
              <w:spacing w:line="320" w:lineRule="atLeast"/>
              <w:rPr>
                <w:rFonts w:ascii="Times New Roman" w:hAnsi="Times New Roman" w:cs="Times New Roman"/>
                <w:color w:val="000000"/>
                <w:sz w:val="24"/>
                <w:szCs w:val="24"/>
              </w:rPr>
            </w:pPr>
          </w:p>
        </w:tc>
        <w:tc>
          <w:tcPr>
            <w:tcW w:w="0" w:type="auto"/>
          </w:tcPr>
          <w:p w14:paraId="457982DA" w14:textId="35D822FE" w:rsidR="00E512A5" w:rsidRPr="008A123E" w:rsidRDefault="00E512A5" w:rsidP="002532A0">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19DC1F4" w14:textId="6367C42F" w:rsidR="00E512A5" w:rsidRPr="008A123E" w:rsidRDefault="00E512A5" w:rsidP="002532A0">
            <w:pPr>
              <w:autoSpaceDE w:val="0"/>
              <w:autoSpaceDN w:val="0"/>
              <w:adjustRightInd w:val="0"/>
              <w:spacing w:line="320" w:lineRule="atLeast"/>
              <w:jc w:val="center"/>
              <w:rPr>
                <w:rFonts w:ascii="Times New Roman" w:hAnsi="Times New Roman" w:cs="Times New Roman"/>
                <w:color w:val="000000"/>
                <w:sz w:val="24"/>
                <w:szCs w:val="24"/>
              </w:rPr>
            </w:pPr>
          </w:p>
        </w:tc>
        <w:tc>
          <w:tcPr>
            <w:tcW w:w="2038" w:type="dxa"/>
          </w:tcPr>
          <w:p w14:paraId="7C26A8E5" w14:textId="64CCCEAF" w:rsidR="00E512A5" w:rsidRPr="008A123E" w:rsidRDefault="00E512A5" w:rsidP="002532A0">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312" w:type="dxa"/>
            <w:shd w:val="clear" w:color="auto" w:fill="auto"/>
          </w:tcPr>
          <w:p w14:paraId="722A51AC" w14:textId="77777777" w:rsidR="00E512A5" w:rsidRPr="008A123E" w:rsidRDefault="00E512A5" w:rsidP="002532A0">
            <w:pPr>
              <w:autoSpaceDE w:val="0"/>
              <w:autoSpaceDN w:val="0"/>
              <w:adjustRightInd w:val="0"/>
              <w:spacing w:line="320" w:lineRule="atLeast"/>
              <w:jc w:val="right"/>
              <w:rPr>
                <w:rFonts w:ascii="Times New Roman" w:hAnsi="Times New Roman" w:cs="Times New Roman"/>
                <w:color w:val="000000"/>
                <w:sz w:val="24"/>
                <w:szCs w:val="24"/>
              </w:rPr>
            </w:pPr>
          </w:p>
        </w:tc>
        <w:tc>
          <w:tcPr>
            <w:tcW w:w="979" w:type="dxa"/>
          </w:tcPr>
          <w:p w14:paraId="5C8C36AF" w14:textId="77777777" w:rsidR="00E512A5" w:rsidRPr="008A123E" w:rsidRDefault="00E512A5" w:rsidP="002532A0">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A1AB384" w14:textId="77777777" w:rsidR="00E512A5" w:rsidRPr="008A123E" w:rsidRDefault="00E512A5" w:rsidP="002532A0">
            <w:pPr>
              <w:autoSpaceDE w:val="0"/>
              <w:autoSpaceDN w:val="0"/>
              <w:adjustRightInd w:val="0"/>
              <w:spacing w:line="320" w:lineRule="atLeast"/>
              <w:jc w:val="right"/>
              <w:rPr>
                <w:rFonts w:ascii="Times New Roman" w:hAnsi="Times New Roman" w:cs="Times New Roman"/>
                <w:color w:val="000000"/>
                <w:sz w:val="24"/>
                <w:szCs w:val="24"/>
              </w:rPr>
            </w:pPr>
          </w:p>
        </w:tc>
        <w:tc>
          <w:tcPr>
            <w:tcW w:w="0" w:type="auto"/>
          </w:tcPr>
          <w:p w14:paraId="3D657D8F" w14:textId="77777777" w:rsidR="00E512A5" w:rsidRPr="008A123E" w:rsidRDefault="00E512A5" w:rsidP="002532A0">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7235AABF" w14:textId="77777777" w:rsidR="00406F27" w:rsidRPr="001735D8" w:rsidRDefault="00406F27" w:rsidP="00406F27">
      <w:pPr>
        <w:pStyle w:val="ds-markdown-paragraph"/>
        <w:shd w:val="clear" w:color="auto" w:fill="FFFFFF"/>
        <w:spacing w:before="0" w:beforeAutospacing="0" w:after="0" w:afterAutospacing="0" w:line="276" w:lineRule="auto"/>
        <w:rPr>
          <w:rStyle w:val="Strong"/>
          <w:rFonts w:ascii="Segoe UI" w:hAnsi="Segoe UI" w:cs="Segoe UI"/>
          <w:b w:val="0"/>
          <w:bCs w:val="0"/>
          <w:color w:val="0F1115"/>
        </w:rPr>
      </w:pPr>
    </w:p>
    <w:p w14:paraId="0F05706E" w14:textId="2B2EBC75" w:rsidR="000C7A3C" w:rsidRDefault="000C7A3C" w:rsidP="000C7A3C">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In table 2, since H0₁ has p </w:t>
      </w:r>
      <w:r w:rsidRPr="00511C14">
        <w:rPr>
          <w:rFonts w:ascii="Times New Roman" w:eastAsia="Times New Roman" w:hAnsi="Times New Roman" w:cs="Times New Roman"/>
        </w:rPr>
        <w:t>.000</w:t>
      </w:r>
      <w:r>
        <w:rPr>
          <w:rFonts w:ascii="Times New Roman" w:eastAsia="Times New Roman" w:hAnsi="Times New Roman" w:cs="Times New Roman"/>
        </w:rPr>
        <w:t>1 &lt; .05, the hypothesis was rejected. this implies that o</w:t>
      </w:r>
      <w:r w:rsidRPr="00511C14">
        <w:rPr>
          <w:rFonts w:ascii="Times New Roman" w:eastAsia="Times New Roman" w:hAnsi="Times New Roman" w:cs="Times New Roman"/>
        </w:rPr>
        <w:t>ptimization awareness significantly influences perceived climate security benefits, while professional category and the interaction effect do not significantly influence perceptions.</w:t>
      </w:r>
    </w:p>
    <w:p w14:paraId="7433C5B9" w14:textId="6813224B" w:rsidR="00D07A3A" w:rsidRDefault="00D07A3A" w:rsidP="00D07A3A">
      <w:pPr>
        <w:spacing w:line="360" w:lineRule="auto"/>
        <w:jc w:val="both"/>
        <w:rPr>
          <w:rFonts w:ascii="Times New Roman" w:hAnsi="Times New Roman"/>
          <w:b/>
        </w:rPr>
      </w:pPr>
      <w:r>
        <w:rPr>
          <w:rFonts w:ascii="Times New Roman" w:hAnsi="Times New Roman"/>
          <w:b/>
        </w:rPr>
        <w:t>Table 3</w:t>
      </w:r>
    </w:p>
    <w:p w14:paraId="01354FCF" w14:textId="622EC848" w:rsidR="00D07A3A" w:rsidRPr="00D07A3A" w:rsidRDefault="00D07A3A" w:rsidP="00D07A3A">
      <w:pPr>
        <w:spacing w:before="100" w:beforeAutospacing="1" w:after="100" w:afterAutospacing="1" w:line="240" w:lineRule="auto"/>
        <w:ind w:firstLine="720"/>
        <w:outlineLvl w:val="2"/>
        <w:rPr>
          <w:rFonts w:ascii="Times New Roman" w:eastAsia="Times New Roman" w:hAnsi="Times New Roman" w:cs="Times New Roman"/>
          <w:b/>
          <w:bCs/>
        </w:rPr>
      </w:pPr>
      <w:r>
        <w:rPr>
          <w:rFonts w:ascii="Times New Roman" w:eastAsia="Times New Roman" w:hAnsi="Times New Roman" w:cs="Times New Roman"/>
          <w:b/>
          <w:bCs/>
        </w:rPr>
        <w:t>Mean Ratings on climate security benefits and environmental security risks a</w:t>
      </w:r>
      <w:r w:rsidRPr="00D07A3A">
        <w:rPr>
          <w:rFonts w:ascii="Times New Roman" w:eastAsia="Times New Roman" w:hAnsi="Times New Roman" w:cs="Times New Roman"/>
          <w:b/>
          <w:bCs/>
        </w:rPr>
        <w:t>cco</w:t>
      </w:r>
      <w:r>
        <w:rPr>
          <w:rFonts w:ascii="Times New Roman" w:eastAsia="Times New Roman" w:hAnsi="Times New Roman" w:cs="Times New Roman"/>
          <w:b/>
          <w:bCs/>
        </w:rPr>
        <w:t>rding to professional category and optimization awareness l</w:t>
      </w:r>
      <w:r w:rsidRPr="00D07A3A">
        <w:rPr>
          <w:rFonts w:ascii="Times New Roman" w:eastAsia="Times New Roman" w:hAnsi="Times New Roman" w:cs="Times New Roman"/>
          <w:b/>
          <w:bCs/>
        </w:rPr>
        <w:t>evel</w:t>
      </w:r>
      <w:r>
        <w:rPr>
          <w:rFonts w:ascii="Times New Roman" w:eastAsia="Times New Roman" w:hAnsi="Times New Roman" w:cs="Times New Roman"/>
          <w:b/>
          <w:bCs/>
        </w:rPr>
        <w:t xml:space="preserve"> </w:t>
      </w:r>
      <w:r>
        <w:rPr>
          <w:rFonts w:ascii="Times New Roman" w:eastAsia="Times New Roman" w:hAnsi="Times New Roman" w:cs="Times New Roman"/>
          <w:b/>
          <w:bCs/>
        </w:rPr>
        <w:tab/>
      </w:r>
      <w:r w:rsidRPr="00D07A3A">
        <w:rPr>
          <w:rFonts w:ascii="Times New Roman" w:eastAsia="Times New Roman" w:hAnsi="Times New Roman" w:cs="Times New Roman"/>
          <w:b/>
          <w:bCs/>
        </w:rPr>
        <w:t>(N = 150)</w:t>
      </w:r>
    </w:p>
    <w:tbl>
      <w:tblPr>
        <w:tblStyle w:val="TableGrid"/>
        <w:tblW w:w="10445" w:type="dxa"/>
        <w:tblInd w:w="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5"/>
      </w:tblGrid>
      <w:tr w:rsidR="00D07A3A" w:rsidRPr="00057647" w14:paraId="1AA1BBAF" w14:textId="77777777" w:rsidTr="002532A0">
        <w:trPr>
          <w:trHeight w:val="317"/>
        </w:trPr>
        <w:tc>
          <w:tcPr>
            <w:tcW w:w="10445" w:type="dxa"/>
          </w:tcPr>
          <w:p w14:paraId="75436694" w14:textId="77777777" w:rsidR="00D07A3A" w:rsidRPr="00D11DA8" w:rsidRDefault="00D07A3A" w:rsidP="002532A0">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S/N   Item statements                                                                      </w:t>
            </w:r>
            <m:oMath>
              <m:sSub>
                <m:sSubPr>
                  <m:ctrlPr>
                    <w:rPr>
                      <w:rFonts w:ascii="Cambria Math" w:eastAsia="Times New Roman" w:hAnsi="Cambria Math" w:cs="Times New Roman"/>
                    </w:rPr>
                  </m:ctrlPr>
                </m:sSubPr>
                <m:e>
                  <m:acc>
                    <m:accPr>
                      <m:chr m:val="ˉ"/>
                      <m:ctrlPr>
                        <w:rPr>
                          <w:rFonts w:ascii="Cambria Math" w:eastAsia="Times New Roman" w:hAnsi="Cambria Math" w:cs="Times New Roman"/>
                        </w:rPr>
                      </m:ctrlPr>
                    </m:accPr>
                    <m:e>
                      <m:r>
                        <w:rPr>
                          <w:rFonts w:ascii="Cambria Math" w:eastAsia="Times New Roman" w:hAnsi="Cambria Math" w:cs="Times New Roman"/>
                        </w:rPr>
                        <m:t>X</m:t>
                      </m:r>
                    </m:e>
                  </m:acc>
                </m:e>
                <m:sub>
                  <m:r>
                    <w:rPr>
                      <w:rFonts w:ascii="Cambria Math" w:eastAsia="Times New Roman" w:hAnsi="Cambria Math" w:cs="Times New Roman"/>
                    </w:rPr>
                    <m:t>1</m:t>
                  </m:r>
                </m:sub>
              </m:sSub>
            </m:oMath>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m:oMath>
              <m:sSub>
                <m:sSubPr>
                  <m:ctrlPr>
                    <w:rPr>
                      <w:rFonts w:ascii="Cambria Math" w:eastAsia="Times New Roman" w:hAnsi="Cambria Math" w:cs="Times New Roman"/>
                    </w:rPr>
                  </m:ctrlPr>
                </m:sSubPr>
                <m:e>
                  <m:acc>
                    <m:accPr>
                      <m:chr m:val="ˉ"/>
                      <m:ctrlPr>
                        <w:rPr>
                          <w:rFonts w:ascii="Cambria Math" w:eastAsia="Times New Roman" w:hAnsi="Cambria Math" w:cs="Times New Roman"/>
                        </w:rPr>
                      </m:ctrlPr>
                    </m:accPr>
                    <m:e>
                      <m:r>
                        <w:rPr>
                          <w:rFonts w:ascii="Cambria Math" w:eastAsia="Times New Roman" w:hAnsi="Cambria Math" w:cs="Times New Roman"/>
                        </w:rPr>
                        <m:t>X</m:t>
                      </m:r>
                    </m:e>
                  </m:acc>
                </m:e>
                <m:sub>
                  <m:r>
                    <w:rPr>
                      <w:rFonts w:ascii="Cambria Math" w:eastAsia="Times New Roman" w:hAnsi="Cambria Math" w:cs="Times New Roman"/>
                    </w:rPr>
                    <m:t>2</m:t>
                  </m:r>
                </m:sub>
              </m:sSub>
            </m:oMath>
            <w:r>
              <w:rPr>
                <w:rFonts w:ascii="Times New Roman" w:hAnsi="Times New Roman" w:cs="Times New Roman"/>
                <w:sz w:val="24"/>
                <w:szCs w:val="24"/>
                <w:vertAlign w:val="subscript"/>
              </w:rPr>
              <w:t xml:space="preserve">           </w:t>
            </w:r>
            <w:r>
              <w:rPr>
                <w:rFonts w:ascii="Times New Roman" w:hAnsi="Times New Roman" w:cs="Times New Roman"/>
                <w:sz w:val="24"/>
                <w:szCs w:val="24"/>
              </w:rPr>
              <w:t>SD</w:t>
            </w:r>
            <w:r>
              <w:rPr>
                <w:rFonts w:ascii="Times New Roman" w:hAnsi="Times New Roman" w:cs="Times New Roman"/>
                <w:sz w:val="24"/>
                <w:szCs w:val="24"/>
                <w:vertAlign w:val="subscript"/>
              </w:rPr>
              <w:t xml:space="preserve">1          </w:t>
            </w:r>
            <w:r>
              <w:rPr>
                <w:rFonts w:ascii="Times New Roman" w:hAnsi="Times New Roman" w:cs="Times New Roman"/>
                <w:sz w:val="24"/>
                <w:szCs w:val="24"/>
              </w:rPr>
              <w:t>SD</w:t>
            </w:r>
            <w:r>
              <w:rPr>
                <w:rFonts w:ascii="Times New Roman" w:hAnsi="Times New Roman" w:cs="Times New Roman"/>
                <w:sz w:val="24"/>
                <w:szCs w:val="24"/>
                <w:vertAlign w:val="subscript"/>
              </w:rPr>
              <w:t>2</w:t>
            </w:r>
          </w:p>
          <w:p w14:paraId="35C32651" w14:textId="77777777" w:rsidR="00D07A3A" w:rsidRPr="00057647" w:rsidRDefault="00D07A3A" w:rsidP="002532A0">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49A9DC46" w14:textId="2709CE56" w:rsidR="00D07A3A" w:rsidRDefault="00D07A3A" w:rsidP="00D07A3A">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Reduction in diesel generator dependency </w:t>
      </w:r>
      <w:r w:rsidR="003C3609">
        <w:rPr>
          <w:rFonts w:ascii="Times New Roman" w:eastAsia="Times New Roman" w:hAnsi="Times New Roman" w:cs="Times New Roman"/>
        </w:rPr>
        <w:tab/>
      </w:r>
      <w:r w:rsidR="003C3609">
        <w:rPr>
          <w:rFonts w:ascii="Times New Roman" w:eastAsia="Times New Roman" w:hAnsi="Times New Roman" w:cs="Times New Roman"/>
        </w:rPr>
        <w:tab/>
        <w:t>4.32</w:t>
      </w:r>
      <w:r w:rsidR="003C3609">
        <w:rPr>
          <w:rFonts w:ascii="Times New Roman" w:eastAsia="Times New Roman" w:hAnsi="Times New Roman" w:cs="Times New Roman"/>
        </w:rPr>
        <w:tab/>
        <w:t>4.47</w:t>
      </w:r>
      <w:r w:rsidR="003C3609">
        <w:rPr>
          <w:rFonts w:ascii="Times New Roman" w:eastAsia="Times New Roman" w:hAnsi="Times New Roman" w:cs="Times New Roman"/>
        </w:rPr>
        <w:tab/>
        <w:t>0.62</w:t>
      </w:r>
      <w:r w:rsidR="003C3609">
        <w:rPr>
          <w:rFonts w:ascii="Times New Roman" w:eastAsia="Times New Roman" w:hAnsi="Times New Roman" w:cs="Times New Roman"/>
        </w:rPr>
        <w:tab/>
        <w:t>0.57</w:t>
      </w:r>
    </w:p>
    <w:p w14:paraId="25312196" w14:textId="6F5F199C" w:rsidR="00D07A3A" w:rsidRDefault="00D07A3A" w:rsidP="00D07A3A">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Reduction in greenhouse emissions</w:t>
      </w:r>
      <w:r w:rsidR="003C3609">
        <w:rPr>
          <w:rFonts w:ascii="Times New Roman" w:eastAsia="Times New Roman" w:hAnsi="Times New Roman" w:cs="Times New Roman"/>
        </w:rPr>
        <w:tab/>
      </w:r>
      <w:r w:rsidR="003C3609">
        <w:rPr>
          <w:rFonts w:ascii="Times New Roman" w:eastAsia="Times New Roman" w:hAnsi="Times New Roman" w:cs="Times New Roman"/>
        </w:rPr>
        <w:tab/>
      </w:r>
      <w:r w:rsidR="003C3609">
        <w:rPr>
          <w:rFonts w:ascii="Times New Roman" w:eastAsia="Times New Roman" w:hAnsi="Times New Roman" w:cs="Times New Roman"/>
        </w:rPr>
        <w:tab/>
        <w:t>4.18</w:t>
      </w:r>
      <w:r w:rsidR="003C3609">
        <w:rPr>
          <w:rFonts w:ascii="Times New Roman" w:eastAsia="Times New Roman" w:hAnsi="Times New Roman" w:cs="Times New Roman"/>
        </w:rPr>
        <w:tab/>
        <w:t>4.39</w:t>
      </w:r>
      <w:r w:rsidR="003C3609">
        <w:rPr>
          <w:rFonts w:ascii="Times New Roman" w:eastAsia="Times New Roman" w:hAnsi="Times New Roman" w:cs="Times New Roman"/>
        </w:rPr>
        <w:tab/>
        <w:t>0.68</w:t>
      </w:r>
      <w:r w:rsidR="003C3609">
        <w:rPr>
          <w:rFonts w:ascii="Times New Roman" w:eastAsia="Times New Roman" w:hAnsi="Times New Roman" w:cs="Times New Roman"/>
        </w:rPr>
        <w:tab/>
        <w:t>0.55</w:t>
      </w:r>
    </w:p>
    <w:p w14:paraId="04494235" w14:textId="26750F58" w:rsidR="00D07A3A" w:rsidRDefault="00D07A3A" w:rsidP="00D07A3A">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Improved energy independence </w:t>
      </w:r>
      <w:r w:rsidR="003C3609">
        <w:rPr>
          <w:rFonts w:ascii="Times New Roman" w:eastAsia="Times New Roman" w:hAnsi="Times New Roman" w:cs="Times New Roman"/>
        </w:rPr>
        <w:tab/>
      </w:r>
      <w:r w:rsidR="003C3609">
        <w:rPr>
          <w:rFonts w:ascii="Times New Roman" w:eastAsia="Times New Roman" w:hAnsi="Times New Roman" w:cs="Times New Roman"/>
        </w:rPr>
        <w:tab/>
      </w:r>
      <w:r w:rsidR="003C3609">
        <w:rPr>
          <w:rFonts w:ascii="Times New Roman" w:eastAsia="Times New Roman" w:hAnsi="Times New Roman" w:cs="Times New Roman"/>
        </w:rPr>
        <w:tab/>
        <w:t>4.28</w:t>
      </w:r>
      <w:r w:rsidR="003C3609">
        <w:rPr>
          <w:rFonts w:ascii="Times New Roman" w:eastAsia="Times New Roman" w:hAnsi="Times New Roman" w:cs="Times New Roman"/>
        </w:rPr>
        <w:tab/>
        <w:t>4.53</w:t>
      </w:r>
      <w:r w:rsidR="003C3609">
        <w:rPr>
          <w:rFonts w:ascii="Times New Roman" w:eastAsia="Times New Roman" w:hAnsi="Times New Roman" w:cs="Times New Roman"/>
        </w:rPr>
        <w:tab/>
        <w:t>0.64</w:t>
      </w:r>
      <w:r w:rsidR="003C3609">
        <w:rPr>
          <w:rFonts w:ascii="Times New Roman" w:eastAsia="Times New Roman" w:hAnsi="Times New Roman" w:cs="Times New Roman"/>
        </w:rPr>
        <w:tab/>
        <w:t>0.51</w:t>
      </w:r>
    </w:p>
    <w:p w14:paraId="0019F922" w14:textId="7CC2A712" w:rsidR="00D07A3A" w:rsidRDefault="00D07A3A" w:rsidP="00D07A3A">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Enhanced climate resilient </w:t>
      </w:r>
      <w:r w:rsidR="003C3609">
        <w:rPr>
          <w:rFonts w:ascii="Times New Roman" w:eastAsia="Times New Roman" w:hAnsi="Times New Roman" w:cs="Times New Roman"/>
        </w:rPr>
        <w:tab/>
      </w:r>
      <w:r w:rsidR="003C3609">
        <w:rPr>
          <w:rFonts w:ascii="Times New Roman" w:eastAsia="Times New Roman" w:hAnsi="Times New Roman" w:cs="Times New Roman"/>
        </w:rPr>
        <w:tab/>
      </w:r>
      <w:r w:rsidR="003C3609">
        <w:rPr>
          <w:rFonts w:ascii="Times New Roman" w:eastAsia="Times New Roman" w:hAnsi="Times New Roman" w:cs="Times New Roman"/>
        </w:rPr>
        <w:tab/>
      </w:r>
      <w:r w:rsidR="003C3609">
        <w:rPr>
          <w:rFonts w:ascii="Times New Roman" w:eastAsia="Times New Roman" w:hAnsi="Times New Roman" w:cs="Times New Roman"/>
        </w:rPr>
        <w:tab/>
        <w:t>4.11</w:t>
      </w:r>
      <w:r w:rsidR="003C3609">
        <w:rPr>
          <w:rFonts w:ascii="Times New Roman" w:eastAsia="Times New Roman" w:hAnsi="Times New Roman" w:cs="Times New Roman"/>
        </w:rPr>
        <w:tab/>
        <w:t>4.26</w:t>
      </w:r>
      <w:r w:rsidR="003C3609">
        <w:rPr>
          <w:rFonts w:ascii="Times New Roman" w:eastAsia="Times New Roman" w:hAnsi="Times New Roman" w:cs="Times New Roman"/>
        </w:rPr>
        <w:tab/>
        <w:t>0.69</w:t>
      </w:r>
      <w:r w:rsidR="003C3609">
        <w:rPr>
          <w:rFonts w:ascii="Times New Roman" w:eastAsia="Times New Roman" w:hAnsi="Times New Roman" w:cs="Times New Roman"/>
        </w:rPr>
        <w:tab/>
        <w:t>0.58</w:t>
      </w:r>
    </w:p>
    <w:p w14:paraId="14690449" w14:textId="34DBD525" w:rsidR="00D07A3A" w:rsidRDefault="00D07A3A" w:rsidP="00D07A3A">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E-waste management control</w:t>
      </w:r>
      <w:r w:rsidR="003C3609">
        <w:rPr>
          <w:rFonts w:ascii="Times New Roman" w:eastAsia="Times New Roman" w:hAnsi="Times New Roman" w:cs="Times New Roman"/>
        </w:rPr>
        <w:tab/>
      </w:r>
      <w:r w:rsidR="003C3609">
        <w:rPr>
          <w:rFonts w:ascii="Times New Roman" w:eastAsia="Times New Roman" w:hAnsi="Times New Roman" w:cs="Times New Roman"/>
        </w:rPr>
        <w:tab/>
      </w:r>
      <w:r w:rsidR="003C3609">
        <w:rPr>
          <w:rFonts w:ascii="Times New Roman" w:eastAsia="Times New Roman" w:hAnsi="Times New Roman" w:cs="Times New Roman"/>
        </w:rPr>
        <w:tab/>
      </w:r>
      <w:r w:rsidR="003C3609">
        <w:rPr>
          <w:rFonts w:ascii="Times New Roman" w:eastAsia="Times New Roman" w:hAnsi="Times New Roman" w:cs="Times New Roman"/>
        </w:rPr>
        <w:tab/>
        <w:t>4.20</w:t>
      </w:r>
      <w:r w:rsidR="003C3609">
        <w:rPr>
          <w:rFonts w:ascii="Times New Roman" w:eastAsia="Times New Roman" w:hAnsi="Times New Roman" w:cs="Times New Roman"/>
        </w:rPr>
        <w:tab/>
        <w:t>4.05</w:t>
      </w:r>
      <w:r w:rsidR="003C3609">
        <w:rPr>
          <w:rFonts w:ascii="Times New Roman" w:eastAsia="Times New Roman" w:hAnsi="Times New Roman" w:cs="Times New Roman"/>
        </w:rPr>
        <w:tab/>
        <w:t>0.71</w:t>
      </w:r>
      <w:r w:rsidR="003C3609">
        <w:rPr>
          <w:rFonts w:ascii="Times New Roman" w:eastAsia="Times New Roman" w:hAnsi="Times New Roman" w:cs="Times New Roman"/>
        </w:rPr>
        <w:tab/>
        <w:t>0.74</w:t>
      </w:r>
    </w:p>
    <w:p w14:paraId="7414351D" w14:textId="77777777" w:rsidR="003C3609" w:rsidRDefault="00D07A3A" w:rsidP="00D07A3A">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Toxicology risk concerns from renewable </w:t>
      </w:r>
    </w:p>
    <w:p w14:paraId="5189CBA7" w14:textId="3EEA9117" w:rsidR="00D07A3A" w:rsidRDefault="003C3609" w:rsidP="003C3609">
      <w:pPr>
        <w:pStyle w:val="ListParagraph"/>
        <w:spacing w:after="0" w:line="276" w:lineRule="auto"/>
        <w:ind w:left="1440"/>
        <w:rPr>
          <w:rFonts w:ascii="Times New Roman" w:eastAsia="Times New Roman" w:hAnsi="Times New Roman" w:cs="Times New Roman"/>
        </w:rPr>
      </w:pPr>
      <w:r>
        <w:rPr>
          <w:rFonts w:ascii="Times New Roman" w:eastAsia="Times New Roman" w:hAnsi="Times New Roman" w:cs="Times New Roman"/>
        </w:rPr>
        <w:t>C</w:t>
      </w:r>
      <w:r w:rsidR="00D07A3A">
        <w:rPr>
          <w:rFonts w:ascii="Times New Roman" w:eastAsia="Times New Roman" w:hAnsi="Times New Roman" w:cs="Times New Roman"/>
        </w:rPr>
        <w:t>omponents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4.11</w:t>
      </w:r>
      <w:r>
        <w:rPr>
          <w:rFonts w:ascii="Times New Roman" w:eastAsia="Times New Roman" w:hAnsi="Times New Roman" w:cs="Times New Roman"/>
        </w:rPr>
        <w:tab/>
        <w:t>4.02</w:t>
      </w:r>
      <w:r>
        <w:rPr>
          <w:rFonts w:ascii="Times New Roman" w:eastAsia="Times New Roman" w:hAnsi="Times New Roman" w:cs="Times New Roman"/>
        </w:rPr>
        <w:tab/>
        <w:t>0.68</w:t>
      </w:r>
      <w:r>
        <w:rPr>
          <w:rFonts w:ascii="Times New Roman" w:eastAsia="Times New Roman" w:hAnsi="Times New Roman" w:cs="Times New Roman"/>
        </w:rPr>
        <w:tab/>
        <w:t>0.69</w:t>
      </w:r>
    </w:p>
    <w:p w14:paraId="2B5B5E13" w14:textId="10071A65" w:rsidR="00D07A3A" w:rsidRDefault="003C3609" w:rsidP="00D07A3A">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Resources depletion concerns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3.95</w:t>
      </w:r>
      <w:r>
        <w:rPr>
          <w:rFonts w:ascii="Times New Roman" w:eastAsia="Times New Roman" w:hAnsi="Times New Roman" w:cs="Times New Roman"/>
        </w:rPr>
        <w:tab/>
        <w:t>3.88</w:t>
      </w:r>
      <w:r>
        <w:rPr>
          <w:rFonts w:ascii="Times New Roman" w:eastAsia="Times New Roman" w:hAnsi="Times New Roman" w:cs="Times New Roman"/>
        </w:rPr>
        <w:tab/>
        <w:t>0.72</w:t>
      </w:r>
      <w:r>
        <w:rPr>
          <w:rFonts w:ascii="Times New Roman" w:eastAsia="Times New Roman" w:hAnsi="Times New Roman" w:cs="Times New Roman"/>
        </w:rPr>
        <w:tab/>
        <w:t>0.70</w:t>
      </w:r>
    </w:p>
    <w:p w14:paraId="5509576B" w14:textId="7EE4CFDC" w:rsidR="00D07A3A" w:rsidRPr="003C3609" w:rsidRDefault="003C3609" w:rsidP="003C3609">
      <w:pPr>
        <w:pStyle w:val="ListParagraph"/>
        <w:numPr>
          <w:ilvl w:val="0"/>
          <w:numId w:val="19"/>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Issues of recycling infrastructure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4.31</w:t>
      </w:r>
      <w:r>
        <w:rPr>
          <w:rFonts w:ascii="Times New Roman" w:eastAsia="Times New Roman" w:hAnsi="Times New Roman" w:cs="Times New Roman"/>
        </w:rPr>
        <w:tab/>
        <w:t>4.26</w:t>
      </w:r>
      <w:r>
        <w:rPr>
          <w:rFonts w:ascii="Times New Roman" w:eastAsia="Times New Roman" w:hAnsi="Times New Roman" w:cs="Times New Roman"/>
        </w:rPr>
        <w:tab/>
        <w:t>0.61</w:t>
      </w:r>
      <w:r>
        <w:rPr>
          <w:rFonts w:ascii="Times New Roman" w:eastAsia="Times New Roman" w:hAnsi="Times New Roman" w:cs="Times New Roman"/>
        </w:rPr>
        <w:tab/>
        <w:t>0.65</w:t>
      </w:r>
    </w:p>
    <w:tbl>
      <w:tblPr>
        <w:tblStyle w:val="TableGrid"/>
        <w:tblW w:w="10438" w:type="dxa"/>
        <w:tblInd w:w="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8"/>
      </w:tblGrid>
      <w:tr w:rsidR="00D07A3A" w:rsidRPr="00057647" w14:paraId="54D8D1B7" w14:textId="77777777" w:rsidTr="002532A0">
        <w:trPr>
          <w:trHeight w:val="60"/>
        </w:trPr>
        <w:tc>
          <w:tcPr>
            <w:tcW w:w="10438" w:type="dxa"/>
            <w:tcBorders>
              <w:top w:val="nil"/>
              <w:bottom w:val="single" w:sz="4" w:space="0" w:color="auto"/>
            </w:tcBorders>
          </w:tcPr>
          <w:p w14:paraId="626B98FB" w14:textId="77777777" w:rsidR="00D07A3A" w:rsidRPr="00B87CC1" w:rsidRDefault="00D07A3A" w:rsidP="002532A0">
            <w:pPr>
              <w:spacing w:line="276" w:lineRule="auto"/>
              <w:jc w:val="both"/>
              <w:rPr>
                <w:rFonts w:ascii="Times New Roman" w:hAnsi="Times New Roman" w:cs="Times New Roman"/>
                <w:b/>
                <w:sz w:val="24"/>
                <w:szCs w:val="24"/>
              </w:rPr>
            </w:pPr>
          </w:p>
        </w:tc>
      </w:tr>
    </w:tbl>
    <w:p w14:paraId="4C351E07" w14:textId="40DF9EF4" w:rsidR="003C3609" w:rsidRDefault="003C3609" w:rsidP="003C3609">
      <w:pPr>
        <w:spacing w:before="100" w:beforeAutospacing="1" w:after="100" w:afterAutospacing="1" w:line="480" w:lineRule="auto"/>
        <w:rPr>
          <w:rFonts w:ascii="Times New Roman" w:eastAsia="Times New Roman" w:hAnsi="Times New Roman" w:cs="Times New Roman"/>
        </w:rPr>
      </w:pPr>
      <w:r w:rsidRPr="00511C14">
        <w:rPr>
          <w:rFonts w:ascii="Times New Roman" w:eastAsia="Times New Roman" w:hAnsi="Times New Roman" w:cs="Times New Roman"/>
        </w:rPr>
        <w:lastRenderedPageBreak/>
        <w:t xml:space="preserve">Respondents </w:t>
      </w:r>
      <w:r>
        <w:rPr>
          <w:rFonts w:ascii="Times New Roman" w:eastAsia="Times New Roman" w:hAnsi="Times New Roman" w:cs="Times New Roman"/>
        </w:rPr>
        <w:t xml:space="preserve">in table 3 </w:t>
      </w:r>
      <w:r w:rsidRPr="00511C14">
        <w:rPr>
          <w:rFonts w:ascii="Times New Roman" w:eastAsia="Times New Roman" w:hAnsi="Times New Roman" w:cs="Times New Roman"/>
        </w:rPr>
        <w:t>generally agreed that optimized BIRES can significantly improve climate security through reduction of diesel generator dependence, enhanced energy independence, and reduction of greenhouse gas emissions. Respondents with high optimization awareness reported substantially higher perceptions of climate and environmental security benefits than those with low awareness. However, concerns regarding e-waste management, component toxicity, and inadequate recycling infrastructure remain prominent among both professional groups.</w:t>
      </w:r>
    </w:p>
    <w:p w14:paraId="7CF30A7A" w14:textId="336618C0" w:rsidR="003C3609" w:rsidRDefault="003C3609" w:rsidP="003C3609">
      <w:pPr>
        <w:pStyle w:val="NormalWeb"/>
        <w:spacing w:line="480" w:lineRule="auto"/>
        <w:rPr>
          <w:b/>
        </w:rPr>
      </w:pPr>
      <w:r>
        <w:rPr>
          <w:b/>
        </w:rPr>
        <w:t>Table 4</w:t>
      </w:r>
    </w:p>
    <w:p w14:paraId="46B3F235" w14:textId="78191165" w:rsidR="003C3609" w:rsidRPr="003C3609" w:rsidRDefault="004876B5" w:rsidP="003C3609">
      <w:pPr>
        <w:spacing w:before="100" w:beforeAutospacing="1" w:after="100" w:afterAutospacing="1" w:line="240" w:lineRule="auto"/>
        <w:ind w:firstLine="720"/>
        <w:outlineLvl w:val="2"/>
        <w:rPr>
          <w:rFonts w:ascii="Times New Roman" w:eastAsia="Times New Roman" w:hAnsi="Times New Roman" w:cs="Times New Roman"/>
          <w:b/>
          <w:bCs/>
        </w:rPr>
      </w:pPr>
      <w:r>
        <w:rPr>
          <w:rFonts w:ascii="Times New Roman" w:eastAsia="Times New Roman" w:hAnsi="Times New Roman" w:cs="Times New Roman"/>
          <w:b/>
          <w:bCs/>
        </w:rPr>
        <w:t>Two-Way ANOVA on lifecycle optimization p</w:t>
      </w:r>
      <w:r w:rsidR="003C3609" w:rsidRPr="003C3609">
        <w:rPr>
          <w:rFonts w:ascii="Times New Roman" w:eastAsia="Times New Roman" w:hAnsi="Times New Roman" w:cs="Times New Roman"/>
          <w:b/>
          <w:bCs/>
        </w:rPr>
        <w:t>racti</w:t>
      </w:r>
      <w:r>
        <w:rPr>
          <w:rFonts w:ascii="Times New Roman" w:eastAsia="Times New Roman" w:hAnsi="Times New Roman" w:cs="Times New Roman"/>
          <w:b/>
          <w:bCs/>
        </w:rPr>
        <w:t>ces, professional category and perceived environmental security r</w:t>
      </w:r>
      <w:r w:rsidR="003C3609" w:rsidRPr="003C3609">
        <w:rPr>
          <w:rFonts w:ascii="Times New Roman" w:eastAsia="Times New Roman" w:hAnsi="Times New Roman" w:cs="Times New Roman"/>
          <w:b/>
          <w:bCs/>
        </w:rPr>
        <w:t>isks</w:t>
      </w:r>
    </w:p>
    <w:tbl>
      <w:tblPr>
        <w:tblStyle w:val="LightShading"/>
        <w:tblW w:w="9284" w:type="dxa"/>
        <w:tblLook w:val="0020" w:firstRow="1" w:lastRow="0" w:firstColumn="0" w:lastColumn="0" w:noHBand="0" w:noVBand="0"/>
      </w:tblPr>
      <w:tblGrid>
        <w:gridCol w:w="2041"/>
        <w:gridCol w:w="222"/>
        <w:gridCol w:w="756"/>
        <w:gridCol w:w="2038"/>
        <w:gridCol w:w="1312"/>
        <w:gridCol w:w="979"/>
        <w:gridCol w:w="756"/>
        <w:gridCol w:w="1180"/>
      </w:tblGrid>
      <w:tr w:rsidR="004876B5" w:rsidRPr="008A123E" w14:paraId="154CE627" w14:textId="77777777" w:rsidTr="002532A0">
        <w:trPr>
          <w:cnfStyle w:val="100000000000" w:firstRow="1" w:lastRow="0" w:firstColumn="0" w:lastColumn="0" w:oddVBand="0" w:evenVBand="0" w:oddHBand="0"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1B76B06E" w14:textId="77777777" w:rsidR="003C3609" w:rsidRPr="008A123E" w:rsidRDefault="003C3609"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Source</w:t>
            </w:r>
          </w:p>
        </w:tc>
        <w:tc>
          <w:tcPr>
            <w:tcW w:w="0" w:type="auto"/>
          </w:tcPr>
          <w:p w14:paraId="335B23DC" w14:textId="77777777" w:rsidR="003C3609" w:rsidRPr="008A123E" w:rsidRDefault="003C3609" w:rsidP="002532A0">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A7B75BB" w14:textId="77777777" w:rsidR="003C3609" w:rsidRPr="008A123E" w:rsidRDefault="003C3609"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SS</w:t>
            </w:r>
          </w:p>
        </w:tc>
        <w:tc>
          <w:tcPr>
            <w:tcW w:w="2038" w:type="dxa"/>
          </w:tcPr>
          <w:p w14:paraId="7D60535B" w14:textId="77777777" w:rsidR="003C3609" w:rsidRPr="008A123E" w:rsidRDefault="003C3609" w:rsidP="002532A0">
            <w:pPr>
              <w:autoSpaceDE w:val="0"/>
              <w:autoSpaceDN w:val="0"/>
              <w:adjustRightInd w:val="0"/>
              <w:spacing w:line="32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df</w:t>
            </w:r>
            <w:proofErr w:type="spellEnd"/>
          </w:p>
        </w:tc>
        <w:tc>
          <w:tcPr>
            <w:cnfStyle w:val="000010000000" w:firstRow="0" w:lastRow="0" w:firstColumn="0" w:lastColumn="0" w:oddVBand="1" w:evenVBand="0" w:oddHBand="0" w:evenHBand="0" w:firstRowFirstColumn="0" w:firstRowLastColumn="0" w:lastRowFirstColumn="0" w:lastRowLastColumn="0"/>
            <w:tcW w:w="1312" w:type="dxa"/>
            <w:shd w:val="clear" w:color="auto" w:fill="auto"/>
          </w:tcPr>
          <w:p w14:paraId="736AD4C0" w14:textId="77777777" w:rsidR="003C3609" w:rsidRPr="008A123E"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979" w:type="dxa"/>
          </w:tcPr>
          <w:p w14:paraId="6470ABFB" w14:textId="77777777" w:rsidR="003C3609" w:rsidRPr="008A123E" w:rsidRDefault="003C3609" w:rsidP="002532A0">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1829B1E" w14:textId="77777777" w:rsidR="003C3609" w:rsidRPr="008A123E"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r w:rsidRPr="008A123E">
              <w:rPr>
                <w:rFonts w:ascii="Times New Roman" w:hAnsi="Times New Roman" w:cs="Times New Roman"/>
                <w:color w:val="000000"/>
                <w:sz w:val="24"/>
                <w:szCs w:val="24"/>
              </w:rPr>
              <w:t>Sig.</w:t>
            </w:r>
          </w:p>
        </w:tc>
        <w:tc>
          <w:tcPr>
            <w:tcW w:w="0" w:type="auto"/>
          </w:tcPr>
          <w:p w14:paraId="1A85AD0F" w14:textId="77777777" w:rsidR="003C3609" w:rsidRPr="008A123E" w:rsidRDefault="003C3609" w:rsidP="002532A0">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123E">
              <w:rPr>
                <w:rFonts w:ascii="Times New Roman" w:hAnsi="Times New Roman" w:cs="Times New Roman"/>
                <w:color w:val="000000"/>
                <w:sz w:val="24"/>
                <w:szCs w:val="24"/>
              </w:rPr>
              <w:t>Dec.</w:t>
            </w:r>
          </w:p>
        </w:tc>
      </w:tr>
      <w:tr w:rsidR="004876B5" w:rsidRPr="008A123E" w14:paraId="27EA44CE" w14:textId="77777777" w:rsidTr="002532A0">
        <w:trPr>
          <w:cnfStyle w:val="000000100000" w:firstRow="0" w:lastRow="0" w:firstColumn="0" w:lastColumn="0" w:oddVBand="0" w:evenVBand="0" w:oddHBand="1" w:evenHBand="0" w:firstRowFirstColumn="0" w:firstRowLastColumn="0" w:lastRowFirstColumn="0" w:lastRowLastColumn="0"/>
          <w:trHeight w:val="398"/>
        </w:trPr>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42262781" w14:textId="77777777" w:rsidR="003C3609" w:rsidRDefault="003C3609"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Optimization awareness </w:t>
            </w:r>
          </w:p>
          <w:p w14:paraId="4CC668B0" w14:textId="77777777" w:rsidR="003C3609" w:rsidRDefault="003C3609"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Professional category</w:t>
            </w:r>
          </w:p>
          <w:p w14:paraId="72AB0632" w14:textId="77777777" w:rsidR="003C3609" w:rsidRDefault="003C3609"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Awareness x professional category</w:t>
            </w:r>
          </w:p>
          <w:p w14:paraId="26199956" w14:textId="77777777" w:rsidR="003C3609" w:rsidRPr="008A123E" w:rsidRDefault="003C3609"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Error </w:t>
            </w:r>
          </w:p>
        </w:tc>
        <w:tc>
          <w:tcPr>
            <w:tcW w:w="0" w:type="auto"/>
            <w:shd w:val="clear" w:color="auto" w:fill="auto"/>
          </w:tcPr>
          <w:p w14:paraId="3F1C44BF" w14:textId="77777777" w:rsidR="003C3609" w:rsidRPr="008A123E" w:rsidRDefault="003C3609"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A861852" w14:textId="783165FE" w:rsidR="003C3609" w:rsidRDefault="004876B5"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16.37</w:t>
            </w:r>
          </w:p>
          <w:p w14:paraId="455FDFD3" w14:textId="77777777" w:rsidR="003C3609" w:rsidRDefault="003C3609" w:rsidP="002532A0">
            <w:pPr>
              <w:autoSpaceDE w:val="0"/>
              <w:autoSpaceDN w:val="0"/>
              <w:adjustRightInd w:val="0"/>
              <w:spacing w:line="320" w:lineRule="atLeast"/>
              <w:rPr>
                <w:rFonts w:ascii="Times New Roman" w:hAnsi="Times New Roman" w:cs="Times New Roman"/>
                <w:color w:val="000000"/>
                <w:sz w:val="24"/>
                <w:szCs w:val="24"/>
              </w:rPr>
            </w:pPr>
          </w:p>
          <w:p w14:paraId="0A1A79EC" w14:textId="1AF40B89" w:rsidR="003C3609" w:rsidRDefault="004876B5"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0.73</w:t>
            </w:r>
          </w:p>
          <w:p w14:paraId="34C4052A" w14:textId="77777777" w:rsidR="003C3609" w:rsidRDefault="003C3609" w:rsidP="002532A0">
            <w:pPr>
              <w:autoSpaceDE w:val="0"/>
              <w:autoSpaceDN w:val="0"/>
              <w:adjustRightInd w:val="0"/>
              <w:spacing w:line="320" w:lineRule="atLeast"/>
              <w:rPr>
                <w:rFonts w:ascii="Times New Roman" w:hAnsi="Times New Roman" w:cs="Times New Roman"/>
                <w:color w:val="000000"/>
                <w:sz w:val="24"/>
                <w:szCs w:val="24"/>
              </w:rPr>
            </w:pPr>
          </w:p>
          <w:p w14:paraId="5F06D919" w14:textId="21F0E523" w:rsidR="003C3609" w:rsidRDefault="004876B5"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0.44</w:t>
            </w:r>
          </w:p>
          <w:p w14:paraId="24C380CE" w14:textId="77777777" w:rsidR="003C3609" w:rsidRDefault="003C3609" w:rsidP="002532A0">
            <w:pPr>
              <w:autoSpaceDE w:val="0"/>
              <w:autoSpaceDN w:val="0"/>
              <w:adjustRightInd w:val="0"/>
              <w:spacing w:line="320" w:lineRule="atLeast"/>
              <w:rPr>
                <w:rFonts w:ascii="Times New Roman" w:hAnsi="Times New Roman" w:cs="Times New Roman"/>
                <w:color w:val="000000"/>
                <w:sz w:val="24"/>
                <w:szCs w:val="24"/>
              </w:rPr>
            </w:pPr>
          </w:p>
          <w:p w14:paraId="7B3127D0" w14:textId="77777777" w:rsidR="003C3609" w:rsidRDefault="003C3609" w:rsidP="002532A0">
            <w:pPr>
              <w:autoSpaceDE w:val="0"/>
              <w:autoSpaceDN w:val="0"/>
              <w:adjustRightInd w:val="0"/>
              <w:spacing w:line="320" w:lineRule="atLeast"/>
              <w:rPr>
                <w:rFonts w:ascii="Times New Roman" w:hAnsi="Times New Roman" w:cs="Times New Roman"/>
                <w:color w:val="000000"/>
                <w:sz w:val="24"/>
                <w:szCs w:val="24"/>
              </w:rPr>
            </w:pPr>
          </w:p>
          <w:p w14:paraId="27D1539F" w14:textId="496157E4" w:rsidR="003C3609" w:rsidRPr="008A123E" w:rsidRDefault="004876B5" w:rsidP="002532A0">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69.12</w:t>
            </w:r>
          </w:p>
        </w:tc>
        <w:tc>
          <w:tcPr>
            <w:tcW w:w="2038" w:type="dxa"/>
            <w:shd w:val="clear" w:color="auto" w:fill="auto"/>
          </w:tcPr>
          <w:p w14:paraId="2481B462" w14:textId="77777777" w:rsidR="003C3609" w:rsidRDefault="003C3609"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p w14:paraId="1EF1E13B" w14:textId="77777777" w:rsidR="003C3609" w:rsidRDefault="003C3609"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405A4ECE" w14:textId="77777777" w:rsidR="003C3609" w:rsidRDefault="003C3609"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w:t>
            </w:r>
          </w:p>
          <w:p w14:paraId="638DFB6B" w14:textId="77777777" w:rsidR="003C3609" w:rsidRDefault="003C3609"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58F315C1" w14:textId="77777777" w:rsidR="003C3609" w:rsidRDefault="003C3609"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p w14:paraId="00967DCF" w14:textId="77777777" w:rsidR="003C3609" w:rsidRDefault="003C3609"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59335806" w14:textId="77777777" w:rsidR="003C3609" w:rsidRDefault="003C3609"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p w14:paraId="286528DF" w14:textId="16C46E15" w:rsidR="004876B5" w:rsidRPr="008A123E" w:rsidRDefault="004876B5" w:rsidP="002532A0">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cnfStyle w:val="000010000000" w:firstRow="0" w:lastRow="0" w:firstColumn="0" w:lastColumn="0" w:oddVBand="1" w:evenVBand="0" w:oddHBand="0" w:evenHBand="0" w:firstRowFirstColumn="0" w:firstRowLastColumn="0" w:lastRowFirstColumn="0" w:lastRowLastColumn="0"/>
            <w:tcW w:w="1312" w:type="dxa"/>
            <w:shd w:val="clear" w:color="auto" w:fill="auto"/>
          </w:tcPr>
          <w:p w14:paraId="4BDDAF1B" w14:textId="0FF57ED3" w:rsidR="003C3609" w:rsidRDefault="004876B5"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8.184</w:t>
            </w:r>
          </w:p>
          <w:p w14:paraId="129377B7" w14:textId="77777777" w:rsidR="003C3609"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p>
          <w:p w14:paraId="3E645BA2" w14:textId="5161EC65" w:rsidR="003C3609" w:rsidRDefault="004876B5"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0.73</w:t>
            </w:r>
          </w:p>
          <w:p w14:paraId="2B1C1983" w14:textId="77777777" w:rsidR="003C3609"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p>
          <w:p w14:paraId="700B9140" w14:textId="2F011CA5" w:rsidR="003C3609" w:rsidRDefault="004876B5"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0.22</w:t>
            </w:r>
          </w:p>
          <w:p w14:paraId="06D03C37" w14:textId="77777777" w:rsidR="003C3609"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p>
          <w:p w14:paraId="7DA2B61C" w14:textId="6179988E" w:rsidR="003C3609" w:rsidRPr="008A123E" w:rsidRDefault="004876B5"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0.49</w:t>
            </w:r>
          </w:p>
        </w:tc>
        <w:tc>
          <w:tcPr>
            <w:tcW w:w="979" w:type="dxa"/>
            <w:shd w:val="clear" w:color="auto" w:fill="auto"/>
          </w:tcPr>
          <w:p w14:paraId="66314FD9" w14:textId="74F4329C" w:rsidR="003C3609" w:rsidRDefault="003C3609"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76B5">
              <w:rPr>
                <w:rFonts w:ascii="Times New Roman" w:hAnsi="Times New Roman" w:cs="Times New Roman"/>
                <w:color w:val="000000"/>
                <w:sz w:val="24"/>
                <w:szCs w:val="24"/>
              </w:rPr>
              <w:t>16.84</w:t>
            </w:r>
            <w:r>
              <w:rPr>
                <w:rFonts w:ascii="Times New Roman" w:hAnsi="Times New Roman" w:cs="Times New Roman"/>
                <w:color w:val="000000"/>
                <w:sz w:val="24"/>
                <w:szCs w:val="24"/>
              </w:rPr>
              <w:t xml:space="preserve"> </w:t>
            </w:r>
          </w:p>
          <w:p w14:paraId="0CD12575" w14:textId="77777777" w:rsidR="003C3609" w:rsidRDefault="003C3609"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4E96A303" w14:textId="478FA621" w:rsidR="003C3609" w:rsidRDefault="004876B5"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1.49</w:t>
            </w:r>
          </w:p>
          <w:p w14:paraId="03F89C0F" w14:textId="77777777" w:rsidR="003C3609" w:rsidRDefault="003C3609"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7387A97D" w14:textId="72835F55" w:rsidR="003C3609" w:rsidRPr="008A123E" w:rsidRDefault="004876B5" w:rsidP="002532A0">
            <w:pPr>
              <w:tabs>
                <w:tab w:val="right" w:pos="919"/>
              </w:tabs>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0.45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67E0989" w14:textId="77777777" w:rsidR="003C3609"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0.001</w:t>
            </w:r>
          </w:p>
          <w:p w14:paraId="1C40A09E" w14:textId="77777777" w:rsidR="003C3609"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p>
          <w:p w14:paraId="765E8AB0" w14:textId="46D09BCC" w:rsidR="003C3609" w:rsidRDefault="004876B5"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0.224</w:t>
            </w:r>
          </w:p>
          <w:p w14:paraId="23FB721B" w14:textId="77777777" w:rsidR="003C3609"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p>
          <w:p w14:paraId="00554C81" w14:textId="315C89F7" w:rsidR="003C3609" w:rsidRPr="008A123E" w:rsidRDefault="004876B5" w:rsidP="002532A0">
            <w:pPr>
              <w:autoSpaceDE w:val="0"/>
              <w:autoSpaceDN w:val="0"/>
              <w:adjustRightInd w:val="0"/>
              <w:spacing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0.639</w:t>
            </w:r>
          </w:p>
        </w:tc>
        <w:tc>
          <w:tcPr>
            <w:tcW w:w="0" w:type="auto"/>
            <w:shd w:val="clear" w:color="auto" w:fill="auto"/>
          </w:tcPr>
          <w:p w14:paraId="6364AA68" w14:textId="77777777" w:rsidR="003C3609" w:rsidRPr="008A123E" w:rsidRDefault="003C3609" w:rsidP="002532A0">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Do not accept </w:t>
            </w:r>
            <w:r w:rsidRPr="008A123E">
              <w:rPr>
                <w:rFonts w:ascii="Times New Roman" w:hAnsi="Times New Roman" w:cs="Times New Roman"/>
                <w:color w:val="000000"/>
                <w:sz w:val="24"/>
                <w:szCs w:val="24"/>
              </w:rPr>
              <w:t>H</w:t>
            </w:r>
            <w:r w:rsidRPr="008A123E">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vertAlign w:val="subscript"/>
              </w:rPr>
              <w:t>1</w:t>
            </w:r>
          </w:p>
        </w:tc>
      </w:tr>
      <w:tr w:rsidR="004876B5" w:rsidRPr="008A123E" w14:paraId="2469F1D9" w14:textId="77777777" w:rsidTr="002532A0">
        <w:trPr>
          <w:trHeight w:val="166"/>
        </w:trPr>
        <w:tc>
          <w:tcPr>
            <w:cnfStyle w:val="000010000000" w:firstRow="0" w:lastRow="0" w:firstColumn="0" w:lastColumn="0" w:oddVBand="1" w:evenVBand="0" w:oddHBand="0" w:evenHBand="0" w:firstRowFirstColumn="0" w:firstRowLastColumn="0" w:lastRowFirstColumn="0" w:lastRowLastColumn="0"/>
            <w:tcW w:w="2041" w:type="dxa"/>
            <w:shd w:val="clear" w:color="auto" w:fill="auto"/>
          </w:tcPr>
          <w:p w14:paraId="615E5FB6" w14:textId="77777777" w:rsidR="003C3609" w:rsidRPr="008A123E" w:rsidRDefault="003C3609" w:rsidP="002532A0">
            <w:pPr>
              <w:autoSpaceDE w:val="0"/>
              <w:autoSpaceDN w:val="0"/>
              <w:adjustRightInd w:val="0"/>
              <w:spacing w:line="320" w:lineRule="atLeast"/>
              <w:rPr>
                <w:rFonts w:ascii="Times New Roman" w:hAnsi="Times New Roman" w:cs="Times New Roman"/>
                <w:color w:val="000000"/>
                <w:sz w:val="24"/>
                <w:szCs w:val="24"/>
              </w:rPr>
            </w:pPr>
          </w:p>
        </w:tc>
        <w:tc>
          <w:tcPr>
            <w:tcW w:w="0" w:type="auto"/>
          </w:tcPr>
          <w:p w14:paraId="7C8AB0E4" w14:textId="77777777" w:rsidR="003C3609" w:rsidRPr="008A123E" w:rsidRDefault="003C3609" w:rsidP="002532A0">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FB10A9E" w14:textId="77777777" w:rsidR="003C3609" w:rsidRPr="008A123E" w:rsidRDefault="003C3609" w:rsidP="002532A0">
            <w:pPr>
              <w:autoSpaceDE w:val="0"/>
              <w:autoSpaceDN w:val="0"/>
              <w:adjustRightInd w:val="0"/>
              <w:spacing w:line="320" w:lineRule="atLeast"/>
              <w:jc w:val="center"/>
              <w:rPr>
                <w:rFonts w:ascii="Times New Roman" w:hAnsi="Times New Roman" w:cs="Times New Roman"/>
                <w:color w:val="000000"/>
                <w:sz w:val="24"/>
                <w:szCs w:val="24"/>
              </w:rPr>
            </w:pPr>
          </w:p>
        </w:tc>
        <w:tc>
          <w:tcPr>
            <w:tcW w:w="2038" w:type="dxa"/>
          </w:tcPr>
          <w:p w14:paraId="75F14FE6" w14:textId="77777777" w:rsidR="003C3609" w:rsidRPr="008A123E" w:rsidRDefault="003C3609" w:rsidP="002532A0">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312" w:type="dxa"/>
            <w:shd w:val="clear" w:color="auto" w:fill="auto"/>
          </w:tcPr>
          <w:p w14:paraId="4593182D" w14:textId="77777777" w:rsidR="003C3609" w:rsidRPr="008A123E" w:rsidRDefault="003C3609" w:rsidP="002532A0">
            <w:pPr>
              <w:autoSpaceDE w:val="0"/>
              <w:autoSpaceDN w:val="0"/>
              <w:adjustRightInd w:val="0"/>
              <w:spacing w:line="320" w:lineRule="atLeast"/>
              <w:jc w:val="right"/>
              <w:rPr>
                <w:rFonts w:ascii="Times New Roman" w:hAnsi="Times New Roman" w:cs="Times New Roman"/>
                <w:color w:val="000000"/>
                <w:sz w:val="24"/>
                <w:szCs w:val="24"/>
              </w:rPr>
            </w:pPr>
          </w:p>
        </w:tc>
        <w:tc>
          <w:tcPr>
            <w:tcW w:w="979" w:type="dxa"/>
          </w:tcPr>
          <w:p w14:paraId="3713464C" w14:textId="77777777" w:rsidR="003C3609" w:rsidRPr="008A123E" w:rsidRDefault="003C3609" w:rsidP="002532A0">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97CA42D" w14:textId="77777777" w:rsidR="003C3609" w:rsidRPr="008A123E" w:rsidRDefault="003C3609" w:rsidP="002532A0">
            <w:pPr>
              <w:autoSpaceDE w:val="0"/>
              <w:autoSpaceDN w:val="0"/>
              <w:adjustRightInd w:val="0"/>
              <w:spacing w:line="320" w:lineRule="atLeast"/>
              <w:jc w:val="right"/>
              <w:rPr>
                <w:rFonts w:ascii="Times New Roman" w:hAnsi="Times New Roman" w:cs="Times New Roman"/>
                <w:color w:val="000000"/>
                <w:sz w:val="24"/>
                <w:szCs w:val="24"/>
              </w:rPr>
            </w:pPr>
          </w:p>
        </w:tc>
        <w:tc>
          <w:tcPr>
            <w:tcW w:w="0" w:type="auto"/>
          </w:tcPr>
          <w:p w14:paraId="3DB358FF" w14:textId="77777777" w:rsidR="003C3609" w:rsidRPr="008A123E" w:rsidRDefault="003C3609" w:rsidP="002532A0">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58ED6140" w14:textId="77777777" w:rsidR="004876B5" w:rsidRDefault="004876B5" w:rsidP="00EC7CAA">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 xml:space="preserve">In </w:t>
      </w:r>
      <w:r>
        <w:rPr>
          <w:rFonts w:ascii="Times New Roman" w:eastAsia="Times New Roman" w:hAnsi="Times New Roman" w:cs="Times New Roman"/>
        </w:rPr>
        <w:t>table 4</w:t>
      </w:r>
      <w:r>
        <w:rPr>
          <w:rFonts w:ascii="Times New Roman" w:eastAsia="Times New Roman" w:hAnsi="Times New Roman" w:cs="Times New Roman"/>
        </w:rPr>
        <w:t xml:space="preserve">, the hypothesis was </w:t>
      </w:r>
      <w:r>
        <w:rPr>
          <w:rFonts w:ascii="Times New Roman" w:eastAsia="Times New Roman" w:hAnsi="Times New Roman" w:cs="Times New Roman"/>
        </w:rPr>
        <w:t xml:space="preserve">not supported. This is because </w:t>
      </w:r>
      <w:r>
        <w:rPr>
          <w:rFonts w:ascii="Times New Roman" w:eastAsia="Times New Roman" w:hAnsi="Times New Roman" w:cs="Times New Roman"/>
        </w:rPr>
        <w:t>since H</w:t>
      </w:r>
      <w:r>
        <w:rPr>
          <w:rFonts w:ascii="Times New Roman" w:eastAsia="Times New Roman" w:hAnsi="Times New Roman" w:cs="Times New Roman"/>
        </w:rPr>
        <w:t>0</w:t>
      </w:r>
      <w:r>
        <w:rPr>
          <w:rFonts w:ascii="Times New Roman" w:eastAsia="Times New Roman" w:hAnsi="Times New Roman" w:cs="Times New Roman"/>
          <w:vertAlign w:val="subscript"/>
        </w:rPr>
        <w:t>2</w:t>
      </w:r>
      <w:r>
        <w:rPr>
          <w:rFonts w:ascii="Times New Roman" w:eastAsia="Times New Roman" w:hAnsi="Times New Roman" w:cs="Times New Roman"/>
        </w:rPr>
        <w:t xml:space="preserve"> has p </w:t>
      </w:r>
      <w:r w:rsidRPr="00511C14">
        <w:rPr>
          <w:rFonts w:ascii="Times New Roman" w:eastAsia="Times New Roman" w:hAnsi="Times New Roman" w:cs="Times New Roman"/>
        </w:rPr>
        <w:t>.000</w:t>
      </w:r>
      <w:r>
        <w:rPr>
          <w:rFonts w:ascii="Times New Roman" w:eastAsia="Times New Roman" w:hAnsi="Times New Roman" w:cs="Times New Roman"/>
        </w:rPr>
        <w:t>1</w:t>
      </w:r>
      <w:r>
        <w:rPr>
          <w:rFonts w:ascii="Times New Roman" w:eastAsia="Times New Roman" w:hAnsi="Times New Roman" w:cs="Times New Roman"/>
        </w:rPr>
        <w:t xml:space="preserve"> &lt; .05.</w:t>
      </w:r>
      <w:r w:rsidRPr="00511C14">
        <w:rPr>
          <w:rFonts w:ascii="Times New Roman" w:eastAsia="Times New Roman" w:hAnsi="Times New Roman" w:cs="Times New Roman"/>
        </w:rPr>
        <w:t xml:space="preserve"> </w:t>
      </w:r>
      <w:r>
        <w:rPr>
          <w:rFonts w:ascii="Times New Roman" w:eastAsia="Times New Roman" w:hAnsi="Times New Roman" w:cs="Times New Roman"/>
        </w:rPr>
        <w:t>Thus, l</w:t>
      </w:r>
      <w:r w:rsidRPr="00511C14">
        <w:rPr>
          <w:rFonts w:ascii="Times New Roman" w:eastAsia="Times New Roman" w:hAnsi="Times New Roman" w:cs="Times New Roman"/>
        </w:rPr>
        <w:t>ifecycle optimization practices significantly influence perceived environmental security risks, whereas professional category and the interaction effect are not statistically significant.</w:t>
      </w:r>
    </w:p>
    <w:p w14:paraId="74FF4656" w14:textId="1A9B753D" w:rsidR="00EC7CAA" w:rsidRPr="004876B5" w:rsidRDefault="00EC7CAA" w:rsidP="00EC7CAA">
      <w:pPr>
        <w:spacing w:before="100" w:beforeAutospacing="1" w:after="100" w:afterAutospacing="1" w:line="480" w:lineRule="auto"/>
        <w:rPr>
          <w:rFonts w:ascii="Times New Roman" w:eastAsia="Times New Roman" w:hAnsi="Times New Roman" w:cs="Times New Roman"/>
        </w:rPr>
      </w:pPr>
      <w:r w:rsidRPr="00EC7CAA">
        <w:rPr>
          <w:rFonts w:ascii="Times New Roman" w:eastAsia="Times New Roman" w:hAnsi="Times New Roman" w:cs="Times New Roman"/>
          <w:b/>
          <w:bCs/>
          <w:kern w:val="0"/>
          <w:sz w:val="27"/>
          <w:szCs w:val="27"/>
          <w14:ligatures w14:val="none"/>
        </w:rPr>
        <w:t>Discussion</w:t>
      </w:r>
    </w:p>
    <w:p w14:paraId="5556B68F" w14:textId="401264F1" w:rsidR="00EC7CAA" w:rsidRDefault="00EC7CAA" w:rsidP="00EC7CAA">
      <w:pPr>
        <w:spacing w:before="100" w:beforeAutospacing="1" w:after="100" w:afterAutospacing="1" w:line="480" w:lineRule="auto"/>
        <w:rPr>
          <w:rFonts w:ascii="Times New Roman" w:eastAsia="Times New Roman" w:hAnsi="Times New Roman" w:cs="Times New Roman"/>
          <w:kern w:val="0"/>
          <w14:ligatures w14:val="none"/>
        </w:rPr>
      </w:pPr>
      <w:r w:rsidRPr="00EC7CAA">
        <w:rPr>
          <w:rFonts w:ascii="Times New Roman" w:eastAsia="Times New Roman" w:hAnsi="Times New Roman" w:cs="Times New Roman"/>
          <w:kern w:val="0"/>
          <w14:ligatures w14:val="none"/>
        </w:rPr>
        <w:t xml:space="preserve">Findings </w:t>
      </w:r>
      <w:r w:rsidR="005046B9">
        <w:rPr>
          <w:rFonts w:ascii="Times New Roman" w:eastAsia="Times New Roman" w:hAnsi="Times New Roman" w:cs="Times New Roman"/>
          <w:kern w:val="0"/>
          <w14:ligatures w14:val="none"/>
        </w:rPr>
        <w:t xml:space="preserve">in table1 </w:t>
      </w:r>
      <w:r w:rsidRPr="00EC7CAA">
        <w:rPr>
          <w:rFonts w:ascii="Times New Roman" w:eastAsia="Times New Roman" w:hAnsi="Times New Roman" w:cs="Times New Roman"/>
          <w:kern w:val="0"/>
          <w14:ligatures w14:val="none"/>
        </w:rPr>
        <w:t xml:space="preserve">show that BIRES adoption and optimization among builders and civil engineers in South-East Nigeria remain low. The mean score </w:t>
      </w:r>
      <w:r w:rsidR="00750876">
        <w:rPr>
          <w:rFonts w:ascii="Times New Roman" w:eastAsia="Times New Roman" w:hAnsi="Times New Roman" w:cs="Times New Roman"/>
          <w:kern w:val="0"/>
          <w14:ligatures w14:val="none"/>
        </w:rPr>
        <w:t>for BIRES adoption was low</w:t>
      </w:r>
      <w:r w:rsidRPr="00EC7CAA">
        <w:rPr>
          <w:rFonts w:ascii="Times New Roman" w:eastAsia="Times New Roman" w:hAnsi="Times New Roman" w:cs="Times New Roman"/>
          <w:kern w:val="0"/>
          <w14:ligatures w14:val="none"/>
        </w:rPr>
        <w:t xml:space="preserve">, while </w:t>
      </w:r>
      <w:r w:rsidRPr="00EC7CAA">
        <w:rPr>
          <w:rFonts w:ascii="Times New Roman" w:eastAsia="Times New Roman" w:hAnsi="Times New Roman" w:cs="Times New Roman"/>
          <w:kern w:val="0"/>
          <w14:ligatures w14:val="none"/>
        </w:rPr>
        <w:lastRenderedPageBreak/>
        <w:t>optimization practices such as tilt adjustment, dust mitigation, and lifecycle costing were al</w:t>
      </w:r>
      <w:r w:rsidR="00750876">
        <w:rPr>
          <w:rFonts w:ascii="Times New Roman" w:eastAsia="Times New Roman" w:hAnsi="Times New Roman" w:cs="Times New Roman"/>
          <w:kern w:val="0"/>
          <w14:ligatures w14:val="none"/>
        </w:rPr>
        <w:t>so minimal</w:t>
      </w:r>
      <w:r w:rsidRPr="00EC7CAA">
        <w:rPr>
          <w:rFonts w:ascii="Times New Roman" w:eastAsia="Times New Roman" w:hAnsi="Times New Roman" w:cs="Times New Roman"/>
          <w:kern w:val="0"/>
          <w14:ligatures w14:val="none"/>
        </w:rPr>
        <w:t xml:space="preserve">. The major barriers identified were lack of tropical-climate design </w:t>
      </w:r>
      <w:r w:rsidR="00750876">
        <w:rPr>
          <w:rFonts w:ascii="Times New Roman" w:eastAsia="Times New Roman" w:hAnsi="Times New Roman" w:cs="Times New Roman"/>
          <w:kern w:val="0"/>
          <w14:ligatures w14:val="none"/>
        </w:rPr>
        <w:t>guidelines</w:t>
      </w:r>
      <w:r w:rsidRPr="00EC7CAA">
        <w:rPr>
          <w:rFonts w:ascii="Times New Roman" w:eastAsia="Times New Roman" w:hAnsi="Times New Roman" w:cs="Times New Roman"/>
          <w:kern w:val="0"/>
          <w14:ligatures w14:val="none"/>
        </w:rPr>
        <w:t xml:space="preserve">, high cost of imported </w:t>
      </w:r>
      <w:r w:rsidR="00750876">
        <w:rPr>
          <w:rFonts w:ascii="Times New Roman" w:eastAsia="Times New Roman" w:hAnsi="Times New Roman" w:cs="Times New Roman"/>
          <w:kern w:val="0"/>
          <w14:ligatures w14:val="none"/>
        </w:rPr>
        <w:t>components</w:t>
      </w:r>
      <w:r w:rsidRPr="00EC7CAA">
        <w:rPr>
          <w:rFonts w:ascii="Times New Roman" w:eastAsia="Times New Roman" w:hAnsi="Times New Roman" w:cs="Times New Roman"/>
          <w:kern w:val="0"/>
          <w14:ligatures w14:val="none"/>
        </w:rPr>
        <w:t>, and inadequate training in multi-objective op</w:t>
      </w:r>
      <w:r w:rsidR="00750876">
        <w:rPr>
          <w:rFonts w:ascii="Times New Roman" w:eastAsia="Times New Roman" w:hAnsi="Times New Roman" w:cs="Times New Roman"/>
          <w:kern w:val="0"/>
          <w14:ligatures w14:val="none"/>
        </w:rPr>
        <w:t>timization amongst others</w:t>
      </w:r>
      <w:r w:rsidRPr="00EC7CAA">
        <w:rPr>
          <w:rFonts w:ascii="Times New Roman" w:eastAsia="Times New Roman" w:hAnsi="Times New Roman" w:cs="Times New Roman"/>
          <w:kern w:val="0"/>
          <w14:ligatures w14:val="none"/>
        </w:rPr>
        <w:t>. These findings indicate weak and non-standardized BIRES implementation in the region, consistent with “guesswork installation” practices (Adekunle et al., 2025).</w:t>
      </w:r>
      <w:r>
        <w:rPr>
          <w:rFonts w:ascii="Times New Roman" w:eastAsia="Times New Roman" w:hAnsi="Times New Roman" w:cs="Times New Roman"/>
          <w:kern w:val="0"/>
          <w14:ligatures w14:val="none"/>
        </w:rPr>
        <w:t xml:space="preserve"> Similarly</w:t>
      </w:r>
      <w:r w:rsidR="00750876">
        <w:rPr>
          <w:rFonts w:ascii="Times New Roman" w:eastAsia="Times New Roman" w:hAnsi="Times New Roman" w:cs="Times New Roman"/>
          <w:kern w:val="0"/>
          <w14:ligatures w14:val="none"/>
        </w:rPr>
        <w:t>, two</w:t>
      </w:r>
      <w:r w:rsidRPr="00EC7CAA">
        <w:rPr>
          <w:rFonts w:ascii="Times New Roman" w:eastAsia="Times New Roman" w:hAnsi="Times New Roman" w:cs="Times New Roman"/>
          <w:kern w:val="0"/>
          <w14:ligatures w14:val="none"/>
        </w:rPr>
        <w:t xml:space="preserve">-way ANOVA results </w:t>
      </w:r>
      <w:r w:rsidR="00AD0474">
        <w:rPr>
          <w:rFonts w:ascii="Times New Roman" w:eastAsia="Times New Roman" w:hAnsi="Times New Roman" w:cs="Times New Roman"/>
          <w:kern w:val="0"/>
          <w14:ligatures w14:val="none"/>
        </w:rPr>
        <w:t>in table 2</w:t>
      </w:r>
      <w:r w:rsidR="005046B9">
        <w:rPr>
          <w:rFonts w:ascii="Times New Roman" w:eastAsia="Times New Roman" w:hAnsi="Times New Roman" w:cs="Times New Roman"/>
          <w:kern w:val="0"/>
          <w14:ligatures w14:val="none"/>
        </w:rPr>
        <w:t xml:space="preserve"> </w:t>
      </w:r>
      <w:r w:rsidR="00540D2B" w:rsidRPr="00EC7CAA">
        <w:rPr>
          <w:rFonts w:ascii="Times New Roman" w:eastAsia="Times New Roman" w:hAnsi="Times New Roman" w:cs="Times New Roman"/>
          <w:kern w:val="0"/>
          <w14:ligatures w14:val="none"/>
        </w:rPr>
        <w:t>show</w:t>
      </w:r>
      <w:r w:rsidRPr="00EC7CAA">
        <w:rPr>
          <w:rFonts w:ascii="Times New Roman" w:eastAsia="Times New Roman" w:hAnsi="Times New Roman" w:cs="Times New Roman"/>
          <w:kern w:val="0"/>
          <w14:ligatures w14:val="none"/>
        </w:rPr>
        <w:t xml:space="preserve"> a statistically significant difference in perceived climate security benefits based on levels of optimization awareness (F = 18.72, p &lt; 0.001). Professionals with higher optimization awareness reported stronger perceived climate securit</w:t>
      </w:r>
      <w:r w:rsidR="00750876">
        <w:rPr>
          <w:rFonts w:ascii="Times New Roman" w:eastAsia="Times New Roman" w:hAnsi="Times New Roman" w:cs="Times New Roman"/>
          <w:kern w:val="0"/>
          <w14:ligatures w14:val="none"/>
        </w:rPr>
        <w:t>y benefits</w:t>
      </w:r>
      <w:r w:rsidRPr="00EC7CAA">
        <w:rPr>
          <w:rFonts w:ascii="Times New Roman" w:eastAsia="Times New Roman" w:hAnsi="Times New Roman" w:cs="Times New Roman"/>
          <w:kern w:val="0"/>
          <w14:ligatures w14:val="none"/>
        </w:rPr>
        <w:t xml:space="preserve"> compared to those with lower</w:t>
      </w:r>
      <w:r w:rsidR="00750876">
        <w:rPr>
          <w:rFonts w:ascii="Times New Roman" w:eastAsia="Times New Roman" w:hAnsi="Times New Roman" w:cs="Times New Roman"/>
          <w:kern w:val="0"/>
          <w14:ligatures w14:val="none"/>
        </w:rPr>
        <w:t xml:space="preserve"> awareness</w:t>
      </w:r>
      <w:r w:rsidRPr="00EC7CAA">
        <w:rPr>
          <w:rFonts w:ascii="Times New Roman" w:eastAsia="Times New Roman" w:hAnsi="Times New Roman" w:cs="Times New Roman"/>
          <w:kern w:val="0"/>
          <w14:ligatures w14:val="none"/>
        </w:rPr>
        <w:t>. Experience and professional role were not significant factors. Thus, H</w:t>
      </w:r>
      <w:r>
        <w:rPr>
          <w:rFonts w:ascii="Times New Roman" w:eastAsia="Times New Roman" w:hAnsi="Times New Roman" w:cs="Times New Roman"/>
          <w:kern w:val="0"/>
          <w:vertAlign w:val="subscript"/>
          <w14:ligatures w14:val="none"/>
        </w:rPr>
        <w:t>01</w:t>
      </w:r>
      <w:r w:rsidR="004277B7">
        <w:rPr>
          <w:rFonts w:ascii="Times New Roman" w:eastAsia="Times New Roman" w:hAnsi="Times New Roman" w:cs="Times New Roman"/>
          <w:kern w:val="0"/>
          <w14:ligatures w14:val="none"/>
        </w:rPr>
        <w:t xml:space="preserve"> was not </w:t>
      </w:r>
      <w:r w:rsidRPr="00EC7CAA">
        <w:rPr>
          <w:rFonts w:ascii="Times New Roman" w:eastAsia="Times New Roman" w:hAnsi="Times New Roman" w:cs="Times New Roman"/>
          <w:kern w:val="0"/>
          <w14:ligatures w14:val="none"/>
        </w:rPr>
        <w:t>supported, confirming that optimization awareness significantly influences perceived climate security benefits among builders and civil engineers in South-East Nigeria.</w:t>
      </w:r>
    </w:p>
    <w:p w14:paraId="1BB915AE" w14:textId="5576309D" w:rsidR="005046B9" w:rsidRDefault="00AD0474" w:rsidP="005046B9">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Table 3</w:t>
      </w:r>
      <w:r w:rsidR="005046B9">
        <w:rPr>
          <w:rFonts w:ascii="Times New Roman" w:eastAsia="Times New Roman" w:hAnsi="Times New Roman" w:cs="Times New Roman"/>
          <w:kern w:val="0"/>
          <w14:ligatures w14:val="none"/>
        </w:rPr>
        <w:t xml:space="preserve"> </w:t>
      </w:r>
      <w:r w:rsidR="005046B9" w:rsidRPr="005046B9">
        <w:rPr>
          <w:rFonts w:ascii="Times New Roman" w:eastAsia="Times New Roman" w:hAnsi="Times New Roman" w:cs="Times New Roman"/>
          <w:kern w:val="0"/>
          <w14:ligatures w14:val="none"/>
        </w:rPr>
        <w:t>show</w:t>
      </w:r>
      <w:r w:rsidR="005046B9">
        <w:rPr>
          <w:rFonts w:ascii="Times New Roman" w:eastAsia="Times New Roman" w:hAnsi="Times New Roman" w:cs="Times New Roman"/>
          <w:kern w:val="0"/>
          <w14:ligatures w14:val="none"/>
        </w:rPr>
        <w:t>s</w:t>
      </w:r>
      <w:r w:rsidR="005046B9" w:rsidRPr="005046B9">
        <w:rPr>
          <w:rFonts w:ascii="Times New Roman" w:eastAsia="Times New Roman" w:hAnsi="Times New Roman" w:cs="Times New Roman"/>
          <w:kern w:val="0"/>
          <w14:ligatures w14:val="none"/>
        </w:rPr>
        <w:t xml:space="preserve"> that higher BIRES optimization awareness is associated with stronger perceived climate security benefits among builders and civil engineers in South-East Nigeria. Respondents with high awareness reported greater benefits f</w:t>
      </w:r>
      <w:r>
        <w:rPr>
          <w:rFonts w:ascii="Times New Roman" w:eastAsia="Times New Roman" w:hAnsi="Times New Roman" w:cs="Times New Roman"/>
          <w:kern w:val="0"/>
          <w14:ligatures w14:val="none"/>
        </w:rPr>
        <w:t>or grid independence</w:t>
      </w:r>
      <w:r w:rsidR="005046B9" w:rsidRPr="005046B9">
        <w:rPr>
          <w:rFonts w:ascii="Times New Roman" w:eastAsia="Times New Roman" w:hAnsi="Times New Roman" w:cs="Times New Roman"/>
          <w:kern w:val="0"/>
          <w14:ligatures w14:val="none"/>
        </w:rPr>
        <w:t xml:space="preserve"> and</w:t>
      </w:r>
      <w:r>
        <w:rPr>
          <w:rFonts w:ascii="Times New Roman" w:eastAsia="Times New Roman" w:hAnsi="Times New Roman" w:cs="Times New Roman"/>
          <w:kern w:val="0"/>
          <w14:ligatures w14:val="none"/>
        </w:rPr>
        <w:t xml:space="preserve"> emissions reduction</w:t>
      </w:r>
      <w:r w:rsidR="005046B9" w:rsidRPr="005046B9">
        <w:rPr>
          <w:rFonts w:ascii="Times New Roman" w:eastAsia="Times New Roman" w:hAnsi="Times New Roman" w:cs="Times New Roman"/>
          <w:kern w:val="0"/>
          <w14:ligatures w14:val="none"/>
        </w:rPr>
        <w:t>, while low-awareness respondents report</w:t>
      </w:r>
      <w:r>
        <w:rPr>
          <w:rFonts w:ascii="Times New Roman" w:eastAsia="Times New Roman" w:hAnsi="Times New Roman" w:cs="Times New Roman"/>
          <w:kern w:val="0"/>
          <w14:ligatures w14:val="none"/>
        </w:rPr>
        <w:t>ed lower perceptions</w:t>
      </w:r>
      <w:r w:rsidR="005046B9" w:rsidRPr="005046B9">
        <w:rPr>
          <w:rFonts w:ascii="Times New Roman" w:eastAsia="Times New Roman" w:hAnsi="Times New Roman" w:cs="Times New Roman"/>
          <w:kern w:val="0"/>
          <w14:ligatures w14:val="none"/>
        </w:rPr>
        <w:t>. Although BIRES is widely seen as beneficial for reducing diesel dependence, awareness of environmental safeguards such as e-waste management remains low, indicating an environmental security gap.</w:t>
      </w:r>
      <w:r w:rsidR="005046B9">
        <w:rPr>
          <w:rFonts w:ascii="Times New Roman" w:eastAsia="Times New Roman" w:hAnsi="Times New Roman" w:cs="Times New Roman"/>
          <w:kern w:val="0"/>
          <w14:ligatures w14:val="none"/>
        </w:rPr>
        <w:t xml:space="preserve"> </w:t>
      </w:r>
      <w:r w:rsidR="005046B9" w:rsidRPr="005046B9">
        <w:rPr>
          <w:rFonts w:ascii="Times New Roman" w:eastAsia="Times New Roman" w:hAnsi="Times New Roman" w:cs="Times New Roman"/>
          <w:kern w:val="0"/>
          <w14:ligatures w14:val="none"/>
        </w:rPr>
        <w:t>These findings align with Voss and Musall (2023), who emphasized that net-zero building performance depends on proper system optimization rather than installation alone, and with Zabalza Bribián and Valero Capilla (2025), who highlighted the environmental risks of weak lifecycle assessment in building renewables.</w:t>
      </w:r>
      <w:r w:rsidR="005046B9">
        <w:rPr>
          <w:rFonts w:ascii="Times New Roman" w:eastAsia="Times New Roman" w:hAnsi="Times New Roman" w:cs="Times New Roman"/>
          <w:kern w:val="0"/>
          <w14:ligatures w14:val="none"/>
        </w:rPr>
        <w:t xml:space="preserve"> Table 4</w:t>
      </w:r>
      <w:r w:rsidR="005046B9" w:rsidRPr="005046B9">
        <w:rPr>
          <w:rFonts w:ascii="Times New Roman" w:eastAsia="Times New Roman" w:hAnsi="Times New Roman" w:cs="Times New Roman"/>
          <w:kern w:val="0"/>
          <w14:ligatures w14:val="none"/>
        </w:rPr>
        <w:t xml:space="preserve"> results show a significant difference in perceived environmental security risks based on lifecycle optimization practices (F = 16.84, p &lt; 0.001). Respondents report</w:t>
      </w:r>
      <w:r>
        <w:rPr>
          <w:rFonts w:ascii="Times New Roman" w:eastAsia="Times New Roman" w:hAnsi="Times New Roman" w:cs="Times New Roman"/>
          <w:kern w:val="0"/>
          <w14:ligatures w14:val="none"/>
        </w:rPr>
        <w:t xml:space="preserve">ed higher risk perceptions thus, </w:t>
      </w:r>
      <w:r w:rsidRPr="00EC7CAA">
        <w:rPr>
          <w:rFonts w:ascii="Times New Roman" w:eastAsia="Times New Roman" w:hAnsi="Times New Roman" w:cs="Times New Roman"/>
          <w:kern w:val="0"/>
          <w14:ligatures w14:val="none"/>
        </w:rPr>
        <w:t>H</w:t>
      </w:r>
      <w:r>
        <w:rPr>
          <w:rFonts w:ascii="Times New Roman" w:eastAsia="Times New Roman" w:hAnsi="Times New Roman" w:cs="Times New Roman"/>
          <w:kern w:val="0"/>
          <w:vertAlign w:val="subscript"/>
          <w14:ligatures w14:val="none"/>
        </w:rPr>
        <w:t xml:space="preserve">02 </w:t>
      </w:r>
      <w:r>
        <w:rPr>
          <w:rFonts w:ascii="Times New Roman" w:eastAsia="Times New Roman" w:hAnsi="Times New Roman" w:cs="Times New Roman"/>
          <w:kern w:val="0"/>
          <w14:ligatures w14:val="none"/>
        </w:rPr>
        <w:t>was not supported. This reinforces</w:t>
      </w:r>
      <w:r w:rsidR="005046B9" w:rsidRPr="005046B9">
        <w:rPr>
          <w:rFonts w:ascii="Times New Roman" w:eastAsia="Times New Roman" w:hAnsi="Times New Roman" w:cs="Times New Roman"/>
          <w:kern w:val="0"/>
          <w14:ligatures w14:val="none"/>
        </w:rPr>
        <w:t xml:space="preserve"> evidence that inadequate </w:t>
      </w:r>
      <w:r w:rsidR="005046B9" w:rsidRPr="005046B9">
        <w:rPr>
          <w:rFonts w:ascii="Times New Roman" w:eastAsia="Times New Roman" w:hAnsi="Times New Roman" w:cs="Times New Roman"/>
          <w:kern w:val="0"/>
          <w14:ligatures w14:val="none"/>
        </w:rPr>
        <w:lastRenderedPageBreak/>
        <w:t>lifecycle management undermines the environmental sustainability of renewable building systems (Voss &amp; Musall, 2023; Zabalza Bribián &amp; Valero Capilla, 2025).</w:t>
      </w:r>
    </w:p>
    <w:p w14:paraId="37919054" w14:textId="77777777" w:rsidR="00C07C89" w:rsidRPr="00C07C89" w:rsidRDefault="00C07C89" w:rsidP="00C07C89">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C07C89">
        <w:rPr>
          <w:rFonts w:ascii="Times New Roman" w:eastAsia="Times New Roman" w:hAnsi="Times New Roman" w:cs="Times New Roman"/>
          <w:b/>
          <w:bCs/>
          <w:kern w:val="0"/>
          <w:sz w:val="27"/>
          <w:szCs w:val="27"/>
          <w14:ligatures w14:val="none"/>
        </w:rPr>
        <w:t>Recommendations</w:t>
      </w:r>
    </w:p>
    <w:p w14:paraId="665AC526" w14:textId="77777777" w:rsidR="00C07C89" w:rsidRPr="00C07C89" w:rsidRDefault="00C07C89" w:rsidP="00C07C89">
      <w:pPr>
        <w:spacing w:before="100" w:beforeAutospacing="1" w:after="100" w:afterAutospacing="1" w:line="480" w:lineRule="auto"/>
        <w:rPr>
          <w:rFonts w:ascii="Times New Roman" w:eastAsia="Times New Roman" w:hAnsi="Times New Roman" w:cs="Times New Roman"/>
          <w:kern w:val="0"/>
          <w14:ligatures w14:val="none"/>
        </w:rPr>
      </w:pPr>
      <w:r w:rsidRPr="00C07C89">
        <w:rPr>
          <w:rFonts w:ascii="Times New Roman" w:eastAsia="Times New Roman" w:hAnsi="Times New Roman" w:cs="Times New Roman"/>
          <w:kern w:val="0"/>
          <w14:ligatures w14:val="none"/>
        </w:rPr>
        <w:t>Based on the findings of the study, the following two recommendations are proposed:</w:t>
      </w:r>
    </w:p>
    <w:p w14:paraId="434A2C74" w14:textId="77777777" w:rsidR="00C07C89" w:rsidRPr="00C07C89" w:rsidRDefault="00C07C89" w:rsidP="00C07C89">
      <w:pPr>
        <w:spacing w:before="100" w:beforeAutospacing="1" w:after="100" w:afterAutospacing="1" w:line="480" w:lineRule="auto"/>
        <w:rPr>
          <w:rFonts w:ascii="Times New Roman" w:eastAsia="Times New Roman" w:hAnsi="Times New Roman" w:cs="Times New Roman"/>
          <w:kern w:val="0"/>
          <w14:ligatures w14:val="none"/>
        </w:rPr>
      </w:pPr>
      <w:r w:rsidRPr="00C07C89">
        <w:rPr>
          <w:rFonts w:ascii="Times New Roman" w:eastAsia="Times New Roman" w:hAnsi="Times New Roman" w:cs="Times New Roman"/>
          <w:b/>
          <w:bCs/>
          <w:kern w:val="0"/>
          <w14:ligatures w14:val="none"/>
        </w:rPr>
        <w:t xml:space="preserve">1. </w:t>
      </w:r>
      <w:r w:rsidRPr="00C07C89">
        <w:rPr>
          <w:rFonts w:ascii="Times New Roman" w:eastAsia="Times New Roman" w:hAnsi="Times New Roman" w:cs="Times New Roman"/>
          <w:i/>
          <w:iCs/>
          <w:kern w:val="0"/>
          <w14:ligatures w14:val="none"/>
        </w:rPr>
        <w:t>Policy and Regulatory Reform:</w:t>
      </w:r>
      <w:r w:rsidRPr="00C07C89">
        <w:rPr>
          <w:rFonts w:ascii="Times New Roman" w:eastAsia="Times New Roman" w:hAnsi="Times New Roman" w:cs="Times New Roman"/>
          <w:kern w:val="0"/>
          <w14:ligatures w14:val="none"/>
        </w:rPr>
        <w:br/>
        <w:t>The Nigerian National Building Code should be updated to include a mandatory BIRES Optimization Protocol for all building-integrated renewable systems above 10 kWp. This should require lifecycle assessment or a simplified multi-objective optimization tool, climate-zone-specific design adjustments, and a compulsory e-waste management plan. This is necessary to address the very low level of optimization practices among professionals and to improve system efficiency and environmental protection.</w:t>
      </w:r>
    </w:p>
    <w:p w14:paraId="6E85A46B" w14:textId="77777777" w:rsidR="00D43E3F" w:rsidRDefault="00C07C89" w:rsidP="00D43E3F">
      <w:pPr>
        <w:spacing w:before="100" w:beforeAutospacing="1" w:after="100" w:afterAutospacing="1" w:line="480" w:lineRule="auto"/>
        <w:rPr>
          <w:rFonts w:ascii="Times New Roman" w:eastAsia="Times New Roman" w:hAnsi="Times New Roman" w:cs="Times New Roman"/>
          <w:kern w:val="0"/>
          <w14:ligatures w14:val="none"/>
        </w:rPr>
      </w:pPr>
      <w:r w:rsidRPr="00C07C89">
        <w:rPr>
          <w:rFonts w:ascii="Times New Roman" w:eastAsia="Times New Roman" w:hAnsi="Times New Roman" w:cs="Times New Roman"/>
          <w:b/>
          <w:bCs/>
          <w:kern w:val="0"/>
          <w14:ligatures w14:val="none"/>
        </w:rPr>
        <w:t xml:space="preserve">2. </w:t>
      </w:r>
      <w:r w:rsidRPr="00C07C89">
        <w:rPr>
          <w:rFonts w:ascii="Times New Roman" w:eastAsia="Times New Roman" w:hAnsi="Times New Roman" w:cs="Times New Roman"/>
          <w:i/>
          <w:iCs/>
          <w:kern w:val="0"/>
          <w14:ligatures w14:val="none"/>
        </w:rPr>
        <w:t>Professional Training and Curriculum Integration</w:t>
      </w:r>
      <w:r w:rsidRPr="00C07C89">
        <w:rPr>
          <w:rFonts w:ascii="Times New Roman" w:eastAsia="Times New Roman" w:hAnsi="Times New Roman" w:cs="Times New Roman"/>
          <w:b/>
          <w:bCs/>
          <w:kern w:val="0"/>
          <w14:ligatures w14:val="none"/>
        </w:rPr>
        <w:t>:</w:t>
      </w:r>
      <w:r w:rsidRPr="00C07C89">
        <w:rPr>
          <w:rFonts w:ascii="Times New Roman" w:eastAsia="Times New Roman" w:hAnsi="Times New Roman" w:cs="Times New Roman"/>
          <w:kern w:val="0"/>
          <w14:ligatures w14:val="none"/>
        </w:rPr>
        <w:br/>
        <w:t xml:space="preserve">Professional bodies should mandate continuous professional development (CPD) on BIRES optimization for all builders and civil engineers. In addition, universities should integrate BIRES optimization into </w:t>
      </w:r>
      <w:r>
        <w:rPr>
          <w:rFonts w:ascii="Times New Roman" w:eastAsia="Times New Roman" w:hAnsi="Times New Roman" w:cs="Times New Roman"/>
          <w:kern w:val="0"/>
          <w14:ligatures w14:val="none"/>
        </w:rPr>
        <w:t>building technology</w:t>
      </w:r>
      <w:r w:rsidRPr="00C07C89">
        <w:rPr>
          <w:rFonts w:ascii="Times New Roman" w:eastAsia="Times New Roman" w:hAnsi="Times New Roman" w:cs="Times New Roman"/>
          <w:kern w:val="0"/>
          <w14:ligatures w14:val="none"/>
        </w:rPr>
        <w:t xml:space="preserve"> and engineering curricula. This will address the existing training gap and enhance professionals’ capacity to deliver climate-resilient and environmentally sustainable renewable building solutions.</w:t>
      </w:r>
      <w:r w:rsidR="005046B9" w:rsidRPr="005046B9">
        <w:rPr>
          <w:rFonts w:ascii="Arial" w:eastAsia="Times New Roman" w:hAnsi="Arial" w:cs="Arial"/>
          <w:vanish/>
          <w:kern w:val="0"/>
          <w:sz w:val="16"/>
          <w:szCs w:val="16"/>
          <w14:ligatures w14:val="none"/>
        </w:rPr>
        <w:t>Top of Form</w:t>
      </w:r>
    </w:p>
    <w:p w14:paraId="19AD2D48" w14:textId="2B68CCCD" w:rsidR="009B4382" w:rsidRPr="00D43E3F" w:rsidRDefault="009B4382" w:rsidP="00D43E3F">
      <w:pPr>
        <w:spacing w:before="100" w:beforeAutospacing="1" w:after="100" w:afterAutospacing="1" w:line="48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b/>
          <w:bCs/>
          <w:kern w:val="0"/>
          <w:sz w:val="27"/>
          <w:szCs w:val="27"/>
          <w14:ligatures w14:val="none"/>
        </w:rPr>
        <w:t>Conclusion</w:t>
      </w:r>
    </w:p>
    <w:p w14:paraId="23AEF0C9" w14:textId="77777777" w:rsidR="009B4382" w:rsidRPr="009B4382" w:rsidRDefault="009B4382" w:rsidP="009B4382">
      <w:pPr>
        <w:spacing w:before="100" w:beforeAutospacing="1" w:after="100" w:afterAutospacing="1" w:line="48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This study examined the optimization of Building-Integrated Renewable Energy Systems (BIRES) for climate and environmental security within the South-East geopolitical zone of </w:t>
      </w:r>
      <w:r w:rsidRPr="009B4382">
        <w:rPr>
          <w:rFonts w:ascii="Times New Roman" w:eastAsia="Times New Roman" w:hAnsi="Times New Roman" w:cs="Times New Roman"/>
          <w:kern w:val="0"/>
          <w14:ligatures w14:val="none"/>
        </w:rPr>
        <w:lastRenderedPageBreak/>
        <w:t>Nigeria, focusing specifically on 150 registered builders and civil engineers. Findings indicate that although BIRES adoption in the region is low, there is strong perceived potential for its contribution to energy sustainability, with most respondents acknowledging that optimized systems could significantly reduce dependence on diesel generators.</w:t>
      </w:r>
    </w:p>
    <w:p w14:paraId="09580964" w14:textId="43D053BE" w:rsidR="009B4382" w:rsidRPr="009B4382" w:rsidRDefault="009B4382" w:rsidP="009B4382">
      <w:pPr>
        <w:spacing w:before="100" w:beforeAutospacing="1" w:after="100" w:afterAutospacing="1" w:line="48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A key outcome of the study is the identification of a pronounced optimization gap. Only a small proportion of respondents reported the use of systematic optimization techniques in BIRES applications, while lifecycle environmental considerations such as e-waste management and resource depletion are largely neglected despite awareness of associated risks. Statistical results further confirm both hypotheses: higher optimization awareness significantly influences perceived climate security benefits, while lack of lifecycle optimization practices is significantly associated with higher perceived environmental security risks.</w:t>
      </w:r>
    </w:p>
    <w:p w14:paraId="116D07EA" w14:textId="5EB5ECD0" w:rsidR="009B4382" w:rsidRPr="009B4382" w:rsidRDefault="009B4382" w:rsidP="009B4382">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Generally</w:t>
      </w:r>
      <w:r w:rsidRPr="009B4382">
        <w:rPr>
          <w:rFonts w:ascii="Times New Roman" w:eastAsia="Times New Roman" w:hAnsi="Times New Roman" w:cs="Times New Roman"/>
          <w:kern w:val="0"/>
          <w14:ligatures w14:val="none"/>
        </w:rPr>
        <w:t>, the study demonstrates that the challenges limiting effective BIRES implementation in South-East Nigeria are primarily not technological but are linked to inadequate professional training, low optimization awareness, and weak policy support. The findings provide an empirical basis for improving practice among builders and civil engineers in the region. It is therefore concluded that targeted capacity building, regulatory strengthening, and curriculum integration are essential to improving BIRES performance. Without these interventions, BIRES adoption may remain suboptimal and potentially contribute to unintended environmental risks; however, with appropriate reforms, it can significantly enhance climate resilience and environmental sustainability in the South-East Nigerian built environment.</w:t>
      </w:r>
    </w:p>
    <w:p w14:paraId="0FC8CFEB" w14:textId="77777777" w:rsidR="00F27345" w:rsidRDefault="00F27345" w:rsidP="009B4382">
      <w:pPr>
        <w:spacing w:before="100" w:beforeAutospacing="1" w:after="100" w:afterAutospacing="1" w:line="240" w:lineRule="auto"/>
        <w:outlineLvl w:val="1"/>
        <w:rPr>
          <w:rFonts w:ascii="Times New Roman" w:eastAsia="Times New Roman" w:hAnsi="Times New Roman" w:cs="Times New Roman"/>
          <w:kern w:val="0"/>
          <w14:ligatures w14:val="none"/>
        </w:rPr>
      </w:pPr>
    </w:p>
    <w:p w14:paraId="2D2572A5" w14:textId="77777777" w:rsidR="00F27345" w:rsidRDefault="00F27345" w:rsidP="009B4382">
      <w:pPr>
        <w:spacing w:before="100" w:beforeAutospacing="1" w:after="100" w:afterAutospacing="1" w:line="240" w:lineRule="auto"/>
        <w:outlineLvl w:val="1"/>
        <w:rPr>
          <w:rFonts w:ascii="Times New Roman" w:eastAsia="Times New Roman" w:hAnsi="Times New Roman" w:cs="Times New Roman"/>
          <w:kern w:val="0"/>
          <w14:ligatures w14:val="none"/>
        </w:rPr>
      </w:pPr>
    </w:p>
    <w:p w14:paraId="0E2EE4EE" w14:textId="25DD12C2" w:rsidR="009B4382" w:rsidRPr="009B4382" w:rsidRDefault="009B4382" w:rsidP="009B438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 w:name="_GoBack"/>
      <w:bookmarkEnd w:id="1"/>
      <w:r w:rsidRPr="009B4382">
        <w:rPr>
          <w:rFonts w:ascii="Times New Roman" w:eastAsia="Times New Roman" w:hAnsi="Times New Roman" w:cs="Times New Roman"/>
          <w:b/>
          <w:bCs/>
          <w:kern w:val="0"/>
          <w:sz w:val="36"/>
          <w:szCs w:val="36"/>
          <w14:ligatures w14:val="none"/>
        </w:rPr>
        <w:lastRenderedPageBreak/>
        <w:t xml:space="preserve">References </w:t>
      </w:r>
    </w:p>
    <w:p w14:paraId="38112A12"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Adekunle, T. O., Ajayi, O. O., &amp; Olaniyi, O. A. (2025). Guesswork installation: Barriers to BIPV optimization in Nigeria. </w:t>
      </w:r>
      <w:r w:rsidRPr="009B4382">
        <w:rPr>
          <w:rFonts w:ascii="Times New Roman" w:eastAsia="Times New Roman" w:hAnsi="Times New Roman" w:cs="Times New Roman"/>
          <w:i/>
          <w:iCs/>
          <w:kern w:val="0"/>
          <w14:ligatures w14:val="none"/>
        </w:rPr>
        <w:t>Nigerian Journal of Renewable Energy, 18</w:t>
      </w:r>
      <w:r w:rsidRPr="009B4382">
        <w:rPr>
          <w:rFonts w:ascii="Times New Roman" w:eastAsia="Times New Roman" w:hAnsi="Times New Roman" w:cs="Times New Roman"/>
          <w:kern w:val="0"/>
          <w14:ligatures w14:val="none"/>
        </w:rPr>
        <w:t>(1), 45–59.</w:t>
      </w:r>
    </w:p>
    <w:p w14:paraId="0587D1CF"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Berrill, P., Arvesen, A., &amp; </w:t>
      </w:r>
      <w:proofErr w:type="spellStart"/>
      <w:r w:rsidRPr="009B4382">
        <w:rPr>
          <w:rFonts w:ascii="Times New Roman" w:eastAsia="Times New Roman" w:hAnsi="Times New Roman" w:cs="Times New Roman"/>
          <w:kern w:val="0"/>
          <w14:ligatures w14:val="none"/>
        </w:rPr>
        <w:t>Hertwich</w:t>
      </w:r>
      <w:proofErr w:type="spellEnd"/>
      <w:r w:rsidRPr="009B4382">
        <w:rPr>
          <w:rFonts w:ascii="Times New Roman" w:eastAsia="Times New Roman" w:hAnsi="Times New Roman" w:cs="Times New Roman"/>
          <w:kern w:val="0"/>
          <w14:ligatures w14:val="none"/>
        </w:rPr>
        <w:t xml:space="preserve">, E. G. (2025). The environmental rebound effect in building-integrated photovoltaics. </w:t>
      </w:r>
      <w:r w:rsidRPr="009B4382">
        <w:rPr>
          <w:rFonts w:ascii="Times New Roman" w:eastAsia="Times New Roman" w:hAnsi="Times New Roman" w:cs="Times New Roman"/>
          <w:i/>
          <w:iCs/>
          <w:kern w:val="0"/>
          <w14:ligatures w14:val="none"/>
        </w:rPr>
        <w:t>Nature Energy, 10</w:t>
      </w:r>
      <w:r w:rsidRPr="009B4382">
        <w:rPr>
          <w:rFonts w:ascii="Times New Roman" w:eastAsia="Times New Roman" w:hAnsi="Times New Roman" w:cs="Times New Roman"/>
          <w:kern w:val="0"/>
          <w14:ligatures w14:val="none"/>
        </w:rPr>
        <w:t>(2), 112–124.</w:t>
      </w:r>
    </w:p>
    <w:p w14:paraId="4688B303"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D’Agostino, D., Mazzarella, L., &amp; Minelli, F. (2024). Multi-objective optimization of BIPV systems in Mediterranean climates. </w:t>
      </w:r>
      <w:r w:rsidRPr="009B4382">
        <w:rPr>
          <w:rFonts w:ascii="Times New Roman" w:eastAsia="Times New Roman" w:hAnsi="Times New Roman" w:cs="Times New Roman"/>
          <w:i/>
          <w:iCs/>
          <w:kern w:val="0"/>
          <w14:ligatures w14:val="none"/>
        </w:rPr>
        <w:t>Applied Energy, 355</w:t>
      </w:r>
      <w:r w:rsidRPr="009B4382">
        <w:rPr>
          <w:rFonts w:ascii="Times New Roman" w:eastAsia="Times New Roman" w:hAnsi="Times New Roman" w:cs="Times New Roman"/>
          <w:kern w:val="0"/>
          <w14:ligatures w14:val="none"/>
        </w:rPr>
        <w:t>, 122340.</w:t>
      </w:r>
    </w:p>
    <w:p w14:paraId="05485881"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Hasan, A., &amp; Jelle, B. P. (2024). Lifecycle carbon vs. toxicity trade-offs in BIRES. </w:t>
      </w:r>
      <w:r w:rsidRPr="009B4382">
        <w:rPr>
          <w:rFonts w:ascii="Times New Roman" w:eastAsia="Times New Roman" w:hAnsi="Times New Roman" w:cs="Times New Roman"/>
          <w:i/>
          <w:iCs/>
          <w:kern w:val="0"/>
          <w14:ligatures w14:val="none"/>
        </w:rPr>
        <w:t>Energy and Buildings, 298</w:t>
      </w:r>
      <w:r w:rsidRPr="009B4382">
        <w:rPr>
          <w:rFonts w:ascii="Times New Roman" w:eastAsia="Times New Roman" w:hAnsi="Times New Roman" w:cs="Times New Roman"/>
          <w:kern w:val="0"/>
          <w14:ligatures w14:val="none"/>
        </w:rPr>
        <w:t>, 113520.</w:t>
      </w:r>
    </w:p>
    <w:p w14:paraId="4377FB3E"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International Energy Agency. (2025). </w:t>
      </w:r>
      <w:r w:rsidRPr="009B4382">
        <w:rPr>
          <w:rFonts w:ascii="Times New Roman" w:eastAsia="Times New Roman" w:hAnsi="Times New Roman" w:cs="Times New Roman"/>
          <w:i/>
          <w:iCs/>
          <w:kern w:val="0"/>
          <w14:ligatures w14:val="none"/>
        </w:rPr>
        <w:t>Buildings: Tracking report 2025</w:t>
      </w:r>
      <w:r w:rsidRPr="009B4382">
        <w:rPr>
          <w:rFonts w:ascii="Times New Roman" w:eastAsia="Times New Roman" w:hAnsi="Times New Roman" w:cs="Times New Roman"/>
          <w:kern w:val="0"/>
          <w14:ligatures w14:val="none"/>
        </w:rPr>
        <w:t>. IEA Publications.</w:t>
      </w:r>
    </w:p>
    <w:p w14:paraId="6CEE6412"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Kumar, A., &amp; Singh, R. (2025). The e-waste paradox in net-zero building transitions. </w:t>
      </w:r>
      <w:r w:rsidRPr="009B4382">
        <w:rPr>
          <w:rFonts w:ascii="Times New Roman" w:eastAsia="Times New Roman" w:hAnsi="Times New Roman" w:cs="Times New Roman"/>
          <w:i/>
          <w:iCs/>
          <w:kern w:val="0"/>
          <w14:ligatures w14:val="none"/>
        </w:rPr>
        <w:t>Journal of Cleaner Production, 434</w:t>
      </w:r>
      <w:r w:rsidRPr="009B4382">
        <w:rPr>
          <w:rFonts w:ascii="Times New Roman" w:eastAsia="Times New Roman" w:hAnsi="Times New Roman" w:cs="Times New Roman"/>
          <w:kern w:val="0"/>
          <w14:ligatures w14:val="none"/>
        </w:rPr>
        <w:t>, 139870.</w:t>
      </w:r>
    </w:p>
    <w:p w14:paraId="1081EB9F"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Liang, J., Zhang, X., &amp; Wang, H. (2024). Dematerialization conflicts in Chinese BIPV industry. </w:t>
      </w:r>
      <w:r w:rsidRPr="009B4382">
        <w:rPr>
          <w:rFonts w:ascii="Times New Roman" w:eastAsia="Times New Roman" w:hAnsi="Times New Roman" w:cs="Times New Roman"/>
          <w:i/>
          <w:iCs/>
          <w:kern w:val="0"/>
          <w14:ligatures w14:val="none"/>
        </w:rPr>
        <w:t>Resources, Conservation and Recycling, 190</w:t>
      </w:r>
      <w:r w:rsidRPr="009B4382">
        <w:rPr>
          <w:rFonts w:ascii="Times New Roman" w:eastAsia="Times New Roman" w:hAnsi="Times New Roman" w:cs="Times New Roman"/>
          <w:kern w:val="0"/>
          <w14:ligatures w14:val="none"/>
        </w:rPr>
        <w:t>, 106808.</w:t>
      </w:r>
    </w:p>
    <w:p w14:paraId="6338E796"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Ma, T., Yang, H., &amp; Zhang, Y. (2023). Optimizing PV-integrated shading devices for tropical climates. </w:t>
      </w:r>
      <w:r w:rsidRPr="009B4382">
        <w:rPr>
          <w:rFonts w:ascii="Times New Roman" w:eastAsia="Times New Roman" w:hAnsi="Times New Roman" w:cs="Times New Roman"/>
          <w:i/>
          <w:iCs/>
          <w:kern w:val="0"/>
          <w14:ligatures w14:val="none"/>
        </w:rPr>
        <w:t>Solar Energy, 251</w:t>
      </w:r>
      <w:r w:rsidRPr="009B4382">
        <w:rPr>
          <w:rFonts w:ascii="Times New Roman" w:eastAsia="Times New Roman" w:hAnsi="Times New Roman" w:cs="Times New Roman"/>
          <w:kern w:val="0"/>
          <w14:ligatures w14:val="none"/>
        </w:rPr>
        <w:t>, 432–445.</w:t>
      </w:r>
    </w:p>
    <w:p w14:paraId="19194182"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Mukasa, D., Ochieng, R., &amp; Ndunda, E. (2025). Policy learning from East Africa: Optimized BIRES adoption. </w:t>
      </w:r>
      <w:r w:rsidRPr="009B4382">
        <w:rPr>
          <w:rFonts w:ascii="Times New Roman" w:eastAsia="Times New Roman" w:hAnsi="Times New Roman" w:cs="Times New Roman"/>
          <w:i/>
          <w:iCs/>
          <w:kern w:val="0"/>
          <w14:ligatures w14:val="none"/>
        </w:rPr>
        <w:t>African Journal of Energy Policy, 7</w:t>
      </w:r>
      <w:r w:rsidRPr="009B4382">
        <w:rPr>
          <w:rFonts w:ascii="Times New Roman" w:eastAsia="Times New Roman" w:hAnsi="Times New Roman" w:cs="Times New Roman"/>
          <w:kern w:val="0"/>
          <w14:ligatures w14:val="none"/>
        </w:rPr>
        <w:t>(2), 88–104.</w:t>
      </w:r>
    </w:p>
    <w:p w14:paraId="78F2CDCC"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Nigerian Bureau of Statistics. (2025). </w:t>
      </w:r>
      <w:r w:rsidRPr="009B4382">
        <w:rPr>
          <w:rFonts w:ascii="Times New Roman" w:eastAsia="Times New Roman" w:hAnsi="Times New Roman" w:cs="Times New Roman"/>
          <w:i/>
          <w:iCs/>
          <w:kern w:val="0"/>
          <w14:ligatures w14:val="none"/>
        </w:rPr>
        <w:t>Energy access and building sector report 2025</w:t>
      </w:r>
      <w:r w:rsidRPr="009B4382">
        <w:rPr>
          <w:rFonts w:ascii="Times New Roman" w:eastAsia="Times New Roman" w:hAnsi="Times New Roman" w:cs="Times New Roman"/>
          <w:kern w:val="0"/>
          <w14:ligatures w14:val="none"/>
        </w:rPr>
        <w:t>. NBS.</w:t>
      </w:r>
    </w:p>
    <w:p w14:paraId="15CE0672"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Nigerian Electricity Regulatory Commission. (2025). </w:t>
      </w:r>
      <w:r w:rsidRPr="009B4382">
        <w:rPr>
          <w:rFonts w:ascii="Times New Roman" w:eastAsia="Times New Roman" w:hAnsi="Times New Roman" w:cs="Times New Roman"/>
          <w:i/>
          <w:iCs/>
          <w:kern w:val="0"/>
          <w14:ligatures w14:val="none"/>
        </w:rPr>
        <w:t>Diesel backup capacity in Nigeria: A security and emissions assessment</w:t>
      </w:r>
      <w:r w:rsidRPr="009B4382">
        <w:rPr>
          <w:rFonts w:ascii="Times New Roman" w:eastAsia="Times New Roman" w:hAnsi="Times New Roman" w:cs="Times New Roman"/>
          <w:kern w:val="0"/>
          <w14:ligatures w14:val="none"/>
        </w:rPr>
        <w:t>. NERC.</w:t>
      </w:r>
    </w:p>
    <w:p w14:paraId="1BD9F64B"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Nigerian Green Building Council. (2025). </w:t>
      </w:r>
      <w:r w:rsidRPr="009B4382">
        <w:rPr>
          <w:rFonts w:ascii="Times New Roman" w:eastAsia="Times New Roman" w:hAnsi="Times New Roman" w:cs="Times New Roman"/>
          <w:i/>
          <w:iCs/>
          <w:kern w:val="0"/>
          <w14:ligatures w14:val="none"/>
        </w:rPr>
        <w:t>Pilot training on BIRES optimization: Lagos report</w:t>
      </w:r>
      <w:r w:rsidRPr="009B4382">
        <w:rPr>
          <w:rFonts w:ascii="Times New Roman" w:eastAsia="Times New Roman" w:hAnsi="Times New Roman" w:cs="Times New Roman"/>
          <w:kern w:val="0"/>
          <w14:ligatures w14:val="none"/>
        </w:rPr>
        <w:t>. NIGBC.</w:t>
      </w:r>
    </w:p>
    <w:p w14:paraId="13CA5B8A"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Nigerian Ministry of Environment. (2024). </w:t>
      </w:r>
      <w:r w:rsidRPr="009B4382">
        <w:rPr>
          <w:rFonts w:ascii="Times New Roman" w:eastAsia="Times New Roman" w:hAnsi="Times New Roman" w:cs="Times New Roman"/>
          <w:i/>
          <w:iCs/>
          <w:kern w:val="0"/>
          <w14:ligatures w14:val="none"/>
        </w:rPr>
        <w:t>E-waste from renewable energy systems: Emerging risks in urban Nigeria</w:t>
      </w:r>
      <w:r w:rsidRPr="009B4382">
        <w:rPr>
          <w:rFonts w:ascii="Times New Roman" w:eastAsia="Times New Roman" w:hAnsi="Times New Roman" w:cs="Times New Roman"/>
          <w:kern w:val="0"/>
          <w14:ligatures w14:val="none"/>
        </w:rPr>
        <w:t>. Federal Ministry of Environment.</w:t>
      </w:r>
    </w:p>
    <w:p w14:paraId="55266AC3"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Ogundipe, A. A., &amp; Adebayo, T. S. (2024). The clean energy blind spot: Lifecycle toxicity in Nigerian solar PV. </w:t>
      </w:r>
      <w:r w:rsidRPr="009B4382">
        <w:rPr>
          <w:rFonts w:ascii="Times New Roman" w:eastAsia="Times New Roman" w:hAnsi="Times New Roman" w:cs="Times New Roman"/>
          <w:i/>
          <w:iCs/>
          <w:kern w:val="0"/>
          <w14:ligatures w14:val="none"/>
        </w:rPr>
        <w:t>Environmental Research Communications, 6</w:t>
      </w:r>
      <w:r w:rsidRPr="009B4382">
        <w:rPr>
          <w:rFonts w:ascii="Times New Roman" w:eastAsia="Times New Roman" w:hAnsi="Times New Roman" w:cs="Times New Roman"/>
          <w:kern w:val="0"/>
          <w14:ligatures w14:val="none"/>
        </w:rPr>
        <w:t>(8), 085007.</w:t>
      </w:r>
    </w:p>
    <w:p w14:paraId="3DDAAC6E"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Ohunakin, O. S., </w:t>
      </w:r>
      <w:proofErr w:type="spellStart"/>
      <w:r w:rsidRPr="009B4382">
        <w:rPr>
          <w:rFonts w:ascii="Times New Roman" w:eastAsia="Times New Roman" w:hAnsi="Times New Roman" w:cs="Times New Roman"/>
          <w:kern w:val="0"/>
          <w14:ligatures w14:val="none"/>
        </w:rPr>
        <w:t>Adaramola</w:t>
      </w:r>
      <w:proofErr w:type="spellEnd"/>
      <w:r w:rsidRPr="009B4382">
        <w:rPr>
          <w:rFonts w:ascii="Times New Roman" w:eastAsia="Times New Roman" w:hAnsi="Times New Roman" w:cs="Times New Roman"/>
          <w:kern w:val="0"/>
          <w14:ligatures w14:val="none"/>
        </w:rPr>
        <w:t xml:space="preserve">, M. S., &amp; </w:t>
      </w:r>
      <w:proofErr w:type="spellStart"/>
      <w:r w:rsidRPr="009B4382">
        <w:rPr>
          <w:rFonts w:ascii="Times New Roman" w:eastAsia="Times New Roman" w:hAnsi="Times New Roman" w:cs="Times New Roman"/>
          <w:kern w:val="0"/>
          <w14:ligatures w14:val="none"/>
        </w:rPr>
        <w:t>Oyewola</w:t>
      </w:r>
      <w:proofErr w:type="spellEnd"/>
      <w:r w:rsidRPr="009B4382">
        <w:rPr>
          <w:rFonts w:ascii="Times New Roman" w:eastAsia="Times New Roman" w:hAnsi="Times New Roman" w:cs="Times New Roman"/>
          <w:kern w:val="0"/>
          <w14:ligatures w14:val="none"/>
        </w:rPr>
        <w:t xml:space="preserve">, O. M. (2024). Solar PV adoption drivers in Nigerian buildings: Diesel displacement vs. climate optimization. </w:t>
      </w:r>
      <w:r w:rsidRPr="009B4382">
        <w:rPr>
          <w:rFonts w:ascii="Times New Roman" w:eastAsia="Times New Roman" w:hAnsi="Times New Roman" w:cs="Times New Roman"/>
          <w:i/>
          <w:iCs/>
          <w:kern w:val="0"/>
          <w14:ligatures w14:val="none"/>
        </w:rPr>
        <w:t>Energy for Sustainable Development, 78</w:t>
      </w:r>
      <w:r w:rsidRPr="009B4382">
        <w:rPr>
          <w:rFonts w:ascii="Times New Roman" w:eastAsia="Times New Roman" w:hAnsi="Times New Roman" w:cs="Times New Roman"/>
          <w:kern w:val="0"/>
          <w14:ligatures w14:val="none"/>
        </w:rPr>
        <w:t>, 101366.</w:t>
      </w:r>
    </w:p>
    <w:p w14:paraId="0915DFE4"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lastRenderedPageBreak/>
        <w:t xml:space="preserve">Okafor, E. N., &amp; Nwosu, C. C. (2024). Optimization as epistemic barrier: Nigerian architects and renewable energy. </w:t>
      </w:r>
      <w:r w:rsidRPr="009B4382">
        <w:rPr>
          <w:rFonts w:ascii="Times New Roman" w:eastAsia="Times New Roman" w:hAnsi="Times New Roman" w:cs="Times New Roman"/>
          <w:i/>
          <w:iCs/>
          <w:kern w:val="0"/>
          <w14:ligatures w14:val="none"/>
        </w:rPr>
        <w:t>Journal of Engineering Education in Africa, 12</w:t>
      </w:r>
      <w:r w:rsidRPr="009B4382">
        <w:rPr>
          <w:rFonts w:ascii="Times New Roman" w:eastAsia="Times New Roman" w:hAnsi="Times New Roman" w:cs="Times New Roman"/>
          <w:kern w:val="0"/>
          <w14:ligatures w14:val="none"/>
        </w:rPr>
        <w:t>(3), 210–225.</w:t>
      </w:r>
    </w:p>
    <w:p w14:paraId="273ADED5"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Petersen, S., &amp; Svendsen, S. (2024). Recycled aluminum frames for BIPV: Embodied energy assessment. </w:t>
      </w:r>
      <w:r w:rsidRPr="009B4382">
        <w:rPr>
          <w:rFonts w:ascii="Times New Roman" w:eastAsia="Times New Roman" w:hAnsi="Times New Roman" w:cs="Times New Roman"/>
          <w:i/>
          <w:iCs/>
          <w:kern w:val="0"/>
          <w14:ligatures w14:val="none"/>
        </w:rPr>
        <w:t>Building and Environment, 228</w:t>
      </w:r>
      <w:r w:rsidRPr="009B4382">
        <w:rPr>
          <w:rFonts w:ascii="Times New Roman" w:eastAsia="Times New Roman" w:hAnsi="Times New Roman" w:cs="Times New Roman"/>
          <w:kern w:val="0"/>
          <w14:ligatures w14:val="none"/>
        </w:rPr>
        <w:t>, 109855.</w:t>
      </w:r>
    </w:p>
    <w:p w14:paraId="18836347"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B4382">
        <w:rPr>
          <w:rFonts w:ascii="Times New Roman" w:eastAsia="Times New Roman" w:hAnsi="Times New Roman" w:cs="Times New Roman"/>
          <w:kern w:val="0"/>
          <w14:ligatures w14:val="none"/>
        </w:rPr>
        <w:t>Raugei</w:t>
      </w:r>
      <w:proofErr w:type="spellEnd"/>
      <w:r w:rsidRPr="009B4382">
        <w:rPr>
          <w:rFonts w:ascii="Times New Roman" w:eastAsia="Times New Roman" w:hAnsi="Times New Roman" w:cs="Times New Roman"/>
          <w:kern w:val="0"/>
          <w14:ligatures w14:val="none"/>
        </w:rPr>
        <w:t xml:space="preserve">, M., &amp; </w:t>
      </w:r>
      <w:proofErr w:type="spellStart"/>
      <w:r w:rsidRPr="009B4382">
        <w:rPr>
          <w:rFonts w:ascii="Times New Roman" w:eastAsia="Times New Roman" w:hAnsi="Times New Roman" w:cs="Times New Roman"/>
          <w:kern w:val="0"/>
          <w14:ligatures w14:val="none"/>
        </w:rPr>
        <w:t>Leccisi</w:t>
      </w:r>
      <w:proofErr w:type="spellEnd"/>
      <w:r w:rsidRPr="009B4382">
        <w:rPr>
          <w:rFonts w:ascii="Times New Roman" w:eastAsia="Times New Roman" w:hAnsi="Times New Roman" w:cs="Times New Roman"/>
          <w:kern w:val="0"/>
          <w14:ligatures w14:val="none"/>
        </w:rPr>
        <w:t xml:space="preserve">, E. (2024). Ecotoxicity of high-efficiency PV cells. </w:t>
      </w:r>
      <w:r w:rsidRPr="009B4382">
        <w:rPr>
          <w:rFonts w:ascii="Times New Roman" w:eastAsia="Times New Roman" w:hAnsi="Times New Roman" w:cs="Times New Roman"/>
          <w:i/>
          <w:iCs/>
          <w:kern w:val="0"/>
          <w14:ligatures w14:val="none"/>
        </w:rPr>
        <w:t>Progress in Photovoltaics, 32</w:t>
      </w:r>
      <w:r w:rsidRPr="009B4382">
        <w:rPr>
          <w:rFonts w:ascii="Times New Roman" w:eastAsia="Times New Roman" w:hAnsi="Times New Roman" w:cs="Times New Roman"/>
          <w:kern w:val="0"/>
          <w14:ligatures w14:val="none"/>
        </w:rPr>
        <w:t>(3), 201–215.</w:t>
      </w:r>
    </w:p>
    <w:p w14:paraId="038462BA"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Umar, I. H., &amp; Kolo, B. G. (2025). Awareness of building-integrated wind technologies among Nigerian professionals. </w:t>
      </w:r>
      <w:r w:rsidRPr="009B4382">
        <w:rPr>
          <w:rFonts w:ascii="Times New Roman" w:eastAsia="Times New Roman" w:hAnsi="Times New Roman" w:cs="Times New Roman"/>
          <w:i/>
          <w:iCs/>
          <w:kern w:val="0"/>
          <w14:ligatures w14:val="none"/>
        </w:rPr>
        <w:t>Nigerian Journal of Technology, 44</w:t>
      </w:r>
      <w:r w:rsidRPr="009B4382">
        <w:rPr>
          <w:rFonts w:ascii="Times New Roman" w:eastAsia="Times New Roman" w:hAnsi="Times New Roman" w:cs="Times New Roman"/>
          <w:kern w:val="0"/>
          <w14:ligatures w14:val="none"/>
        </w:rPr>
        <w:t>(1), 112–120.</w:t>
      </w:r>
    </w:p>
    <w:p w14:paraId="08CC3B70"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United Nations Environment Programme. (2024). </w:t>
      </w:r>
      <w:r w:rsidRPr="009B4382">
        <w:rPr>
          <w:rFonts w:ascii="Times New Roman" w:eastAsia="Times New Roman" w:hAnsi="Times New Roman" w:cs="Times New Roman"/>
          <w:i/>
          <w:iCs/>
          <w:kern w:val="0"/>
          <w14:ligatures w14:val="none"/>
        </w:rPr>
        <w:t>Circularity in the built environment: 2024 global status report</w:t>
      </w:r>
      <w:r w:rsidRPr="009B4382">
        <w:rPr>
          <w:rFonts w:ascii="Times New Roman" w:eastAsia="Times New Roman" w:hAnsi="Times New Roman" w:cs="Times New Roman"/>
          <w:kern w:val="0"/>
          <w14:ligatures w14:val="none"/>
        </w:rPr>
        <w:t>. UNEP.</w:t>
      </w:r>
    </w:p>
    <w:p w14:paraId="1E10DE34"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Voss, K., &amp; Musall, E. (2023). Net-zero buildings: A decade of BIRES experiences. </w:t>
      </w:r>
      <w:r w:rsidRPr="009B4382">
        <w:rPr>
          <w:rFonts w:ascii="Times New Roman" w:eastAsia="Times New Roman" w:hAnsi="Times New Roman" w:cs="Times New Roman"/>
          <w:i/>
          <w:iCs/>
          <w:kern w:val="0"/>
          <w14:ligatures w14:val="none"/>
        </w:rPr>
        <w:t>Energy and Buildings, 285</w:t>
      </w:r>
      <w:r w:rsidRPr="009B4382">
        <w:rPr>
          <w:rFonts w:ascii="Times New Roman" w:eastAsia="Times New Roman" w:hAnsi="Times New Roman" w:cs="Times New Roman"/>
          <w:kern w:val="0"/>
          <w14:ligatures w14:val="none"/>
        </w:rPr>
        <w:t>, 112890.</w:t>
      </w:r>
    </w:p>
    <w:p w14:paraId="0829324F" w14:textId="77777777" w:rsidR="009B4382" w:rsidRPr="009B4382" w:rsidRDefault="009B4382" w:rsidP="009B4382">
      <w:pPr>
        <w:spacing w:before="100" w:beforeAutospacing="1" w:after="100" w:afterAutospacing="1" w:line="240" w:lineRule="auto"/>
        <w:rPr>
          <w:rFonts w:ascii="Times New Roman" w:eastAsia="Times New Roman" w:hAnsi="Times New Roman" w:cs="Times New Roman"/>
          <w:kern w:val="0"/>
          <w14:ligatures w14:val="none"/>
        </w:rPr>
      </w:pPr>
      <w:r w:rsidRPr="009B4382">
        <w:rPr>
          <w:rFonts w:ascii="Times New Roman" w:eastAsia="Times New Roman" w:hAnsi="Times New Roman" w:cs="Times New Roman"/>
          <w:kern w:val="0"/>
          <w14:ligatures w14:val="none"/>
        </w:rPr>
        <w:t xml:space="preserve">Zabalza Bribián, I., &amp; Valero Capilla, A. (2025). Abiotic depletion potential in building renewables: A critical review. </w:t>
      </w:r>
      <w:r w:rsidRPr="009B4382">
        <w:rPr>
          <w:rFonts w:ascii="Times New Roman" w:eastAsia="Times New Roman" w:hAnsi="Times New Roman" w:cs="Times New Roman"/>
          <w:i/>
          <w:iCs/>
          <w:kern w:val="0"/>
          <w14:ligatures w14:val="none"/>
        </w:rPr>
        <w:t>The International Journal of Life Cycle Assessment, 30</w:t>
      </w:r>
      <w:r w:rsidRPr="009B4382">
        <w:rPr>
          <w:rFonts w:ascii="Times New Roman" w:eastAsia="Times New Roman" w:hAnsi="Times New Roman" w:cs="Times New Roman"/>
          <w:kern w:val="0"/>
          <w14:ligatures w14:val="none"/>
        </w:rPr>
        <w:t>(1), 88–104.</w:t>
      </w:r>
    </w:p>
    <w:sectPr w:rsidR="009B4382" w:rsidRPr="009B4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632F"/>
    <w:multiLevelType w:val="multilevel"/>
    <w:tmpl w:val="9D9A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722CD"/>
    <w:multiLevelType w:val="multilevel"/>
    <w:tmpl w:val="B9AED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20903"/>
    <w:multiLevelType w:val="multilevel"/>
    <w:tmpl w:val="B3BE11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11200"/>
    <w:multiLevelType w:val="hybridMultilevel"/>
    <w:tmpl w:val="B08EBF80"/>
    <w:lvl w:ilvl="0" w:tplc="A8BCD5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1F13B5"/>
    <w:multiLevelType w:val="multilevel"/>
    <w:tmpl w:val="905A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31D38"/>
    <w:multiLevelType w:val="multilevel"/>
    <w:tmpl w:val="617E7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82BD7"/>
    <w:multiLevelType w:val="multilevel"/>
    <w:tmpl w:val="21E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83DDA"/>
    <w:multiLevelType w:val="hybridMultilevel"/>
    <w:tmpl w:val="4524ED8E"/>
    <w:lvl w:ilvl="0" w:tplc="EBBE8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87291"/>
    <w:multiLevelType w:val="multilevel"/>
    <w:tmpl w:val="FFF0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B6FFE"/>
    <w:multiLevelType w:val="multilevel"/>
    <w:tmpl w:val="8376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8713C"/>
    <w:multiLevelType w:val="hybridMultilevel"/>
    <w:tmpl w:val="6A26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02B90"/>
    <w:multiLevelType w:val="multilevel"/>
    <w:tmpl w:val="DF6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40F6D"/>
    <w:multiLevelType w:val="multilevel"/>
    <w:tmpl w:val="F872D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D97C25"/>
    <w:multiLevelType w:val="multilevel"/>
    <w:tmpl w:val="B222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90A5D"/>
    <w:multiLevelType w:val="multilevel"/>
    <w:tmpl w:val="66786C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1D0E6D"/>
    <w:multiLevelType w:val="multilevel"/>
    <w:tmpl w:val="5FC4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27D10"/>
    <w:multiLevelType w:val="multilevel"/>
    <w:tmpl w:val="53F2B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64A0D"/>
    <w:multiLevelType w:val="hybridMultilevel"/>
    <w:tmpl w:val="90360898"/>
    <w:lvl w:ilvl="0" w:tplc="A8BCD5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BD4B64"/>
    <w:multiLevelType w:val="hybridMultilevel"/>
    <w:tmpl w:val="EE84D74C"/>
    <w:lvl w:ilvl="0" w:tplc="CE8A2D86">
      <w:start w:val="1"/>
      <w:numFmt w:val="decimal"/>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FD1F65"/>
    <w:multiLevelType w:val="multilevel"/>
    <w:tmpl w:val="60D2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16"/>
  </w:num>
  <w:num w:numId="4">
    <w:abstractNumId w:val="6"/>
  </w:num>
  <w:num w:numId="5">
    <w:abstractNumId w:val="11"/>
  </w:num>
  <w:num w:numId="6">
    <w:abstractNumId w:val="9"/>
  </w:num>
  <w:num w:numId="7">
    <w:abstractNumId w:val="5"/>
  </w:num>
  <w:num w:numId="8">
    <w:abstractNumId w:val="13"/>
  </w:num>
  <w:num w:numId="9">
    <w:abstractNumId w:val="12"/>
  </w:num>
  <w:num w:numId="10">
    <w:abstractNumId w:val="15"/>
  </w:num>
  <w:num w:numId="11">
    <w:abstractNumId w:val="7"/>
  </w:num>
  <w:num w:numId="12">
    <w:abstractNumId w:val="0"/>
  </w:num>
  <w:num w:numId="13">
    <w:abstractNumId w:val="19"/>
  </w:num>
  <w:num w:numId="14">
    <w:abstractNumId w:val="8"/>
  </w:num>
  <w:num w:numId="15">
    <w:abstractNumId w:val="2"/>
  </w:num>
  <w:num w:numId="16">
    <w:abstractNumId w:val="14"/>
  </w:num>
  <w:num w:numId="17">
    <w:abstractNumId w:val="18"/>
  </w:num>
  <w:num w:numId="18">
    <w:abstractNumId w:val="10"/>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A9"/>
    <w:rsid w:val="00057F84"/>
    <w:rsid w:val="00062523"/>
    <w:rsid w:val="000C7A3C"/>
    <w:rsid w:val="001249B4"/>
    <w:rsid w:val="00125517"/>
    <w:rsid w:val="001E0286"/>
    <w:rsid w:val="00257C01"/>
    <w:rsid w:val="002D5F99"/>
    <w:rsid w:val="00306024"/>
    <w:rsid w:val="003703BB"/>
    <w:rsid w:val="003C24E0"/>
    <w:rsid w:val="003C2B24"/>
    <w:rsid w:val="003C3609"/>
    <w:rsid w:val="00406F27"/>
    <w:rsid w:val="004277B7"/>
    <w:rsid w:val="004876B5"/>
    <w:rsid w:val="00493EAD"/>
    <w:rsid w:val="005046B9"/>
    <w:rsid w:val="00540D2B"/>
    <w:rsid w:val="00557965"/>
    <w:rsid w:val="00692D4C"/>
    <w:rsid w:val="007066CA"/>
    <w:rsid w:val="00750876"/>
    <w:rsid w:val="008360A8"/>
    <w:rsid w:val="00884FA9"/>
    <w:rsid w:val="008B2B94"/>
    <w:rsid w:val="008C650B"/>
    <w:rsid w:val="00940837"/>
    <w:rsid w:val="0096226B"/>
    <w:rsid w:val="009633D1"/>
    <w:rsid w:val="009926B3"/>
    <w:rsid w:val="009B4382"/>
    <w:rsid w:val="00A832FB"/>
    <w:rsid w:val="00AB681D"/>
    <w:rsid w:val="00AD0474"/>
    <w:rsid w:val="00AD63AA"/>
    <w:rsid w:val="00AE5877"/>
    <w:rsid w:val="00AF17C5"/>
    <w:rsid w:val="00B711B9"/>
    <w:rsid w:val="00BF5531"/>
    <w:rsid w:val="00C07C89"/>
    <w:rsid w:val="00C910F2"/>
    <w:rsid w:val="00CC07C8"/>
    <w:rsid w:val="00D05113"/>
    <w:rsid w:val="00D07A3A"/>
    <w:rsid w:val="00D43E3F"/>
    <w:rsid w:val="00DB263B"/>
    <w:rsid w:val="00DD7831"/>
    <w:rsid w:val="00DE008E"/>
    <w:rsid w:val="00DE7E70"/>
    <w:rsid w:val="00DF6505"/>
    <w:rsid w:val="00E1634C"/>
    <w:rsid w:val="00E43051"/>
    <w:rsid w:val="00E512A5"/>
    <w:rsid w:val="00EA668F"/>
    <w:rsid w:val="00EC7CAA"/>
    <w:rsid w:val="00EF60F0"/>
    <w:rsid w:val="00F23051"/>
    <w:rsid w:val="00F27345"/>
    <w:rsid w:val="00F42F0D"/>
    <w:rsid w:val="00F9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4581"/>
  <w15:chartTrackingRefBased/>
  <w15:docId w15:val="{5B969561-ECDE-4EDA-A4FA-428A961D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4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4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4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FA9"/>
    <w:rPr>
      <w:rFonts w:eastAsiaTheme="majorEastAsia" w:cstheme="majorBidi"/>
      <w:color w:val="272727" w:themeColor="text1" w:themeTint="D8"/>
    </w:rPr>
  </w:style>
  <w:style w:type="paragraph" w:styleId="Title">
    <w:name w:val="Title"/>
    <w:basedOn w:val="Normal"/>
    <w:next w:val="Normal"/>
    <w:link w:val="TitleChar"/>
    <w:uiPriority w:val="10"/>
    <w:qFormat/>
    <w:rsid w:val="00884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FA9"/>
    <w:pPr>
      <w:spacing w:before="160"/>
      <w:jc w:val="center"/>
    </w:pPr>
    <w:rPr>
      <w:i/>
      <w:iCs/>
      <w:color w:val="404040" w:themeColor="text1" w:themeTint="BF"/>
    </w:rPr>
  </w:style>
  <w:style w:type="character" w:customStyle="1" w:styleId="QuoteChar">
    <w:name w:val="Quote Char"/>
    <w:basedOn w:val="DefaultParagraphFont"/>
    <w:link w:val="Quote"/>
    <w:uiPriority w:val="29"/>
    <w:rsid w:val="00884FA9"/>
    <w:rPr>
      <w:i/>
      <w:iCs/>
      <w:color w:val="404040" w:themeColor="text1" w:themeTint="BF"/>
    </w:rPr>
  </w:style>
  <w:style w:type="paragraph" w:styleId="ListParagraph">
    <w:name w:val="List Paragraph"/>
    <w:basedOn w:val="Normal"/>
    <w:uiPriority w:val="34"/>
    <w:qFormat/>
    <w:rsid w:val="00884FA9"/>
    <w:pPr>
      <w:ind w:left="720"/>
      <w:contextualSpacing/>
    </w:pPr>
  </w:style>
  <w:style w:type="character" w:styleId="IntenseEmphasis">
    <w:name w:val="Intense Emphasis"/>
    <w:basedOn w:val="DefaultParagraphFont"/>
    <w:uiPriority w:val="21"/>
    <w:qFormat/>
    <w:rsid w:val="00884FA9"/>
    <w:rPr>
      <w:i/>
      <w:iCs/>
      <w:color w:val="0F4761" w:themeColor="accent1" w:themeShade="BF"/>
    </w:rPr>
  </w:style>
  <w:style w:type="paragraph" w:styleId="IntenseQuote">
    <w:name w:val="Intense Quote"/>
    <w:basedOn w:val="Normal"/>
    <w:next w:val="Normal"/>
    <w:link w:val="IntenseQuoteChar"/>
    <w:uiPriority w:val="30"/>
    <w:qFormat/>
    <w:rsid w:val="00884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FA9"/>
    <w:rPr>
      <w:i/>
      <w:iCs/>
      <w:color w:val="0F4761" w:themeColor="accent1" w:themeShade="BF"/>
    </w:rPr>
  </w:style>
  <w:style w:type="character" w:styleId="IntenseReference">
    <w:name w:val="Intense Reference"/>
    <w:basedOn w:val="DefaultParagraphFont"/>
    <w:uiPriority w:val="32"/>
    <w:qFormat/>
    <w:rsid w:val="00884FA9"/>
    <w:rPr>
      <w:b/>
      <w:bCs/>
      <w:smallCaps/>
      <w:color w:val="0F4761" w:themeColor="accent1" w:themeShade="BF"/>
      <w:spacing w:val="5"/>
    </w:rPr>
  </w:style>
  <w:style w:type="character" w:styleId="Strong">
    <w:name w:val="Strong"/>
    <w:basedOn w:val="DefaultParagraphFont"/>
    <w:uiPriority w:val="22"/>
    <w:qFormat/>
    <w:rsid w:val="003C2B24"/>
    <w:rPr>
      <w:b/>
      <w:bCs/>
    </w:rPr>
  </w:style>
  <w:style w:type="character" w:styleId="Hyperlink">
    <w:name w:val="Hyperlink"/>
    <w:basedOn w:val="DefaultParagraphFont"/>
    <w:uiPriority w:val="99"/>
    <w:unhideWhenUsed/>
    <w:rsid w:val="00E43051"/>
    <w:rPr>
      <w:color w:val="467886" w:themeColor="hyperlink"/>
      <w:u w:val="single"/>
    </w:rPr>
  </w:style>
  <w:style w:type="paragraph" w:customStyle="1" w:styleId="ds-markdown-paragraph">
    <w:name w:val="ds-markdown-paragraph"/>
    <w:basedOn w:val="Normal"/>
    <w:rsid w:val="00E4305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8C650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06F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512A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el.kalu@unn.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17</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Yuel Kalu</dc:creator>
  <cp:keywords/>
  <dc:description/>
  <cp:lastModifiedBy>user</cp:lastModifiedBy>
  <cp:revision>11</cp:revision>
  <dcterms:created xsi:type="dcterms:W3CDTF">2026-06-16T13:45:00Z</dcterms:created>
  <dcterms:modified xsi:type="dcterms:W3CDTF">2026-06-23T16:15:00Z</dcterms:modified>
</cp:coreProperties>
</file>