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6098B">
      <w:pPr>
        <w:spacing w:after="0" w:line="240" w:lineRule="auto"/>
        <w:rPr>
          <w:rFonts w:hint="default" w:ascii="Times New Roman" w:hAnsi="Times New Roman" w:eastAsia="Times New Roman" w:cs="Times New Roman"/>
          <w:b/>
          <w:bCs/>
          <w:sz w:val="20"/>
          <w:szCs w:val="20"/>
        </w:rPr>
      </w:pPr>
    </w:p>
    <w:p w14:paraId="3B1E4418">
      <w:pPr>
        <w:spacing w:after="0" w:line="240" w:lineRule="auto"/>
        <w:jc w:val="center"/>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sz w:val="24"/>
          <w:szCs w:val="24"/>
          <w:lang w:val="en-US"/>
        </w:rPr>
        <w:t>A</w:t>
      </w:r>
      <w:r>
        <w:rPr>
          <w:rFonts w:hint="default" w:ascii="Times New Roman" w:hAnsi="Times New Roman" w:eastAsia="Times New Roman" w:cs="Times New Roman"/>
          <w:b/>
          <w:bCs/>
          <w:sz w:val="24"/>
          <w:szCs w:val="24"/>
        </w:rPr>
        <w:t xml:space="preserve">SSESSMENT OF </w:t>
      </w:r>
      <w:r>
        <w:rPr>
          <w:rFonts w:hint="default" w:ascii="Times New Roman" w:hAnsi="Times New Roman" w:eastAsia="Times New Roman" w:cs="Times New Roman"/>
          <w:b/>
          <w:bCs/>
          <w:sz w:val="24"/>
          <w:szCs w:val="24"/>
          <w:lang w:val="en-US"/>
        </w:rPr>
        <w:t xml:space="preserve">THE USE OF  </w:t>
      </w:r>
      <w:r>
        <w:rPr>
          <w:rFonts w:hint="default" w:ascii="Times New Roman" w:hAnsi="Times New Roman" w:eastAsia="Times New Roman" w:cs="Times New Roman"/>
          <w:b/>
          <w:bCs/>
          <w:sz w:val="24"/>
          <w:szCs w:val="24"/>
        </w:rPr>
        <w:t>NUTRACEUTICALS</w:t>
      </w:r>
      <w:r>
        <w:rPr>
          <w:rFonts w:hint="default" w:ascii="Times New Roman" w:hAnsi="Times New Roman" w:eastAsia="Times New Roman" w:cs="Times New Roman"/>
          <w:b/>
          <w:bCs/>
          <w:sz w:val="24"/>
          <w:szCs w:val="24"/>
          <w:lang w:val="en-US"/>
        </w:rPr>
        <w:t xml:space="preserve"> AMONG</w:t>
      </w:r>
      <w:r>
        <w:rPr>
          <w:rFonts w:hint="default" w:ascii="Times New Roman" w:hAnsi="Times New Roman" w:eastAsia="Times New Roman" w:cs="Times New Roman"/>
          <w:b/>
          <w:bCs/>
          <w:sz w:val="24"/>
          <w:szCs w:val="24"/>
        </w:rPr>
        <w:t xml:space="preserve"> HEALTH PRACTITIONERS</w:t>
      </w:r>
      <w:r>
        <w:rPr>
          <w:rFonts w:hint="default" w:ascii="Times New Roman" w:hAnsi="Times New Roman" w:eastAsia="Times New Roman" w:cs="Times New Roman"/>
          <w:b/>
          <w:bCs/>
          <w:sz w:val="24"/>
          <w:szCs w:val="24"/>
          <w:lang w:val="en-US"/>
        </w:rPr>
        <w:t xml:space="preserve"> </w:t>
      </w:r>
      <w:r>
        <w:rPr>
          <w:rFonts w:hint="default" w:ascii="Times New Roman" w:hAnsi="Times New Roman" w:eastAsia="Times New Roman" w:cs="Times New Roman"/>
          <w:b/>
          <w:bCs/>
          <w:sz w:val="24"/>
          <w:szCs w:val="24"/>
        </w:rPr>
        <w:t xml:space="preserve">IN </w:t>
      </w:r>
      <w:r>
        <w:rPr>
          <w:rFonts w:hint="default" w:ascii="Times New Roman" w:hAnsi="Times New Roman" w:eastAsia="Times New Roman" w:cs="Times New Roman"/>
          <w:b/>
          <w:bCs/>
          <w:sz w:val="24"/>
          <w:szCs w:val="24"/>
          <w:lang w:val="en-US"/>
        </w:rPr>
        <w:t xml:space="preserve">A TERTIARY HOSPITAL IN </w:t>
      </w:r>
      <w:r>
        <w:rPr>
          <w:rFonts w:hint="default" w:ascii="Times New Roman" w:hAnsi="Times New Roman" w:eastAsia="Times New Roman" w:cs="Times New Roman"/>
          <w:b/>
          <w:bCs/>
          <w:sz w:val="24"/>
          <w:szCs w:val="24"/>
        </w:rPr>
        <w:t>ENUGU</w:t>
      </w:r>
      <w:r>
        <w:rPr>
          <w:rFonts w:hint="default" w:ascii="Times New Roman" w:hAnsi="Times New Roman" w:eastAsia="Times New Roman" w:cs="Times New Roman"/>
          <w:b/>
          <w:bCs/>
          <w:sz w:val="24"/>
          <w:szCs w:val="24"/>
          <w:lang w:val="en-US"/>
        </w:rPr>
        <w:t xml:space="preserve"> STATE, NIGERIA</w:t>
      </w:r>
    </w:p>
    <w:p w14:paraId="49FA3D09">
      <w:pPr>
        <w:spacing w:after="0" w:line="240" w:lineRule="auto"/>
        <w:rPr>
          <w:rFonts w:hint="default" w:ascii="Times New Roman" w:hAnsi="Times New Roman" w:eastAsia="Times New Roman" w:cs="Times New Roman"/>
          <w:b/>
          <w:bCs/>
          <w:sz w:val="20"/>
          <w:szCs w:val="20"/>
        </w:rPr>
      </w:pPr>
      <w:r>
        <w:rPr>
          <w:rFonts w:hint="default" w:ascii="Times New Roman" w:hAnsi="Times New Roman" w:eastAsia="Times New Roman" w:cs="Times New Roman"/>
          <w:b/>
          <w:bCs/>
          <w:sz w:val="20"/>
          <w:szCs w:val="20"/>
        </w:rPr>
        <w:t xml:space="preserve"> </w:t>
      </w:r>
    </w:p>
    <w:p w14:paraId="4A457C98">
      <w:pPr>
        <w:keepNext w:val="0"/>
        <w:keepLines w:val="0"/>
        <w:widowControl/>
        <w:suppressLineNumbers w:val="0"/>
        <w:spacing w:before="0" w:beforeAutospacing="0" w:after="200" w:afterAutospacing="0" w:line="240" w:lineRule="auto"/>
        <w:ind w:left="0" w:right="0"/>
        <w:jc w:val="center"/>
        <w:rPr>
          <w:rFonts w:hint="default" w:ascii="Times New Roman" w:hAnsi="Times New Roman" w:eastAsia="Aptos" w:cs="Times New Roman"/>
          <w:b w:val="0"/>
          <w:bCs w:val="0"/>
          <w:kern w:val="0"/>
          <w:sz w:val="20"/>
          <w:szCs w:val="20"/>
          <w:lang w:val="en-US" w:eastAsia="zh-CN" w:bidi="ar"/>
        </w:rPr>
      </w:pPr>
      <w:r>
        <w:rPr>
          <w:rFonts w:hint="default" w:ascii="Times New Roman" w:hAnsi="Times New Roman" w:eastAsia="Aptos" w:cs="Times New Roman"/>
          <w:b w:val="0"/>
          <w:bCs w:val="0"/>
          <w:kern w:val="0"/>
          <w:sz w:val="20"/>
          <w:szCs w:val="20"/>
          <w:lang w:val="en-US" w:eastAsia="zh-CN" w:bidi="ar"/>
        </w:rPr>
        <w:t/>
      </w:r>
      <w:r>
        <w:rPr>
          <w:rFonts w:hint="default" w:ascii="Times New Roman" w:hAnsi="Times New Roman" w:eastAsia="Aptos" w:cs="Times New Roman"/>
          <w:b w:val="0"/>
          <w:bCs w:val="0"/>
          <w:kern w:val="0"/>
          <w:sz w:val="20"/>
          <w:szCs w:val="20"/>
          <w:vertAlign w:val="superscript"/>
          <w:lang w:val="en-US" w:eastAsia="zh-CN" w:bidi="ar"/>
        </w:rPr>
        <w:t/>
      </w:r>
      <w:r>
        <w:rPr>
          <w:rFonts w:hint="default" w:ascii="Times New Roman" w:hAnsi="Times New Roman" w:eastAsia="Aptos" w:cs="Times New Roman"/>
          <w:b w:val="0"/>
          <w:bCs w:val="0"/>
          <w:kern w:val="0"/>
          <w:sz w:val="20"/>
          <w:szCs w:val="20"/>
          <w:lang w:val="en-US" w:eastAsia="zh-CN" w:bidi="ar"/>
        </w:rPr>
        <w:t xml:space="preserve"/>
      </w:r>
      <w:r>
        <w:rPr>
          <w:rFonts w:hint="default" w:ascii="Times New Roman" w:hAnsi="Times New Roman" w:eastAsia="Aptos" w:cs="Times New Roman"/>
          <w:b w:val="0"/>
          <w:bCs w:val="0"/>
          <w:kern w:val="0"/>
          <w:sz w:val="20"/>
          <w:szCs w:val="20"/>
          <w:vertAlign w:val="superscript"/>
          <w:lang w:val="en-US" w:eastAsia="zh-CN" w:bidi="ar"/>
        </w:rPr>
        <w:t/>
      </w:r>
      <w:r>
        <w:rPr>
          <w:rFonts w:hint="default" w:ascii="Times New Roman" w:hAnsi="Times New Roman" w:eastAsia="Aptos" w:cs="Times New Roman"/>
          <w:b w:val="0"/>
          <w:bCs w:val="0"/>
          <w:kern w:val="0"/>
          <w:sz w:val="20"/>
          <w:szCs w:val="20"/>
          <w:lang w:val="en-US" w:eastAsia="zh-CN" w:bidi="ar"/>
        </w:rPr>
        <w:t/>
      </w:r>
      <w:r>
        <w:rPr>
          <w:rFonts w:hint="default" w:ascii="Times New Roman" w:hAnsi="Times New Roman" w:eastAsia="Aptos" w:cs="Times New Roman"/>
          <w:b w:val="0"/>
          <w:bCs w:val="0"/>
          <w:kern w:val="0"/>
          <w:sz w:val="20"/>
          <w:szCs w:val="20"/>
          <w:vertAlign w:val="superscript"/>
          <w:lang w:val="en-US" w:eastAsia="zh-CN" w:bidi="ar"/>
        </w:rPr>
        <w:t/>
      </w:r>
      <w:r>
        <w:rPr>
          <w:rFonts w:hint="default" w:ascii="Times New Roman" w:hAnsi="Times New Roman" w:eastAsia="Aptos" w:cs="Times New Roman"/>
          <w:b w:val="0"/>
          <w:bCs w:val="0"/>
          <w:kern w:val="0"/>
          <w:sz w:val="20"/>
          <w:szCs w:val="20"/>
          <w:lang w:val="en-US" w:eastAsia="zh-CN" w:bidi="ar"/>
        </w:rPr>
        <w:t/>
      </w:r>
      <w:r>
        <w:rPr>
          <w:rFonts w:hint="default" w:ascii="Times New Roman" w:hAnsi="Times New Roman" w:eastAsia="Aptos" w:cs="Times New Roman"/>
          <w:b w:val="0"/>
          <w:bCs w:val="0"/>
          <w:kern w:val="0"/>
          <w:sz w:val="20"/>
          <w:szCs w:val="20"/>
          <w:vertAlign w:val="superscript"/>
          <w:lang w:val="en-US" w:eastAsia="zh-CN" w:bidi="ar"/>
        </w:rPr>
        <w:t/>
      </w:r>
    </w:p>
    <w:p w14:paraId="1A896A2F">
      <w:pPr>
        <w:keepNext w:val="0"/>
        <w:keepLines w:val="0"/>
        <w:widowControl/>
        <w:numPr>
          <w:ilvl w:val="0"/>
          <w:numId w:val="1"/>
        </w:numPr>
        <w:suppressLineNumbers w:val="0"/>
        <w:spacing w:before="0" w:beforeAutospacing="0" w:after="200" w:afterAutospacing="0" w:line="240" w:lineRule="auto"/>
        <w:ind w:left="0" w:right="0"/>
        <w:jc w:val="center"/>
        <w:rPr>
          <w:rFonts w:hint="default" w:ascii="Times New Roman" w:hAnsi="Times New Roman" w:eastAsia="Aptos" w:cs="Times New Roman"/>
          <w:b w:val="0"/>
          <w:bCs w:val="0"/>
          <w:kern w:val="0"/>
          <w:sz w:val="20"/>
          <w:szCs w:val="20"/>
          <w:lang w:val="en-US" w:eastAsia="zh-CN" w:bidi="ar"/>
        </w:rPr>
      </w:pPr>
      <w:r>
        <w:rPr>
          <w:rFonts w:hint="default" w:ascii="Times New Roman" w:hAnsi="Times New Roman" w:eastAsia="Aptos" w:cs="Times New Roman"/>
          <w:b w:val="0"/>
          <w:bCs w:val="0"/>
          <w:kern w:val="0"/>
          <w:sz w:val="20"/>
          <w:szCs w:val="20"/>
          <w:lang w:val="en-US" w:eastAsia="zh-CN" w:bidi="ar"/>
        </w:rPr>
        <w:t/>
      </w:r>
    </w:p>
    <w:p w14:paraId="53A9555F">
      <w:pPr>
        <w:keepNext w:val="0"/>
        <w:keepLines w:val="0"/>
        <w:widowControl/>
        <w:numPr>
          <w:ilvl w:val="0"/>
          <w:numId w:val="1"/>
        </w:numPr>
        <w:suppressLineNumbers w:val="0"/>
        <w:spacing w:before="0" w:beforeAutospacing="0" w:after="200" w:afterAutospacing="0" w:line="240" w:lineRule="auto"/>
        <w:ind w:left="0" w:right="0"/>
        <w:jc w:val="center"/>
        <w:rPr>
          <w:rFonts w:hint="default" w:ascii="Times New Roman" w:hAnsi="Times New Roman" w:eastAsia="Aptos" w:cs="Times New Roman"/>
          <w:b w:val="0"/>
          <w:bCs w:val="0"/>
          <w:kern w:val="0"/>
          <w:sz w:val="20"/>
          <w:szCs w:val="20"/>
          <w:lang w:val="en-US" w:eastAsia="zh-CN" w:bidi="ar"/>
        </w:rPr>
      </w:pPr>
      <w:r>
        <w:rPr>
          <w:rFonts w:hint="default" w:ascii="Times New Roman" w:hAnsi="Times New Roman" w:eastAsia="Aptos" w:cs="Times New Roman"/>
          <w:b w:val="0"/>
          <w:bCs w:val="0"/>
          <w:kern w:val="0"/>
          <w:sz w:val="20"/>
          <w:szCs w:val="20"/>
          <w:lang w:val="en-US" w:eastAsia="zh-CN" w:bidi="ar"/>
        </w:rPr>
        <w:t/>
      </w:r>
    </w:p>
    <w:p w14:paraId="68EEC151">
      <w:pPr>
        <w:keepNext w:val="0"/>
        <w:keepLines w:val="0"/>
        <w:widowControl/>
        <w:numPr>
          <w:ilvl w:val="0"/>
          <w:numId w:val="2"/>
        </w:numPr>
        <w:suppressLineNumbers w:val="0"/>
        <w:spacing w:before="0" w:beforeAutospacing="0" w:after="200" w:afterAutospacing="0" w:line="240" w:lineRule="auto"/>
        <w:ind w:left="0" w:leftChars="0" w:right="0" w:firstLine="0" w:firstLineChars="0"/>
        <w:jc w:val="center"/>
        <w:rPr>
          <w:rFonts w:hint="default" w:ascii="Times New Roman" w:hAnsi="Times New Roman" w:eastAsia="Aptos" w:cs="Times New Roman"/>
          <w:b w:val="0"/>
          <w:bCs w:val="0"/>
          <w:kern w:val="0"/>
          <w:sz w:val="20"/>
          <w:szCs w:val="20"/>
          <w:lang w:val="en-US" w:eastAsia="zh-CN" w:bidi="ar"/>
        </w:rPr>
      </w:pPr>
      <w:r>
        <w:rPr>
          <w:rFonts w:hint="default" w:ascii="Times New Roman" w:hAnsi="Times New Roman" w:eastAsia="Aptos" w:cs="Times New Roman"/>
          <w:b w:val="0"/>
          <w:bCs w:val="0"/>
          <w:kern w:val="0"/>
          <w:sz w:val="20"/>
          <w:szCs w:val="20"/>
          <w:lang w:val="en-US" w:eastAsia="zh-CN" w:bidi="ar"/>
        </w:rPr>
        <w:t/>
      </w:r>
    </w:p>
    <w:p w14:paraId="04339889">
      <w:pPr>
        <w:keepNext w:val="0"/>
        <w:keepLines w:val="0"/>
        <w:widowControl/>
        <w:numPr>
          <w:ilvl w:val="0"/>
          <w:numId w:val="2"/>
        </w:numPr>
        <w:suppressLineNumbers w:val="0"/>
        <w:spacing w:before="0" w:beforeAutospacing="0" w:after="200" w:afterAutospacing="0" w:line="240" w:lineRule="auto"/>
        <w:ind w:left="0" w:leftChars="0" w:right="0" w:firstLine="0" w:firstLineChars="0"/>
        <w:jc w:val="center"/>
        <w:rPr>
          <w:rFonts w:hint="default" w:ascii="Times New Roman" w:hAnsi="Times New Roman" w:eastAsia="Aptos" w:cs="Times New Roman"/>
          <w:b w:val="0"/>
          <w:bCs w:val="0"/>
          <w:kern w:val="0"/>
          <w:sz w:val="20"/>
          <w:szCs w:val="20"/>
          <w:lang w:val="en-US" w:eastAsia="zh-CN" w:bidi="ar"/>
        </w:rPr>
      </w:pPr>
      <w:r>
        <w:rPr>
          <w:rFonts w:hint="default" w:ascii="Times New Roman" w:hAnsi="Times New Roman" w:eastAsia="Aptos" w:cs="Times New Roman"/>
          <w:b w:val="0"/>
          <w:bCs w:val="0"/>
          <w:kern w:val="0"/>
          <w:sz w:val="20"/>
          <w:szCs w:val="20"/>
          <w:lang w:val="en-US" w:eastAsia="zh-CN" w:bidi="ar"/>
        </w:rPr>
        <w:t xml:space="preserve"/>
      </w:r>
    </w:p>
    <w:p w14:paraId="269E544A">
      <w:pPr>
        <w:spacing w:after="0" w:line="240" w:lineRule="auto"/>
        <w:rPr>
          <w:rFonts w:hint="default" w:ascii="Times New Roman" w:hAnsi="Times New Roman" w:eastAsia="Times New Roman" w:cs="Times New Roman"/>
          <w:b/>
          <w:bCs/>
          <w:sz w:val="20"/>
          <w:szCs w:val="20"/>
        </w:rPr>
      </w:pPr>
      <w:r>
        <w:rPr>
          <w:rFonts w:hint="default" w:ascii="Times New Roman" w:hAnsi="Times New Roman" w:eastAsia="Aptos" w:cs="Times New Roman"/>
          <w:b w:val="0"/>
          <w:bCs w:val="0"/>
          <w:kern w:val="0"/>
          <w:sz w:val="20"/>
          <w:szCs w:val="20"/>
          <w:lang w:val="en-US" w:eastAsia="zh-CN" w:bidi="ar"/>
        </w:rPr>
        <w:t xml:space="preserve"/>
      </w:r>
      <w:r>
        <w:rPr>
          <w:rFonts w:hint="default" w:ascii="Times New Roman" w:hAnsi="Times New Roman" w:eastAsia="Aptos" w:cs="Times New Roman"/>
          <w:b w:val="0"/>
          <w:bCs w:val="0"/>
          <w:kern w:val="0"/>
          <w:sz w:val="20"/>
          <w:szCs w:val="20"/>
          <w:lang w:val="en-US" w:eastAsia="zh-CN" w:bidi="ar"/>
        </w:rPr>
        <w:fldChar w:fldCharType="begin"/>
      </w:r>
      <w:r>
        <w:rPr>
          <w:rFonts w:hint="default" w:ascii="Times New Roman" w:hAnsi="Times New Roman" w:eastAsia="Aptos" w:cs="Times New Roman"/>
          <w:b w:val="0"/>
          <w:bCs w:val="0"/>
          <w:kern w:val="0"/>
          <w:sz w:val="20"/>
          <w:szCs w:val="20"/>
          <w:lang w:val="en-US" w:eastAsia="zh-CN" w:bidi="ar"/>
        </w:rPr>
        <w:instrText xml:space="preserve"> HYPERLINK "mailto:nnenna.ajagu@esut.edu.ng" </w:instrText>
      </w:r>
      <w:r>
        <w:rPr>
          <w:rFonts w:hint="default" w:ascii="Times New Roman" w:hAnsi="Times New Roman" w:eastAsia="Aptos" w:cs="Times New Roman"/>
          <w:b w:val="0"/>
          <w:bCs w:val="0"/>
          <w:kern w:val="0"/>
          <w:sz w:val="20"/>
          <w:szCs w:val="20"/>
          <w:lang w:val="en-US" w:eastAsia="zh-CN" w:bidi="ar"/>
        </w:rPr>
        <w:fldChar w:fldCharType="separate"/>
      </w:r>
      <w:r>
        <w:rPr>
          <w:rStyle w:val="7"/>
          <w:rFonts w:hint="default" w:ascii="Times New Roman" w:hAnsi="Times New Roman" w:eastAsia="Aptos" w:cs="Times New Roman"/>
          <w:b w:val="0"/>
          <w:bCs w:val="0"/>
          <w:kern w:val="0"/>
          <w:sz w:val="20"/>
          <w:szCs w:val="20"/>
          <w:lang w:val="en-US" w:eastAsia="zh-CN" w:bidi="ar"/>
        </w:rPr>
        <w:t/>
      </w:r>
      <w:r>
        <w:rPr>
          <w:rFonts w:hint="default" w:ascii="Times New Roman" w:hAnsi="Times New Roman" w:eastAsia="Aptos" w:cs="Times New Roman"/>
          <w:b w:val="0"/>
          <w:bCs w:val="0"/>
          <w:kern w:val="0"/>
          <w:sz w:val="20"/>
          <w:szCs w:val="20"/>
          <w:lang w:val="en-US" w:eastAsia="zh-CN" w:bidi="ar"/>
        </w:rPr>
        <w:fldChar w:fldCharType="end"/>
      </w:r>
      <w:r>
        <w:rPr>
          <w:rFonts w:hint="default" w:ascii="Times New Roman" w:hAnsi="Times New Roman" w:eastAsia="Aptos" w:cs="Times New Roman"/>
          <w:b w:val="0"/>
          <w:bCs w:val="0"/>
          <w:kern w:val="0"/>
          <w:sz w:val="20"/>
          <w:szCs w:val="20"/>
          <w:lang w:val="en-US" w:eastAsia="zh-CN" w:bidi="ar"/>
        </w:rPr>
        <w:t xml:space="preserve"/>
      </w:r>
    </w:p>
    <w:p w14:paraId="4A2A0D1F">
      <w:pPr>
        <w:spacing w:after="0" w:line="240" w:lineRule="auto"/>
        <w:rPr>
          <w:rStyle w:val="9"/>
          <w:rFonts w:hint="default" w:ascii="Times New Roman" w:hAnsi="Times New Roman" w:eastAsia="Times New Roman" w:cs="Times New Roman"/>
          <w:b w:val="0"/>
          <w:i/>
          <w:iCs/>
          <w:sz w:val="20"/>
          <w:szCs w:val="20"/>
          <w:lang w:val="en-US"/>
        </w:rPr>
      </w:pPr>
    </w:p>
    <w:p w14:paraId="5791C6EF">
      <w:pPr>
        <w:spacing w:after="0" w:line="240" w:lineRule="auto"/>
        <w:jc w:val="center"/>
        <w:rPr>
          <w:rStyle w:val="9"/>
          <w:rFonts w:hint="default" w:ascii="Times New Roman" w:hAnsi="Times New Roman" w:eastAsia="Times New Roman" w:cs="Times New Roman"/>
          <w:b/>
          <w:bCs w:val="0"/>
          <w:i w:val="0"/>
          <w:iCs w:val="0"/>
          <w:sz w:val="20"/>
          <w:szCs w:val="20"/>
          <w:lang w:val="en-US"/>
        </w:rPr>
      </w:pPr>
      <w:r>
        <w:rPr>
          <w:rStyle w:val="9"/>
          <w:rFonts w:hint="default" w:ascii="Times New Roman" w:hAnsi="Times New Roman" w:eastAsia="Times New Roman" w:cs="Times New Roman"/>
          <w:b/>
          <w:bCs w:val="0"/>
          <w:i w:val="0"/>
          <w:iCs w:val="0"/>
          <w:sz w:val="20"/>
          <w:szCs w:val="20"/>
          <w:lang w:val="en-US"/>
        </w:rPr>
        <w:t/>
      </w:r>
    </w:p>
    <w:p w14:paraId="34DE2BD2">
      <w:pPr>
        <w:spacing w:after="0" w:line="240" w:lineRule="auto"/>
        <w:jc w:val="both"/>
        <w:rPr>
          <w:rFonts w:hint="default" w:ascii="Times New Roman" w:hAnsi="Times New Roman" w:eastAsia="Times New Roman" w:cs="Times New Roman"/>
          <w:i w:val="0"/>
          <w:iCs w:val="0"/>
          <w:color w:val="000000" w:themeColor="text1"/>
          <w:sz w:val="20"/>
          <w:szCs w:val="20"/>
          <w:lang w:val="en-US"/>
          <w14:textFill>
            <w14:solidFill>
              <w14:schemeClr w14:val="tx1"/>
            </w14:solidFill>
          </w14:textFill>
        </w:rPr>
      </w:pPr>
      <w:r>
        <w:rPr>
          <w:rStyle w:val="9"/>
          <w:rFonts w:hint="default" w:ascii="Times New Roman" w:hAnsi="Times New Roman" w:eastAsia="Times New Roman" w:cs="Times New Roman"/>
          <w:b/>
          <w:bCs w:val="0"/>
          <w:i w:val="0"/>
          <w:iCs w:val="0"/>
          <w:sz w:val="20"/>
          <w:szCs w:val="20"/>
        </w:rPr>
        <w:t/>
      </w:r>
      <w:r>
        <w:rPr>
          <w:rStyle w:val="9"/>
          <w:rFonts w:hint="default" w:ascii="Times New Roman" w:hAnsi="Times New Roman" w:eastAsia="Times New Roman" w:cs="Times New Roman"/>
          <w:b w:val="0"/>
          <w:i w:val="0"/>
          <w:iCs w:val="0"/>
          <w:sz w:val="20"/>
          <w:szCs w:val="20"/>
          <w:lang w:val="en-US"/>
        </w:rPr>
        <w:t/>
      </w:r>
      <w:r>
        <w:rPr>
          <w:rStyle w:val="9"/>
          <w:rFonts w:hint="default" w:ascii="Times New Roman" w:hAnsi="Times New Roman" w:eastAsia="Times New Roman" w:cs="Times New Roman"/>
          <w:b/>
          <w:bCs w:val="0"/>
          <w:i w:val="0"/>
          <w:iCs w:val="0"/>
          <w:color w:val="000000" w:themeColor="text1"/>
          <w:sz w:val="20"/>
          <w:szCs w:val="20"/>
          <w14:textFill>
            <w14:solidFill>
              <w14:schemeClr w14:val="tx1"/>
            </w14:solidFill>
          </w14:textFill>
        </w:rPr>
        <w:t/>
      </w:r>
      <w:r>
        <w:rPr>
          <w:rFonts w:hint="default" w:ascii="Times New Roman" w:hAnsi="Times New Roman" w:eastAsia="Times New Roman" w:cs="Times New Roman"/>
          <w:b/>
          <w:i w:val="0"/>
          <w:iCs w:val="0"/>
          <w:color w:val="000000" w:themeColor="text1"/>
          <w:sz w:val="20"/>
          <w:szCs w:val="20"/>
          <w14:textFill>
            <w14:solidFill>
              <w14:schemeClr w14:val="tx1"/>
            </w14:solidFill>
          </w14:textFill>
        </w:rPr>
        <w:t xml:space="preserve"/>
      </w:r>
      <w:r>
        <w:rPr>
          <w:rFonts w:hint="default" w:ascii="Times New Roman" w:hAnsi="Times New Roman" w:eastAsia="Times New Roman" w:cs="Times New Roman"/>
          <w:i w:val="0"/>
          <w:iCs w:val="0"/>
          <w:color w:val="000000" w:themeColor="text1"/>
          <w:sz w:val="20"/>
          <w:szCs w:val="20"/>
          <w14:textFill>
            <w14:solidFill>
              <w14:schemeClr w14:val="tx1"/>
            </w14:solidFill>
          </w14:textFill>
        </w:rPr>
        <w:t/>
      </w:r>
      <w:r>
        <w:rPr>
          <w:rFonts w:hint="default" w:ascii="Times New Roman" w:hAnsi="Times New Roman" w:eastAsia="Times New Roman" w:cs="Times New Roman"/>
          <w:i w:val="0"/>
          <w:iCs w:val="0"/>
          <w:color w:val="000000" w:themeColor="text1"/>
          <w:sz w:val="20"/>
          <w:szCs w:val="20"/>
          <w:lang w:val="en-US"/>
          <w14:textFill>
            <w14:solidFill>
              <w14:schemeClr w14:val="tx1"/>
            </w14:solidFill>
          </w14:textFill>
        </w:rPr>
        <w:t xml:space="preserve"/>
      </w:r>
      <w:r>
        <w:rPr>
          <w:rFonts w:hint="default" w:ascii="Times New Roman" w:hAnsi="Times New Roman" w:eastAsia="Times New Roman" w:cs="Times New Roman"/>
          <w:i w:val="0"/>
          <w:iCs w:val="0"/>
          <w:color w:val="000000" w:themeColor="text1"/>
          <w:sz w:val="20"/>
          <w:szCs w:val="20"/>
          <w14:textFill>
            <w14:solidFill>
              <w14:schemeClr w14:val="tx1"/>
            </w14:solidFill>
          </w14:textFill>
        </w:rPr>
        <w:t/>
      </w:r>
      <w:r>
        <w:rPr>
          <w:rFonts w:hint="default" w:ascii="Times New Roman" w:hAnsi="Times New Roman" w:eastAsia="Times New Roman" w:cs="Times New Roman"/>
          <w:i w:val="0"/>
          <w:iCs w:val="0"/>
          <w:color w:val="000000" w:themeColor="text1"/>
          <w:sz w:val="20"/>
          <w:szCs w:val="20"/>
          <w:lang w:val="en-US"/>
          <w14:textFill>
            <w14:solidFill>
              <w14:schemeClr w14:val="tx1"/>
            </w14:solidFill>
          </w14:textFill>
        </w:rPr>
        <w:t xml:space="preserve"/>
      </w:r>
      <w:r>
        <w:rPr>
          <w:rFonts w:hint="default" w:ascii="Times New Roman" w:hAnsi="Times New Roman" w:eastAsia="Times New Roman" w:cs="Times New Roman"/>
          <w:i w:val="0"/>
          <w:iCs w:val="0"/>
          <w:color w:val="000000" w:themeColor="text1"/>
          <w:sz w:val="20"/>
          <w:szCs w:val="20"/>
          <w14:textFill>
            <w14:solidFill>
              <w14:schemeClr w14:val="tx1"/>
            </w14:solidFill>
          </w14:textFill>
        </w:rPr>
        <w:t/>
      </w:r>
      <w:r>
        <w:rPr>
          <w:rFonts w:hint="default" w:ascii="Times New Roman" w:hAnsi="Times New Roman" w:eastAsia="Times New Roman" w:cs="Times New Roman"/>
          <w:i w:val="0"/>
          <w:iCs w:val="0"/>
          <w:color w:val="000000" w:themeColor="text1"/>
          <w:sz w:val="20"/>
          <w:szCs w:val="20"/>
          <w:lang w:val="en-US"/>
          <w14:textFill>
            <w14:solidFill>
              <w14:schemeClr w14:val="tx1"/>
            </w14:solidFill>
          </w14:textFill>
        </w:rPr>
        <w:t xml:space="preserve"/>
      </w:r>
      <w:r>
        <w:rPr>
          <w:rStyle w:val="9"/>
          <w:rFonts w:hint="default" w:ascii="Times New Roman" w:hAnsi="Times New Roman" w:eastAsia="Times New Roman" w:cs="Times New Roman"/>
          <w:b/>
          <w:bCs w:val="0"/>
          <w:i w:val="0"/>
          <w:iCs w:val="0"/>
          <w:color w:val="000000" w:themeColor="text1"/>
          <w:sz w:val="20"/>
          <w:szCs w:val="20"/>
          <w14:textFill>
            <w14:solidFill>
              <w14:schemeClr w14:val="tx1"/>
            </w14:solidFill>
          </w14:textFill>
        </w:rPr>
        <w:t/>
      </w:r>
      <w:r>
        <w:rPr>
          <w:rFonts w:hint="default" w:ascii="Times New Roman" w:hAnsi="Times New Roman" w:eastAsia="Times New Roman" w:cs="Times New Roman"/>
          <w:b/>
          <w:i w:val="0"/>
          <w:iCs w:val="0"/>
          <w:color w:val="000000" w:themeColor="text1"/>
          <w:sz w:val="20"/>
          <w:szCs w:val="20"/>
          <w14:textFill>
            <w14:solidFill>
              <w14:schemeClr w14:val="tx1"/>
            </w14:solidFill>
          </w14:textFill>
        </w:rPr>
        <w:t xml:space="preserve"/>
      </w:r>
      <w:r>
        <w:rPr>
          <w:rFonts w:hint="default" w:ascii="Times New Roman" w:hAnsi="Times New Roman" w:eastAsia="Times New Roman" w:cs="Times New Roman"/>
          <w:i w:val="0"/>
          <w:iCs w:val="0"/>
          <w:color w:val="000000" w:themeColor="text1"/>
          <w:sz w:val="20"/>
          <w:szCs w:val="20"/>
          <w14:textFill>
            <w14:solidFill>
              <w14:schemeClr w14:val="tx1"/>
            </w14:solidFill>
          </w14:textFill>
        </w:rPr>
        <w:t/>
      </w:r>
      <w:r>
        <w:rPr>
          <w:rStyle w:val="9"/>
          <w:rFonts w:hint="default" w:ascii="Times New Roman" w:hAnsi="Times New Roman" w:eastAsia="Times New Roman" w:cs="Times New Roman"/>
          <w:b/>
          <w:bCs w:val="0"/>
          <w:i w:val="0"/>
          <w:iCs w:val="0"/>
          <w:color w:val="000000" w:themeColor="text1"/>
          <w:sz w:val="20"/>
          <w:szCs w:val="20"/>
          <w14:textFill>
            <w14:solidFill>
              <w14:schemeClr w14:val="tx1"/>
            </w14:solidFill>
          </w14:textFill>
        </w:rPr>
        <w:t/>
      </w:r>
      <w:r>
        <w:rPr>
          <w:rFonts w:hint="default" w:ascii="Times New Roman" w:hAnsi="Times New Roman" w:eastAsia="Times New Roman" w:cs="Times New Roman"/>
          <w:b/>
          <w:i w:val="0"/>
          <w:iCs w:val="0"/>
          <w:color w:val="000000" w:themeColor="text1"/>
          <w:sz w:val="20"/>
          <w:szCs w:val="20"/>
          <w14:textFill>
            <w14:solidFill>
              <w14:schemeClr w14:val="tx1"/>
            </w14:solidFill>
          </w14:textFill>
        </w:rPr>
        <w:t xml:space="preserve"/>
      </w:r>
      <w:r>
        <w:rPr>
          <w:rFonts w:hint="default" w:ascii="Times New Roman" w:hAnsi="Times New Roman" w:eastAsia="Times New Roman" w:cs="Times New Roman"/>
          <w:i w:val="0"/>
          <w:iCs w:val="0"/>
          <w:color w:val="000000" w:themeColor="text1"/>
          <w:sz w:val="20"/>
          <w:szCs w:val="20"/>
          <w14:textFill>
            <w14:solidFill>
              <w14:schemeClr w14:val="tx1"/>
            </w14:solidFill>
          </w14:textFill>
        </w:rPr>
        <w:t/>
      </w:r>
      <w:r>
        <w:rPr>
          <w:rFonts w:hint="default" w:ascii="Times New Roman" w:hAnsi="Times New Roman" w:eastAsia="Times New Roman" w:cs="Times New Roman"/>
          <w:i w:val="0"/>
          <w:iCs w:val="0"/>
          <w:color w:val="000000" w:themeColor="text1"/>
          <w:sz w:val="20"/>
          <w:szCs w:val="20"/>
          <w:lang w:val="en-US"/>
          <w14:textFill>
            <w14:solidFill>
              <w14:schemeClr w14:val="tx1"/>
            </w14:solidFill>
          </w14:textFill>
        </w:rPr>
        <w:t xml:space="preserve"/>
      </w:r>
      <w:r>
        <w:rPr>
          <w:rFonts w:hint="default" w:ascii="Times New Roman" w:hAnsi="Times New Roman" w:eastAsia="Times New Roman" w:cs="Times New Roman"/>
          <w:i w:val="0"/>
          <w:iCs w:val="0"/>
          <w:color w:val="000000" w:themeColor="text1"/>
          <w:sz w:val="20"/>
          <w:szCs w:val="20"/>
          <w14:textFill>
            <w14:solidFill>
              <w14:schemeClr w14:val="tx1"/>
            </w14:solidFill>
          </w14:textFill>
        </w:rPr>
        <w:t/>
      </w:r>
      <w:r>
        <w:rPr>
          <w:rFonts w:hint="default" w:ascii="Times New Roman" w:hAnsi="Times New Roman" w:eastAsia="Times New Roman" w:cs="Times New Roman"/>
          <w:i w:val="0"/>
          <w:iCs w:val="0"/>
          <w:color w:val="000000" w:themeColor="text1"/>
          <w:sz w:val="20"/>
          <w:szCs w:val="20"/>
          <w:lang w:val="en-US"/>
          <w14:textFill>
            <w14:solidFill>
              <w14:schemeClr w14:val="tx1"/>
            </w14:solidFill>
          </w14:textFill>
        </w:rPr>
        <w:t/>
      </w:r>
    </w:p>
    <w:p w14:paraId="124C38F0">
      <w:pPr>
        <w:spacing w:after="0" w:line="240" w:lineRule="auto"/>
        <w:jc w:val="both"/>
        <w:rPr>
          <w:rFonts w:hint="default" w:ascii="Times New Roman" w:hAnsi="Times New Roman" w:eastAsia="Times New Roman" w:cs="Times New Roman"/>
          <w:i w:val="0"/>
          <w:iCs w:val="0"/>
          <w:color w:val="000000" w:themeColor="text1"/>
          <w:sz w:val="20"/>
          <w:szCs w:val="20"/>
          <w:lang w:val="en-US"/>
          <w14:textFill>
            <w14:solidFill>
              <w14:schemeClr w14:val="tx1"/>
            </w14:solidFill>
          </w14:textFill>
        </w:rPr>
      </w:pPr>
    </w:p>
    <w:p w14:paraId="29DFED3E">
      <w:pPr>
        <w:spacing w:line="240" w:lineRule="auto"/>
        <w:jc w:val="both"/>
        <w:rPr>
          <w:rFonts w:hint="default" w:ascii="Times New Roman" w:hAnsi="Times New Roman" w:eastAsia="Times New Roman" w:cs="Times New Roman"/>
          <w:b w:val="0"/>
          <w:bCs/>
          <w:sz w:val="20"/>
          <w:szCs w:val="20"/>
          <w:lang w:val="en-US"/>
        </w:rPr>
      </w:pPr>
      <w:r>
        <w:rPr>
          <w:rFonts w:hint="default" w:ascii="Times New Roman" w:hAnsi="Times New Roman" w:eastAsia="Times New Roman" w:cs="Times New Roman"/>
          <w:b/>
          <w:sz w:val="20"/>
          <w:szCs w:val="20"/>
          <w:lang w:val="en-US"/>
        </w:rPr>
        <w:t/>
      </w:r>
      <w:r>
        <w:rPr>
          <w:rFonts w:hint="default" w:ascii="Times New Roman" w:hAnsi="Times New Roman" w:eastAsia="Times New Roman" w:cs="Times New Roman"/>
          <w:b w:val="0"/>
          <w:bCs/>
          <w:sz w:val="20"/>
          <w:szCs w:val="20"/>
          <w:lang w:val="en-US"/>
        </w:rPr>
        <w:t xml:space="preserve"/>
      </w:r>
      <w:r>
        <w:rPr>
          <w:rFonts w:hint="default" w:ascii="Times New Roman" w:hAnsi="Times New Roman" w:eastAsia="Times New Roman" w:cs="Times New Roman"/>
          <w:b w:val="0"/>
          <w:bCs/>
          <w:sz w:val="20"/>
          <w:szCs w:val="20"/>
          <w:lang w:val="en-US"/>
        </w:rPr>
        <w:t xml:space="preserve"/>
      </w:r>
      <w:r>
        <w:rPr>
          <w:rFonts w:hint="default" w:ascii="Times New Roman" w:hAnsi="Times New Roman" w:eastAsia="Times New Roman" w:cs="Times New Roman"/>
          <w:b w:val="0"/>
          <w:bCs/>
          <w:sz w:val="20"/>
          <w:szCs w:val="20"/>
          <w:lang w:val="en-US"/>
        </w:rPr>
        <w:t/>
      </w:r>
      <w:r>
        <w:rPr>
          <w:rFonts w:hint="default" w:ascii="Times New Roman" w:hAnsi="Times New Roman" w:eastAsia="Times New Roman" w:cs="Times New Roman"/>
          <w:b/>
          <w:sz w:val="20"/>
          <w:szCs w:val="20"/>
          <w:lang w:val="en-US"/>
        </w:rPr>
        <w:t/>
      </w:r>
      <w:r>
        <w:rPr>
          <w:rFonts w:hint="default" w:ascii="Times New Roman" w:hAnsi="Times New Roman" w:eastAsia="Times New Roman" w:cs="Times New Roman"/>
          <w:b w:val="0"/>
          <w:bCs/>
          <w:sz w:val="20"/>
          <w:szCs w:val="20"/>
          <w:lang w:val="en-US"/>
        </w:rPr>
        <w:t xml:space="preserve"/>
      </w:r>
    </w:p>
    <w:p w14:paraId="74122378">
      <w:pPr>
        <w:spacing w:line="480" w:lineRule="auto"/>
        <w:jc w:val="both"/>
        <w:rPr>
          <w:rFonts w:hint="default" w:ascii="Times New Roman" w:hAnsi="Times New Roman" w:eastAsia="Times New Roman" w:cs="Times New Roman"/>
          <w:b/>
          <w:sz w:val="20"/>
          <w:szCs w:val="20"/>
        </w:rPr>
      </w:pPr>
    </w:p>
    <w:p w14:paraId="34F4CC10">
      <w:pPr>
        <w:spacing w:line="480" w:lineRule="auto"/>
        <w:jc w:val="both"/>
        <w:rPr>
          <w:rFonts w:hint="default" w:ascii="Times New Roman" w:hAnsi="Times New Roman" w:eastAsia="Times New Roman" w:cs="Times New Roman"/>
          <w:b/>
          <w:sz w:val="20"/>
          <w:szCs w:val="20"/>
        </w:rPr>
      </w:pPr>
      <w:r>
        <w:rPr>
          <w:rFonts w:hint="default" w:ascii="Times New Roman" w:hAnsi="Times New Roman" w:eastAsia="Times New Roman" w:cs="Times New Roman"/>
          <w:b/>
          <w:sz w:val="20"/>
          <w:szCs w:val="20"/>
        </w:rPr>
        <w:t>INTRODUCTION</w:t>
      </w:r>
    </w:p>
    <w:p w14:paraId="587BC045">
      <w:pPr>
        <w:spacing w:after="0" w:line="480" w:lineRule="auto"/>
        <w:jc w:val="both"/>
        <w:rPr>
          <w:rFonts w:hint="default" w:ascii="Times New Roman" w:hAnsi="Times New Roman" w:eastAsia="Times New Roman" w:cs="Times New Roman"/>
          <w:sz w:val="20"/>
          <w:szCs w:val="20"/>
          <w:lang w:eastAsia="en-US"/>
        </w:rPr>
      </w:pPr>
      <w:r>
        <w:rPr>
          <w:rFonts w:hint="default" w:ascii="Times New Roman" w:hAnsi="Times New Roman" w:eastAsia="Times New Roman" w:cs="Times New Roman"/>
          <w:sz w:val="20"/>
          <w:szCs w:val="20"/>
          <w:lang w:eastAsia="en-US"/>
        </w:rPr>
        <w:t>Nutraceuticals are now at the forefront of modern medicine due to the increased interest in illness prevention, health maintenance, and individualized healthcare</w:t>
      </w:r>
      <w:r>
        <w:rPr>
          <w:rFonts w:hint="default" w:ascii="Times New Roman" w:hAnsi="Times New Roman" w:eastAsia="Times New Roman" w:cs="Times New Roman"/>
          <w:sz w:val="20"/>
          <w:szCs w:val="20"/>
          <w:lang w:val="en-US" w:eastAsia="en-US"/>
        </w:rPr>
        <w:t xml:space="preserve"> </w:t>
      </w:r>
      <w:r>
        <w:rPr>
          <w:rFonts w:hint="default" w:ascii="Times New Roman" w:hAnsi="Times New Roman" w:eastAsia="Times New Roman" w:cs="Times New Roman"/>
          <w:sz w:val="20"/>
          <w:szCs w:val="20"/>
          <w:lang w:val="en-US" w:eastAsia="en-US"/>
        </w:rPr>
        <w:fldChar w:fldCharType="begin" w:fldLock="1"/>
      </w:r>
      <w:r>
        <w:rPr>
          <w:rFonts w:hint="default" w:ascii="Times New Roman" w:hAnsi="Times New Roman" w:eastAsia="Times New Roman" w:cs="Times New Roman"/>
          <w:sz w:val="20"/>
          <w:szCs w:val="20"/>
          <w:lang w:val="en-US" w:eastAsia="en-US"/>
        </w:rPr>
        <w:instrText xml:space="preserve">ADDIN CSL_CITATION {"citationItems":[{"id":"ITEM-1","itemData":{"DOI":"10.36349/easjnfs.2021.v03i05.004","author":[{"dropping-particle":"","family":"Dlamini","given":"Nomfundo","non-dropping-particle":"","parse-names":false,"suffix":""},{"dropping-particle":"","family":"Andago","given":"Angela A","non-dropping-particle":"","parse-names":false,"suffix":""},{"dropping-particle":"","family":"Ngala","given":"Sophia","non-dropping-particle":"","parse-names":false,"suffix":""},{"dropping-particle":"","family":"Junior","given":"Paul","non-dropping-particle":"","parse-names":false,"suffix":""}],"id":"ITEM-1","issue":"5","issued":{"date-parts":[["2021"]]},"page":"110-124","title":"Knowledge , Perception and Practices on Dietary Supplement Use among Adults in Westlands Constituency , Kenya","type":"article-journal","volume":"1873"},"uris":["http://www.mendeley.com/documents/?uuid=a301788d-9314-4387-9aee-bbd00597995f"]}],"mendeley":{"formattedCitation":"(Dlamini et al., 2021)","plainTextFormattedCitation":"(Dlamini et al., 2021)","previouslyFormattedCitation":"(Dlamini et al., 2021)"},"properties":{"noteIndex":0},"schema":"https://github.com/citation-style-language/schema/raw/master/csl-citation.json"}</w:instrText>
      </w:r>
      <w:r>
        <w:rPr>
          <w:rFonts w:hint="default" w:ascii="Times New Roman" w:hAnsi="Times New Roman" w:eastAsia="Times New Roman" w:cs="Times New Roman"/>
          <w:sz w:val="20"/>
          <w:szCs w:val="20"/>
          <w:lang w:val="en-US" w:eastAsia="en-US"/>
        </w:rPr>
        <w:fldChar w:fldCharType="separate"/>
      </w:r>
      <w:r>
        <w:rPr>
          <w:rFonts w:hint="default" w:ascii="Times New Roman" w:hAnsi="Times New Roman" w:eastAsia="Times New Roman" w:cs="Times New Roman"/>
          <w:b w:val="0"/>
          <w:i w:val="0"/>
          <w:smallCaps w:val="0"/>
          <w:sz w:val="20"/>
          <w:szCs w:val="20"/>
          <w:u w:val="none"/>
          <w:lang w:val="en-US" w:eastAsia="en-US"/>
        </w:rPr>
        <w:t>(Dlamini et al., 2021)</w:t>
      </w:r>
      <w:r>
        <w:rPr>
          <w:rFonts w:hint="default" w:ascii="Times New Roman" w:hAnsi="Times New Roman" w:eastAsia="Times New Roman" w:cs="Times New Roman"/>
          <w:sz w:val="20"/>
          <w:szCs w:val="20"/>
          <w:lang w:val="en-US" w:eastAsia="en-US"/>
        </w:rPr>
        <w:fldChar w:fldCharType="end"/>
      </w:r>
      <w:r>
        <w:rPr>
          <w:rFonts w:hint="default" w:ascii="Times New Roman" w:hAnsi="Times New Roman" w:eastAsia="Times New Roman" w:cs="Times New Roman"/>
          <w:sz w:val="20"/>
          <w:szCs w:val="20"/>
          <w:lang w:eastAsia="en-US"/>
        </w:rPr>
        <w:t xml:space="preserve">. Food-derived products that offer physiological benefits and protection against chronic diseases are referred to as nutraceuticals, a term derived from the words "nutrition" and "pharmaceuticals" </w:t>
      </w:r>
      <w:r>
        <w:rPr>
          <w:rFonts w:hint="default" w:ascii="Times New Roman" w:hAnsi="Times New Roman" w:eastAsia="Times New Roman" w:cs="Times New Roman"/>
          <w:sz w:val="20"/>
          <w:szCs w:val="20"/>
          <w:lang w:eastAsia="en-US"/>
        </w:rPr>
        <w:fldChar w:fldCharType="begin" w:fldLock="1"/>
      </w:r>
      <w:r>
        <w:rPr>
          <w:rFonts w:hint="default" w:ascii="Times New Roman" w:hAnsi="Times New Roman" w:eastAsia="Times New Roman" w:cs="Times New Roman"/>
          <w:sz w:val="20"/>
          <w:szCs w:val="20"/>
          <w:lang w:eastAsia="en-US"/>
        </w:rPr>
        <w:instrText xml:space="preserve">ADDIN CSL_CITATION {"citationItems":[{"id":"ITEM-1","itemData":{"DOI":"10.1080/17512433.2019.1552135","ISSN":"1751-2433","author":[{"dropping-particle":"","family":"Daliu","given":"Patricia","non-dropping-particle":"","parse-names":false,"suffix":""},{"dropping-particle":"","family":"Santini","given":"Antonello","non-dropping-particle":"","parse-names":false,"suffix":""},{"dropping-particle":"","family":"Novellino","given":"Ettore","non-dropping-particle":"","parse-names":false,"suffix":""}],"container-title":"Expert Review of Clinical Pharmacology","id":"ITEM-1","issue":"00","issued":{"date-parts":[["2019"]]},"page":"1-7","publisher":"Taylor &amp; Francis","title":"From pharmaceuticals to nutraceuticals : bridging disease prevention and management","type":"article-journal","volume":"00"},"uris":["http://www.mendeley.com/documents/?uuid=fe3e5780-0d23-4aa0-b656-c55159b73fe1"]}],"mendeley":{"formattedCitation":"(Daliu et al., 2019)","plainTextFormattedCitation":"(Daliu et al., 2019)","previouslyFormattedCitation":"(Daliu et al., 2019)"},"properties":{"noteIndex":0},"schema":"https://github.com/citation-style-language/schema/raw/master/csl-citation.json"}</w:instrText>
      </w:r>
      <w:r>
        <w:rPr>
          <w:rFonts w:hint="default" w:ascii="Times New Roman" w:hAnsi="Times New Roman" w:eastAsia="Times New Roman" w:cs="Times New Roman"/>
          <w:sz w:val="20"/>
          <w:szCs w:val="20"/>
          <w:lang w:eastAsia="en-US"/>
        </w:rPr>
        <w:fldChar w:fldCharType="separate"/>
      </w:r>
      <w:r>
        <w:rPr>
          <w:rFonts w:hint="default" w:ascii="Times New Roman" w:hAnsi="Times New Roman" w:eastAsia="Times New Roman" w:cs="Times New Roman"/>
          <w:b w:val="0"/>
          <w:i w:val="0"/>
          <w:smallCaps w:val="0"/>
          <w:sz w:val="20"/>
          <w:szCs w:val="20"/>
          <w:u w:val="none"/>
          <w:lang w:val="en-US" w:eastAsia="en-US"/>
        </w:rPr>
        <w:t>(Daliu et al., 2019)</w:t>
      </w:r>
      <w:r>
        <w:rPr>
          <w:rFonts w:hint="default" w:ascii="Times New Roman" w:hAnsi="Times New Roman" w:eastAsia="Times New Roman" w:cs="Times New Roman"/>
          <w:sz w:val="20"/>
          <w:szCs w:val="20"/>
          <w:lang w:eastAsia="en-US"/>
        </w:rPr>
        <w:fldChar w:fldCharType="end"/>
      </w:r>
      <w:r>
        <w:rPr>
          <w:rFonts w:hint="default" w:ascii="Times New Roman" w:hAnsi="Times New Roman" w:eastAsia="Times New Roman" w:cs="Times New Roman"/>
          <w:sz w:val="20"/>
          <w:szCs w:val="20"/>
          <w:lang w:eastAsia="en-US"/>
        </w:rPr>
        <w:t>. These goods, which contain separated or refined food ingredients, are frequently sold as medications in the form of tablets, capsules, or powders and are not usually connected to everyday foods</w:t>
      </w:r>
      <w:r>
        <w:rPr>
          <w:rFonts w:hint="default" w:ascii="Times New Roman" w:hAnsi="Times New Roman" w:eastAsia="Times New Roman" w:cs="Times New Roman"/>
          <w:sz w:val="20"/>
          <w:szCs w:val="20"/>
          <w:lang w:eastAsia="en-US"/>
        </w:rPr>
        <w:fldChar w:fldCharType="begin" w:fldLock="1"/>
      </w:r>
      <w:r>
        <w:rPr>
          <w:rFonts w:hint="default" w:ascii="Times New Roman" w:hAnsi="Times New Roman" w:eastAsia="Times New Roman" w:cs="Times New Roman"/>
          <w:sz w:val="20"/>
          <w:szCs w:val="20"/>
          <w:lang w:eastAsia="en-US"/>
        </w:rPr>
        <w:instrText xml:space="preserve">ADDIN CSL_CITATION {"citationItems":[{"id":"ITEM-1","itemData":{"DOI":"10.1080/17512433.2019.1552135","ISSN":"1751-2433","author":[{"dropping-particle":"","family":"Daliu","given":"Patricia","non-dropping-particle":"","parse-names":false,"suffix":""},{"dropping-particle":"","family":"Santini","given":"Antonello","non-dropping-particle":"","parse-names":false,"suffix":""},{"dropping-particle":"","family":"Novellino","given":"Ettore","non-dropping-particle":"","parse-names":false,"suffix":""}],"container-title":"Expert Review of Clinical Pharmacology","id":"ITEM-1","issue":"00","issued":{"date-parts":[["2019"]]},"page":"1-7","publisher":"Taylor &amp; Francis","title":"From pharmaceuticals to nutraceuticals : bridging disease prevention and management","type":"article-journal","volume":"00"},"uris":["http://www.mendeley.com/documents/?uuid=fe3e5780-0d23-4aa0-b656-c55159b73fe1"]},{"id":"ITEM-2","itemData":{"DOI":"10.52768/2833-2725/1049","abstract":"Drug is an essential part of health care services yet their misuse and/or abuse constitutes a very serious public health and security problem that obstructs the socio-economic development of people, especially youths in the society.","author":[{"dropping-particle":"","family":"R","given":"Abazie Nneka","non-dropping-particle":"","parse-names":false,"suffix":""},{"dropping-particle":"","family":"Nnenna","given":"Ajagu","non-dropping-particle":"","parse-names":false,"suffix":""}],"container-title":"Open Journal of Clinical and Medical Images","id":"ITEM-2","issue":"1","issued":{"date-parts":[["2022","6","9"]]},"publisher":"Open Source Publications","title":"Knowledge and perception of university students on drug Abuse in Delta State, South-South, Nigeria","type":"article-journal","volume":"2"},"uris":["http://www.mendeley.com/documents/?uuid=176e9601-2868-3b43-9219-94b681ae5b59"]}],"mendeley":{"formattedCitation":"(Daliu et al., 2019; R &amp; Nnenna, 2022)","plainTextFormattedCitation":"(Daliu et al., 2019; R &amp; Nnenna, 2022)","previouslyFormattedCitation":"(Daliu et al., 2019; R &amp; Nnenna, 2022)"},"properties":{"noteIndex":0},"schema":"https://github.com/citation-style-language/schema/raw/master/csl-citation.json"}</w:instrText>
      </w:r>
      <w:r>
        <w:rPr>
          <w:rFonts w:hint="default" w:ascii="Times New Roman" w:hAnsi="Times New Roman" w:eastAsia="Times New Roman" w:cs="Times New Roman"/>
          <w:sz w:val="20"/>
          <w:szCs w:val="20"/>
          <w:lang w:eastAsia="en-US"/>
        </w:rPr>
        <w:fldChar w:fldCharType="separate"/>
      </w:r>
      <w:r>
        <w:rPr>
          <w:rFonts w:hint="default" w:ascii="Times New Roman" w:hAnsi="Times New Roman" w:eastAsia="Times New Roman" w:cs="Times New Roman"/>
          <w:b w:val="0"/>
          <w:i w:val="0"/>
          <w:smallCaps w:val="0"/>
          <w:sz w:val="20"/>
          <w:szCs w:val="20"/>
          <w:u w:val="none"/>
          <w:lang w:val="en-US" w:eastAsia="en-US"/>
        </w:rPr>
        <w:t>(Daliu et al., 2019; R &amp; Nnenna, 2022)</w:t>
      </w:r>
      <w:r>
        <w:rPr>
          <w:rFonts w:hint="default" w:ascii="Times New Roman" w:hAnsi="Times New Roman" w:eastAsia="Times New Roman" w:cs="Times New Roman"/>
          <w:sz w:val="20"/>
          <w:szCs w:val="20"/>
          <w:lang w:eastAsia="en-US"/>
        </w:rPr>
        <w:fldChar w:fldCharType="end"/>
      </w:r>
      <w:r>
        <w:rPr>
          <w:rFonts w:hint="default" w:ascii="Times New Roman" w:hAnsi="Times New Roman" w:eastAsia="Times New Roman" w:cs="Times New Roman"/>
          <w:sz w:val="20"/>
          <w:szCs w:val="20"/>
          <w:lang w:eastAsia="en-US"/>
        </w:rPr>
        <w:t>. Despite their widespread use around the world, nutraceuticals are not a separate regulatory category in nations such as the United States; rather, they are regulated by the Food and Drug Administration (FDA) under the Federal Food, Drug, and Cosmetic Act, which governs dietary supplements and food additives</w:t>
      </w:r>
      <w:r>
        <w:rPr>
          <w:rFonts w:hint="default" w:ascii="Times New Roman" w:hAnsi="Times New Roman" w:eastAsia="Times New Roman" w:cs="Times New Roman"/>
          <w:sz w:val="20"/>
          <w:szCs w:val="20"/>
          <w:lang w:eastAsia="en-US"/>
        </w:rPr>
        <w:fldChar w:fldCharType="begin" w:fldLock="1"/>
      </w:r>
      <w:r>
        <w:rPr>
          <w:rFonts w:hint="default" w:ascii="Times New Roman" w:hAnsi="Times New Roman" w:eastAsia="Times New Roman" w:cs="Times New Roman"/>
          <w:sz w:val="20"/>
          <w:szCs w:val="20"/>
          <w:lang w:eastAsia="en-US"/>
        </w:rPr>
        <w:instrText xml:space="preserve">ADDIN CSL_CITATION {"citationItems":[{"id":"ITEM-1","itemData":{"URL":"https://www.fda.gov/regulatory-information/laws-enforced-fda/federal-food-drug-and-cosmetic-act-fdc-act","accessed":{"date-parts":[["2026","3","10"]]},"id":"ITEM-1","issued":{"date-parts":[["0"]]},"title":"Federal Food, Drug, and Cosmetic Act (FD&amp;C Act) | FDA","type":"webpage"},"uris":["http://www.mendeley.com/documents/?uuid=f60c31ce-e982-3aa0-95ff-f5ef5cd5396a"]}],"mendeley":{"formattedCitation":"(&lt;i&gt;Federal Food, Drug, and Cosmetic Act (FD&amp;C Act) | FDA&lt;/i&gt;, n.d.)","manualFormatting":"(FD&amp;C Act,). ","plainTextFormattedCitation":"(Federal Food, Drug, and Cosmetic Act (FD&amp;C Act) | FDA, n.d.)","previouslyFormattedCitation":"(&lt;i&gt;Federal Food, Drug, and Cosmetic Act (FD&amp;C Act) | FDA&lt;/i&gt;, n.d.)"},"properties":{"noteIndex":0},"schema":"https://github.com/citation-style-language/schema/raw/master/csl-citation.json"}</w:instrText>
      </w:r>
      <w:r>
        <w:rPr>
          <w:rFonts w:hint="default" w:ascii="Times New Roman" w:hAnsi="Times New Roman" w:eastAsia="Times New Roman" w:cs="Times New Roman"/>
          <w:sz w:val="20"/>
          <w:szCs w:val="20"/>
          <w:lang w:eastAsia="en-US"/>
        </w:rPr>
        <w:fldChar w:fldCharType="separate"/>
      </w:r>
      <w:r>
        <w:rPr>
          <w:rFonts w:hint="default" w:ascii="Times New Roman" w:hAnsi="Times New Roman" w:eastAsia="Times New Roman" w:cs="Times New Roman"/>
          <w:b w:val="0"/>
          <w:i/>
          <w:smallCaps w:val="0"/>
          <w:sz w:val="20"/>
          <w:szCs w:val="20"/>
          <w:u w:val="none"/>
          <w:lang w:val="en-US" w:eastAsia="en-US"/>
        </w:rPr>
        <w:t xml:space="preserve">(FD&amp;C Act,2008). </w:t>
      </w:r>
      <w:r>
        <w:rPr>
          <w:rFonts w:hint="default" w:ascii="Times New Roman" w:hAnsi="Times New Roman" w:eastAsia="Times New Roman" w:cs="Times New Roman"/>
          <w:sz w:val="20"/>
          <w:szCs w:val="20"/>
          <w:lang w:eastAsia="en-US"/>
        </w:rPr>
        <w:fldChar w:fldCharType="end"/>
      </w:r>
      <w:r>
        <w:rPr>
          <w:rFonts w:hint="default" w:ascii="Times New Roman" w:hAnsi="Times New Roman" w:eastAsia="Times New Roman" w:cs="Times New Roman"/>
          <w:sz w:val="20"/>
          <w:szCs w:val="20"/>
          <w:lang w:eastAsia="en-US"/>
        </w:rPr>
        <w:t xml:space="preserve">Nutritional supplements are also defined under the Dietary Supplement Health and Education Act of 1994 as oral items that contain nutritional elements, such as vitamins, minerals, plant extracts, and amino acids, with the purpose of enhancing the human diet </w:t>
      </w:r>
      <w:r>
        <w:rPr>
          <w:rFonts w:hint="default" w:ascii="Times New Roman" w:hAnsi="Times New Roman" w:eastAsia="Times New Roman" w:cs="Times New Roman"/>
          <w:sz w:val="20"/>
          <w:szCs w:val="20"/>
          <w:lang w:eastAsia="en-US"/>
        </w:rPr>
        <w:fldChar w:fldCharType="begin" w:fldLock="1"/>
      </w:r>
      <w:r>
        <w:rPr>
          <w:rFonts w:hint="default" w:ascii="Times New Roman" w:hAnsi="Times New Roman" w:eastAsia="Times New Roman" w:cs="Times New Roman"/>
          <w:sz w:val="20"/>
          <w:szCs w:val="20"/>
          <w:lang w:eastAsia="en-US"/>
        </w:rPr>
        <w:instrText xml:space="preserve">ADDIN CSL_CITATION {"citationItems":[{"id":"ITEM-1","itemData":{"URL":"https://ods.od.nih.gov/About/DSHEA_Wording.aspx","accessed":{"date-parts":[["2026","3","10"]]},"id":"ITEM-1","issued":{"date-parts":[["0"]]},"title":"Dietary Supplement Health and Education Act of 1994","type":"webpage"},"uris":["http://www.mendeley.com/documents/?uuid=a00ca449-8d54-303f-a110-d2e82d53b0ac"]}],"mendeley":{"formattedCitation":"(&lt;i&gt;Dietary Supplement Health and Education Act of 1994&lt;/i&gt;, n.d.)","manualFormatting":"(Dietary Supplement Health and Education Act, 1994)","plainTextFormattedCitation":"(Dietary Supplement Health and Education Act of 1994, n.d.)","previouslyFormattedCitation":"(&lt;i&gt;Dietary Supplement Health and Education Act of 1994&lt;/i&gt;, n.d.)"},"properties":{"noteIndex":0},"schema":"https://github.com/citation-style-language/schema/raw/master/csl-citation.json"}</w:instrText>
      </w:r>
      <w:r>
        <w:rPr>
          <w:rFonts w:hint="default" w:ascii="Times New Roman" w:hAnsi="Times New Roman" w:eastAsia="Times New Roman" w:cs="Times New Roman"/>
          <w:sz w:val="20"/>
          <w:szCs w:val="20"/>
          <w:lang w:eastAsia="en-US"/>
        </w:rPr>
        <w:fldChar w:fldCharType="separate"/>
      </w:r>
      <w:r>
        <w:rPr>
          <w:rFonts w:hint="default" w:ascii="Times New Roman" w:hAnsi="Times New Roman" w:eastAsia="Times New Roman" w:cs="Times New Roman"/>
          <w:b w:val="0"/>
          <w:i w:val="0"/>
          <w:smallCaps w:val="0"/>
          <w:sz w:val="20"/>
          <w:szCs w:val="20"/>
          <w:u w:val="none"/>
          <w:lang w:val="en-US" w:eastAsia="en-US"/>
        </w:rPr>
        <w:t>(</w:t>
      </w:r>
      <w:r>
        <w:rPr>
          <w:rFonts w:hint="default" w:ascii="Times New Roman" w:hAnsi="Times New Roman" w:eastAsia="Times New Roman" w:cs="Times New Roman"/>
          <w:b w:val="0"/>
          <w:i/>
          <w:smallCaps w:val="0"/>
          <w:sz w:val="20"/>
          <w:szCs w:val="20"/>
          <w:u w:val="none"/>
          <w:lang w:val="en-US" w:eastAsia="en-US"/>
        </w:rPr>
        <w:t>Dietary Supplement Health and Education Act, 1994</w:t>
      </w:r>
      <w:r>
        <w:rPr>
          <w:rFonts w:hint="default" w:ascii="Times New Roman" w:hAnsi="Times New Roman" w:eastAsia="Times New Roman" w:cs="Times New Roman"/>
          <w:b w:val="0"/>
          <w:i w:val="0"/>
          <w:smallCaps w:val="0"/>
          <w:sz w:val="20"/>
          <w:szCs w:val="20"/>
          <w:u w:val="none"/>
          <w:lang w:val="en-US" w:eastAsia="en-US"/>
        </w:rPr>
        <w:t>)</w:t>
      </w:r>
      <w:r>
        <w:rPr>
          <w:rFonts w:hint="default" w:ascii="Times New Roman" w:hAnsi="Times New Roman" w:eastAsia="Times New Roman" w:cs="Times New Roman"/>
          <w:sz w:val="20"/>
          <w:szCs w:val="20"/>
          <w:lang w:eastAsia="en-US"/>
        </w:rPr>
        <w:fldChar w:fldCharType="end"/>
      </w:r>
      <w:r>
        <w:rPr>
          <w:rFonts w:hint="default" w:ascii="Times New Roman" w:hAnsi="Times New Roman" w:eastAsia="Times New Roman" w:cs="Times New Roman"/>
          <w:sz w:val="20"/>
          <w:szCs w:val="20"/>
          <w:lang w:eastAsia="en-US"/>
        </w:rPr>
        <w:t>.</w:t>
      </w:r>
    </w:p>
    <w:p w14:paraId="2F48C7CA">
      <w:pPr>
        <w:spacing w:after="0" w:line="480" w:lineRule="auto"/>
        <w:jc w:val="both"/>
        <w:rPr>
          <w:rFonts w:hint="default" w:ascii="Times New Roman" w:hAnsi="Times New Roman" w:eastAsia="Times New Roman" w:cs="Times New Roman"/>
          <w:sz w:val="20"/>
          <w:szCs w:val="20"/>
          <w:lang w:eastAsia="en-US"/>
        </w:rPr>
      </w:pPr>
      <w:r>
        <w:rPr>
          <w:rFonts w:hint="default" w:ascii="Times New Roman" w:hAnsi="Times New Roman" w:eastAsia="Times New Roman" w:cs="Times New Roman"/>
          <w:sz w:val="20"/>
          <w:szCs w:val="20"/>
          <w:lang w:eastAsia="en-US"/>
        </w:rPr>
        <w:t>Nutraceuticals are becoming more and more popular, yet there are still serious issues with consumer safety, governmental control, and product quality</w:t>
      </w:r>
      <w:r>
        <w:rPr>
          <w:rFonts w:hint="default" w:ascii="Times New Roman" w:hAnsi="Times New Roman" w:eastAsia="Times New Roman" w:cs="Times New Roman"/>
          <w:sz w:val="20"/>
          <w:szCs w:val="20"/>
          <w:lang w:eastAsia="en-US"/>
        </w:rPr>
        <w:fldChar w:fldCharType="begin" w:fldLock="1"/>
      </w:r>
      <w:r>
        <w:rPr>
          <w:rFonts w:hint="default" w:ascii="Times New Roman" w:hAnsi="Times New Roman" w:eastAsia="Times New Roman" w:cs="Times New Roman"/>
          <w:sz w:val="20"/>
          <w:szCs w:val="20"/>
          <w:lang w:eastAsia="en-US"/>
        </w:rPr>
        <w:instrText xml:space="preserve">ADDIN CSL_CITATION {"citationItems":[{"id":"ITEM-1","itemData":{"DOI":"10.1080/10408398.2018.1524364","ISSN":"15497852","PMID":"30421981","abstract":"The U.S. Dietary Supplement Health and Education Act (DSHEA) established the regulatory framework for dietary supplements as foods through the Food and Drug Administration (FDA). DSHEA outlined the legal definition, labeling requirements, and process for adverse event reporting for dietary supplements. FDA also issued formal guidance on current Good Manufacturing Practice to ensure that processes for preparation, packaging, labeling, and storage of supplements and ingredients are documented and meet specifications to ensure purity, composition, and strength. However, efficacy of dietary supplements is not required under U.S. law. Despite regulations to improve the marketplace, many challenges remain; as a result, the quality and safety of products available can be highly variable, especially for botanical and herbal products. The ability of regulators to successfully carry out their mission is hampered by the sheer number of products and manufacturing facilities and a lack of analytical methods for all ingredients and products in the marketplace, this is especially difficult for herbal and botanical dietary supplements. Safety issues continue to exist such as adulteration and contamination, especially with specific product types (i.e. body building, sexual enhancement). Thus, a need remains for continued efforts and improved techniques to assess the quality of dietary supplements, especially with regard to purity, bioavailability, and safety. This review will highlight the existing American regulatory framework for dietary supplements and will describe the remaining regulatory barriers to ensuring that safe and high-quality dietary supplements are offered in the marketplace.","author":[{"dropping-particle":"","family":"Bailey","given":"Regan L.","non-dropping-particle":"","parse-names":false,"suffix":""}],"container-title":"Critical reviews in food science and nutrition","id":"ITEM-1","issue":"2","issued":{"date-parts":[["2018","1","19"]]},"page":"298","publisher":"Taylor and Francis Inc.","title":"Current regulatory guidelines and resources to support research of dietary supplements in the United States","type":"article-journal","volume":"60"},"uris":["http://www.mendeley.com/documents/?uuid=98f6490d-a0b9-3890-9baf-c5e3c081f979"]}],"mendeley":{"formattedCitation":"(Bailey, 2018)","plainTextFormattedCitation":"(Bailey, 2018)","previouslyFormattedCitation":"(Bailey, 2018)"},"properties":{"noteIndex":0},"schema":"https://github.com/citation-style-language/schema/raw/master/csl-citation.json"}</w:instrText>
      </w:r>
      <w:r>
        <w:rPr>
          <w:rFonts w:hint="default" w:ascii="Times New Roman" w:hAnsi="Times New Roman" w:eastAsia="Times New Roman" w:cs="Times New Roman"/>
          <w:sz w:val="20"/>
          <w:szCs w:val="20"/>
          <w:lang w:eastAsia="en-US"/>
        </w:rPr>
        <w:fldChar w:fldCharType="separate"/>
      </w:r>
      <w:r>
        <w:rPr>
          <w:rFonts w:hint="default" w:ascii="Times New Roman" w:hAnsi="Times New Roman" w:eastAsia="Times New Roman" w:cs="Times New Roman"/>
          <w:b w:val="0"/>
          <w:i w:val="0"/>
          <w:smallCaps w:val="0"/>
          <w:sz w:val="20"/>
          <w:szCs w:val="20"/>
          <w:u w:val="none"/>
          <w:lang w:val="en-US" w:eastAsia="en-US"/>
        </w:rPr>
        <w:t>(Bailey, 2018)</w:t>
      </w:r>
      <w:r>
        <w:rPr>
          <w:rFonts w:hint="default" w:ascii="Times New Roman" w:hAnsi="Times New Roman" w:eastAsia="Times New Roman" w:cs="Times New Roman"/>
          <w:sz w:val="20"/>
          <w:szCs w:val="20"/>
          <w:lang w:eastAsia="en-US"/>
        </w:rPr>
        <w:fldChar w:fldCharType="end"/>
      </w:r>
      <w:r>
        <w:rPr>
          <w:rFonts w:hint="default" w:ascii="Times New Roman" w:hAnsi="Times New Roman" w:eastAsia="Times New Roman" w:cs="Times New Roman"/>
          <w:sz w:val="20"/>
          <w:szCs w:val="20"/>
          <w:lang w:eastAsia="en-US"/>
        </w:rPr>
        <w:t>. Claims that nutraceutical products are "organic" or include "exotic ingredients" are frequently made in the</w:t>
      </w:r>
      <w:r>
        <w:rPr>
          <w:rFonts w:hint="default" w:ascii="Times New Roman" w:hAnsi="Times New Roman" w:eastAsia="Times New Roman" w:cs="Times New Roman"/>
          <w:sz w:val="20"/>
          <w:szCs w:val="20"/>
          <w:lang w:val="en-US" w:eastAsia="en-US"/>
        </w:rPr>
        <w:t xml:space="preserve"> </w:t>
      </w:r>
      <w:r>
        <w:rPr>
          <w:rFonts w:hint="default" w:ascii="Times New Roman" w:hAnsi="Times New Roman" w:eastAsia="Times New Roman" w:cs="Times New Roman"/>
          <w:sz w:val="20"/>
          <w:szCs w:val="20"/>
          <w:lang w:eastAsia="en-US"/>
        </w:rPr>
        <w:t xml:space="preserve">worldwide marketplace without sufficient proof of their safety or effectiveness </w:t>
      </w:r>
      <w:r>
        <w:rPr>
          <w:rFonts w:hint="default" w:ascii="Times New Roman" w:hAnsi="Times New Roman" w:eastAsia="Times New Roman" w:cs="Times New Roman"/>
          <w:sz w:val="20"/>
          <w:szCs w:val="20"/>
          <w:lang w:eastAsia="en-US"/>
        </w:rPr>
        <w:fldChar w:fldCharType="begin" w:fldLock="1"/>
      </w:r>
      <w:r>
        <w:rPr>
          <w:rFonts w:hint="default" w:ascii="Times New Roman" w:hAnsi="Times New Roman" w:eastAsia="Times New Roman" w:cs="Times New Roman"/>
          <w:sz w:val="20"/>
          <w:szCs w:val="20"/>
          <w:lang w:eastAsia="en-US"/>
        </w:rPr>
        <w:instrText xml:space="preserve">ADDIN CSL_CITATION {"citationItems":[{"id":"ITEM-1","itemData":{"abstract":"© 2020 SERSC. This research paper has addressed an explicit gap in the literature of pharmaceutical industry and healthcare management for a marketing promotion technique, direct-to-consumer advertising (DTCA), which has remained to be an academically neglected area by the scholars of Pakistan. Thus, the purpose of this research was to unearth the prevalence of direct-to-consumer advertising (DTCA) of over-the-counter (OTC) or non-prescription medicines and to assess its impact on consumer purchase behavior. Mixing of two qualitative methods comprising meta synthesis of literature followed by twenty five in-depth qualitative interviews with medical doctors, pharmacists, drug policy developers cum regulators and marketers of OTC medicines, and patients in Karachi-Pakistan (comprising medical doctors, pharmacists, and healthcare marketers) took place. Samples were selected through snowball sampling method, while the data was analyzed through thematic analysis. The research presents quite useful insights as it has revealed that DTCA is exploited by certain unscrupulous circles, which are attempting to market their unlicensed and unregistered medicines while with prior approval, federal drug authority only allows DTCA for only registered OTC medicines and some multivitamin complexes. It was concluded that DTCA has a profound influence only on perceptions and need recognition stage out of the five stages of consumer purchasing model. Thus, pharmaceutical and health industry experts are advised to change their attitude towards DTCA in Pakistan and must avail it as useful means of promotion and branding of medicines in Pakistan in conjunction with such other tools.","author":[{"dropping-particle":"","family":"Qureshi","given":"J.A.","non-dropping-particle":"","parse-names":false,"suffix":""},{"dropping-particle":"","family":"Qureshi","given":"M.A.","non-dropping-particle":"","parse-names":false,"suffix":""},{"dropping-particle":"","family":"Shah","given":"Z.","non-dropping-particle":"","parse-names":false,"suffix":""},{"dropping-particle":"","family":"Ahmed","given":"A.","non-dropping-particle":"","parse-names":false,"suffix":""}],"container-title":"International Journal of Advanced Science and Technology","id":"ITEM-1","issue":"7","issued":{"date-parts":[["2020"]]},"page":"2604-2614","title":"Direct-to-consumer advertising (DTCA) in pharmaceutical industry: An inquiry from public policy to practice and consumers’ perspective","type":"article-journal","volume":"29"},"uris":["http://www.mendeley.com/documents/?uuid=f5264d7c-651c-4737-8808-dda32ada81a1"]}],"mendeley":{"formattedCitation":"(Qureshi et al., 2020)","plainTextFormattedCitation":"(Qureshi et al., 2020)","previouslyFormattedCitation":"(Qureshi et al., 2020)"},"properties":{"noteIndex":0},"schema":"https://github.com/citation-style-language/schema/raw/master/csl-citation.json"}</w:instrText>
      </w:r>
      <w:r>
        <w:rPr>
          <w:rFonts w:hint="default" w:ascii="Times New Roman" w:hAnsi="Times New Roman" w:eastAsia="Times New Roman" w:cs="Times New Roman"/>
          <w:sz w:val="20"/>
          <w:szCs w:val="20"/>
          <w:lang w:eastAsia="en-US"/>
        </w:rPr>
        <w:fldChar w:fldCharType="separate"/>
      </w:r>
      <w:r>
        <w:rPr>
          <w:rFonts w:hint="default" w:ascii="Times New Roman" w:hAnsi="Times New Roman" w:eastAsia="Times New Roman" w:cs="Times New Roman"/>
          <w:b w:val="0"/>
          <w:i w:val="0"/>
          <w:smallCaps w:val="0"/>
          <w:sz w:val="20"/>
          <w:szCs w:val="20"/>
          <w:u w:val="none"/>
          <w:lang w:val="en-US" w:eastAsia="en-US"/>
        </w:rPr>
        <w:t>(Qureshi et al., 2020)</w:t>
      </w:r>
      <w:r>
        <w:rPr>
          <w:rFonts w:hint="default" w:ascii="Times New Roman" w:hAnsi="Times New Roman" w:eastAsia="Times New Roman" w:cs="Times New Roman"/>
          <w:sz w:val="20"/>
          <w:szCs w:val="20"/>
          <w:lang w:eastAsia="en-US"/>
        </w:rPr>
        <w:fldChar w:fldCharType="end"/>
      </w:r>
      <w:r>
        <w:rPr>
          <w:rFonts w:hint="default" w:ascii="Times New Roman" w:hAnsi="Times New Roman" w:eastAsia="Times New Roman" w:cs="Times New Roman"/>
          <w:sz w:val="20"/>
          <w:szCs w:val="20"/>
          <w:lang w:eastAsia="en-US"/>
        </w:rPr>
        <w:t>. Furthermore, these problems are made worse by the fact that many manufacturers put business ahead of quality</w:t>
      </w:r>
      <w:r>
        <w:rPr>
          <w:rFonts w:hint="default" w:ascii="Times New Roman" w:hAnsi="Times New Roman" w:eastAsia="Times New Roman" w:cs="Times New Roman"/>
          <w:sz w:val="20"/>
          <w:szCs w:val="20"/>
          <w:lang w:eastAsia="en-US"/>
        </w:rPr>
        <w:fldChar w:fldCharType="begin" w:fldLock="1"/>
      </w:r>
      <w:r>
        <w:rPr>
          <w:rFonts w:hint="default" w:ascii="Times New Roman" w:hAnsi="Times New Roman" w:eastAsia="Times New Roman" w:cs="Times New Roman"/>
          <w:sz w:val="20"/>
          <w:szCs w:val="20"/>
          <w:lang w:eastAsia="en-US"/>
        </w:rPr>
        <w:instrText xml:space="preserve">ADDIN CSL_CITATION {"citationItems":[{"id":"ITEM-1","itemData":{"DOI":"10.1080/10408398.2018.1524364","ISSN":"15497852","PMID":"30421981","abstract":"The U.S. Dietary Supplement Health and Education Act (DSHEA) established the regulatory framework for dietary supplements as foods through the Food and Drug Administration (FDA). DSHEA outlined the legal definition, labeling requirements, and process for adverse event reporting for dietary supplements. FDA also issued formal guidance on current Good Manufacturing Practice to ensure that processes for preparation, packaging, labeling, and storage of supplements and ingredients are documented and meet specifications to ensure purity, composition, and strength. However, efficacy of dietary supplements is not required under U.S. law. Despite regulations to improve the marketplace, many challenges remain; as a result, the quality and safety of products available can be highly variable, especially for botanical and herbal products. The ability of regulators to successfully carry out their mission is hampered by the sheer number of products and manufacturing facilities and a lack of analytical methods for all ingredients and products in the marketplace, this is especially difficult for herbal and botanical dietary supplements. Safety issues continue to exist such as adulteration and contamination, especially with specific product types (i.e. body building, sexual enhancement). Thus, a need remains for continued efforts and improved techniques to assess the quality of dietary supplements, especially with regard to purity, bioavailability, and safety. This review will highlight the existing American regulatory framework for dietary supplements and will describe the remaining regulatory barriers to ensuring that safe and high-quality dietary supplements are offered in the marketplace.","author":[{"dropping-particle":"","family":"Bailey","given":"Regan L.","non-dropping-particle":"","parse-names":false,"suffix":""}],"container-title":"Critical reviews in food science and nutrition","id":"ITEM-1","issue":"2","issued":{"date-parts":[["2018","1","19"]]},"page":"298","publisher":"Taylor and Francis Inc.","title":"Current regulatory guidelines and resources to support research of dietary supplements in the United States","type":"article-journal","volume":"60"},"uris":["http://www.mendeley.com/documents/?uuid=98f6490d-a0b9-3890-9baf-c5e3c081f979"]}],"mendeley":{"formattedCitation":"(Bailey, 2018)","plainTextFormattedCitation":"(Bailey, 2018)","previouslyFormattedCitation":"(Bailey, 2018)"},"properties":{"noteIndex":0},"schema":"https://github.com/citation-style-language/schema/raw/master/csl-citation.json"}</w:instrText>
      </w:r>
      <w:r>
        <w:rPr>
          <w:rFonts w:hint="default" w:ascii="Times New Roman" w:hAnsi="Times New Roman" w:eastAsia="Times New Roman" w:cs="Times New Roman"/>
          <w:sz w:val="20"/>
          <w:szCs w:val="20"/>
          <w:lang w:eastAsia="en-US"/>
        </w:rPr>
        <w:fldChar w:fldCharType="separate"/>
      </w:r>
      <w:r>
        <w:rPr>
          <w:rFonts w:hint="default" w:ascii="Times New Roman" w:hAnsi="Times New Roman" w:eastAsia="Times New Roman" w:cs="Times New Roman"/>
          <w:b w:val="0"/>
          <w:i w:val="0"/>
          <w:smallCaps w:val="0"/>
          <w:sz w:val="20"/>
          <w:szCs w:val="20"/>
          <w:u w:val="none"/>
          <w:lang w:val="en-US" w:eastAsia="en-US"/>
        </w:rPr>
        <w:t>(Bailey, 2018)</w:t>
      </w:r>
      <w:r>
        <w:rPr>
          <w:rFonts w:hint="default" w:ascii="Times New Roman" w:hAnsi="Times New Roman" w:eastAsia="Times New Roman" w:cs="Times New Roman"/>
          <w:sz w:val="20"/>
          <w:szCs w:val="20"/>
          <w:lang w:eastAsia="en-US"/>
        </w:rPr>
        <w:fldChar w:fldCharType="end"/>
      </w:r>
      <w:r>
        <w:rPr>
          <w:rFonts w:hint="default" w:ascii="Times New Roman" w:hAnsi="Times New Roman" w:eastAsia="Times New Roman" w:cs="Times New Roman"/>
          <w:sz w:val="20"/>
          <w:szCs w:val="20"/>
          <w:lang w:eastAsia="en-US"/>
        </w:rPr>
        <w:t xml:space="preserve">. With more than 85,000 </w:t>
      </w:r>
      <w:r>
        <w:rPr>
          <w:rFonts w:hint="default" w:ascii="Times New Roman" w:hAnsi="Times New Roman" w:eastAsia="Times New Roman" w:cs="Times New Roman"/>
          <w:sz w:val="20"/>
          <w:szCs w:val="20"/>
          <w:lang w:val="en-US" w:eastAsia="en-US"/>
        </w:rPr>
        <w:t>Nutraceuticals</w:t>
      </w:r>
      <w:r>
        <w:rPr>
          <w:rFonts w:hint="default" w:ascii="Times New Roman" w:hAnsi="Times New Roman" w:eastAsia="Times New Roman" w:cs="Times New Roman"/>
          <w:sz w:val="20"/>
          <w:szCs w:val="20"/>
          <w:lang w:eastAsia="en-US"/>
        </w:rPr>
        <w:t xml:space="preserve"> already on the market in the United States alone and an estimated 1,000 new items added every year, healthcare professionals are frequently left to shoulder the responsibility of assuring proper administration as the industry grows </w:t>
      </w:r>
      <w:r>
        <w:rPr>
          <w:rFonts w:hint="default" w:ascii="Times New Roman" w:hAnsi="Times New Roman" w:eastAsia="Times New Roman" w:cs="Times New Roman"/>
          <w:sz w:val="20"/>
          <w:szCs w:val="20"/>
          <w:lang w:eastAsia="en-US"/>
        </w:rPr>
        <w:fldChar w:fldCharType="begin" w:fldLock="1"/>
      </w:r>
      <w:r>
        <w:rPr>
          <w:rFonts w:hint="default" w:ascii="Times New Roman" w:hAnsi="Times New Roman" w:eastAsia="Times New Roman" w:cs="Times New Roman"/>
          <w:sz w:val="20"/>
          <w:szCs w:val="20"/>
          <w:lang w:eastAsia="en-US"/>
        </w:rPr>
        <w:instrText xml:space="preserve">ADDIN CSL_CITATION {"citationItems":[{"id":"ITEM-1","itemData":{"DOI":"10.1080/10408398.2018.1524364","ISSN":"15497852","PMID":"30421981","abstract":"The U.S. Dietary Supplement Health and Education Act (DSHEA) established the regulatory framework for dietary supplements as foods through the Food and Drug Administration (FDA). DSHEA outlined the legal definition, labeling requirements, and process for adverse event reporting for dietary supplements. FDA also issued formal guidance on current Good Manufacturing Practice to ensure that processes for preparation, packaging, labeling, and storage of supplements and ingredients are documented and meet specifications to ensure purity, composition, and strength. However, efficacy of dietary supplements is not required under U.S. law. Despite regulations to improve the marketplace, many challenges remain; as a result, the quality and safety of products available can be highly variable, especially for botanical and herbal products. The ability of regulators to successfully carry out their mission is hampered by the sheer number of products and manufacturing facilities and a lack of analytical methods for all ingredients and products in the marketplace, this is especially difficult for herbal and botanical dietary supplements. Safety issues continue to exist such as adulteration and contamination, especially with specific product types (i.e. body building, sexual enhancement). Thus, a need remains for continued efforts and improved techniques to assess the quality of dietary supplements, especially with regard to purity, bioavailability, and safety. This review will highlight the existing American regulatory framework for dietary supplements and will describe the remaining regulatory barriers to ensuring that safe and high-quality dietary supplements are offered in the marketplace.","author":[{"dropping-particle":"","family":"Bailey","given":"Regan L.","non-dropping-particle":"","parse-names":false,"suffix":""}],"container-title":"Critical reviews in food science and nutrition","id":"ITEM-1","issue":"2","issued":{"date-parts":[["2018","1","19"]]},"page":"298","publisher":"Taylor and Francis Inc.","title":"Current regulatory guidelines and resources to support research of dietary supplements in the United States","type":"article-journal","volume":"60"},"uris":["http://www.mendeley.com/documents/?uuid=98f6490d-a0b9-3890-9baf-c5e3c081f979"]}],"mendeley":{"formattedCitation":"(Bailey, 2018)","plainTextFormattedCitation":"(Bailey, 2018)","previouslyFormattedCitation":"(Bailey, 2018)"},"properties":{"noteIndex":0},"schema":"https://github.com/citation-style-language/schema/raw/master/csl-citation.json"}</w:instrText>
      </w:r>
      <w:r>
        <w:rPr>
          <w:rFonts w:hint="default" w:ascii="Times New Roman" w:hAnsi="Times New Roman" w:eastAsia="Times New Roman" w:cs="Times New Roman"/>
          <w:sz w:val="20"/>
          <w:szCs w:val="20"/>
          <w:lang w:eastAsia="en-US"/>
        </w:rPr>
        <w:fldChar w:fldCharType="separate"/>
      </w:r>
      <w:r>
        <w:rPr>
          <w:rFonts w:hint="default" w:ascii="Times New Roman" w:hAnsi="Times New Roman" w:eastAsia="Times New Roman" w:cs="Times New Roman"/>
          <w:b w:val="0"/>
          <w:i w:val="0"/>
          <w:smallCaps w:val="0"/>
          <w:sz w:val="20"/>
          <w:szCs w:val="20"/>
          <w:u w:val="none"/>
          <w:lang w:val="en-US" w:eastAsia="en-US"/>
        </w:rPr>
        <w:t>(Bailey, 2018)</w:t>
      </w:r>
      <w:r>
        <w:rPr>
          <w:rFonts w:hint="default" w:ascii="Times New Roman" w:hAnsi="Times New Roman" w:eastAsia="Times New Roman" w:cs="Times New Roman"/>
          <w:sz w:val="20"/>
          <w:szCs w:val="20"/>
          <w:lang w:eastAsia="en-US"/>
        </w:rPr>
        <w:fldChar w:fldCharType="end"/>
      </w:r>
      <w:r>
        <w:rPr>
          <w:rFonts w:hint="default" w:ascii="Times New Roman" w:hAnsi="Times New Roman" w:eastAsia="Times New Roman" w:cs="Times New Roman"/>
          <w:sz w:val="20"/>
          <w:szCs w:val="20"/>
          <w:lang w:eastAsia="en-US"/>
        </w:rPr>
        <w:t>.</w:t>
      </w:r>
    </w:p>
    <w:p w14:paraId="54A4B2BD">
      <w:pPr>
        <w:spacing w:after="0" w:line="480" w:lineRule="auto"/>
        <w:jc w:val="both"/>
        <w:rPr>
          <w:rFonts w:hint="default" w:ascii="Times New Roman" w:hAnsi="Times New Roman" w:eastAsia="Times New Roman" w:cs="Times New Roman"/>
          <w:sz w:val="20"/>
          <w:szCs w:val="20"/>
          <w:lang w:eastAsia="en-US"/>
        </w:rPr>
      </w:pPr>
      <w:r>
        <w:rPr>
          <w:rFonts w:hint="default" w:ascii="Times New Roman" w:hAnsi="Times New Roman" w:eastAsia="Times New Roman" w:cs="Times New Roman"/>
          <w:sz w:val="20"/>
          <w:szCs w:val="20"/>
          <w:lang w:eastAsia="en-US"/>
        </w:rPr>
        <w:t>As health paradigms move from curative to preventive methods, nutraceuticals' inclusion into healthcare systems has accelerated</w:t>
      </w:r>
      <w:r>
        <w:rPr>
          <w:rFonts w:hint="default" w:ascii="Times New Roman" w:hAnsi="Times New Roman" w:eastAsia="Times New Roman" w:cs="Times New Roman"/>
          <w:sz w:val="20"/>
          <w:szCs w:val="20"/>
          <w:lang w:eastAsia="en-US"/>
        </w:rPr>
        <w:fldChar w:fldCharType="begin" w:fldLock="1"/>
      </w:r>
      <w:r>
        <w:rPr>
          <w:rFonts w:hint="default" w:ascii="Times New Roman" w:hAnsi="Times New Roman" w:eastAsia="Times New Roman" w:cs="Times New Roman"/>
          <w:sz w:val="20"/>
          <w:szCs w:val="20"/>
          <w:lang w:eastAsia="en-US"/>
        </w:rPr>
        <w:instrText xml:space="preserve">ADDIN CSL_CITATION {"citationItems":[{"id":"ITEM-1","itemData":{"ISSN":"0976-7126","abstract":"The mankind has been making medicines since ancient times. The term “Nutraceuticals” was coined by Dr. StephenDefelice. Nutraceuticals is defined as any food supplement or dietary supplement which ensures good gut health andare intended to cure the chronic diseases. Now days Nutraceuticals are gripping the health market due to its variouspotential to cure the chronic diseases. With recent development of nutraceutical agents, many scientists andresearchers are developing approaches for assessing information from clinical studies on alternative therapies intoresponsible medical practice. This review article describes the meaning of Nutraceuticals, various classes ofNutraceuticals, the reg","author":[{"dropping-particle":"","family":"Dey","given":"Pooja","non-dropping-particle":"","parse-names":false,"suffix":""},{"dropping-particle":"","family":"Jain","given":"Neha","non-dropping-particle":"","parse-names":false,"suffix":""},{"dropping-particle":"","family":"Nagaich","given":"Upendra","non-dropping-particle":"","parse-names":false,"suffix":""}],"container-title":"International Journal of Pharmacy and Life Sciences","id":"ITEM-1","issue":"3","issued":{"date-parts":[["2018","3","30"]]},"page":"5762-5766","title":"Nutraceuticals: An overview of regulations","type":"article-journal","volume":"9"},"uris":["http://www.mendeley.com/documents/?uuid=5478c57f-b607-3d77-aae2-b8ec9f1ace89"]}],"mendeley":{"formattedCitation":"(Dey et al., 2018)","plainTextFormattedCitation":"(Dey et al., 2018)","previouslyFormattedCitation":"(Dey et al., 2018)"},"properties":{"noteIndex":0},"schema":"https://github.com/citation-style-language/schema/raw/master/csl-citation.json"}</w:instrText>
      </w:r>
      <w:r>
        <w:rPr>
          <w:rFonts w:hint="default" w:ascii="Times New Roman" w:hAnsi="Times New Roman" w:eastAsia="Times New Roman" w:cs="Times New Roman"/>
          <w:sz w:val="20"/>
          <w:szCs w:val="20"/>
          <w:lang w:eastAsia="en-US"/>
        </w:rPr>
        <w:fldChar w:fldCharType="separate"/>
      </w:r>
      <w:r>
        <w:rPr>
          <w:rFonts w:hint="default" w:ascii="Times New Roman" w:hAnsi="Times New Roman" w:eastAsia="Times New Roman" w:cs="Times New Roman"/>
          <w:b w:val="0"/>
          <w:i w:val="0"/>
          <w:smallCaps w:val="0"/>
          <w:sz w:val="20"/>
          <w:szCs w:val="20"/>
          <w:u w:val="none"/>
          <w:lang w:val="en-US" w:eastAsia="en-US"/>
        </w:rPr>
        <w:t>(Dey et al., 2018)</w:t>
      </w:r>
      <w:r>
        <w:rPr>
          <w:rFonts w:hint="default" w:ascii="Times New Roman" w:hAnsi="Times New Roman" w:eastAsia="Times New Roman" w:cs="Times New Roman"/>
          <w:sz w:val="20"/>
          <w:szCs w:val="20"/>
          <w:lang w:eastAsia="en-US"/>
        </w:rPr>
        <w:fldChar w:fldCharType="end"/>
      </w:r>
      <w:r>
        <w:rPr>
          <w:rFonts w:hint="default" w:ascii="Times New Roman" w:hAnsi="Times New Roman" w:eastAsia="Times New Roman" w:cs="Times New Roman"/>
          <w:sz w:val="20"/>
          <w:szCs w:val="20"/>
          <w:lang w:eastAsia="en-US"/>
        </w:rPr>
        <w:t>. Increased consumer and practitioner interest in functional foods and supplements has been fueled by factors like growing healthcare expenditures, improvements in diagnostics, and the global emphasis on wellness and proactive health management</w:t>
      </w:r>
      <w:r>
        <w:rPr>
          <w:rFonts w:hint="default" w:ascii="Times New Roman" w:hAnsi="Times New Roman" w:eastAsia="Times New Roman" w:cs="Times New Roman"/>
          <w:sz w:val="20"/>
          <w:szCs w:val="20"/>
          <w:lang w:eastAsia="en-US"/>
        </w:rPr>
        <w:fldChar w:fldCharType="begin" w:fldLock="1"/>
      </w:r>
      <w:r>
        <w:rPr>
          <w:rFonts w:hint="default" w:ascii="Times New Roman" w:hAnsi="Times New Roman" w:eastAsia="Times New Roman" w:cs="Times New Roman"/>
          <w:sz w:val="20"/>
          <w:szCs w:val="20"/>
          <w:lang w:eastAsia="en-US"/>
        </w:rPr>
        <w:instrText xml:space="preserve">ADDIN CSL_CITATION {"citationItems":[{"id":"ITEM-1","itemData":{"DOI":"10.1016/j.phrs.2017.04.008","ISSN":"10961186","PMID":"28408313","abstract":"Hypercholesterolemia is one of the major risk factors for the development of cardiovascular disease. Atherosclerosis resulting from hypercholesterolemia causes many serious cardiovascular diseases. Statins are generally accepted as a treatment of choice for lowering low-density lipoprotein (LDL) cholesterol, which reduces coronary heart disease morbidity and mortality. Since statin use can be associated with muscle problems and other adverse symptoms, non-adherence and discontinuation of statin therapy often leads to inadequate control of plasma cholesterol levels and increased cardiovascular risk. Moreover, there is compelling evidence on the presence of still considerable residual cardiovascular risk in statin-treated patients. Ezetimibe improves cholesterol-lowering efficacy and provides mild additional cardiovascular protection when combined with statin treatment. Despite a favorable safety profile compared to statins, ezetimibe-induced cholesterol-lowering is modest when used alone. Hence, there is a critical need to identity additional effective hypolipidemic agents that can be used either in combination with statins, or alone, if statins are not tolerated. Thus, hypolipidemic agents such as proprotein convertase subtilisin/kexin type 9 (PCSK9) inhibitors, apolipoprotein B-100 antisense oligonucleotides, cholesteryl ester transfer protein (CETP) inhibitors, and microsomal triglyceride transfer protein (MTTP) inhibitors, as well as yeast polysaccharides (beta-glucans and mannans) and compounds derived from natural sources (nutraceuticals) such as glucomannans, plant sterols, berberine, and red yeast rice are being used. In this review, we will discuss hypercholesterolemia, its impact on the development of cardiovascular disease (CVD), and the use of yeast polysaccharides, various nutraceuticals, and several therapeutic agents not derived from ‘natural’ sources, to treat hypercholesterolemia.","author":[{"dropping-particle":"","family":"Johnston","given":"T. P.","non-dropping-particle":"","parse-names":false,"suffix":""},{"dropping-particle":"","family":"Korolenko","given":"T. A.","non-dropping-particle":"","parse-names":false,"suffix":""},{"dropping-particle":"","family":"Pirro","given":"M.","non-dropping-particle":"","parse-names":false,"suffix":""},{"dropping-particle":"","family":"Sahebkar","given":"A.","non-dropping-particle":"","parse-names":false,"suffix":""}],"container-title":"Pharmacological Research","id":"ITEM-1","issued":{"date-parts":[["2017","6","1"]]},"page":"219-225","publisher":"Academic Press","title":"Preventing cardiovascular heart disease: Promising nutraceutical and non-nutraceutical treatments for cholesterol management","type":"article-journal","volume":"120"},"uris":["http://www.mendeley.com/documents/?uuid=527fbceb-1af8-3f5c-9106-4c5ddb595c36"]},{"id":"ITEM-2","itemData":{"DOI":"10.1186/S12913-016-1882-8","ISSN":"14726963","PMID":"27832773","abstract":"Background: Patient-centered care is now the goal for virtually all healthcare systems. The aim of this research was to evaluate the patient care quality in regard to drug dispensing in four hospitals in southern Ethiopia namely Wolaita Sodo University teaching and referral hospital (WSUTRH), Tercha zonal hospital (TZH), Sodo Christian hospital (SCH) and Dubo St. Mary's Catholic primary hospital (DSMCPH). Methods: A cross sectional study was conducted by using the WHO patient care and facility indicators between September 10 and October 20, 2014. Patients who visited the outpatient departments of the four hospitals were selected by systematic random sampling method and interviewed. In total 384 patients were selected based on a rough estimate of proportion of patients visiting to the four hospitals. Facility indicators including the availability of essential drugs list (EDL), national drug formulary, standard treatment guideline (STG) and key drugs were evaluated. Descriptive statistical calculations were performed using SPSS® version 20.0 software. Result: The mean number of drugs was in the range between 1.9 ± 0.9 to 2.2 ± 2.0. The mean consultation time range was found to be 4.2 ± 1.6 to 4.9 ± 5.0 min whereas the mean dispensing time was ranged from 96.1 ± 52.0 to 152.3 ± 47.6 s. The overall mean number of drug prescribed for the four hospitals was 2.0 ± 1.2 and the mean percentage of medications actually dispensed in the hospitals was thus calculated to be 86.3. The mean percentage of medications clearly labeled was 45.4. Patients who knew their dosage forms accurately were 78.8. Among the four hospitals evaluated only one hospital (25 %) had at least a copy of the Ethiopian essential drug list (EDL), standard treatment guideline for hospitals and drug formulary. The mean availability of key drugs in the hospitals was found to be 65.7 %. Conclusion: The result of the present study indicates that the patient consulting time, medications labeling and availability of key drugs in the hospitals are inadequate. The medication labeling practice in the four hospitals is unacceptably low. These patient care indicators need a special attention for improvement.","author":[{"dropping-particle":"","family":"BO","given":"Ogbonna","non-dropping-particle":"","parse-names":false,"suffix":""},{"dropping-particle":"","family":"AS","given":"Enyi-Okafor","non-dropping-particle":"","parse-names":false,"suffix":""},{"dropping-particle":"","family":"MI","given":"Okoye","non-dropping-particle":"","parse-names":false,"suffix":""},{"dropping-particle":"","family":"AO","given":"Ezigbo","non-dropping-particle":"","parse-names":false,"suffix":""},{"dropping-particle":"","family":"JC","given":"Achi","non-dropping-particle":"","parse-names":false,"suffix":""},{"dropping-particle":"","family":"TA","given":"Nwabanne","non-dropping-particle":"","parse-names":false,"suffix":""},{"dropping-particle":"","family":"MU","given":"Anetoh","non-dropping-particle":"","parse-names":false,"suffix":""},{"dropping-particle":"","family":"L","given":"Ejieh","non-dropping-particle":"","parse-names":false,"suffix":""},{"dropping-particle":"","family":"UA","given":"Adenola","non-dropping-particle":"","parse-names":false,"suffix":""},{"dropping-particle":"","family":"NN","given":"Okpalanma","non-dropping-particle":"","parse-names":false,"suffix":""},{"dropping-particle":"","family":"HN","given":"Maduekwe","non-dropping-particle":"","parse-names":false,"suffix":""},{"dropping-particle":"","family":"AI","given":"Okeke","non-dropping-particle":"","parse-names":false,"suffix":""},{"dropping-particle":"","family":"I","given":"Okoye","non-dropping-particle":"","parse-names":false,"suffix":""},{"dropping-particle":"","family":"M","given":"Omuta","non-dropping-particle":"","parse-names":false,"suffix":""},{"dropping-particle":"","family":"E","given":"Egere","non-dropping-particle":"","parse-names":false,"suffix":""},{"dropping-particle":"","family":"GN","given":"Osuafor","non-dropping-particle":"","parse-names":false,"suffix":""},{"dropping-particle":"","family":"A","given":"Maduka","non-dropping-particle":"","parse-names":false,"suffix":""},{"dropping-particle":"","family":"SO","given":"Ovwighose","non-dropping-particle":"","parse-names":false,"suffix":""},{"dropping-particle":"","family":"M","given":"Onwuma","non-dropping-particle":"","parse-names":false,"suffix":""},{"dropping-particle":"","family":"M","given":"Nnamani","non-dropping-particle":"","parse-names":false,"suffix":""},{"dropping-particle":"","family":"M","given":"Nwafor","non-dropping-particle":"","parse-names":false,"suffix":""},{"dropping-particle":"","family":"N","given":"Ajagu","non-dropping-particle":"","parse-names":false,"suffix":""},{"dropping-particle":"","family":"A","given":"Ofor","non-dropping-particle":"","parse-names":false,"suffix":""}],"container-title":"Austin Journal of Nursing &amp; Health Care","id":"ITEM-2","issue":"1","issued":{"date-parts":[["2022","10","4"]]},"page":"1-8","publisher":"Austin Publishing Group","title":"Assessment of Drug Use in a Tertiary Hospital in Southeast Nigeria Based on Who Core Drug Use Indicators","type":"article-journal","volume":"16"},"uris":["http://www.mendeley.com/documents/?uuid=522b7a38-a92f-3ce5-bf8f-d3adf5e6aa7c"]}],"mendeley":{"formattedCitation":"(BO et al., 2022; Johnston et al., 2017)","plainTextFormattedCitation":"(BO et al., 2022; Johnston et al., 2017)","previouslyFormattedCitation":"(BO et al., 2022; Johnston et al., 2017)"},"properties":{"noteIndex":0},"schema":"https://github.com/citation-style-language/schema/raw/master/csl-citation.json"}</w:instrText>
      </w:r>
      <w:r>
        <w:rPr>
          <w:rFonts w:hint="default" w:ascii="Times New Roman" w:hAnsi="Times New Roman" w:eastAsia="Times New Roman" w:cs="Times New Roman"/>
          <w:sz w:val="20"/>
          <w:szCs w:val="20"/>
          <w:lang w:eastAsia="en-US"/>
        </w:rPr>
        <w:fldChar w:fldCharType="separate"/>
      </w:r>
      <w:r>
        <w:rPr>
          <w:rFonts w:hint="default" w:ascii="Times New Roman" w:hAnsi="Times New Roman" w:eastAsia="Times New Roman" w:cs="Times New Roman"/>
          <w:b w:val="0"/>
          <w:i w:val="0"/>
          <w:smallCaps w:val="0"/>
          <w:sz w:val="20"/>
          <w:szCs w:val="20"/>
          <w:u w:val="none"/>
          <w:lang w:val="en-US" w:eastAsia="en-US"/>
        </w:rPr>
        <w:t>(BO et al., 2022; Johnston et al., 2017)</w:t>
      </w:r>
      <w:r>
        <w:rPr>
          <w:rFonts w:hint="default" w:ascii="Times New Roman" w:hAnsi="Times New Roman" w:eastAsia="Times New Roman" w:cs="Times New Roman"/>
          <w:sz w:val="20"/>
          <w:szCs w:val="20"/>
          <w:lang w:eastAsia="en-US"/>
        </w:rPr>
        <w:fldChar w:fldCharType="end"/>
      </w:r>
      <w:r>
        <w:rPr>
          <w:rFonts w:hint="default" w:ascii="Times New Roman" w:hAnsi="Times New Roman" w:eastAsia="Times New Roman" w:cs="Times New Roman"/>
          <w:sz w:val="20"/>
          <w:szCs w:val="20"/>
          <w:lang w:eastAsia="en-US"/>
        </w:rPr>
        <w:t>. The active ingredients in these products, which have been connected to health benefits in ailments including diabetes, cardiovascular disease, obesity, neurological disorders, and osteoporosis, include antioxidants, phytochemicals, essential oils, vitamins, and minerals</w:t>
      </w:r>
      <w:r>
        <w:rPr>
          <w:rFonts w:hint="default" w:ascii="Times New Roman" w:hAnsi="Times New Roman" w:eastAsia="Times New Roman" w:cs="Times New Roman"/>
          <w:sz w:val="20"/>
          <w:szCs w:val="20"/>
          <w:lang w:eastAsia="en-US"/>
        </w:rPr>
        <w:fldChar w:fldCharType="begin" w:fldLock="1"/>
      </w:r>
      <w:r>
        <w:rPr>
          <w:rFonts w:hint="default" w:ascii="Times New Roman" w:hAnsi="Times New Roman" w:eastAsia="Times New Roman" w:cs="Times New Roman"/>
          <w:sz w:val="20"/>
          <w:szCs w:val="20"/>
          <w:lang w:eastAsia="en-US"/>
        </w:rPr>
        <w:instrText xml:space="preserve">ADDIN CSL_CITATION {"citationItems":[{"id":"ITEM-1","itemData":{"abstract":"Nutraceuticals are products that are also used as medicine other than nutrition. A nutraceutical product may be defined as a substance, which have physiological benefits nor gives protection against chronic diseases. Nutraceuticals may also be used to improve health, delay the aging process, prevent chronic disease, increase life expectancy, or support the structure or function of the body. Nowadays, nutraceuticals has gained considerable interest due to potential nutritional safety and therapeutic effects. Recent studies have shown promising results for those compounds in various complications. Emphasis has been made to present herbal nutraceuticals effective on hard curative disorders related to oxidative stress including allergy, Alzheimer, cardiovascular, cancer, diabetes, and Parkinson's diseases as well as obesity.","author":[{"dropping-particle":"","family":"Oluwafemi","given":"Adetuyi Babatunde","non-dropping-particle":"","parse-names":false,"suffix":""},{"dropping-particle":"","family":"Onuwabhagbe","given":"Odine Grace","non-dropping-particle":"","parse-names":false,"suffix":""},{"dropping-particle":"","family":"Abiodun","given":"Olajide Peace","non-dropping-particle":"","parse-names":false,"suffix":""},{"dropping-particle":"","family":"Adefunke","given":"Adetuyi Oluwatosin","non-dropping-particle":"","parse-names":false,"suffix":""},{"dropping-particle":"","family":"Oladimeji","given":"Atanda Olusegun","non-dropping-particle":"","parse-names":false,"suffix":""},{"dropping-particle":"","family":"Kola","given":"Oloke Julius","non-dropping-particle":"","parse-names":false,"suffix":""}],"container-title":"Noticias Mundiales de Ciencias Naturales","id":"ITEM-1","issue":"January","issued":{"date-parts":[["2022"]]},"page":"1-27","title":"Nutraceuticals: role in metabolic disease, prevention and treatment","type":"article-journal","volume":"42"},"uris":["http://www.mendeley.com/documents/?uuid=b1f2da2e-0701-42e3-8c2b-24bf66a949c2"]}],"mendeley":{"formattedCitation":"(Oluwafemi et al., 2022)","plainTextFormattedCitation":"(Oluwafemi et al., 2022)","previouslyFormattedCitation":"(Oluwafemi et al., 2022)"},"properties":{"noteIndex":0},"schema":"https://github.com/citation-style-language/schema/raw/master/csl-citation.json"}</w:instrText>
      </w:r>
      <w:r>
        <w:rPr>
          <w:rFonts w:hint="default" w:ascii="Times New Roman" w:hAnsi="Times New Roman" w:eastAsia="Times New Roman" w:cs="Times New Roman"/>
          <w:sz w:val="20"/>
          <w:szCs w:val="20"/>
          <w:lang w:eastAsia="en-US"/>
        </w:rPr>
        <w:fldChar w:fldCharType="separate"/>
      </w:r>
      <w:r>
        <w:rPr>
          <w:rFonts w:hint="default" w:ascii="Times New Roman" w:hAnsi="Times New Roman" w:eastAsia="Times New Roman" w:cs="Times New Roman"/>
          <w:b w:val="0"/>
          <w:i w:val="0"/>
          <w:smallCaps w:val="0"/>
          <w:sz w:val="20"/>
          <w:szCs w:val="20"/>
          <w:u w:val="none"/>
          <w:lang w:val="en-US" w:eastAsia="en-US"/>
        </w:rPr>
        <w:t>(Oluwafemi et al., 2022)</w:t>
      </w:r>
      <w:r>
        <w:rPr>
          <w:rFonts w:hint="default" w:ascii="Times New Roman" w:hAnsi="Times New Roman" w:eastAsia="Times New Roman" w:cs="Times New Roman"/>
          <w:sz w:val="20"/>
          <w:szCs w:val="20"/>
          <w:lang w:eastAsia="en-US"/>
        </w:rPr>
        <w:fldChar w:fldCharType="end"/>
      </w:r>
      <w:r>
        <w:rPr>
          <w:rFonts w:hint="default" w:ascii="Times New Roman" w:hAnsi="Times New Roman" w:eastAsia="Times New Roman" w:cs="Times New Roman"/>
          <w:sz w:val="20"/>
          <w:szCs w:val="20"/>
          <w:lang w:eastAsia="en-US"/>
        </w:rPr>
        <w:t xml:space="preserve">. </w:t>
      </w:r>
    </w:p>
    <w:p w14:paraId="6C34ACD0">
      <w:pPr>
        <w:spacing w:after="0" w:line="480" w:lineRule="auto"/>
        <w:jc w:val="both"/>
        <w:rPr>
          <w:rFonts w:hint="default" w:ascii="Times New Roman" w:hAnsi="Times New Roman" w:eastAsia="Times New Roman" w:cs="Times New Roman"/>
          <w:sz w:val="20"/>
          <w:szCs w:val="20"/>
          <w:lang w:eastAsia="en-US"/>
        </w:rPr>
      </w:pPr>
      <w:r>
        <w:rPr>
          <w:rFonts w:hint="default" w:ascii="Times New Roman" w:hAnsi="Times New Roman" w:eastAsia="Times New Roman" w:cs="Times New Roman"/>
          <w:sz w:val="20"/>
          <w:szCs w:val="20"/>
          <w:lang w:eastAsia="en-US"/>
        </w:rPr>
        <w:t>To increase public awareness and stimulate demand for their products, pharmaceutical and nutraceutical companies have responded by stepping up their direct-to-consumer advertising (DTCA)</w:t>
      </w:r>
      <w:r>
        <w:rPr>
          <w:rFonts w:hint="default" w:ascii="Times New Roman" w:hAnsi="Times New Roman" w:eastAsia="Times New Roman" w:cs="Times New Roman"/>
          <w:sz w:val="20"/>
          <w:szCs w:val="20"/>
          <w:lang w:eastAsia="en-US"/>
        </w:rPr>
        <w:fldChar w:fldCharType="begin" w:fldLock="1"/>
      </w:r>
      <w:r>
        <w:rPr>
          <w:rFonts w:hint="default" w:ascii="Times New Roman" w:hAnsi="Times New Roman" w:eastAsia="Times New Roman" w:cs="Times New Roman"/>
          <w:sz w:val="20"/>
          <w:szCs w:val="20"/>
          <w:lang w:eastAsia="en-US"/>
        </w:rPr>
        <w:instrText xml:space="preserve">ADDIN CSL_CITATION {"citationItems":[{"id":"ITEM-1","itemData":{"abstract":"© 2020 SERSC. This research paper has addressed an explicit gap in the literature of pharmaceutical industry and healthcare management for a marketing promotion technique, direct-to-consumer advertising (DTCA), which has remained to be an academically neglected area by the scholars of Pakistan. Thus, the purpose of this research was to unearth the prevalence of direct-to-consumer advertising (DTCA) of over-the-counter (OTC) or non-prescription medicines and to assess its impact on consumer purchase behavior. Mixing of two qualitative methods comprising meta synthesis of literature followed by twenty five in-depth qualitative interviews with medical doctors, pharmacists, drug policy developers cum regulators and marketers of OTC medicines, and patients in Karachi-Pakistan (comprising medical doctors, pharmacists, and healthcare marketers) took place. Samples were selected through snowball sampling method, while the data was analyzed through thematic analysis. The research presents quite useful insights as it has revealed that DTCA is exploited by certain unscrupulous circles, which are attempting to market their unlicensed and unregistered medicines while with prior approval, federal drug authority only allows DTCA for only registered OTC medicines and some multivitamin complexes. It was concluded that DTCA has a profound influence only on perceptions and need recognition stage out of the five stages of consumer purchasing model. Thus, pharmaceutical and health industry experts are advised to change their attitude towards DTCA in Pakistan and must avail it as useful means of promotion and branding of medicines in Pakistan in conjunction with such other tools.","author":[{"dropping-particle":"","family":"Qureshi","given":"J.A.","non-dropping-particle":"","parse-names":false,"suffix":""},{"dropping-particle":"","family":"Qureshi","given":"M.A.","non-dropping-particle":"","parse-names":false,"suffix":""},{"dropping-particle":"","family":"Shah","given":"Z.","non-dropping-particle":"","parse-names":false,"suffix":""},{"dropping-particle":"","family":"Ahmed","given":"A.","non-dropping-particle":"","parse-names":false,"suffix":""}],"container-title":"International Journal of Advanced Science and Technology","id":"ITEM-1","issue":"7","issued":{"date-parts":[["2020"]]},"page":"2604-2614","title":"Direct-to-consumer advertising (DTCA) in pharmaceutical industry: An inquiry from public policy to practice and consumers’ perspective","type":"article-journal","volume":"29"},"uris":["http://www.mendeley.com/documents/?uuid=f5264d7c-651c-4737-8808-dda32ada81a1"]}],"mendeley":{"formattedCitation":"(Qureshi et al., 2020)","plainTextFormattedCitation":"(Qureshi et al., 2020)","previouslyFormattedCitation":"(Qureshi et al., 2020)"},"properties":{"noteIndex":0},"schema":"https://github.com/citation-style-language/schema/raw/master/csl-citation.json"}</w:instrText>
      </w:r>
      <w:r>
        <w:rPr>
          <w:rFonts w:hint="default" w:ascii="Times New Roman" w:hAnsi="Times New Roman" w:eastAsia="Times New Roman" w:cs="Times New Roman"/>
          <w:sz w:val="20"/>
          <w:szCs w:val="20"/>
          <w:lang w:eastAsia="en-US"/>
        </w:rPr>
        <w:fldChar w:fldCharType="separate"/>
      </w:r>
      <w:r>
        <w:rPr>
          <w:rFonts w:hint="default" w:ascii="Times New Roman" w:hAnsi="Times New Roman" w:eastAsia="Times New Roman" w:cs="Times New Roman"/>
          <w:b w:val="0"/>
          <w:i w:val="0"/>
          <w:smallCaps w:val="0"/>
          <w:sz w:val="20"/>
          <w:szCs w:val="20"/>
          <w:u w:val="none"/>
          <w:lang w:val="en-US" w:eastAsia="en-US"/>
        </w:rPr>
        <w:t>(Qureshi et al., 2020)</w:t>
      </w:r>
      <w:r>
        <w:rPr>
          <w:rFonts w:hint="default" w:ascii="Times New Roman" w:hAnsi="Times New Roman" w:eastAsia="Times New Roman" w:cs="Times New Roman"/>
          <w:sz w:val="20"/>
          <w:szCs w:val="20"/>
          <w:lang w:eastAsia="en-US"/>
        </w:rPr>
        <w:fldChar w:fldCharType="end"/>
      </w:r>
      <w:r>
        <w:rPr>
          <w:rFonts w:hint="default" w:ascii="Times New Roman" w:hAnsi="Times New Roman" w:eastAsia="Times New Roman" w:cs="Times New Roman"/>
          <w:sz w:val="20"/>
          <w:szCs w:val="20"/>
          <w:lang w:eastAsia="en-US"/>
        </w:rPr>
        <w:t xml:space="preserve">. While DTCA has sparked debate—some critics argue it promotes irrational self-medication, while others claim it enhances disease awareness and patient engagement—it has undeniably influenced health-seeking behaviors and prescription trends </w:t>
      </w:r>
      <w:r>
        <w:rPr>
          <w:rFonts w:hint="default" w:ascii="Times New Roman" w:hAnsi="Times New Roman" w:eastAsia="Times New Roman" w:cs="Times New Roman"/>
          <w:sz w:val="20"/>
          <w:szCs w:val="20"/>
          <w:lang w:eastAsia="en-US"/>
        </w:rPr>
        <w:fldChar w:fldCharType="begin" w:fldLock="1"/>
      </w:r>
      <w:r>
        <w:rPr>
          <w:rFonts w:hint="default" w:ascii="Times New Roman" w:hAnsi="Times New Roman" w:eastAsia="Times New Roman" w:cs="Times New Roman"/>
          <w:sz w:val="20"/>
          <w:szCs w:val="20"/>
          <w:lang w:eastAsia="en-US"/>
        </w:rPr>
        <w:instrText xml:space="preserve">ADDIN CSL_CITATION {"citationItems":[{"id":"ITEM-1","itemData":{"abstract":"© 2020 SERSC. This research paper has addressed an explicit gap in the literature of pharmaceutical industry and healthcare management for a marketing promotion technique, direct-to-consumer advertising (DTCA), which has remained to be an academically neglected area by the scholars of Pakistan. Thus, the purpose of this research was to unearth the prevalence of direct-to-consumer advertising (DTCA) of over-the-counter (OTC) or non-prescription medicines and to assess its impact on consumer purchase behavior. Mixing of two qualitative methods comprising meta synthesis of literature followed by twenty five in-depth qualitative interviews with medical doctors, pharmacists, drug policy developers cum regulators and marketers of OTC medicines, and patients in Karachi-Pakistan (comprising medical doctors, pharmacists, and healthcare marketers) took place. Samples were selected through snowball sampling method, while the data was analyzed through thematic analysis. The research presents quite useful insights as it has revealed that DTCA is exploited by certain unscrupulous circles, which are attempting to market their unlicensed and unregistered medicines while with prior approval, federal drug authority only allows DTCA for only registered OTC medicines and some multivitamin complexes. It was concluded that DTCA has a profound influence only on perceptions and need recognition stage out of the five stages of consumer purchasing model. Thus, pharmaceutical and health industry experts are advised to change their attitude towards DTCA in Pakistan and must avail it as useful means of promotion and branding of medicines in Pakistan in conjunction with such other tools.","author":[{"dropping-particle":"","family":"Qureshi","given":"J.A.","non-dropping-particle":"","parse-names":false,"suffix":""},{"dropping-particle":"","family":"Qureshi","given":"M.A.","non-dropping-particle":"","parse-names":false,"suffix":""},{"dropping-particle":"","family":"Shah","given":"Z.","non-dropping-particle":"","parse-names":false,"suffix":""},{"dropping-particle":"","family":"Ahmed","given":"A.","non-dropping-particle":"","parse-names":false,"suffix":""}],"container-title":"International Journal of Advanced Science and Technology","id":"ITEM-1","issue":"7","issued":{"date-parts":[["2020"]]},"page":"2604-2614","title":"Direct-to-consumer advertising (DTCA) in pharmaceutical industry: An inquiry from public policy to practice and consumers’ perspective","type":"article-journal","volume":"29"},"uris":["http://www.mendeley.com/documents/?uuid=f5264d7c-651c-4737-8808-dda32ada81a1"]}],"mendeley":{"formattedCitation":"(Qureshi et al., 2020)","plainTextFormattedCitation":"(Qureshi et al., 2020)","previouslyFormattedCitation":"(Qureshi et al., 2020)"},"properties":{"noteIndex":0},"schema":"https://github.com/citation-style-language/schema/raw/master/csl-citation.json"}</w:instrText>
      </w:r>
      <w:r>
        <w:rPr>
          <w:rFonts w:hint="default" w:ascii="Times New Roman" w:hAnsi="Times New Roman" w:eastAsia="Times New Roman" w:cs="Times New Roman"/>
          <w:sz w:val="20"/>
          <w:szCs w:val="20"/>
          <w:lang w:eastAsia="en-US"/>
        </w:rPr>
        <w:fldChar w:fldCharType="separate"/>
      </w:r>
      <w:r>
        <w:rPr>
          <w:rFonts w:hint="default" w:ascii="Times New Roman" w:hAnsi="Times New Roman" w:eastAsia="Times New Roman" w:cs="Times New Roman"/>
          <w:b w:val="0"/>
          <w:i w:val="0"/>
          <w:smallCaps w:val="0"/>
          <w:sz w:val="20"/>
          <w:szCs w:val="20"/>
          <w:u w:val="none"/>
          <w:lang w:val="en-US" w:eastAsia="en-US"/>
        </w:rPr>
        <w:t>(Qureshi et al., 2020)</w:t>
      </w:r>
      <w:r>
        <w:rPr>
          <w:rFonts w:hint="default" w:ascii="Times New Roman" w:hAnsi="Times New Roman" w:eastAsia="Times New Roman" w:cs="Times New Roman"/>
          <w:sz w:val="20"/>
          <w:szCs w:val="20"/>
          <w:lang w:eastAsia="en-US"/>
        </w:rPr>
        <w:fldChar w:fldCharType="end"/>
      </w:r>
      <w:r>
        <w:rPr>
          <w:rFonts w:hint="default" w:ascii="Times New Roman" w:hAnsi="Times New Roman" w:eastAsia="Times New Roman" w:cs="Times New Roman"/>
          <w:sz w:val="20"/>
          <w:szCs w:val="20"/>
          <w:lang w:eastAsia="en-US"/>
        </w:rPr>
        <w:t>.</w:t>
      </w:r>
    </w:p>
    <w:p w14:paraId="1F4757A0">
      <w:pPr>
        <w:spacing w:after="0" w:line="480" w:lineRule="auto"/>
        <w:jc w:val="both"/>
        <w:rPr>
          <w:rFonts w:hint="default" w:ascii="Times New Roman" w:hAnsi="Times New Roman" w:eastAsia="Times New Roman" w:cs="Times New Roman"/>
          <w:sz w:val="20"/>
          <w:szCs w:val="20"/>
          <w:lang w:eastAsia="en-US"/>
        </w:rPr>
      </w:pPr>
      <w:r>
        <w:rPr>
          <w:rFonts w:hint="default" w:ascii="Times New Roman" w:hAnsi="Times New Roman" w:eastAsia="Times New Roman" w:cs="Times New Roman"/>
          <w:sz w:val="20"/>
          <w:szCs w:val="20"/>
          <w:lang w:eastAsia="en-US"/>
        </w:rPr>
        <w:t>The industry for nutraceuticals has seen large investments in industrialized nations, frequently outspending on traditional medications</w:t>
      </w:r>
      <w:r>
        <w:rPr>
          <w:rFonts w:hint="default" w:ascii="Times New Roman" w:hAnsi="Times New Roman" w:eastAsia="Times New Roman" w:cs="Times New Roman"/>
          <w:sz w:val="20"/>
          <w:szCs w:val="20"/>
          <w:lang w:eastAsia="en-US"/>
        </w:rPr>
        <w:fldChar w:fldCharType="begin" w:fldLock="1"/>
      </w:r>
      <w:r>
        <w:rPr>
          <w:rFonts w:hint="default" w:ascii="Times New Roman" w:hAnsi="Times New Roman" w:eastAsia="Times New Roman" w:cs="Times New Roman"/>
          <w:sz w:val="20"/>
          <w:szCs w:val="20"/>
          <w:lang w:eastAsia="en-US"/>
        </w:rPr>
        <w:instrText xml:space="preserve">ADDIN CSL_CITATION {"citationItems":[{"id":"ITEM-1","itemData":{"DOI":"10.1016/j.phrs.2017.04.008","ISSN":"10961186","PMID":"28408313","abstract":"Hypercholesterolemia is one of the major risk factors for the development of cardiovascular disease. Atherosclerosis resulting from hypercholesterolemia causes many serious cardiovascular diseases. Statins are generally accepted as a treatment of choice for lowering low-density lipoprotein (LDL) cholesterol, which reduces coronary heart disease morbidity and mortality. Since statin use can be associated with muscle problems and other adverse symptoms, non-adherence and discontinuation of statin therapy often leads to inadequate control of plasma cholesterol levels and increased cardiovascular risk. Moreover, there is compelling evidence on the presence of still considerable residual cardiovascular risk in statin-treated patients. Ezetimibe improves cholesterol-lowering efficacy and provides mild additional cardiovascular protection when combined with statin treatment. Despite a favorable safety profile compared to statins, ezetimibe-induced cholesterol-lowering is modest when used alone. Hence, there is a critical need to identity additional effective hypolipidemic agents that can be used either in combination with statins, or alone, if statins are not tolerated. Thus, hypolipidemic agents such as proprotein convertase subtilisin/kexin type 9 (PCSK9) inhibitors, apolipoprotein B-100 antisense oligonucleotides, cholesteryl ester transfer protein (CETP) inhibitors, and microsomal triglyceride transfer protein (MTTP) inhibitors, as well as yeast polysaccharides (beta-glucans and mannans) and compounds derived from natural sources (nutraceuticals) such as glucomannans, plant sterols, berberine, and red yeast rice are being used. In this review, we will discuss hypercholesterolemia, its impact on the development of cardiovascular disease (CVD), and the use of yeast polysaccharides, various nutraceuticals, and several therapeutic agents not derived from ‘natural’ sources, to treat hypercholesterolemia.","author":[{"dropping-particle":"","family":"Johnston","given":"T. P.","non-dropping-particle":"","parse-names":false,"suffix":""},{"dropping-particle":"","family":"Korolenko","given":"T. A.","non-dropping-particle":"","parse-names":false,"suffix":""},{"dropping-particle":"","family":"Pirro","given":"M.","non-dropping-particle":"","parse-names":false,"suffix":""},{"dropping-particle":"","family":"Sahebkar","given":"A.","non-dropping-particle":"","parse-names":false,"suffix":""}],"container-title":"Pharmacological Research","id":"ITEM-1","issued":{"date-parts":[["2017","6","1"]]},"page":"219-225","publisher":"Academic Press","title":"Preventing cardiovascular heart disease: Promising nutraceutical and non-nutraceutical treatments for cholesterol management","type":"article-journal","volume":"120"},"uris":["http://www.mendeley.com/documents/?uuid=527fbceb-1af8-3f5c-9106-4c5ddb595c36"]}],"mendeley":{"formattedCitation":"(Johnston et al., 2017)","plainTextFormattedCitation":"(Johnston et al., 2017)","previouslyFormattedCitation":"(Johnston et al., 2017)"},"properties":{"noteIndex":0},"schema":"https://github.com/citation-style-language/schema/raw/master/csl-citation.json"}</w:instrText>
      </w:r>
      <w:r>
        <w:rPr>
          <w:rFonts w:hint="default" w:ascii="Times New Roman" w:hAnsi="Times New Roman" w:eastAsia="Times New Roman" w:cs="Times New Roman"/>
          <w:sz w:val="20"/>
          <w:szCs w:val="20"/>
          <w:lang w:eastAsia="en-US"/>
        </w:rPr>
        <w:fldChar w:fldCharType="separate"/>
      </w:r>
      <w:r>
        <w:rPr>
          <w:rFonts w:hint="default" w:ascii="Times New Roman" w:hAnsi="Times New Roman" w:eastAsia="Times New Roman" w:cs="Times New Roman"/>
          <w:b w:val="0"/>
          <w:i w:val="0"/>
          <w:smallCaps w:val="0"/>
          <w:sz w:val="20"/>
          <w:szCs w:val="20"/>
          <w:u w:val="none"/>
          <w:lang w:val="en-US" w:eastAsia="en-US"/>
        </w:rPr>
        <w:t>(Johnston et al., 2017)</w:t>
      </w:r>
      <w:r>
        <w:rPr>
          <w:rFonts w:hint="default" w:ascii="Times New Roman" w:hAnsi="Times New Roman" w:eastAsia="Times New Roman" w:cs="Times New Roman"/>
          <w:sz w:val="20"/>
          <w:szCs w:val="20"/>
          <w:lang w:eastAsia="en-US"/>
        </w:rPr>
        <w:fldChar w:fldCharType="end"/>
      </w:r>
      <w:r>
        <w:rPr>
          <w:rFonts w:hint="default" w:ascii="Times New Roman" w:hAnsi="Times New Roman" w:eastAsia="Times New Roman" w:cs="Times New Roman"/>
          <w:sz w:val="20"/>
          <w:szCs w:val="20"/>
          <w:lang w:eastAsia="en-US"/>
        </w:rPr>
        <w:t>. However, there is still a lack of information on the use and perception of nutraceuticals in many developing nations, particularly those in South Asia and sub-Saharan Africa</w:t>
      </w:r>
      <w:r>
        <w:rPr>
          <w:rFonts w:hint="default" w:ascii="Times New Roman" w:hAnsi="Times New Roman" w:eastAsia="Times New Roman" w:cs="Times New Roman"/>
          <w:sz w:val="20"/>
          <w:szCs w:val="20"/>
          <w:lang w:eastAsia="en-US"/>
        </w:rPr>
        <w:fldChar w:fldCharType="begin" w:fldLock="1"/>
      </w:r>
      <w:r>
        <w:rPr>
          <w:rFonts w:hint="default" w:ascii="Times New Roman" w:hAnsi="Times New Roman" w:eastAsia="Times New Roman" w:cs="Times New Roman"/>
          <w:sz w:val="20"/>
          <w:szCs w:val="20"/>
          <w:lang w:eastAsia="en-US"/>
        </w:rPr>
        <w:instrText xml:space="preserve">ADDIN CSL_CITATION {"citationItems":[{"id":"ITEM-1","itemData":{"DOI":"10.32628/IJSRST218559","ISSN":"2394-4099","abstract":"During the last few decades, the demand for healthy food and beverages has increased and it is expected to continue increasing in the future. A Nutraceutical is defined as any substance that provides medical or health benefits, including the prevention and treatment of disease. Its constituents are either of known therapeutic activity or contribute substantially to the therapeutic activity of a drug. This research study was dedicated towards a better understanding of nutraceuticals in terms of its awareness, perception and usage by the general public. The study also provided the opinion of clinicians on the same. Sample populations of 650 individuals and 50 clinicians were analyzed in the study. The consumers’ willingness towards nutraceuticals was explained through the following predictors- Age group, gender, health perception and occupation. Google forms platform was used to make the questionnaires and was distributed over social media. Data analysis was performed using Google Sheets (Pivot Tables) and Microsoft Excel (Power Query Editor tool). The data was compared and relationships were mapped among the various factors included in the study. The results conclusively depicted that factors like affordability and employment status played a role in the purchase of nutraceuticals. The COVID-19 pandemic played a significant role in influencing consumers to opt for immunity boosting products and supplements. The study was also able to understand the various consumption patterns and opinions of respondents on the different nutraceutical products available in the market. The survey was observed to have increased public awareness in the sample population.","author":[{"dropping-particle":"","family":"Menon","given":"Anushka","non-dropping-particle":"","parse-names":false,"suffix":""},{"dropping-particle":"","family":"Sawant","given":"Mugdhali","non-dropping-particle":"","parse-names":false,"suffix":""},{"dropping-particle":"","family":"Mishra","given":"Shivangi","non-dropping-particle":"","parse-names":false,"suffix":""},{"dropping-particle":"","family":"Bhatia","given":"Prachi","non-dropping-particle":"","parse-names":false,"suffix":""},{"dropping-particle":"","family":"Rathod","given":"Sejal","non-dropping-particle":"","parse-names":false,"suffix":""}],"container-title":"International Journal of Scientific Research in Science and Technology","id":"ITEM-1","issue":"5","issued":{"date-parts":[["2021","10","30"]]},"page":"399-414","publisher":"Technoscience Academy","title":"Awareness, Perception and Usage of Nutraceuticals in Indian Society","type":"article-journal","volume":"8"},"uris":["http://www.mendeley.com/documents/?uuid=b3e55701-3853-39d3-b60c-11cb5d38d5d5"]},{"id":"ITEM-2","itemData":{"DOI":"10.20959/wjpr20206-17523","abstract":"… Which includes β-glucans, pectin, gums, mucilage and hemicelluloses that are fermented in … Lycopene is one of the major carotenoids and is found exclusively in tomatoes, guava, pink …","author":[{"dropping-particle":"","family":"Hussain","given":"B","non-dropping-particle":"","parse-names":false,"suffix":""},{"dropping-particle":"","family":"Sajid","given":"M A","non-dropping-particle":"","parse-names":false,"suffix":""},{"dropping-particle":"","family":"Nabeel","given":"M","non-dropping-particle":"","parse-names":false,"suffix":""},{"dropping-particle":"","family":"...","given":"","non-dropping-particle":"","parse-names":false,"suffix":""}],"container-title":"World Journal …","id":"ITEM-2","issue":"6","issued":{"date-parts":[["2020"]]},"page":"49-119","title":"Study of assessment of knowledge of patients and health care professionals about the use of nutraceuticals","type":"article-journal","volume":"9"},"uris":["http://www.mendeley.com/documents/?uuid=aadd82e5-3ff1-4b47-8bd5-630f40b908d4"]}],"mendeley":{"formattedCitation":"(Hussain et al., 2020; Menon et al., 2021)","plainTextFormattedCitation":"(Hussain et al., 2020; Menon et al., 2021)","previouslyFormattedCitation":"(Hussain et al., 2020; Menon et al., 2021)"},"properties":{"noteIndex":0},"schema":"https://github.com/citation-style-language/schema/raw/master/csl-citation.json"}</w:instrText>
      </w:r>
      <w:r>
        <w:rPr>
          <w:rFonts w:hint="default" w:ascii="Times New Roman" w:hAnsi="Times New Roman" w:eastAsia="Times New Roman" w:cs="Times New Roman"/>
          <w:sz w:val="20"/>
          <w:szCs w:val="20"/>
          <w:lang w:eastAsia="en-US"/>
        </w:rPr>
        <w:fldChar w:fldCharType="separate"/>
      </w:r>
      <w:r>
        <w:rPr>
          <w:rFonts w:hint="default" w:ascii="Times New Roman" w:hAnsi="Times New Roman" w:eastAsia="Times New Roman" w:cs="Times New Roman"/>
          <w:b w:val="0"/>
          <w:i w:val="0"/>
          <w:smallCaps w:val="0"/>
          <w:sz w:val="20"/>
          <w:szCs w:val="20"/>
          <w:u w:val="none"/>
          <w:lang w:val="en-US" w:eastAsia="en-US"/>
        </w:rPr>
        <w:t>(Hussain et al., 2020; Menon et al., 2021)</w:t>
      </w:r>
      <w:r>
        <w:rPr>
          <w:rFonts w:hint="default" w:ascii="Times New Roman" w:hAnsi="Times New Roman" w:eastAsia="Times New Roman" w:cs="Times New Roman"/>
          <w:sz w:val="20"/>
          <w:szCs w:val="20"/>
          <w:lang w:eastAsia="en-US"/>
        </w:rPr>
        <w:fldChar w:fldCharType="end"/>
      </w:r>
      <w:r>
        <w:rPr>
          <w:rFonts w:hint="default" w:ascii="Times New Roman" w:hAnsi="Times New Roman" w:eastAsia="Times New Roman" w:cs="Times New Roman"/>
          <w:sz w:val="20"/>
          <w:szCs w:val="20"/>
          <w:lang w:eastAsia="en-US"/>
        </w:rPr>
        <w:t xml:space="preserve">. These areas frequently have fragmented regulatory environments, and healthcare institutions do not have the infrastructure necessary to thoroughly monitor supplement quality and usage </w:t>
      </w:r>
      <w:r>
        <w:rPr>
          <w:rFonts w:hint="default" w:ascii="Times New Roman" w:hAnsi="Times New Roman" w:eastAsia="Times New Roman" w:cs="Times New Roman"/>
          <w:sz w:val="20"/>
          <w:szCs w:val="20"/>
          <w:lang w:eastAsia="en-US"/>
        </w:rPr>
        <w:fldChar w:fldCharType="begin" w:fldLock="1"/>
      </w:r>
      <w:r>
        <w:rPr>
          <w:rFonts w:hint="default" w:ascii="Times New Roman" w:hAnsi="Times New Roman" w:eastAsia="Times New Roman" w:cs="Times New Roman"/>
          <w:sz w:val="20"/>
          <w:szCs w:val="20"/>
          <w:lang w:eastAsia="en-US"/>
        </w:rPr>
        <w:instrText xml:space="preserve">ADDIN CSL_CITATION {"citationItems":[{"id":"ITEM-1","itemData":{"DOI":"10.32628/IJSRST218559","ISSN":"2394-4099","abstract":"During the last few decades, the demand for healthy food and beverages has increased and it is expected to continue increasing in the future. A Nutraceutical is defined as any substance that provides medical or health benefits, including the prevention and treatment of disease. Its constituents are either of known therapeutic activity or contribute substantially to the therapeutic activity of a drug. This research study was dedicated towards a better understanding of nutraceuticals in terms of its awareness, perception and usage by the general public. The study also provided the opinion of clinicians on the same. Sample populations of 650 individuals and 50 clinicians were analyzed in the study. The consumers’ willingness towards nutraceuticals was explained through the following predictors- Age group, gender, health perception and occupation. Google forms platform was used to make the questionnaires and was distributed over social media. Data analysis was performed using Google Sheets (Pivot Tables) and Microsoft Excel (Power Query Editor tool). The data was compared and relationships were mapped among the various factors included in the study. The results conclusively depicted that factors like affordability and employment status played a role in the purchase of nutraceuticals. The COVID-19 pandemic played a significant role in influencing consumers to opt for immunity boosting products and supplements. The study was also able to understand the various consumption patterns and opinions of respondents on the different nutraceutical products available in the market. The survey was observed to have increased public awareness in the sample population.","author":[{"dropping-particle":"","family":"Menon","given":"Anushka","non-dropping-particle":"","parse-names":false,"suffix":""},{"dropping-particle":"","family":"Sawant","given":"Mugdhali","non-dropping-particle":"","parse-names":false,"suffix":""},{"dropping-particle":"","family":"Mishra","given":"Shivangi","non-dropping-particle":"","parse-names":false,"suffix":""},{"dropping-particle":"","family":"Bhatia","given":"Prachi","non-dropping-particle":"","parse-names":false,"suffix":""},{"dropping-particle":"","family":"Rathod","given":"Sejal","non-dropping-particle":"","parse-names":false,"suffix":""}],"container-title":"International Journal of Scientific Research in Science and Technology","id":"ITEM-1","issue":"5","issued":{"date-parts":[["2021","10","30"]]},"page":"399-414","publisher":"Technoscience Academy","title":"Awareness, Perception and Usage of Nutraceuticals in Indian Society","type":"article-journal","volume":"8"},"uris":["http://www.mendeley.com/documents/?uuid=b3e55701-3853-39d3-b60c-11cb5d38d5d5"]},{"id":"ITEM-2","itemData":{"DOI":"10.20959/wjpr20206-17523","abstract":"… Which includes β-glucans, pectin, gums, mucilage and hemicelluloses that are fermented in … Lycopene is one of the major carotenoids and is found exclusively in tomatoes, guava, pink …","author":[{"dropping-particle":"","family":"Hussain","given":"B","non-dropping-particle":"","parse-names":false,"suffix":""},{"dropping-particle":"","family":"Sajid","given":"M A","non-dropping-particle":"","parse-names":false,"suffix":""},{"dropping-particle":"","family":"Nabeel","given":"M","non-dropping-particle":"","parse-names":false,"suffix":""},{"dropping-particle":"","family":"...","given":"","non-dropping-particle":"","parse-names":false,"suffix":""}],"container-title":"World Journal …","id":"ITEM-2","issue":"6","issued":{"date-parts":[["2020"]]},"page":"49-119","title":"Study of assessment of knowledge of patients and health care professionals about the use of nutraceuticals","type":"article-journal","volume":"9"},"uris":["http://www.mendeley.com/documents/?uuid=aadd82e5-3ff1-4b47-8bd5-630f40b908d4"]}],"mendeley":{"formattedCitation":"(Hussain et al., 2020; Menon et al., 2021)","plainTextFormattedCitation":"(Hussain et al., 2020; Menon et al., 2021)","previouslyFormattedCitation":"(Hussain et al., 2020; Menon et al., 2021)"},"properties":{"noteIndex":0},"schema":"https://github.com/citation-style-language/schema/raw/master/csl-citation.json"}</w:instrText>
      </w:r>
      <w:r>
        <w:rPr>
          <w:rFonts w:hint="default" w:ascii="Times New Roman" w:hAnsi="Times New Roman" w:eastAsia="Times New Roman" w:cs="Times New Roman"/>
          <w:sz w:val="20"/>
          <w:szCs w:val="20"/>
          <w:lang w:eastAsia="en-US"/>
        </w:rPr>
        <w:fldChar w:fldCharType="separate"/>
      </w:r>
      <w:r>
        <w:rPr>
          <w:rFonts w:hint="default" w:ascii="Times New Roman" w:hAnsi="Times New Roman" w:eastAsia="Times New Roman" w:cs="Times New Roman"/>
          <w:b w:val="0"/>
          <w:i w:val="0"/>
          <w:smallCaps w:val="0"/>
          <w:sz w:val="20"/>
          <w:szCs w:val="20"/>
          <w:u w:val="none"/>
          <w:lang w:val="en-US" w:eastAsia="en-US"/>
        </w:rPr>
        <w:t>(Hussain et al., 2020; Menon et al., 2021)</w:t>
      </w:r>
      <w:r>
        <w:rPr>
          <w:rFonts w:hint="default" w:ascii="Times New Roman" w:hAnsi="Times New Roman" w:eastAsia="Times New Roman" w:cs="Times New Roman"/>
          <w:sz w:val="20"/>
          <w:szCs w:val="20"/>
          <w:lang w:eastAsia="en-US"/>
        </w:rPr>
        <w:fldChar w:fldCharType="end"/>
      </w:r>
      <w:r>
        <w:rPr>
          <w:rFonts w:hint="default" w:ascii="Times New Roman" w:hAnsi="Times New Roman" w:eastAsia="Times New Roman" w:cs="Times New Roman"/>
          <w:sz w:val="20"/>
          <w:szCs w:val="20"/>
          <w:lang w:eastAsia="en-US"/>
        </w:rPr>
        <w:t>. Healthcare providers who are supposed to counsel patients on the proper use of these items are left with a knowledge gap as a result</w:t>
      </w:r>
      <w:r>
        <w:rPr>
          <w:rFonts w:hint="default" w:ascii="Times New Roman" w:hAnsi="Times New Roman" w:eastAsia="Times New Roman" w:cs="Times New Roman"/>
          <w:sz w:val="20"/>
          <w:szCs w:val="20"/>
          <w:lang w:eastAsia="en-US"/>
        </w:rPr>
        <w:fldChar w:fldCharType="begin" w:fldLock="1"/>
      </w:r>
      <w:r>
        <w:rPr>
          <w:rFonts w:hint="default" w:ascii="Times New Roman" w:hAnsi="Times New Roman" w:eastAsia="Times New Roman" w:cs="Times New Roman"/>
          <w:sz w:val="20"/>
          <w:szCs w:val="20"/>
          <w:lang w:eastAsia="en-US"/>
        </w:rPr>
        <w:instrText xml:space="preserve">ADDIN CSL_CITATION {"citationItems":[{"id":"ITEM-1","itemData":{"DOI":"10.5281/zenodo.15319310","author":[{"dropping-particle":"","family":"Ajagu","given":"Nnenna","non-dropping-particle":"","parse-names":false,"suffix":""}],"id":"ITEM-1","issue":"5","issued":{"date-parts":[["2025"]]},"page":"108-115","title":"Pharmacist Role in Monitoring Self Medication and Self-Care with Over-the-Counter Nutritional and Herbal Supplements in Nigeria : A Review","type":"article-journal","volume":"3"},"uris":["http://www.mendeley.com/documents/?uuid=2e96f95e-a829-4003-9489-efc2a9e93dd8"]}],"mendeley":{"formattedCitation":"(Ajagu, 2025)","plainTextFormattedCitation":"(Ajagu, 2025)","previouslyFormattedCitation":"(Ajagu, 2025)"},"properties":{"noteIndex":0},"schema":"https://github.com/citation-style-language/schema/raw/master/csl-citation.json"}</w:instrText>
      </w:r>
      <w:r>
        <w:rPr>
          <w:rFonts w:hint="default" w:ascii="Times New Roman" w:hAnsi="Times New Roman" w:eastAsia="Times New Roman" w:cs="Times New Roman"/>
          <w:sz w:val="20"/>
          <w:szCs w:val="20"/>
          <w:lang w:eastAsia="en-US"/>
        </w:rPr>
        <w:fldChar w:fldCharType="separate"/>
      </w:r>
      <w:r>
        <w:rPr>
          <w:rFonts w:hint="default" w:ascii="Times New Roman" w:hAnsi="Times New Roman" w:eastAsia="Times New Roman" w:cs="Times New Roman"/>
          <w:b w:val="0"/>
          <w:i w:val="0"/>
          <w:smallCaps w:val="0"/>
          <w:sz w:val="20"/>
          <w:szCs w:val="20"/>
          <w:u w:val="none"/>
          <w:lang w:val="en-US" w:eastAsia="en-US"/>
        </w:rPr>
        <w:t>(Ajagu, 2025)</w:t>
      </w:r>
      <w:r>
        <w:rPr>
          <w:rFonts w:hint="default" w:ascii="Times New Roman" w:hAnsi="Times New Roman" w:eastAsia="Times New Roman" w:cs="Times New Roman"/>
          <w:sz w:val="20"/>
          <w:szCs w:val="20"/>
          <w:lang w:eastAsia="en-US"/>
        </w:rPr>
        <w:fldChar w:fldCharType="end"/>
      </w:r>
      <w:r>
        <w:rPr>
          <w:rFonts w:hint="default" w:ascii="Times New Roman" w:hAnsi="Times New Roman" w:eastAsia="Times New Roman" w:cs="Times New Roman"/>
          <w:sz w:val="20"/>
          <w:szCs w:val="20"/>
          <w:lang w:eastAsia="en-US"/>
        </w:rPr>
        <w:t>.</w:t>
      </w:r>
    </w:p>
    <w:p w14:paraId="5E8B2FFF">
      <w:pPr>
        <w:spacing w:after="0" w:line="480" w:lineRule="auto"/>
        <w:jc w:val="both"/>
        <w:rPr>
          <w:rFonts w:hint="default" w:ascii="Times New Roman" w:hAnsi="Times New Roman" w:eastAsia="Times New Roman" w:cs="Times New Roman"/>
          <w:sz w:val="20"/>
          <w:szCs w:val="20"/>
          <w:lang w:eastAsia="en-US"/>
        </w:rPr>
      </w:pPr>
      <w:r>
        <w:rPr>
          <w:rFonts w:hint="default" w:ascii="Times New Roman" w:hAnsi="Times New Roman" w:eastAsia="Times New Roman" w:cs="Times New Roman"/>
          <w:sz w:val="20"/>
          <w:szCs w:val="20"/>
          <w:lang w:eastAsia="en-US"/>
        </w:rPr>
        <w:t>Health care providers, such as doctors, pharmacists, nurses, and dietitians, are essential in helping patients make decisions about dietary supplements and nutraceuticals</w:t>
      </w:r>
      <w:r>
        <w:rPr>
          <w:rFonts w:hint="default" w:ascii="Times New Roman" w:hAnsi="Times New Roman" w:eastAsia="Times New Roman" w:cs="Times New Roman"/>
          <w:sz w:val="20"/>
          <w:szCs w:val="20"/>
          <w:lang w:eastAsia="en-US"/>
        </w:rPr>
        <w:fldChar w:fldCharType="begin" w:fldLock="1"/>
      </w:r>
      <w:r>
        <w:rPr>
          <w:rFonts w:hint="default" w:ascii="Times New Roman" w:hAnsi="Times New Roman" w:eastAsia="Times New Roman" w:cs="Times New Roman"/>
          <w:sz w:val="20"/>
          <w:szCs w:val="20"/>
          <w:lang w:eastAsia="en-US"/>
        </w:rPr>
        <w:instrText xml:space="preserve">ADDIN CSL_CITATION {"citationItems":[{"id":"ITEM-1","itemData":{"DOI":"10.3390/NU16213691","ISSN":"2072-6643","PMID":"39519524","abstract":"Introduction: The growing popularity of dietary supplements in Poland raises the need to verify the knowledge and practices of healthcare workers who have a key role in recommending their use. Understanding these issues is important to ensure patient safety and the correct use of dietary supplements. Therefore, the aim of the study was to examine the level of knowledge, practices, and sources of information on dietary supplements among various professional groups of healthcare workers. Material and Methods: The study conducted from September 2023 to June 2024 involved 743 healthcare professionals, including doctors, pharmacists, and nurses. Data were collected online using an original questionnaire. The questionnaire was placed in portals associated with target groups. Results: A total of 73.49% of respondents declared knowledge of dietary supplements. The most common source of information was scientific articles (42.8%), and only 7.00% of respondents used official sources such as the Chief Sanitary Inspectorate. Advertisements had a smaller impact on doctors (p &lt; 0.001), with 46.97% of respondents stating that they did not pay attention to them. In addition, 84.52% of respondents considered the composition of the dietary supplement to be a key factor in their recommendation. Conclusions: Knowledge of dietary supplements among healthcare professionals varies, particularly between different professional groups. The results indicate a need for further education and standardization of information to ensure safe and responsible recommendation of supplements to consumers.","author":[{"dropping-particle":"","family":"Strocka","given":"Justyna","non-dropping-particle":"","parse-names":false,"suffix":""},{"dropping-particle":"","family":"Religioni","given":"Urszula","non-dropping-particle":"","parse-names":false,"suffix":""},{"dropping-particle":"","family":"Plagens-Rotman","given":"Katarzyna","non-dropping-particle":"","parse-names":false,"suffix":""},{"dropping-particle":"","family":"Drab","given":"Agnieszka","non-dropping-particle":"","parse-names":false,"suffix":""},{"dropping-particle":"","family":"Merks","given":"Piotr","non-dropping-particle":"","parse-names":false,"suffix":""},{"dropping-particle":"","family":"Kaźmierczak","given":"Justyna","non-dropping-particle":"","parse-names":false,"suffix":""},{"dropping-particle":"","family":"Blicharska","given":"Eliza","non-dropping-particle":"","parse-names":false,"suffix":""},{"dropping-particle":"","family":"Pinkas","given":"Jarosław","non-dropping-particle":"","parse-names":false,"suffix":""}],"container-title":"Nutrients 2024, Vol. 16, Page 3691","id":"ITEM-1","issue":"21","issued":{"date-parts":[["2024","10","29"]]},"page":"3691","publisher":"Multidisciplinary Digital Publishing Institute","title":"Knowledge and Practices Regarding Dietary Supplements Among Healthcare Professionals in Poland","type":"article-journal","volume":"16"},"uris":["http://www.mendeley.com/documents/?uuid=94cbb8e2-2d22-32fe-8f58-f4752dc59a2c"]}],"mendeley":{"formattedCitation":"(Strocka et al., 2024)","plainTextFormattedCitation":"(Strocka et al., 2024)","previouslyFormattedCitation":"(Strocka et al., 2024)"},"properties":{"noteIndex":0},"schema":"https://github.com/citation-style-language/schema/raw/master/csl-citation.json"}</w:instrText>
      </w:r>
      <w:r>
        <w:rPr>
          <w:rFonts w:hint="default" w:ascii="Times New Roman" w:hAnsi="Times New Roman" w:eastAsia="Times New Roman" w:cs="Times New Roman"/>
          <w:sz w:val="20"/>
          <w:szCs w:val="20"/>
          <w:lang w:eastAsia="en-US"/>
        </w:rPr>
        <w:fldChar w:fldCharType="separate"/>
      </w:r>
      <w:r>
        <w:rPr>
          <w:rFonts w:hint="default" w:ascii="Times New Roman" w:hAnsi="Times New Roman" w:eastAsia="Times New Roman" w:cs="Times New Roman"/>
          <w:b w:val="0"/>
          <w:i w:val="0"/>
          <w:smallCaps w:val="0"/>
          <w:sz w:val="20"/>
          <w:szCs w:val="20"/>
          <w:u w:val="none"/>
          <w:lang w:val="en-US" w:eastAsia="en-US"/>
        </w:rPr>
        <w:t>(Strocka et al., 2024)</w:t>
      </w:r>
      <w:r>
        <w:rPr>
          <w:rFonts w:hint="default" w:ascii="Times New Roman" w:hAnsi="Times New Roman" w:eastAsia="Times New Roman" w:cs="Times New Roman"/>
          <w:sz w:val="20"/>
          <w:szCs w:val="20"/>
          <w:lang w:eastAsia="en-US"/>
        </w:rPr>
        <w:fldChar w:fldCharType="end"/>
      </w:r>
      <w:r>
        <w:rPr>
          <w:rFonts w:hint="default" w:ascii="Times New Roman" w:hAnsi="Times New Roman" w:eastAsia="Times New Roman" w:cs="Times New Roman"/>
          <w:sz w:val="20"/>
          <w:szCs w:val="20"/>
          <w:lang w:eastAsia="en-US"/>
        </w:rPr>
        <w:t>. Patient behavior and public health outcomes can be greatly impacted by their attitudes, perceptions, and knowledge of these items</w:t>
      </w:r>
      <w:r>
        <w:rPr>
          <w:rFonts w:hint="default" w:ascii="Times New Roman" w:hAnsi="Times New Roman" w:eastAsia="Times New Roman" w:cs="Times New Roman"/>
          <w:sz w:val="20"/>
          <w:szCs w:val="20"/>
          <w:lang w:eastAsia="en-US"/>
        </w:rPr>
        <w:fldChar w:fldCharType="begin" w:fldLock="1"/>
      </w:r>
      <w:r>
        <w:rPr>
          <w:rFonts w:hint="default" w:ascii="Times New Roman" w:hAnsi="Times New Roman" w:eastAsia="Times New Roman" w:cs="Times New Roman"/>
          <w:sz w:val="20"/>
          <w:szCs w:val="20"/>
          <w:lang w:eastAsia="en-US"/>
        </w:rPr>
        <w:instrText xml:space="preserve">ADDIN CSL_CITATION {"citationItems":[{"id":"ITEM-1","itemData":{"DOI":"10.1016/J.CTIM.2018.09.005","ISSN":"1873-6963","PMID":"30477862","abstract":"Objectives: The objectives of this study were to evaluate the difference among pharmacy, dental and medical students’ attitudes, knowledge and use of dietary supplements. Furthermore, factors likely to influence their personal use and willingness to recommend supplement to patient were investigated. Design: A cross-sectional survey study. Setting: The study was carried out at a single university. Main outcome measures: Survey gathered socio-demographic data and questioned students’ attitudes, knowledge and use of dietary supplements. Results: A total of 506 students were included in the study. Pharmacy students showed more positive attitudes about dietary supplements, and achieved higher knowledge scores when compared to dental or medical students (p &lt; 0.001). Medical students were more likely to use evidence based sources of information about dietary supplements. There was no difference in supplements use across study programs (p = 0.177). As many as 59.7% of students that participated in the study reported using dietary supplements. Data analysis showed that the previous personal use supplements was a significant independent predictor whether students would recommend supplements to their patients (OR 27.03, 95% CI 14.08-50, p &lt; 0.001). Conclusions: Students’ education did not influence their personal use of dietary supplements. However, their personal experience seems to influence their willingness to recommend supplements to patients. Pharmacy students showed greater knowledge about supplements than their dental or medical colleagues. In future practice, health care students could benefit from collaboration with pharmacists when they provide care to patients seeking advice about the use of dietary supplements.","author":[{"dropping-particle":"","family":"Bukic","given":"Josipa","non-dropping-particle":"","parse-names":false,"suffix":""},{"dropping-particle":"","family":"Rusic","given":"Doris","non-dropping-particle":"","parse-names":false,"suffix":""},{"dropping-particle":"","family":"Bozic","given":"Josko","non-dropping-particle":"","parse-names":false,"suffix":""},{"dropping-particle":"","family":"Zekan","given":"Lovre","non-dropping-particle":"","parse-names":false,"suffix":""},{"dropping-particle":"","family":"Leskur","given":"Dario","non-dropping-particle":"","parse-names":false,"suffix":""},{"dropping-particle":"","family":"Seselja Perisin","given":"Ana","non-dropping-particle":"","parse-names":false,"suffix":""},{"dropping-particle":"","family":"Modun","given":"Darko","non-dropping-particle":"","parse-names":false,"suffix":""}],"container-title":"Complementary therapies in medicine","id":"ITEM-1","issued":{"date-parts":[["2018","12","1"]]},"page":"35-40","publisher":"Complement Ther Med","title":"Differences among health care students' attitudes, knowledge and use of dietary supplements: a cross-sectional study","type":"article-journal","volume":"41"},"uris":["http://www.mendeley.com/documents/?uuid=ef8fa40f-3d85-3e7b-bcb0-7980fd56d0ee"]},{"id":"ITEM-2","itemData":{"DOI":"10.54117/Z6W29S37","ISSN":"3115-5677","abstract":"Self-medication with antibiotics is a global public health challenge and it is one of the major causes of antibiotic resistance especially in low and middle income countries. The aim of this study was to assess the knowledge and attitudes on self-medication with antibiotics among health science students of Enugu State University of Science and Technology, Nigeria. The study is a descriptive cross-sectional survey of health science students in Enugu State University of Science and Technology (ESUT). Using a pretested self-administered questionnaire, a total of 599 students were surveyed. The study was carried out from February to March 2022. Ethical clearance was obtained before the study commenced. All the data collected were entered into an excel spreadsheet and exported into SPSS (IBM, Corp.) version 25, a descriptive statistics was done. An inferential statistics using chi-square was used and a p-value ≤0.05 was considered statistically significant.  A total of 599 students participated in the study (55.3% females and 44.7% males) and, one-third of the respondents were from the faculties of Health and Allied Medical Science (36.6%) and Basic Medical Sciences (36.2%), respectively while 27.2% of them were from the faculty of Pharmaceutical Sciences. The study revealed that there is a significant association between gender and the respondents’ knowledge of self-medication with antibiotics (ꭓ2(2) =39.267; p=0.000). Also, a significant association exists between age and the respondents’ knowledge of self-medication with antibiotics (ꭓ2(4) =15.021; p=0.005). Furthermore, majority (81.8%) of the respondents had good knowledge while some (11.0%) had fair/moderate knowledge on self-medication. The findings of this study show that majority of the students had good knowledge of self-medication with antibiotics.","author":[{"dropping-particle":"","family":"Ajagu","given":"Nnenna","non-dropping-particle":"","parse-names":false,"suffix":""},{"dropping-particle":"","family":"Nwankpa","given":"Vivian Ezinne","non-dropping-particle":"","parse-names":false,"suffix":""},{"dropping-particle":"","family":"Aniekwe","given":"Augustus Obinna","non-dropping-particle":"","parse-names":false,"suffix":""},{"dropping-particle":"","family":"Kalu","given":"Beatrice Arunsi","non-dropping-particle":"","parse-names":false,"suffix":""},{"dropping-particle":"","family":"Kalu","given":"I. Arunsi","non-dropping-particle":"","parse-names":false,"suffix":""}],"container-title":"IPS Journal of Public Health","id":"ITEM-2","issue":"1","issued":{"date-parts":[["2026","2","12"]]},"page":"542-554","title":"Knowledge and Attitudes Towards Self-Medication with Antibiotics Among Health Science Students of Enugu State University, Nigeria","type":"article-journal","volume":"6"},"uris":["http://www.mendeley.com/documents/?uuid=7c31b628-062e-34a2-94c6-90588afad226"]}],"mendeley":{"formattedCitation":"(Ajagu et al., 2026; Bukic et al., 2018)","plainTextFormattedCitation":"(Ajagu et al., 2026; Bukic et al., 2018)"},"properties":{"noteIndex":0},"schema":"https://github.com/citation-style-language/schema/raw/master/csl-citation.json"}</w:instrText>
      </w:r>
      <w:r>
        <w:rPr>
          <w:rFonts w:hint="default" w:ascii="Times New Roman" w:hAnsi="Times New Roman" w:eastAsia="Times New Roman" w:cs="Times New Roman"/>
          <w:sz w:val="20"/>
          <w:szCs w:val="20"/>
          <w:lang w:eastAsia="en-US"/>
        </w:rPr>
        <w:fldChar w:fldCharType="separate"/>
      </w:r>
      <w:r>
        <w:rPr>
          <w:rFonts w:hint="default" w:ascii="Times New Roman" w:hAnsi="Times New Roman" w:eastAsia="Times New Roman" w:cs="Times New Roman"/>
          <w:b w:val="0"/>
          <w:i w:val="0"/>
          <w:smallCaps w:val="0"/>
          <w:sz w:val="20"/>
          <w:szCs w:val="20"/>
          <w:u w:val="none"/>
          <w:lang w:val="en-US" w:eastAsia="en-US"/>
        </w:rPr>
        <w:t>(Ajagu et al., 2026; Bukic et al., 2018)</w:t>
      </w:r>
      <w:r>
        <w:rPr>
          <w:rFonts w:hint="default" w:ascii="Times New Roman" w:hAnsi="Times New Roman" w:eastAsia="Times New Roman" w:cs="Times New Roman"/>
          <w:sz w:val="20"/>
          <w:szCs w:val="20"/>
          <w:lang w:eastAsia="en-US"/>
        </w:rPr>
        <w:fldChar w:fldCharType="end"/>
      </w:r>
      <w:r>
        <w:rPr>
          <w:rFonts w:hint="default" w:ascii="Times New Roman" w:hAnsi="Times New Roman" w:eastAsia="Times New Roman" w:cs="Times New Roman"/>
          <w:sz w:val="20"/>
          <w:szCs w:val="20"/>
          <w:lang w:eastAsia="en-US"/>
        </w:rPr>
        <w:t>. However, research indicates that a large number of healthcare professionals could not have had formal training or have a thorough grasp of</w:t>
      </w:r>
      <w:r>
        <w:rPr>
          <w:rFonts w:hint="default" w:ascii="Times New Roman" w:hAnsi="Times New Roman" w:eastAsia="Times New Roman" w:cs="Times New Roman"/>
          <w:sz w:val="20"/>
          <w:szCs w:val="20"/>
          <w:lang w:eastAsia="en-US"/>
        </w:rPr>
        <w:fldChar w:fldCharType="begin" w:fldLock="1"/>
      </w:r>
      <w:r>
        <w:rPr>
          <w:rFonts w:hint="default" w:ascii="Times New Roman" w:hAnsi="Times New Roman" w:eastAsia="Times New Roman" w:cs="Times New Roman"/>
          <w:sz w:val="20"/>
          <w:szCs w:val="20"/>
          <w:lang w:eastAsia="en-US"/>
        </w:rPr>
        <w:instrText xml:space="preserve">ADDIN CSL_CITATION {"citationItems":[{"id":"ITEM-1","itemData":{"DOI":"10.7759/cureus.51130","abstract":"Background: Global interest in complementary and alternative medicine (CAM) has recently risen, particularly in Saudi Arabia, and the use of CAM is gaining popularity as a healthcare option.","author":[{"dropping-particle":"","family":"Metwally","given":"Ahmed S","non-dropping-particle":"","parse-names":false,"suffix":""},{"dropping-particle":"","family":"Atallah","given":"Ibrahim A","non-dropping-particle":"","parse-names":false,"suffix":""},{"dropping-particle":"","family":"Almutairi","given":"Ibrahim K","non-dropping-particle":"","parse-names":false,"suffix":""},{"dropping-particle":"","family":"Alzand","given":"Mansour S","non-dropping-particle":"","parse-names":false,"suffix":""},{"dropping-particle":"","family":"Alqabli","given":"Mohammed S","non-dropping-particle":"","parse-names":false,"suffix":""}],"id":"ITEM-1","issued":{"date-parts":[["2023"]]},"title":"The Prevalent Use of Complementary and Alternative Medicine Among Patients With Chronic Disease in the Al-Madinah Population of Saudi Arabia","type":"article-journal"},"uris":["http://www.mendeley.com/documents/?uuid=b6e04faa-17f3-38dd-84db-6c5aa41542bc"]}],"mendeley":{"formattedCitation":"(Metwally et al., 2023)","plainTextFormattedCitation":"(Metwally et al., 2023)","previouslyFormattedCitation":"(Metwally et al., 2023)"},"properties":{"noteIndex":0},"schema":"https://github.com/citation-style-language/schema/raw/master/csl-citation.json"}</w:instrText>
      </w:r>
      <w:r>
        <w:rPr>
          <w:rFonts w:hint="default" w:ascii="Times New Roman" w:hAnsi="Times New Roman" w:eastAsia="Times New Roman" w:cs="Times New Roman"/>
          <w:sz w:val="20"/>
          <w:szCs w:val="20"/>
          <w:lang w:eastAsia="en-US"/>
        </w:rPr>
        <w:fldChar w:fldCharType="separate"/>
      </w:r>
      <w:r>
        <w:rPr>
          <w:rFonts w:hint="default" w:ascii="Times New Roman" w:hAnsi="Times New Roman" w:eastAsia="Times New Roman" w:cs="Times New Roman"/>
          <w:b w:val="0"/>
          <w:i w:val="0"/>
          <w:smallCaps w:val="0"/>
          <w:sz w:val="20"/>
          <w:szCs w:val="20"/>
          <w:u w:val="none"/>
          <w:lang w:val="en-US" w:eastAsia="en-US"/>
        </w:rPr>
        <w:t>(Metwally et al., 2023)</w:t>
      </w:r>
      <w:r>
        <w:rPr>
          <w:rFonts w:hint="default" w:ascii="Times New Roman" w:hAnsi="Times New Roman" w:eastAsia="Times New Roman" w:cs="Times New Roman"/>
          <w:sz w:val="20"/>
          <w:szCs w:val="20"/>
          <w:lang w:eastAsia="en-US"/>
        </w:rPr>
        <w:fldChar w:fldCharType="end"/>
      </w:r>
      <w:r>
        <w:rPr>
          <w:rFonts w:hint="default" w:ascii="Times New Roman" w:hAnsi="Times New Roman" w:eastAsia="Times New Roman" w:cs="Times New Roman"/>
          <w:sz w:val="20"/>
          <w:szCs w:val="20"/>
          <w:lang w:eastAsia="en-US"/>
        </w:rPr>
        <w:t xml:space="preserve"> nutraceuticals, which could lead to a variety of clinical practices and possibly inaccurate information </w:t>
      </w:r>
      <w:r>
        <w:rPr>
          <w:rFonts w:hint="default" w:ascii="Times New Roman" w:hAnsi="Times New Roman" w:eastAsia="Times New Roman" w:cs="Times New Roman"/>
          <w:sz w:val="20"/>
          <w:szCs w:val="20"/>
          <w:lang w:eastAsia="en-US"/>
        </w:rPr>
        <w:fldChar w:fldCharType="begin" w:fldLock="1"/>
      </w:r>
      <w:r>
        <w:rPr>
          <w:rFonts w:hint="default" w:ascii="Times New Roman" w:hAnsi="Times New Roman" w:eastAsia="Times New Roman" w:cs="Times New Roman"/>
          <w:sz w:val="20"/>
          <w:szCs w:val="20"/>
          <w:lang w:eastAsia="en-US"/>
        </w:rPr>
        <w:instrText xml:space="preserve">ADDIN CSL_CITATION {"citationItems":[{"id":"ITEM-1","itemData":{"DOI":"10.7759/cureus.51130","abstract":"Background: Global interest in complementary and alternative medicine (CAM) has recently risen, particularly in Saudi Arabia, and the use of CAM is gaining popularity as a healthcare option.","author":[{"dropping-particle":"","family":"Metwally","given":"Ahmed S","non-dropping-particle":"","parse-names":false,"suffix":""},{"dropping-particle":"","family":"Atallah","given":"Ibrahim A","non-dropping-particle":"","parse-names":false,"suffix":""},{"dropping-particle":"","family":"Almutairi","given":"Ibrahim K","non-dropping-particle":"","parse-names":false,"suffix":""},{"dropping-particle":"","family":"Alzand","given":"Mansour S","non-dropping-particle":"","parse-names":false,"suffix":""},{"dropping-particle":"","family":"Alqabli","given":"Mohammed S","non-dropping-particle":"","parse-names":false,"suffix":""}],"id":"ITEM-1","issued":{"date-parts":[["2023"]]},"title":"The Prevalent Use of Complementary and Alternative Medicine Among Patients With Chronic Disease in the Al-Madinah Population of Saudi Arabia","type":"article-journal"},"uris":["http://www.mendeley.com/documents/?uuid=b6e04faa-17f3-38dd-84db-6c5aa41542bc"]},{"id":"ITEM-2","itemData":{"DOI":"10.1186/S12913-016-1882-8","ISSN":"14726963","PMID":"27832773","abstract":"Background: Patient-centered care is now the goal for virtually all healthcare systems. The aim of this research was to evaluate the patient care quality in regard to drug dispensing in four hospitals in southern Ethiopia namely Wolaita Sodo University teaching and referral hospital (WSUTRH), Tercha zonal hospital (TZH), Sodo Christian hospital (SCH) and Dubo St. Mary's Catholic primary hospital (DSMCPH). Methods: A cross sectional study was conducted by using the WHO patient care and facility indicators between September 10 and October 20, 2014. Patients who visited the outpatient departments of the four hospitals were selected by systematic random sampling method and interviewed. In total 384 patients were selected based on a rough estimate of proportion of patients visiting to the four hospitals. Facility indicators including the availability of essential drugs list (EDL), national drug formulary, standard treatment guideline (STG) and key drugs were evaluated. Descriptive statistical calculations were performed using SPSS® version 20.0 software. Result: The mean number of drugs was in the range between 1.9 ± 0.9 to 2.2 ± 2.0. The mean consultation time range was found to be 4.2 ± 1.6 to 4.9 ± 5.0 min whereas the mean dispensing time was ranged from 96.1 ± 52.0 to 152.3 ± 47.6 s. The overall mean number of drug prescribed for the four hospitals was 2.0 ± 1.2 and the mean percentage of medications actually dispensed in the hospitals was thus calculated to be 86.3. The mean percentage of medications clearly labeled was 45.4. Patients who knew their dosage forms accurately were 78.8. Among the four hospitals evaluated only one hospital (25 %) had at least a copy of the Ethiopian essential drug list (EDL), standard treatment guideline for hospitals and drug formulary. The mean availability of key drugs in the hospitals was found to be 65.7 %. Conclusion: The result of the present study indicates that the patient consulting time, medications labeling and availability of key drugs in the hospitals are inadequate. The medication labeling practice in the four hospitals is unacceptably low. These patient care indicators need a special attention for improvement.","author":[{"dropping-particle":"","family":"BO","given":"Ogbonna","non-dropping-particle":"","parse-names":false,"suffix":""},{"dropping-particle":"","family":"AS","given":"Enyi-Okafor","non-dropping-particle":"","parse-names":false,"suffix":""},{"dropping-particle":"","family":"MI","given":"Okoye","non-dropping-particle":"","parse-names":false,"suffix":""},{"dropping-particle":"","family":"AO","given":"Ezigbo","non-dropping-particle":"","parse-names":false,"suffix":""},{"dropping-particle":"","family":"JC","given":"Achi","non-dropping-particle":"","parse-names":false,"suffix":""},{"dropping-particle":"","family":"TA","given":"Nwabanne","non-dropping-particle":"","parse-names":false,"suffix":""},{"dropping-particle":"","family":"MU","given":"Anetoh","non-dropping-particle":"","parse-names":false,"suffix":""},{"dropping-particle":"","family":"L","given":"Ejieh","non-dropping-particle":"","parse-names":false,"suffix":""},{"dropping-particle":"","family":"UA","given":"Adenola","non-dropping-particle":"","parse-names":false,"suffix":""},{"dropping-particle":"","family":"NN","given":"Okpalanma","non-dropping-particle":"","parse-names":false,"suffix":""},{"dropping-particle":"","family":"HN","given":"Maduekwe","non-dropping-particle":"","parse-names":false,"suffix":""},{"dropping-particle":"","family":"AI","given":"Okeke","non-dropping-particle":"","parse-names":false,"suffix":""},{"dropping-particle":"","family":"I","given":"Okoye","non-dropping-particle":"","parse-names":false,"suffix":""},{"dropping-particle":"","family":"M","given":"Omuta","non-dropping-particle":"","parse-names":false,"suffix":""},{"dropping-particle":"","family":"E","given":"Egere","non-dropping-particle":"","parse-names":false,"suffix":""},{"dropping-particle":"","family":"GN","given":"Osuafor","non-dropping-particle":"","parse-names":false,"suffix":""},{"dropping-particle":"","family":"A","given":"Maduka","non-dropping-particle":"","parse-names":false,"suffix":""},{"dropping-particle":"","family":"SO","given":"Ovwighose","non-dropping-particle":"","parse-names":false,"suffix":""},{"dropping-particle":"","family":"M","given":"Onwuma","non-dropping-particle":"","parse-names":false,"suffix":""},{"dropping-particle":"","family":"M","given":"Nnamani","non-dropping-particle":"","parse-names":false,"suffix":""},{"dropping-particle":"","family":"M","given":"Nwafor","non-dropping-particle":"","parse-names":false,"suffix":""},{"dropping-particle":"","family":"N","given":"Ajagu","non-dropping-particle":"","parse-names":false,"suffix":""},{"dropping-particle":"","family":"A","given":"Ofor","non-dropping-particle":"","parse-names":false,"suffix":""}],"container-title":"Austin Journal of Nursing &amp; Health Care","id":"ITEM-2","issue":"1","issued":{"date-parts":[["2022","10","4"]]},"page":"1-8","publisher":"Austin Publishing Group","title":"Assessment of Drug Use in a Tertiary Hospital in Southeast Nigeria Based on Who Core Drug Use Indicators","type":"article-journal","volume":"16"},"uris":["http://www.mendeley.com/documents/?uuid=522b7a38-a92f-3ce5-bf8f-d3adf5e6aa7c"]},{"id":"ITEM-3","itemData":{"DOI":"10.54117/Z6W29S37","ISSN":"3115-5677","abstract":"Self-medication with antibiotics is a global public health challenge and it is one of the major causes of antibiotic resistance especially in low and middle income countries. The aim of this study was to assess the knowledge and attitudes on self-medication with antibiotics among health science students of Enugu State University of Science and Technology, Nigeria. The study is a descriptive cross-sectional survey of health science students in Enugu State University of Science and Technology (ESUT). Using a pretested self-administered questionnaire, a total of 599 students were surveyed. The study was carried out from February to March 2022. Ethical clearance was obtained before the study commenced. All the data collected were entered into an excel spreadsheet and exported into SPSS (IBM, Corp.) version 25, a descriptive statistics was done. An inferential statistics using chi-square was used and a p-value ≤0.05 was considered statistically significant.  A total of 599 students participated in the study (55.3% females and 44.7% males) and, one-third of the respondents were from the faculties of Health and Allied Medical Science (36.6%) and Basic Medical Sciences (36.2%), respectively while 27.2% of them were from the faculty of Pharmaceutical Sciences. The study revealed that there is a significant association between gender and the respondents’ knowledge of self-medication with antibiotics (ꭓ2(2) =39.267; p=0.000). Also, a significant association exists between age and the respondents’ knowledge of self-medication with antibiotics (ꭓ2(4) =15.021; p=0.005). Furthermore, majority (81.8%) of the respondents had good knowledge while some (11.0%) had fair/moderate knowledge on self-medication. The findings of this study show that majority of the students had good knowledge of self-medication with antibiotics.","author":[{"dropping-particle":"","family":"Ajagu","given":"Nnenna","non-dropping-particle":"","parse-names":false,"suffix":""},{"dropping-particle":"","family":"Nwankpa","given":"Vivian Ezinne","non-dropping-particle":"","parse-names":false,"suffix":""},{"dropping-particle":"","family":"Aniekwe","given":"Augustus Obinna","non-dropping-particle":"","parse-names":false,"suffix":""},{"dropping-particle":"","family":"Kalu","given":"Beatrice Arunsi","non-dropping-particle":"","parse-names":false,"suffix":""},{"dropping-particle":"","family":"Kalu","given":"I. Arunsi","non-dropping-particle":"","parse-names":false,"suffix":""}],"container-title":"IPS Journal of Public Health","id":"ITEM-3","issue":"1","issued":{"date-parts":[["2026","2","12"]]},"page":"542-554","title":"Knowledge and Attitudes Towards Self-Medication with Antibiotics Among Health Science Students of Enugu State University, Nigeria","type":"article-journal","volume":"6"},"uris":["http://www.mendeley.com/documents/?uuid=7c31b628-062e-34a2-94c6-90588afad226"]}],"mendeley":{"formattedCitation":"(Ajagu et al., 2026; BO et al., 2022; Metwally et al., 2023)","plainTextFormattedCitation":"(Ajagu et al., 2026; BO et al., 2022; Metwally et al., 2023)","previouslyFormattedCitation":"(Ajagu et al., 2026; BO et al., 2022; Metwally et al., 2023)"},"properties":{"noteIndex":0},"schema":"https://github.com/citation-style-language/schema/raw/master/csl-citation.json"}</w:instrText>
      </w:r>
      <w:r>
        <w:rPr>
          <w:rFonts w:hint="default" w:ascii="Times New Roman" w:hAnsi="Times New Roman" w:eastAsia="Times New Roman" w:cs="Times New Roman"/>
          <w:sz w:val="20"/>
          <w:szCs w:val="20"/>
          <w:lang w:eastAsia="en-US"/>
        </w:rPr>
        <w:fldChar w:fldCharType="separate"/>
      </w:r>
      <w:r>
        <w:rPr>
          <w:rFonts w:hint="default" w:ascii="Times New Roman" w:hAnsi="Times New Roman" w:eastAsia="Times New Roman" w:cs="Times New Roman"/>
          <w:b w:val="0"/>
          <w:i w:val="0"/>
          <w:smallCaps w:val="0"/>
          <w:sz w:val="20"/>
          <w:szCs w:val="20"/>
          <w:u w:val="none"/>
          <w:lang w:val="en-US" w:eastAsia="en-US"/>
        </w:rPr>
        <w:t>(Ajagu et al., 2026; BO et al., 2022; Metwally et al., 2023)</w:t>
      </w:r>
      <w:r>
        <w:rPr>
          <w:rFonts w:hint="default" w:ascii="Times New Roman" w:hAnsi="Times New Roman" w:eastAsia="Times New Roman" w:cs="Times New Roman"/>
          <w:sz w:val="20"/>
          <w:szCs w:val="20"/>
          <w:lang w:eastAsia="en-US"/>
        </w:rPr>
        <w:fldChar w:fldCharType="end"/>
      </w:r>
      <w:r>
        <w:rPr>
          <w:rFonts w:hint="default" w:ascii="Times New Roman" w:hAnsi="Times New Roman" w:eastAsia="Times New Roman" w:cs="Times New Roman"/>
          <w:sz w:val="20"/>
          <w:szCs w:val="20"/>
          <w:lang w:eastAsia="en-US"/>
        </w:rPr>
        <w:t xml:space="preserve">. The integration of nutraceuticals into evidence-based healthcare may be made more difficult by obstacles such patient-related variables, limited chances for ongoing education, financial limitations, and lack of access to trustworthy scientific information </w:t>
      </w:r>
      <w:r>
        <w:rPr>
          <w:rFonts w:hint="default" w:ascii="Times New Roman" w:hAnsi="Times New Roman" w:eastAsia="Times New Roman" w:cs="Times New Roman"/>
          <w:sz w:val="20"/>
          <w:szCs w:val="20"/>
          <w:lang w:eastAsia="en-US"/>
        </w:rPr>
        <w:fldChar w:fldCharType="begin" w:fldLock="1"/>
      </w:r>
      <w:r>
        <w:rPr>
          <w:rFonts w:hint="default" w:ascii="Times New Roman" w:hAnsi="Times New Roman" w:eastAsia="Times New Roman" w:cs="Times New Roman"/>
          <w:sz w:val="20"/>
          <w:szCs w:val="20"/>
          <w:lang w:eastAsia="en-US"/>
        </w:rPr>
        <w:instrText xml:space="preserve">ADDIN CSL_CITATION {"citationItems":[{"id":"ITEM-1","itemData":{"DOI":"10.5281/ZENODO.15319310","ISSN":"0975-4725","abstract":"This review undertakes a thorough examination of the pivotal role that pharmacists play in Nigeria in the critical activity of monitoring self-medication and self-care practices. This monitoring specifically focuses on the utilization of over-the-counter (OTC) nutritional supplements and herbal remedies. The practice of self-medication in Nigeria is a widespread phenomenon, often fueled by a complex and diverse set of underlying factors. One significant driver of self-medication is the limited availability and accessibility of essential prescription medications for a considerable portion of the population. This accessibility gap compels individuals to seek alternative healthcare solutions and often leads them to engage in self-treatment strategies. Within the healthcare landscape, pharmacists occupy a uniquely advantageous position, serving as the most readily accessible healthcare providers to the general public. Given their widespread presence and ease of access, pharmacists are therefore of crucial importance in promoting responsible self-care practices and ensuring the appropriate and safe use of medications, including both conventional drugs and OTC products. Their involvement is essential to effectively mitigate potential risks and adverse consequences that may arise from inappropriate or unsupervised self-treatment, thus safeguarding public health.","author":[{"dropping-particle":"","family":"Nnenna Ajagu","given":"","non-dropping-particle":"","parse-names":false,"suffix":""}],"container-title":"International Journal of Pharmaceutical Sciences","id":"ITEM-1","issue":"04","issued":{"date-parts":[["2025"]]},"page":"90","publisher":"IJPS Journal","title":"Pharmacist Role in Monitoring Self Medication and Self-Care with Over-the-Counter Nutritional and Herbal Supplements in Nigeria: A Review","type":"article-journal","volume":"03"},"uris":["http://www.mendeley.com/documents/?uuid=275eaaa2-364e-3281-9beb-52d68db0aafb"]},{"id":"ITEM-2","itemData":{"DOI":"10.1007/S40670-024-02114-9","ISSN":"2156-8650","PMID":"39758501","abstract":"Introduction: Despite the known importance of nutrition on health outcomes, most medical curricula do not dedicate sufficient time to nutrition topics. Many barriers prevent the successful integration of nutrition education into existing curricula. Methods: We created an online nutrition module to educate students about foundational nutritional topics. To assess the efficacy of the module and improve integration of knowledge, students were asked to take a pre-assessment and a post-assessment immediately before and after completion of the module. Two months after completion, students were asked to take a follow-up assessment to assess long-term retention of the information covered in the module. Results: A total of 15 medical students completed all the requirements of the nutrition module (including pre-, post-, and follow-up assessments). The mean percent correct on the pre-, post-, and follow-up assessments were 67.5%, 87.0%, and 83.5%, respectively. The absolute difference between the pre- and post-module scores was 3.8 points (19.0%, t = 9.2, p &lt; 0.0001). The absolute difference between the mean post- and follow-up scores was − 0.93 points (4.7%, t = − 1.7, p = 0.1154). Discussion: Most medical students do not feel adequately prepared to counsel patients on nutrition. Development of an accessible, online nutrition module was effective in teaching medical students about nutritional topics and in retaining the information over time. Advantages of the module include flexibility for students to choose when to complete the learning, brief (&lt; 1 h) concise material, and the ability for educators to quickly update the module content.","author":[{"dropping-particle":"","family":"Chen","given":"Pinyu","non-dropping-particle":"","parse-names":false,"suffix":""},{"dropping-particle":"","family":"Alexander","given":"Seth Mc Kenzie","non-dropping-particle":"","parse-names":false,"suffix":""},{"dropping-particle":"","family":"Baute Penry","given":"Vanessa","non-dropping-particle":"","parse-names":false,"suffix":""}],"container-title":"Medical science educator","id":"ITEM-2","issue":"6","issued":{"date-parts":[["2024","12","1"]]},"page":"1361-1367","publisher":"Med Sci Educ","title":"Nutrition Module: Addressing the Nutrition Education Gap in Undergraduate Medical Curricula via a Novel Approach","type":"article-journal","volume":"34"},"uris":["http://www.mendeley.com/documents/?uuid=f9250551-ff37-3fae-b71e-f83fec32d7a0"]}],"mendeley":{"formattedCitation":"(Chen et al., 2024; Nnenna Ajagu, 2025)","plainTextFormattedCitation":"(Chen et al., 2024; Nnenna Ajagu, 2025)","previouslyFormattedCitation":"(Chen et al., 2024; Nnenna Ajagu, 2025)"},"properties":{"noteIndex":0},"schema":"https://github.com/citation-style-language/schema/raw/master/csl-citation.json"}</w:instrText>
      </w:r>
      <w:r>
        <w:rPr>
          <w:rFonts w:hint="default" w:ascii="Times New Roman" w:hAnsi="Times New Roman" w:eastAsia="Times New Roman" w:cs="Times New Roman"/>
          <w:sz w:val="20"/>
          <w:szCs w:val="20"/>
          <w:lang w:eastAsia="en-US"/>
        </w:rPr>
        <w:fldChar w:fldCharType="separate"/>
      </w:r>
      <w:r>
        <w:rPr>
          <w:rFonts w:hint="default" w:ascii="Times New Roman" w:hAnsi="Times New Roman" w:eastAsia="Times New Roman" w:cs="Times New Roman"/>
          <w:b w:val="0"/>
          <w:i w:val="0"/>
          <w:smallCaps w:val="0"/>
          <w:sz w:val="20"/>
          <w:szCs w:val="20"/>
          <w:u w:val="none"/>
          <w:lang w:val="en-US" w:eastAsia="en-US"/>
        </w:rPr>
        <w:t>(Chen et al., 2024; Nnenna Ajagu, 2025)</w:t>
      </w:r>
      <w:r>
        <w:rPr>
          <w:rFonts w:hint="default" w:ascii="Times New Roman" w:hAnsi="Times New Roman" w:eastAsia="Times New Roman" w:cs="Times New Roman"/>
          <w:sz w:val="20"/>
          <w:szCs w:val="20"/>
          <w:lang w:eastAsia="en-US"/>
        </w:rPr>
        <w:fldChar w:fldCharType="end"/>
      </w:r>
      <w:r>
        <w:rPr>
          <w:rFonts w:hint="default" w:ascii="Times New Roman" w:hAnsi="Times New Roman" w:eastAsia="Times New Roman" w:cs="Times New Roman"/>
          <w:sz w:val="20"/>
          <w:szCs w:val="20"/>
          <w:lang w:eastAsia="en-US"/>
        </w:rPr>
        <w:t>.</w:t>
      </w:r>
    </w:p>
    <w:p w14:paraId="6C16D888">
      <w:pPr>
        <w:keepNext w:val="0"/>
        <w:keepLines w:val="0"/>
        <w:widowControl/>
        <w:suppressLineNumbers w:val="0"/>
        <w:spacing w:line="480" w:lineRule="auto"/>
        <w:jc w:val="both"/>
        <w:rPr>
          <w:rFonts w:hint="default" w:ascii="Times New Roman" w:hAnsi="Times New Roman" w:eastAsia="Times New Roman" w:cs="Times New Roman"/>
          <w:b/>
          <w:bCs/>
          <w:sz w:val="20"/>
          <w:szCs w:val="20"/>
        </w:rPr>
      </w:pPr>
      <w:r>
        <w:rPr>
          <w:rFonts w:hint="default" w:ascii="Times New Roman" w:hAnsi="Times New Roman" w:eastAsia="Times New Roman" w:cs="Times New Roman"/>
          <w:sz w:val="20"/>
          <w:szCs w:val="20"/>
          <w:lang w:eastAsia="en-US"/>
        </w:rPr>
        <w:t>In light of these complications, it is critical to evaluate the present state of healthcare professionals' perceptions and knowledge regarding dietary supplements and nutraceutical</w:t>
      </w:r>
      <w:r>
        <w:rPr>
          <w:rFonts w:hint="default" w:ascii="Times New Roman" w:hAnsi="Times New Roman" w:eastAsia="Times New Roman" w:cs="Times New Roman"/>
          <w:sz w:val="20"/>
          <w:szCs w:val="20"/>
          <w:lang w:eastAsia="en-US"/>
        </w:rPr>
        <w:fldChar w:fldCharType="begin" w:fldLock="1"/>
      </w:r>
      <w:r>
        <w:rPr>
          <w:rFonts w:hint="default" w:ascii="Times New Roman" w:hAnsi="Times New Roman" w:eastAsia="Times New Roman" w:cs="Times New Roman"/>
          <w:sz w:val="20"/>
          <w:szCs w:val="20"/>
          <w:lang w:eastAsia="en-US"/>
        </w:rPr>
        <w:instrText xml:space="preserve">ADDIN CSL_CITATION {"citationItems":[{"id":"ITEM-1","itemData":{"DOI":"10.3390/NU16213691","ISSN":"2072-6643","PMID":"39519524","abstract":"Introduction: The growing popularity of dietary supplements in Poland raises the need to verify the knowledge and practices of healthcare workers who have a key role in recommending their use. Understanding these issues is important to ensure patient safety and the correct use of dietary supplements. Therefore, the aim of the study was to examine the level of knowledge, practices, and sources of information on dietary supplements among various professional groups of healthcare workers. Material and Methods: The study conducted from September 2023 to June 2024 involved 743 healthcare professionals, including doctors, pharmacists, and nurses. Data were collected online using an original questionnaire. The questionnaire was placed in portals associated with target groups. Results: A total of 73.49% of respondents declared knowledge of dietary supplements. The most common source of information was scientific articles (42.8%), and only 7.00% of respondents used official sources such as the Chief Sanitary Inspectorate. Advertisements had a smaller impact on doctors (p &lt; 0.001), with 46.97% of respondents stating that they did not pay attention to them. In addition, 84.52% of respondents considered the composition of the dietary supplement to be a key factor in their recommendation. Conclusions: Knowledge of dietary supplements among healthcare professionals varies, particularly between different professional groups. The results indicate a need for further education and standardization of information to ensure safe and responsible recommendation of supplements to consumers.","author":[{"dropping-particle":"","family":"Strocka","given":"Justyna","non-dropping-particle":"","parse-names":false,"suffix":""},{"dropping-particle":"","family":"Religioni","given":"Urszula","non-dropping-particle":"","parse-names":false,"suffix":""},{"dropping-particle":"","family":"Plagens-Rotman","given":"Katarzyna","non-dropping-particle":"","parse-names":false,"suffix":""},{"dropping-particle":"","family":"Drab","given":"Agnieszka","non-dropping-particle":"","parse-names":false,"suffix":""},{"dropping-particle":"","family":"Merks","given":"Piotr","non-dropping-particle":"","parse-names":false,"suffix":""},{"dropping-particle":"","family":"Kaźmierczak","given":"Justyna","non-dropping-particle":"","parse-names":false,"suffix":""},{"dropping-particle":"","family":"Blicharska","given":"Eliza","non-dropping-particle":"","parse-names":false,"suffix":""},{"dropping-particle":"","family":"Pinkas","given":"Jarosław","non-dropping-particle":"","parse-names":false,"suffix":""}],"container-title":"Nutrients 2024, Vol. 16, Page 3691","id":"ITEM-1","issue":"21","issued":{"date-parts":[["2024","10","29"]]},"page":"3691","publisher":"Multidisciplinary Digital Publishing Institute","title":"Knowledge and Practices Regarding Dietary Supplements Among Healthcare Professionals in Poland","type":"article-journal","volume":"16"},"uris":["http://www.mendeley.com/documents/?uuid=94cbb8e2-2d22-32fe-8f58-f4752dc59a2c"]},{"id":"ITEM-2","itemData":{"DOI":"10.5281/ZENODO.15319310","ISSN":"0975-4725","abstract":"This review undertakes a thorough examination of the pivotal role that pharmacists play in Nigeria in the critical activity of monitoring self-medication and self-care practices. This monitoring specifically focuses on the utilization of over-the-counter (OTC) nutritional supplements and herbal remedies. The practice of self-medication in Nigeria is a widespread phenomenon, often fueled by a complex and diverse set of underlying factors. One significant driver of self-medication is the limited availability and accessibility of essential prescription medications for a considerable portion of the population. This accessibility gap compels individuals to seek alternative healthcare solutions and often leads them to engage in self-treatment strategies. Within the healthcare landscape, pharmacists occupy a uniquely advantageous position, serving as the most readily accessible healthcare providers to the general public. Given their widespread presence and ease of access, pharmacists are therefore of crucial importance in promoting responsible self-care practices and ensuring the appropriate and safe use of medications, including both conventional drugs and OTC products. Their involvement is essential to effectively mitigate potential risks and adverse consequences that may arise from inappropriate or unsupervised self-treatment, thus safeguarding public health.","author":[{"dropping-particle":"","family":"Nnenna Ajagu","given":"","non-dropping-particle":"","parse-names":false,"suffix":""}],"container-title":"International Journal of Pharmaceutical Sciences","id":"ITEM-2","issue":"04","issued":{"date-parts":[["2025"]]},"page":"90","publisher":"IJPS Journal","title":"Pharmacist Role in Monitoring Self Medication and Self-Care with Over-the-Counter Nutritional and Herbal Supplements in Nigeria: A Review","type":"article-journal","volume":"03"},"uris":["http://www.mendeley.com/documents/?uuid=275eaaa2-364e-3281-9beb-52d68db0aafb"]}],"mendeley":{"formattedCitation":"(Nnenna Ajagu, 2025; Strocka et al., 2024)","plainTextFormattedCitation":"(Nnenna Ajagu, 2025; Strocka et al., 2024)","previouslyFormattedCitation":"(Nnenna Ajagu, 2025; Strocka et al., 2024)"},"properties":{"noteIndex":0},"schema":"https://github.com/citation-style-language/schema/raw/master/csl-citation.json"}</w:instrText>
      </w:r>
      <w:r>
        <w:rPr>
          <w:rFonts w:hint="default" w:ascii="Times New Roman" w:hAnsi="Times New Roman" w:eastAsia="Times New Roman" w:cs="Times New Roman"/>
          <w:sz w:val="20"/>
          <w:szCs w:val="20"/>
          <w:lang w:eastAsia="en-US"/>
        </w:rPr>
        <w:fldChar w:fldCharType="separate"/>
      </w:r>
      <w:r>
        <w:rPr>
          <w:rFonts w:hint="default" w:ascii="Times New Roman" w:hAnsi="Times New Roman" w:eastAsia="Times New Roman" w:cs="Times New Roman"/>
          <w:b w:val="0"/>
          <w:i w:val="0"/>
          <w:smallCaps w:val="0"/>
          <w:sz w:val="20"/>
          <w:szCs w:val="20"/>
          <w:u w:val="none"/>
          <w:lang w:val="en-US" w:eastAsia="en-US"/>
        </w:rPr>
        <w:t>(Nnenna Ajagu, 2025; Strocka et al., 2024)</w:t>
      </w:r>
      <w:r>
        <w:rPr>
          <w:rFonts w:hint="default" w:ascii="Times New Roman" w:hAnsi="Times New Roman" w:eastAsia="Times New Roman" w:cs="Times New Roman"/>
          <w:sz w:val="20"/>
          <w:szCs w:val="20"/>
          <w:lang w:eastAsia="en-US"/>
        </w:rPr>
        <w:fldChar w:fldCharType="end"/>
      </w:r>
      <w:r>
        <w:rPr>
          <w:rFonts w:hint="default" w:ascii="Times New Roman" w:hAnsi="Times New Roman" w:eastAsia="Times New Roman" w:cs="Times New Roman"/>
          <w:sz w:val="20"/>
          <w:szCs w:val="20"/>
          <w:lang w:eastAsia="en-US"/>
        </w:rPr>
        <w:t>. Finding gaps, guiding policy choices, and creating educational initiatives that can encourage the safe and efficient use of these items all depend on this kind of assessment. In order to improve public health outcomes by well-informed clinical guidance, this study aims to investigate healthcare professionals' knowledge, attitudes, and behaviors regarding nutraceuticals and dietary supplements.</w:t>
      </w:r>
    </w:p>
    <w:p w14:paraId="636F58F6">
      <w:pPr>
        <w:spacing w:line="480" w:lineRule="auto"/>
        <w:rPr>
          <w:rFonts w:hint="default" w:ascii="Times New Roman" w:hAnsi="Times New Roman" w:eastAsia="Times New Roman" w:cs="Times New Roman"/>
          <w:sz w:val="20"/>
          <w:szCs w:val="20"/>
        </w:rPr>
      </w:pPr>
      <w:r>
        <w:rPr>
          <w:rFonts w:hint="default" w:ascii="Times New Roman" w:hAnsi="Times New Roman" w:eastAsia="Times New Roman" w:cs="Times New Roman"/>
          <w:b/>
          <w:bCs/>
          <w:sz w:val="20"/>
          <w:szCs w:val="20"/>
        </w:rPr>
        <w:t>Study Design</w:t>
      </w:r>
    </w:p>
    <w:p w14:paraId="4BE4DAA8">
      <w:pPr>
        <w:spacing w:line="480" w:lineRule="auto"/>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 xml:space="preserve">This research is a descriptive cross-sectional investigation that was conducted in hospitals to assess the knowledge, attitudes and perception of healthcare practitioners on the use of </w:t>
      </w:r>
      <w:r>
        <w:rPr>
          <w:rFonts w:hint="default" w:ascii="Times New Roman" w:hAnsi="Times New Roman" w:eastAsia="Times New Roman" w:cs="Times New Roman"/>
          <w:sz w:val="20"/>
          <w:szCs w:val="20"/>
          <w:lang w:val="en-US"/>
        </w:rPr>
        <w:t>nutraceuticals</w:t>
      </w:r>
      <w:r>
        <w:rPr>
          <w:rFonts w:hint="default" w:ascii="Times New Roman" w:hAnsi="Times New Roman" w:eastAsia="Times New Roman" w:cs="Times New Roman"/>
          <w:sz w:val="20"/>
          <w:szCs w:val="20"/>
        </w:rPr>
        <w:t xml:space="preserve">, in </w:t>
      </w:r>
      <w:r>
        <w:rPr>
          <w:rFonts w:hint="default" w:ascii="Times New Roman" w:hAnsi="Times New Roman" w:eastAsia="Times New Roman" w:cs="Times New Roman"/>
          <w:sz w:val="20"/>
          <w:szCs w:val="20"/>
          <w:lang w:val="en-US"/>
        </w:rPr>
        <w:t xml:space="preserve">tertiary hospitals in </w:t>
      </w:r>
      <w:r>
        <w:rPr>
          <w:rFonts w:hint="default" w:ascii="Times New Roman" w:hAnsi="Times New Roman" w:eastAsia="Times New Roman" w:cs="Times New Roman"/>
          <w:sz w:val="20"/>
          <w:szCs w:val="20"/>
        </w:rPr>
        <w:t>Enugu</w:t>
      </w:r>
      <w:r>
        <w:rPr>
          <w:rFonts w:hint="default" w:ascii="Times New Roman" w:hAnsi="Times New Roman" w:eastAsia="Times New Roman" w:cs="Times New Roman"/>
          <w:sz w:val="20"/>
          <w:szCs w:val="20"/>
          <w:lang w:val="en-US"/>
        </w:rPr>
        <w:t xml:space="preserve"> State Nigeria</w:t>
      </w:r>
      <w:r>
        <w:rPr>
          <w:rFonts w:hint="default" w:ascii="Times New Roman" w:hAnsi="Times New Roman" w:eastAsia="Times New Roman" w:cs="Times New Roman"/>
          <w:sz w:val="20"/>
          <w:szCs w:val="20"/>
        </w:rPr>
        <w:t>.</w:t>
      </w:r>
    </w:p>
    <w:p w14:paraId="4DDE3301">
      <w:pPr>
        <w:spacing w:line="480" w:lineRule="auto"/>
        <w:rPr>
          <w:rFonts w:hint="default" w:ascii="Times New Roman" w:hAnsi="Times New Roman" w:eastAsia="Times New Roman" w:cs="Times New Roman"/>
          <w:sz w:val="20"/>
          <w:szCs w:val="20"/>
        </w:rPr>
      </w:pPr>
      <w:r>
        <w:rPr>
          <w:rFonts w:hint="default" w:ascii="Times New Roman" w:hAnsi="Times New Roman" w:eastAsia="Times New Roman" w:cs="Times New Roman"/>
          <w:b/>
          <w:bCs/>
          <w:sz w:val="20"/>
          <w:szCs w:val="20"/>
        </w:rPr>
        <w:t>Study Site</w:t>
      </w:r>
    </w:p>
    <w:p w14:paraId="0B9D29DD">
      <w:pPr>
        <w:spacing w:line="480" w:lineRule="auto"/>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 xml:space="preserve">The research was conducted in tertiary hospitals in Enugu </w:t>
      </w:r>
      <w:r>
        <w:rPr>
          <w:rFonts w:hint="default" w:ascii="Times New Roman" w:hAnsi="Times New Roman" w:eastAsia="Times New Roman" w:cs="Times New Roman"/>
          <w:sz w:val="20"/>
          <w:szCs w:val="20"/>
          <w:lang w:val="en-US"/>
        </w:rPr>
        <w:t xml:space="preserve">University of Nigeria Teaching Hospital,  </w:t>
      </w:r>
      <w:r>
        <w:rPr>
          <w:rFonts w:hint="default" w:ascii="Times New Roman" w:hAnsi="Times New Roman" w:eastAsia="Times New Roman" w:cs="Times New Roman"/>
          <w:sz w:val="20"/>
          <w:szCs w:val="20"/>
        </w:rPr>
        <w:t>(UNTH</w:t>
      </w:r>
      <w:r>
        <w:rPr>
          <w:rFonts w:hint="default" w:ascii="Times New Roman" w:hAnsi="Times New Roman" w:eastAsia="Times New Roman" w:cs="Times New Roman"/>
          <w:sz w:val="20"/>
          <w:szCs w:val="20"/>
          <w:lang w:val="en-US"/>
        </w:rPr>
        <w:t xml:space="preserve">, Ituku/Ozolla, </w:t>
      </w:r>
      <w:r>
        <w:rPr>
          <w:rFonts w:hint="default" w:ascii="Times New Roman" w:hAnsi="Times New Roman" w:eastAsia="Times New Roman" w:cs="Times New Roman"/>
          <w:sz w:val="20"/>
          <w:szCs w:val="20"/>
        </w:rPr>
        <w:t xml:space="preserve">and </w:t>
      </w:r>
      <w:r>
        <w:rPr>
          <w:rFonts w:hint="default" w:ascii="Times New Roman" w:hAnsi="Times New Roman" w:eastAsia="Times New Roman" w:cs="Times New Roman"/>
          <w:sz w:val="20"/>
          <w:szCs w:val="20"/>
          <w:lang w:val="en-US"/>
        </w:rPr>
        <w:t>Enugu State University Teaching Hospital (</w:t>
      </w:r>
      <w:r>
        <w:rPr>
          <w:rFonts w:hint="default" w:ascii="Times New Roman" w:hAnsi="Times New Roman" w:eastAsia="Times New Roman" w:cs="Times New Roman"/>
          <w:sz w:val="20"/>
          <w:szCs w:val="20"/>
        </w:rPr>
        <w:t>ESUTT</w:t>
      </w:r>
      <w:r>
        <w:rPr>
          <w:rFonts w:hint="default" w:ascii="Times New Roman" w:hAnsi="Times New Roman" w:eastAsia="Times New Roman" w:cs="Times New Roman"/>
          <w:sz w:val="20"/>
          <w:szCs w:val="20"/>
          <w:lang w:val="en-US"/>
        </w:rPr>
        <w:t>H), P</w:t>
      </w:r>
      <w:r>
        <w:rPr>
          <w:rFonts w:hint="default" w:ascii="Times New Roman" w:hAnsi="Times New Roman" w:eastAsia="Times New Roman" w:cs="Times New Roman"/>
          <w:sz w:val="20"/>
          <w:szCs w:val="20"/>
        </w:rPr>
        <w:t>arklane) because they ensure greater degree of representation as they have specialized and organized clinics.</w:t>
      </w:r>
    </w:p>
    <w:p w14:paraId="4E574777">
      <w:pPr>
        <w:spacing w:line="480" w:lineRule="auto"/>
        <w:rPr>
          <w:rFonts w:hint="default" w:ascii="Times New Roman" w:hAnsi="Times New Roman" w:eastAsia="Times New Roman" w:cs="Times New Roman"/>
          <w:sz w:val="20"/>
          <w:szCs w:val="20"/>
        </w:rPr>
      </w:pPr>
      <w:r>
        <w:rPr>
          <w:rFonts w:hint="default" w:ascii="Times New Roman" w:hAnsi="Times New Roman" w:eastAsia="Times New Roman" w:cs="Times New Roman"/>
          <w:b/>
          <w:bCs/>
          <w:sz w:val="20"/>
          <w:szCs w:val="20"/>
        </w:rPr>
        <w:t xml:space="preserve">2.3 Study Population and </w:t>
      </w:r>
      <w:r>
        <w:rPr>
          <w:rFonts w:hint="default" w:ascii="Times New Roman" w:hAnsi="Times New Roman" w:eastAsia="Times New Roman" w:cs="Times New Roman"/>
          <w:b/>
          <w:bCs/>
          <w:sz w:val="20"/>
          <w:szCs w:val="20"/>
          <w:lang w:val="en-US"/>
        </w:rPr>
        <w:t>S</w:t>
      </w:r>
      <w:r>
        <w:rPr>
          <w:rFonts w:hint="default" w:ascii="Times New Roman" w:hAnsi="Times New Roman" w:eastAsia="Times New Roman" w:cs="Times New Roman"/>
          <w:b/>
          <w:bCs/>
          <w:sz w:val="20"/>
          <w:szCs w:val="20"/>
        </w:rPr>
        <w:t>ize</w:t>
      </w:r>
    </w:p>
    <w:p w14:paraId="15F745E2">
      <w:pPr>
        <w:spacing w:line="480" w:lineRule="auto"/>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lang w:val="en-US"/>
        </w:rPr>
        <w:t xml:space="preserve">According to the information from the administrative staff, at the time of conducting this research the number of staff in both hospitals </w:t>
      </w:r>
      <w:r>
        <w:rPr>
          <w:rFonts w:hint="default" w:ascii="Times New Roman" w:hAnsi="Times New Roman" w:eastAsia="Times New Roman" w:cs="Times New Roman"/>
          <w:sz w:val="20"/>
          <w:szCs w:val="20"/>
        </w:rPr>
        <w:t xml:space="preserve">consists of estimated 1,992 </w:t>
      </w:r>
      <w:r>
        <w:rPr>
          <w:rFonts w:hint="default" w:ascii="Times New Roman" w:hAnsi="Times New Roman" w:eastAsia="Times New Roman" w:cs="Times New Roman"/>
          <w:sz w:val="20"/>
          <w:szCs w:val="20"/>
          <w:lang w:val="en-US"/>
        </w:rPr>
        <w:t>healthcare</w:t>
      </w:r>
      <w:r>
        <w:rPr>
          <w:rFonts w:hint="default" w:ascii="Times New Roman" w:hAnsi="Times New Roman" w:eastAsia="Times New Roman" w:cs="Times New Roman"/>
          <w:sz w:val="20"/>
          <w:szCs w:val="20"/>
        </w:rPr>
        <w:t xml:space="preserve"> professionals gotten from UNTH and </w:t>
      </w:r>
      <w:r>
        <w:rPr>
          <w:rFonts w:hint="default" w:ascii="Times New Roman" w:hAnsi="Times New Roman" w:eastAsia="Times New Roman" w:cs="Times New Roman"/>
          <w:sz w:val="20"/>
          <w:szCs w:val="20"/>
          <w:lang w:val="en-US"/>
        </w:rPr>
        <w:t xml:space="preserve">ESUTTH </w:t>
      </w:r>
      <w:r>
        <w:rPr>
          <w:rFonts w:hint="default" w:ascii="Times New Roman" w:hAnsi="Times New Roman" w:eastAsia="Times New Roman" w:cs="Times New Roman"/>
          <w:sz w:val="20"/>
          <w:szCs w:val="20"/>
        </w:rPr>
        <w:t>Parklane hospitals</w:t>
      </w:r>
      <w:r>
        <w:rPr>
          <w:rFonts w:hint="default" w:ascii="Times New Roman" w:hAnsi="Times New Roman" w:eastAsia="Times New Roman" w:cs="Times New Roman"/>
          <w:sz w:val="20"/>
          <w:szCs w:val="20"/>
          <w:lang w:val="en-US"/>
        </w:rPr>
        <w:t>. That is 1147 in UNTH and 845 in ESUTTH Parkline. Using the sample size calculator, assuming a confidence level of 95% with a confidence interval of +/-12, a sample 175 was deemed adequate for the study. An additional 10% of the total calculated sample size (175) was added to accommodate non-usable up questionnaire due to improper filling.</w:t>
      </w:r>
    </w:p>
    <w:p w14:paraId="25E60637">
      <w:pPr>
        <w:spacing w:line="480" w:lineRule="auto"/>
        <w:rPr>
          <w:rFonts w:hint="default" w:ascii="Times New Roman" w:hAnsi="Times New Roman" w:eastAsia="Times New Roman" w:cs="Times New Roman"/>
          <w:b/>
          <w:bCs/>
          <w:sz w:val="20"/>
          <w:szCs w:val="20"/>
        </w:rPr>
      </w:pPr>
      <w:r>
        <w:rPr>
          <w:rFonts w:hint="default" w:ascii="Times New Roman" w:hAnsi="Times New Roman" w:eastAsia="Times New Roman" w:cs="Times New Roman"/>
          <w:b/>
          <w:bCs/>
          <w:sz w:val="20"/>
          <w:szCs w:val="20"/>
        </w:rPr>
        <w:t xml:space="preserve"> Eligibility </w:t>
      </w:r>
      <w:r>
        <w:rPr>
          <w:rFonts w:hint="default" w:ascii="Times New Roman" w:hAnsi="Times New Roman" w:eastAsia="Times New Roman" w:cs="Times New Roman"/>
          <w:b/>
          <w:bCs/>
          <w:sz w:val="20"/>
          <w:szCs w:val="20"/>
          <w:lang w:val="en-US"/>
        </w:rPr>
        <w:t>C</w:t>
      </w:r>
      <w:r>
        <w:rPr>
          <w:rFonts w:hint="default" w:ascii="Times New Roman" w:hAnsi="Times New Roman" w:eastAsia="Times New Roman" w:cs="Times New Roman"/>
          <w:b/>
          <w:bCs/>
          <w:sz w:val="20"/>
          <w:szCs w:val="20"/>
        </w:rPr>
        <w:t xml:space="preserve">riteria </w:t>
      </w:r>
    </w:p>
    <w:p w14:paraId="7F151A8D">
      <w:pPr>
        <w:spacing w:line="480" w:lineRule="auto"/>
        <w:rPr>
          <w:rFonts w:hint="default" w:ascii="Times New Roman" w:hAnsi="Times New Roman" w:eastAsia="Times New Roman" w:cs="Times New Roman"/>
          <w:sz w:val="20"/>
          <w:szCs w:val="20"/>
        </w:rPr>
      </w:pPr>
      <w:r>
        <w:rPr>
          <w:rFonts w:hint="default" w:ascii="Times New Roman" w:hAnsi="Times New Roman" w:eastAsia="Times New Roman" w:cs="Times New Roman"/>
          <w:b w:val="0"/>
          <w:bCs w:val="0"/>
          <w:sz w:val="20"/>
          <w:szCs w:val="20"/>
        </w:rPr>
        <w:t>Healthcare professionals who are eligible for the study must be doctors, pharmacists, nurses</w:t>
      </w:r>
      <w:r>
        <w:rPr>
          <w:rFonts w:hint="default" w:ascii="Times New Roman" w:hAnsi="Times New Roman" w:eastAsia="Times New Roman" w:cs="Times New Roman"/>
          <w:b w:val="0"/>
          <w:bCs w:val="0"/>
          <w:sz w:val="20"/>
          <w:szCs w:val="20"/>
          <w:lang w:val="en-US"/>
        </w:rPr>
        <w:t xml:space="preserve"> working in University of Nigeria Teaching Hospital and/or Enugu State University of Science and technology, Parkline. Health professional who are working in  University of Nigeria Teaching Hospital and/or Enugu State University of Science and technology, Parkline, who refused to participate are excluded.</w:t>
      </w:r>
      <w:r>
        <w:rPr>
          <w:rFonts w:hint="default" w:ascii="Times New Roman" w:hAnsi="Times New Roman" w:eastAsia="Times New Roman" w:cs="Times New Roman"/>
          <w:sz w:val="20"/>
          <w:szCs w:val="20"/>
          <w:lang w:val="en-US"/>
        </w:rPr>
        <w:t xml:space="preserve"> </w:t>
      </w:r>
    </w:p>
    <w:p w14:paraId="38675D8B">
      <w:pPr>
        <w:spacing w:line="480" w:lineRule="auto"/>
        <w:rPr>
          <w:rFonts w:hint="default" w:ascii="Times New Roman" w:hAnsi="Times New Roman" w:eastAsia="Times New Roman" w:cs="Times New Roman"/>
          <w:sz w:val="20"/>
          <w:szCs w:val="20"/>
        </w:rPr>
      </w:pPr>
      <w:r>
        <w:rPr>
          <w:rFonts w:hint="default" w:ascii="Times New Roman" w:hAnsi="Times New Roman" w:eastAsia="Times New Roman" w:cs="Times New Roman"/>
          <w:b/>
          <w:bCs/>
          <w:sz w:val="20"/>
          <w:szCs w:val="20"/>
        </w:rPr>
        <w:t>Study Instrument</w:t>
      </w:r>
    </w:p>
    <w:p w14:paraId="692FEC58">
      <w:pPr>
        <w:spacing w:line="480" w:lineRule="auto"/>
        <w:rPr>
          <w:rFonts w:hint="default"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en-US"/>
        </w:rPr>
        <w:t xml:space="preserve">The questionnaire was </w:t>
      </w:r>
      <w:r>
        <w:rPr>
          <w:rFonts w:hint="default" w:ascii="Times New Roman" w:hAnsi="Times New Roman" w:eastAsia="Times New Roman" w:cs="Times New Roman"/>
          <w:sz w:val="20"/>
          <w:szCs w:val="20"/>
        </w:rPr>
        <w:t xml:space="preserve">adapted from Shrestha </w:t>
      </w:r>
      <w:r>
        <w:rPr>
          <w:rFonts w:hint="default" w:ascii="Times New Roman" w:hAnsi="Times New Roman" w:eastAsia="Times New Roman" w:cs="Times New Roman"/>
          <w:i/>
          <w:iCs/>
          <w:sz w:val="20"/>
          <w:szCs w:val="20"/>
        </w:rPr>
        <w:t>et al.</w:t>
      </w:r>
      <w:r>
        <w:rPr>
          <w:rFonts w:hint="default" w:ascii="Times New Roman" w:hAnsi="Times New Roman" w:eastAsia="Times New Roman" w:cs="Times New Roman"/>
          <w:sz w:val="20"/>
          <w:szCs w:val="20"/>
        </w:rPr>
        <w:t xml:space="preserve">(2021). </w:t>
      </w:r>
      <w:r>
        <w:rPr>
          <w:rFonts w:hint="default" w:ascii="Times New Roman" w:hAnsi="Times New Roman" w:eastAsia="Times New Roman" w:cs="Times New Roman"/>
          <w:sz w:val="20"/>
          <w:szCs w:val="20"/>
          <w:lang w:val="en-US"/>
        </w:rPr>
        <w:t xml:space="preserve">The instrument was structured to consist of two sections. Section A which evaluates the sociodemographic characteristics of the participants. Section B was divided in to three part namely: </w:t>
      </w:r>
      <w:r>
        <w:rPr>
          <w:rFonts w:hint="default" w:ascii="Times New Roman" w:hAnsi="Times New Roman" w:eastAsia="Times New Roman" w:cs="Times New Roman"/>
          <w:sz w:val="20"/>
          <w:szCs w:val="20"/>
        </w:rPr>
        <w:t xml:space="preserve"> </w:t>
      </w:r>
      <w:r>
        <w:rPr>
          <w:rFonts w:hint="default" w:ascii="Times New Roman" w:hAnsi="Times New Roman" w:eastAsia="Times New Roman" w:cs="Times New Roman"/>
          <w:sz w:val="20"/>
          <w:szCs w:val="20"/>
          <w:lang w:val="en-US"/>
        </w:rPr>
        <w:t>Part 1: Which contains seven(7) questions that assessed the knowledge of health care worker on the use of nutraceuticals  Part 2: Contains nine (9) questions that evaluates the participates</w:t>
      </w:r>
      <w:r>
        <w:rPr>
          <w:rFonts w:hint="default" w:ascii="Times New Roman" w:hAnsi="Times New Roman" w:eastAsia="Times New Roman" w:cs="Times New Roman"/>
          <w:sz w:val="20"/>
          <w:szCs w:val="20"/>
        </w:rPr>
        <w:t xml:space="preserve"> attitude on the use of nutraceuticals</w:t>
      </w:r>
      <w:r>
        <w:rPr>
          <w:rFonts w:hint="default" w:ascii="Times New Roman" w:hAnsi="Times New Roman" w:eastAsia="Times New Roman" w:cs="Times New Roman"/>
          <w:sz w:val="20"/>
          <w:szCs w:val="20"/>
          <w:lang w:val="en-US"/>
        </w:rPr>
        <w:t>, Part 3:</w:t>
      </w:r>
      <w:r>
        <w:rPr>
          <w:rFonts w:hint="default" w:ascii="Times New Roman" w:hAnsi="Times New Roman" w:eastAsia="Times New Roman" w:cs="Times New Roman"/>
          <w:sz w:val="20"/>
          <w:szCs w:val="20"/>
        </w:rPr>
        <w:t xml:space="preserve"> </w:t>
      </w:r>
      <w:r>
        <w:rPr>
          <w:rFonts w:hint="default" w:ascii="Times New Roman" w:hAnsi="Times New Roman" w:eastAsia="Times New Roman" w:cs="Times New Roman"/>
          <w:sz w:val="20"/>
          <w:szCs w:val="20"/>
          <w:lang w:val="en-US"/>
        </w:rPr>
        <w:t>P</w:t>
      </w:r>
      <w:r>
        <w:rPr>
          <w:rFonts w:hint="default" w:ascii="Times New Roman" w:hAnsi="Times New Roman" w:eastAsia="Times New Roman" w:cs="Times New Roman"/>
          <w:sz w:val="20"/>
          <w:szCs w:val="20"/>
        </w:rPr>
        <w:t>erception on the use of nutraceuticals</w:t>
      </w:r>
      <w:r>
        <w:rPr>
          <w:rFonts w:hint="default" w:ascii="Times New Roman" w:hAnsi="Times New Roman" w:eastAsia="Times New Roman" w:cs="Times New Roman"/>
          <w:sz w:val="20"/>
          <w:szCs w:val="20"/>
          <w:lang w:val="en-US"/>
        </w:rPr>
        <w:t xml:space="preserve"> was assessed with eleven(11) question. Part one is a yes and no response question, part 2 and part 3 are questions on a five likert scale of </w:t>
      </w:r>
      <w:r>
        <w:rPr>
          <w:rFonts w:hint="default" w:ascii="Times New Roman" w:hAnsi="Times New Roman" w:eastAsia="Times New Roman" w:cs="Times New Roman"/>
          <w:sz w:val="20"/>
          <w:szCs w:val="20"/>
        </w:rPr>
        <w:t>Strongly agree (SA) / Agree (A) / Neutral (N) / Strongly disagree (SD) / Disagree (D)</w:t>
      </w:r>
      <w:r>
        <w:rPr>
          <w:rFonts w:hint="default" w:ascii="Times New Roman" w:hAnsi="Times New Roman" w:eastAsia="Times New Roman" w:cs="Times New Roman"/>
          <w:sz w:val="20"/>
          <w:szCs w:val="20"/>
          <w:lang w:val="en-US"/>
        </w:rPr>
        <w:t>.</w:t>
      </w:r>
    </w:p>
    <w:p w14:paraId="0571250E">
      <w:pPr>
        <w:spacing w:line="480" w:lineRule="auto"/>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lang w:val="en-US"/>
        </w:rPr>
        <w:t xml:space="preserve">The instrument </w:t>
      </w:r>
      <w:r>
        <w:rPr>
          <w:rFonts w:hint="default" w:ascii="Times New Roman" w:hAnsi="Times New Roman" w:eastAsia="Times New Roman" w:cs="Times New Roman"/>
          <w:sz w:val="20"/>
          <w:szCs w:val="20"/>
        </w:rPr>
        <w:t xml:space="preserve">was </w:t>
      </w:r>
      <w:r>
        <w:rPr>
          <w:rFonts w:hint="default" w:ascii="Times New Roman" w:hAnsi="Times New Roman" w:eastAsia="Times New Roman" w:cs="Times New Roman"/>
          <w:sz w:val="20"/>
          <w:szCs w:val="20"/>
          <w:lang w:val="en-US"/>
        </w:rPr>
        <w:t xml:space="preserve">face </w:t>
      </w:r>
      <w:r>
        <w:rPr>
          <w:rFonts w:hint="default" w:ascii="Times New Roman" w:hAnsi="Times New Roman" w:eastAsia="Times New Roman" w:cs="Times New Roman"/>
          <w:sz w:val="20"/>
          <w:szCs w:val="20"/>
        </w:rPr>
        <w:t xml:space="preserve">validated by four healthcare practitioners; one doctor </w:t>
      </w:r>
      <w:r>
        <w:rPr>
          <w:rFonts w:hint="default" w:ascii="Times New Roman" w:hAnsi="Times New Roman" w:eastAsia="Times New Roman" w:cs="Times New Roman"/>
          <w:sz w:val="20"/>
          <w:szCs w:val="20"/>
          <w:lang w:val="en-US"/>
        </w:rPr>
        <w:t xml:space="preserve">in working in a general hospital, </w:t>
      </w:r>
      <w:r>
        <w:rPr>
          <w:rFonts w:hint="default" w:ascii="Times New Roman" w:hAnsi="Times New Roman" w:eastAsia="Times New Roman" w:cs="Times New Roman"/>
          <w:sz w:val="20"/>
          <w:szCs w:val="20"/>
        </w:rPr>
        <w:t>and three pharmacists</w:t>
      </w:r>
      <w:r>
        <w:rPr>
          <w:rFonts w:hint="default" w:ascii="Times New Roman" w:hAnsi="Times New Roman" w:eastAsia="Times New Roman" w:cs="Times New Roman"/>
          <w:sz w:val="20"/>
          <w:szCs w:val="20"/>
          <w:lang w:val="en-US"/>
        </w:rPr>
        <w:t xml:space="preserve"> in faculty pharmaceutical sciences</w:t>
      </w:r>
      <w:r>
        <w:rPr>
          <w:rFonts w:hint="default" w:ascii="Times New Roman" w:hAnsi="Times New Roman" w:eastAsia="Times New Roman" w:cs="Times New Roman"/>
          <w:sz w:val="20"/>
          <w:szCs w:val="20"/>
        </w:rPr>
        <w:t xml:space="preserve">. A reliability test was then carried out, which has a high </w:t>
      </w:r>
      <w:r>
        <w:rPr>
          <w:rFonts w:hint="default" w:ascii="Times New Roman" w:hAnsi="Times New Roman" w:eastAsia="Times New Roman" w:cs="Times New Roman"/>
          <w:sz w:val="20"/>
          <w:szCs w:val="20"/>
          <w:lang w:val="en-US"/>
        </w:rPr>
        <w:t>C</w:t>
      </w:r>
      <w:r>
        <w:rPr>
          <w:rFonts w:hint="default" w:ascii="Times New Roman" w:hAnsi="Times New Roman" w:eastAsia="Times New Roman" w:cs="Times New Roman"/>
          <w:sz w:val="20"/>
          <w:szCs w:val="20"/>
        </w:rPr>
        <w:t xml:space="preserve">ronbach </w:t>
      </w:r>
      <w:r>
        <w:rPr>
          <w:rFonts w:hint="default" w:ascii="Times New Roman" w:hAnsi="Times New Roman" w:eastAsia="Times New Roman" w:cs="Times New Roman"/>
          <w:sz w:val="20"/>
          <w:szCs w:val="20"/>
          <w:lang w:val="en-US"/>
        </w:rPr>
        <w:t>A</w:t>
      </w:r>
      <w:r>
        <w:rPr>
          <w:rFonts w:hint="default" w:ascii="Times New Roman" w:hAnsi="Times New Roman" w:eastAsia="Times New Roman" w:cs="Times New Roman"/>
          <w:sz w:val="20"/>
          <w:szCs w:val="20"/>
        </w:rPr>
        <w:t xml:space="preserve">lpha of 0.786, which </w:t>
      </w:r>
      <w:r>
        <w:rPr>
          <w:rFonts w:hint="default" w:ascii="Times New Roman" w:hAnsi="Times New Roman" w:eastAsia="Times New Roman" w:cs="Times New Roman"/>
          <w:sz w:val="20"/>
          <w:szCs w:val="20"/>
          <w:lang w:val="en-US"/>
        </w:rPr>
        <w:t>is considered reliable</w:t>
      </w:r>
      <w:r>
        <w:rPr>
          <w:rFonts w:hint="default" w:ascii="Times New Roman" w:hAnsi="Times New Roman" w:eastAsia="Times New Roman" w:cs="Times New Roman"/>
          <w:sz w:val="20"/>
          <w:szCs w:val="20"/>
        </w:rPr>
        <w:t>.</w:t>
      </w:r>
    </w:p>
    <w:p w14:paraId="23A211E2">
      <w:pPr>
        <w:spacing w:line="480" w:lineRule="auto"/>
        <w:rPr>
          <w:rFonts w:hint="default" w:ascii="Times New Roman" w:hAnsi="Times New Roman" w:eastAsia="Times New Roman" w:cs="Times New Roman"/>
          <w:sz w:val="20"/>
          <w:szCs w:val="20"/>
        </w:rPr>
      </w:pPr>
      <w:r>
        <w:rPr>
          <w:rFonts w:hint="default" w:ascii="Times New Roman" w:hAnsi="Times New Roman" w:eastAsia="Times New Roman" w:cs="Times New Roman"/>
          <w:b/>
          <w:bCs/>
          <w:sz w:val="20"/>
          <w:szCs w:val="20"/>
        </w:rPr>
        <w:t>Data Collection</w:t>
      </w:r>
    </w:p>
    <w:p w14:paraId="56F3BB14">
      <w:pPr>
        <w:spacing w:line="480" w:lineRule="auto"/>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lang w:val="en-US"/>
        </w:rPr>
        <w:t xml:space="preserve">The study instrument was presented to the participant </w:t>
      </w:r>
      <w:r>
        <w:rPr>
          <w:rFonts w:hint="default" w:ascii="Times New Roman" w:hAnsi="Times New Roman" w:eastAsia="Times New Roman" w:cs="Times New Roman"/>
          <w:sz w:val="20"/>
          <w:szCs w:val="20"/>
        </w:rPr>
        <w:t xml:space="preserve">in their </w:t>
      </w:r>
      <w:r>
        <w:rPr>
          <w:rFonts w:hint="default" w:ascii="Times New Roman" w:hAnsi="Times New Roman" w:eastAsia="Times New Roman" w:cs="Times New Roman"/>
          <w:sz w:val="20"/>
          <w:szCs w:val="20"/>
          <w:lang w:val="en-US"/>
        </w:rPr>
        <w:t xml:space="preserve">respective clinical </w:t>
      </w:r>
      <w:r>
        <w:rPr>
          <w:rFonts w:hint="default" w:ascii="Times New Roman" w:hAnsi="Times New Roman" w:eastAsia="Times New Roman" w:cs="Times New Roman"/>
          <w:sz w:val="20"/>
          <w:szCs w:val="20"/>
        </w:rPr>
        <w:t xml:space="preserve"> meeting</w:t>
      </w:r>
      <w:r>
        <w:rPr>
          <w:rFonts w:hint="default" w:ascii="Times New Roman" w:hAnsi="Times New Roman" w:eastAsia="Times New Roman" w:cs="Times New Roman"/>
          <w:sz w:val="20"/>
          <w:szCs w:val="20"/>
          <w:lang w:val="en-US"/>
        </w:rPr>
        <w:t xml:space="preserve"> when most of them will be present. </w:t>
      </w:r>
      <w:r>
        <w:rPr>
          <w:rFonts w:hint="default" w:ascii="Times New Roman" w:hAnsi="Times New Roman" w:eastAsia="Times New Roman" w:cs="Times New Roman"/>
          <w:sz w:val="20"/>
          <w:szCs w:val="20"/>
        </w:rPr>
        <w:t>When deemed essential, verbal clarifications and instructions was proffered to the participants.</w:t>
      </w:r>
    </w:p>
    <w:p w14:paraId="4A6FFB2E">
      <w:pPr>
        <w:spacing w:line="480" w:lineRule="auto"/>
        <w:rPr>
          <w:rFonts w:hint="default" w:ascii="Times New Roman" w:hAnsi="Times New Roman" w:eastAsia="Times New Roman" w:cs="Times New Roman"/>
          <w:b/>
          <w:bCs/>
          <w:sz w:val="20"/>
          <w:szCs w:val="20"/>
        </w:rPr>
      </w:pPr>
      <w:r>
        <w:rPr>
          <w:rFonts w:hint="default" w:ascii="Times New Roman" w:hAnsi="Times New Roman" w:eastAsia="Times New Roman" w:cs="Times New Roman"/>
          <w:b/>
          <w:bCs/>
          <w:sz w:val="20"/>
          <w:szCs w:val="20"/>
        </w:rPr>
        <w:t xml:space="preserve">Ethical </w:t>
      </w:r>
      <w:r>
        <w:rPr>
          <w:rFonts w:hint="default" w:ascii="Times New Roman" w:hAnsi="Times New Roman" w:eastAsia="Times New Roman" w:cs="Times New Roman"/>
          <w:b/>
          <w:bCs/>
          <w:sz w:val="20"/>
          <w:szCs w:val="20"/>
          <w:lang w:val="en-US"/>
        </w:rPr>
        <w:t>I</w:t>
      </w:r>
      <w:r>
        <w:rPr>
          <w:rFonts w:hint="default" w:ascii="Times New Roman" w:hAnsi="Times New Roman" w:eastAsia="Times New Roman" w:cs="Times New Roman"/>
          <w:b/>
          <w:bCs/>
          <w:sz w:val="20"/>
          <w:szCs w:val="20"/>
        </w:rPr>
        <w:t>ssues</w:t>
      </w:r>
    </w:p>
    <w:p w14:paraId="7F807F01">
      <w:pPr>
        <w:spacing w:line="480" w:lineRule="auto"/>
        <w:rPr>
          <w:rFonts w:hint="default" w:ascii="Times New Roman" w:hAnsi="Times New Roman" w:eastAsia="Times New Roman" w:cs="Times New Roman"/>
          <w:bCs/>
          <w:sz w:val="20"/>
          <w:szCs w:val="20"/>
        </w:rPr>
      </w:pPr>
      <w:r>
        <w:rPr>
          <w:rFonts w:hint="default" w:ascii="Times New Roman" w:hAnsi="Times New Roman" w:eastAsia="Times New Roman" w:cs="Times New Roman"/>
          <w:bCs/>
          <w:sz w:val="20"/>
          <w:szCs w:val="20"/>
        </w:rPr>
        <w:t xml:space="preserve">Ethical approval was obtained from Enugu State University of Science and Technology Teaching Hospital parklane, with a number ESUT/HREC/2025/07/067. </w:t>
      </w:r>
    </w:p>
    <w:p w14:paraId="33025FC8">
      <w:pPr>
        <w:spacing w:line="480" w:lineRule="auto"/>
        <w:rPr>
          <w:rFonts w:hint="default" w:ascii="Times New Roman" w:hAnsi="Times New Roman" w:eastAsia="Times New Roman" w:cs="Times New Roman"/>
          <w:bCs/>
          <w:sz w:val="20"/>
          <w:szCs w:val="20"/>
        </w:rPr>
      </w:pPr>
      <w:r>
        <w:rPr>
          <w:rFonts w:hint="default" w:ascii="Times New Roman" w:hAnsi="Times New Roman" w:eastAsia="Times New Roman" w:cs="Times New Roman"/>
          <w:sz w:val="20"/>
          <w:szCs w:val="20"/>
        </w:rPr>
        <w:t>Informed consent was obtained from participants, and confidentiality was ensured.</w:t>
      </w:r>
    </w:p>
    <w:p w14:paraId="7E5B648B">
      <w:pPr>
        <w:spacing w:line="480" w:lineRule="auto"/>
        <w:rPr>
          <w:rFonts w:hint="default" w:ascii="Times New Roman" w:hAnsi="Times New Roman" w:eastAsia="Times New Roman" w:cs="Times New Roman"/>
          <w:bCs/>
          <w:sz w:val="20"/>
          <w:szCs w:val="20"/>
        </w:rPr>
      </w:pPr>
      <w:r>
        <w:rPr>
          <w:rFonts w:hint="default" w:ascii="Times New Roman" w:hAnsi="Times New Roman" w:eastAsia="Times New Roman" w:cs="Times New Roman"/>
          <w:b/>
          <w:bCs/>
          <w:sz w:val="20"/>
          <w:szCs w:val="20"/>
        </w:rPr>
        <w:t>Data Analysis</w:t>
      </w:r>
    </w:p>
    <w:p w14:paraId="7739DAFE">
      <w:pPr>
        <w:widowControl/>
        <w:spacing w:line="480" w:lineRule="auto"/>
        <w:rPr>
          <w:rFonts w:hint="default" w:ascii="Times New Roman" w:hAnsi="Times New Roman" w:eastAsia="Times New Roman" w:cs="Times New Roman"/>
          <w:color w:val="000000"/>
          <w:kern w:val="0"/>
          <w:sz w:val="20"/>
          <w:szCs w:val="20"/>
          <w:lang w:bidi="ar"/>
        </w:rPr>
      </w:pPr>
      <w:r>
        <w:rPr>
          <w:rFonts w:hint="default" w:ascii="Times New Roman" w:hAnsi="Times New Roman" w:eastAsia="Times New Roman" w:cs="Times New Roman"/>
          <w:color w:val="000000"/>
          <w:kern w:val="0"/>
          <w:sz w:val="20"/>
          <w:szCs w:val="20"/>
          <w:lang w:bidi="ar"/>
        </w:rPr>
        <w:t>The data collected from the questionnaire was analyzed using statistical package for social science (SPSS). Descriptive statistic (mean, frequencies, percentage) was used to summarize demographic data and knowledge scores. Inferential statistics (chi-square tests) was used to compare knowledge scores, practice, and attitudes among different groups of healthcare practitioners.</w:t>
      </w:r>
    </w:p>
    <w:p w14:paraId="00677333">
      <w:pPr>
        <w:widowControl/>
        <w:spacing w:line="480" w:lineRule="auto"/>
        <w:rPr>
          <w:rFonts w:hint="default" w:ascii="Times New Roman" w:hAnsi="Times New Roman" w:cs="Times New Roman"/>
          <w:b/>
          <w:bCs/>
          <w:sz w:val="20"/>
          <w:szCs w:val="20"/>
          <w:lang w:val="en-US"/>
        </w:rPr>
      </w:pPr>
      <w:r>
        <w:rPr>
          <w:rFonts w:hint="default" w:ascii="Times New Roman" w:hAnsi="Times New Roman" w:cs="Times New Roman"/>
          <w:b/>
          <w:bCs/>
          <w:sz w:val="20"/>
          <w:szCs w:val="20"/>
          <w:lang w:val="en-US"/>
        </w:rPr>
        <w:t>RESULT</w:t>
      </w:r>
    </w:p>
    <w:p w14:paraId="20AA6A89">
      <w:pPr>
        <w:widowControl/>
        <w:spacing w:line="480" w:lineRule="auto"/>
        <w:rPr>
          <w:rFonts w:hint="default" w:ascii="Times New Roman" w:hAnsi="Times New Roman" w:cs="Times New Roman"/>
          <w:b/>
          <w:bCs/>
          <w:sz w:val="20"/>
          <w:szCs w:val="20"/>
        </w:rPr>
      </w:pPr>
      <w:r>
        <w:rPr>
          <w:rFonts w:hint="default" w:ascii="Times New Roman" w:hAnsi="Times New Roman" w:cs="Times New Roman"/>
          <w:b/>
          <w:bCs/>
          <w:sz w:val="20"/>
          <w:szCs w:val="20"/>
        </w:rPr>
        <w:t>Sociodemo</w:t>
      </w:r>
      <w:r>
        <w:rPr>
          <w:rFonts w:hint="default" w:ascii="Times New Roman" w:hAnsi="Times New Roman" w:cs="Times New Roman"/>
          <w:b/>
          <w:sz w:val="20"/>
          <w:szCs w:val="20"/>
        </w:rPr>
        <w:t>g</w:t>
      </w:r>
      <w:r>
        <w:rPr>
          <w:rFonts w:hint="default" w:ascii="Times New Roman" w:hAnsi="Times New Roman" w:cs="Times New Roman"/>
          <w:b/>
          <w:bCs/>
          <w:sz w:val="20"/>
          <w:szCs w:val="20"/>
        </w:rPr>
        <w:t>raphic characteristics of respondents (N=185)</w:t>
      </w:r>
    </w:p>
    <w:p w14:paraId="2074F638">
      <w:pPr>
        <w:spacing w:line="480" w:lineRule="auto"/>
        <w:rPr>
          <w:rFonts w:hint="default" w:ascii="Times New Roman" w:hAnsi="Times New Roman" w:cs="Times New Roman"/>
          <w:sz w:val="20"/>
          <w:szCs w:val="20"/>
        </w:rPr>
      </w:pPr>
      <w:r>
        <w:rPr>
          <w:rFonts w:hint="default" w:ascii="Times New Roman" w:hAnsi="Times New Roman" w:cs="Times New Roman"/>
          <w:sz w:val="20"/>
          <w:szCs w:val="20"/>
        </w:rPr>
        <w:t xml:space="preserve">Table1 shows the sociodemographic characteristics of respondents in the study. A total of 185 health practitioners participated in the study. </w:t>
      </w:r>
      <w:r>
        <w:rPr>
          <w:rFonts w:hint="default" w:ascii="Times New Roman" w:hAnsi="Times New Roman" w:cs="Times New Roman"/>
          <w:sz w:val="20"/>
          <w:szCs w:val="20"/>
          <w:lang w:val="en-US"/>
        </w:rPr>
        <w:t xml:space="preserve"> Most of the participants are female (55.7%), also, m</w:t>
      </w:r>
      <w:r>
        <w:rPr>
          <w:rFonts w:hint="default" w:ascii="Times New Roman" w:hAnsi="Times New Roman" w:cs="Times New Roman"/>
          <w:sz w:val="20"/>
          <w:szCs w:val="20"/>
        </w:rPr>
        <w:t>ost</w:t>
      </w:r>
      <w:r>
        <w:rPr>
          <w:rFonts w:hint="default" w:ascii="Times New Roman" w:hAnsi="Times New Roman" w:cs="Times New Roman"/>
          <w:b/>
          <w:bCs/>
          <w:sz w:val="20"/>
          <w:szCs w:val="20"/>
        </w:rPr>
        <w:t xml:space="preserve"> </w:t>
      </w:r>
      <w:r>
        <w:rPr>
          <w:rFonts w:hint="default" w:ascii="Times New Roman" w:hAnsi="Times New Roman" w:cs="Times New Roman"/>
          <w:sz w:val="20"/>
          <w:szCs w:val="20"/>
        </w:rPr>
        <w:t>of the respondents were between the age of 21-35 years</w:t>
      </w:r>
      <w:r>
        <w:rPr>
          <w:rFonts w:hint="default" w:ascii="Times New Roman" w:hAnsi="Times New Roman" w:cs="Times New Roman"/>
          <w:sz w:val="20"/>
          <w:szCs w:val="20"/>
          <w:lang w:val="en-US"/>
        </w:rPr>
        <w:t xml:space="preserve"> (68.6%)</w:t>
      </w:r>
      <w:r>
        <w:rPr>
          <w:rFonts w:hint="default" w:ascii="Times New Roman" w:hAnsi="Times New Roman" w:cs="Times New Roman"/>
          <w:sz w:val="20"/>
          <w:szCs w:val="20"/>
        </w:rPr>
        <w:t>. Similarly, majority of the respondents were nurses</w:t>
      </w:r>
      <w:r>
        <w:rPr>
          <w:rFonts w:hint="default" w:ascii="Times New Roman" w:hAnsi="Times New Roman" w:cs="Times New Roman"/>
          <w:sz w:val="20"/>
          <w:szCs w:val="20"/>
          <w:lang w:val="en-US"/>
        </w:rPr>
        <w:t xml:space="preserve"> (54.1%)</w:t>
      </w:r>
      <w:r>
        <w:rPr>
          <w:rFonts w:hint="default" w:ascii="Times New Roman" w:hAnsi="Times New Roman" w:cs="Times New Roman"/>
          <w:sz w:val="20"/>
          <w:szCs w:val="20"/>
        </w:rPr>
        <w:t>, followed by Pharmacists</w:t>
      </w:r>
      <w:r>
        <w:rPr>
          <w:rFonts w:hint="default" w:ascii="Times New Roman" w:hAnsi="Times New Roman" w:cs="Times New Roman"/>
          <w:sz w:val="20"/>
          <w:szCs w:val="20"/>
          <w:lang w:val="en-US"/>
        </w:rPr>
        <w:t>(29.2%)</w:t>
      </w:r>
      <w:r>
        <w:rPr>
          <w:rFonts w:hint="default" w:ascii="Times New Roman" w:hAnsi="Times New Roman" w:cs="Times New Roman"/>
          <w:sz w:val="20"/>
          <w:szCs w:val="20"/>
        </w:rPr>
        <w:t xml:space="preserve">. </w:t>
      </w:r>
    </w:p>
    <w:p w14:paraId="2112C6D8">
      <w:pPr>
        <w:spacing w:line="480" w:lineRule="auto"/>
        <w:rPr>
          <w:rFonts w:hint="default" w:ascii="Times New Roman" w:hAnsi="Times New Roman" w:cs="Times New Roman"/>
          <w:b/>
          <w:bCs/>
          <w:sz w:val="20"/>
          <w:szCs w:val="20"/>
        </w:rPr>
      </w:pPr>
      <w:r>
        <w:rPr>
          <w:rFonts w:hint="default" w:ascii="Times New Roman" w:hAnsi="Times New Roman" w:cs="Times New Roman"/>
          <w:b/>
          <w:bCs/>
          <w:sz w:val="20"/>
          <w:szCs w:val="20"/>
        </w:rPr>
        <w:t>Table</w:t>
      </w:r>
      <w:r>
        <w:rPr>
          <w:rFonts w:hint="default" w:ascii="Times New Roman" w:hAnsi="Times New Roman" w:cs="Times New Roman"/>
          <w:b/>
          <w:bCs/>
          <w:sz w:val="20"/>
          <w:szCs w:val="20"/>
          <w:lang w:val="en-US"/>
        </w:rPr>
        <w:t xml:space="preserve"> </w:t>
      </w:r>
      <w:r>
        <w:rPr>
          <w:rFonts w:hint="default" w:ascii="Times New Roman" w:hAnsi="Times New Roman" w:cs="Times New Roman"/>
          <w:b/>
          <w:bCs/>
          <w:sz w:val="20"/>
          <w:szCs w:val="20"/>
        </w:rPr>
        <w:t>1 Sociodemo</w:t>
      </w:r>
      <w:r>
        <w:rPr>
          <w:rFonts w:hint="default" w:ascii="Times New Roman" w:hAnsi="Times New Roman" w:cs="Times New Roman"/>
          <w:b/>
          <w:sz w:val="20"/>
          <w:szCs w:val="20"/>
        </w:rPr>
        <w:t>g</w:t>
      </w:r>
      <w:r>
        <w:rPr>
          <w:rFonts w:hint="default" w:ascii="Times New Roman" w:hAnsi="Times New Roman" w:cs="Times New Roman"/>
          <w:b/>
          <w:bCs/>
          <w:sz w:val="20"/>
          <w:szCs w:val="20"/>
        </w:rPr>
        <w:t>raphic characteristics of respondents (N=185)</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1"/>
        <w:gridCol w:w="3047"/>
      </w:tblGrid>
      <w:tr w14:paraId="34F95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Pr>
          <w:p w14:paraId="41605600">
            <w:pPr>
              <w:spacing w:after="0" w:line="480" w:lineRule="auto"/>
              <w:jc w:val="left"/>
              <w:rPr>
                <w:rFonts w:hint="default" w:ascii="Times New Roman" w:hAnsi="Times New Roman" w:cs="Times New Roman"/>
                <w:b/>
                <w:bCs/>
                <w:sz w:val="20"/>
                <w:szCs w:val="20"/>
              </w:rPr>
            </w:pPr>
            <w:r>
              <w:rPr>
                <w:rFonts w:hint="default" w:ascii="Times New Roman" w:hAnsi="Times New Roman" w:cs="Times New Roman"/>
                <w:b/>
                <w:bCs/>
                <w:sz w:val="20"/>
                <w:szCs w:val="20"/>
              </w:rPr>
              <w:t>Variables</w:t>
            </w:r>
          </w:p>
        </w:tc>
        <w:tc>
          <w:tcPr>
            <w:tcW w:w="3047" w:type="dxa"/>
          </w:tcPr>
          <w:p w14:paraId="4EB83137">
            <w:pPr>
              <w:spacing w:after="0" w:line="480" w:lineRule="auto"/>
              <w:jc w:val="left"/>
              <w:rPr>
                <w:rFonts w:hint="default" w:ascii="Times New Roman" w:hAnsi="Times New Roman" w:cs="Times New Roman"/>
                <w:b/>
                <w:bCs/>
                <w:sz w:val="20"/>
                <w:szCs w:val="20"/>
              </w:rPr>
            </w:pPr>
            <w:r>
              <w:rPr>
                <w:rFonts w:hint="default" w:ascii="Times New Roman" w:hAnsi="Times New Roman" w:cs="Times New Roman"/>
                <w:b/>
                <w:bCs/>
                <w:sz w:val="20"/>
                <w:szCs w:val="20"/>
              </w:rPr>
              <w:t>Frequency (%)</w:t>
            </w:r>
          </w:p>
        </w:tc>
      </w:tr>
      <w:tr w14:paraId="5FC45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Pr>
          <w:p w14:paraId="271BDD8D">
            <w:pPr>
              <w:spacing w:after="0" w:line="480" w:lineRule="auto"/>
              <w:jc w:val="left"/>
              <w:rPr>
                <w:rFonts w:hint="default" w:ascii="Times New Roman" w:hAnsi="Times New Roman" w:cs="Times New Roman"/>
                <w:b/>
                <w:bCs/>
                <w:sz w:val="20"/>
                <w:szCs w:val="20"/>
              </w:rPr>
            </w:pPr>
            <w:r>
              <w:rPr>
                <w:rFonts w:hint="default" w:ascii="Times New Roman" w:hAnsi="Times New Roman" w:cs="Times New Roman"/>
                <w:b/>
                <w:sz w:val="20"/>
                <w:szCs w:val="20"/>
              </w:rPr>
              <w:t>G</w:t>
            </w:r>
            <w:r>
              <w:rPr>
                <w:rFonts w:hint="default" w:ascii="Times New Roman" w:hAnsi="Times New Roman" w:cs="Times New Roman"/>
                <w:b/>
                <w:bCs/>
                <w:sz w:val="20"/>
                <w:szCs w:val="20"/>
              </w:rPr>
              <w:t>ender</w:t>
            </w:r>
          </w:p>
        </w:tc>
        <w:tc>
          <w:tcPr>
            <w:tcW w:w="3047" w:type="dxa"/>
          </w:tcPr>
          <w:p w14:paraId="4C5CBD4A">
            <w:pPr>
              <w:spacing w:after="0" w:line="480" w:lineRule="auto"/>
              <w:jc w:val="left"/>
              <w:rPr>
                <w:rFonts w:hint="default" w:ascii="Times New Roman" w:hAnsi="Times New Roman" w:cs="Times New Roman"/>
                <w:b/>
                <w:bCs/>
                <w:sz w:val="20"/>
                <w:szCs w:val="20"/>
              </w:rPr>
            </w:pPr>
          </w:p>
        </w:tc>
      </w:tr>
      <w:tr w14:paraId="3B9C0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Pr>
          <w:p w14:paraId="097323BC">
            <w:pPr>
              <w:spacing w:after="0" w:line="480" w:lineRule="auto"/>
              <w:jc w:val="left"/>
              <w:rPr>
                <w:rFonts w:hint="default" w:ascii="Times New Roman" w:hAnsi="Times New Roman" w:cs="Times New Roman"/>
                <w:sz w:val="20"/>
                <w:szCs w:val="20"/>
              </w:rPr>
            </w:pPr>
            <w:r>
              <w:rPr>
                <w:rFonts w:hint="default" w:ascii="Times New Roman" w:hAnsi="Times New Roman" w:cs="Times New Roman"/>
                <w:b/>
                <w:bCs/>
                <w:sz w:val="20"/>
                <w:szCs w:val="20"/>
              </w:rPr>
              <w:t xml:space="preserve">  </w:t>
            </w:r>
            <w:r>
              <w:rPr>
                <w:rFonts w:hint="default" w:ascii="Times New Roman" w:hAnsi="Times New Roman" w:cs="Times New Roman"/>
                <w:sz w:val="20"/>
                <w:szCs w:val="20"/>
              </w:rPr>
              <w:t>Male</w:t>
            </w:r>
          </w:p>
        </w:tc>
        <w:tc>
          <w:tcPr>
            <w:tcW w:w="3047" w:type="dxa"/>
          </w:tcPr>
          <w:p w14:paraId="566D56A4">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82(44.3)</w:t>
            </w:r>
          </w:p>
        </w:tc>
      </w:tr>
      <w:tr w14:paraId="628E3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Pr>
          <w:p w14:paraId="03695367">
            <w:pPr>
              <w:spacing w:after="0" w:line="480" w:lineRule="auto"/>
              <w:jc w:val="left"/>
              <w:rPr>
                <w:rFonts w:hint="default" w:ascii="Times New Roman" w:hAnsi="Times New Roman" w:cs="Times New Roman"/>
                <w:sz w:val="20"/>
                <w:szCs w:val="20"/>
              </w:rPr>
            </w:pPr>
            <w:r>
              <w:rPr>
                <w:rFonts w:hint="default" w:ascii="Times New Roman" w:hAnsi="Times New Roman" w:cs="Times New Roman"/>
                <w:b/>
                <w:bCs/>
                <w:sz w:val="20"/>
                <w:szCs w:val="20"/>
              </w:rPr>
              <w:t xml:space="preserve">  </w:t>
            </w:r>
            <w:r>
              <w:rPr>
                <w:rFonts w:hint="default" w:ascii="Times New Roman" w:hAnsi="Times New Roman" w:cs="Times New Roman"/>
                <w:sz w:val="20"/>
                <w:szCs w:val="20"/>
              </w:rPr>
              <w:t>Female</w:t>
            </w:r>
          </w:p>
        </w:tc>
        <w:tc>
          <w:tcPr>
            <w:tcW w:w="3047" w:type="dxa"/>
          </w:tcPr>
          <w:p w14:paraId="2C73EFB9">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103(55.7)</w:t>
            </w:r>
          </w:p>
        </w:tc>
      </w:tr>
      <w:tr w14:paraId="4D0B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Pr>
          <w:p w14:paraId="633E7149">
            <w:pPr>
              <w:spacing w:after="0" w:line="480" w:lineRule="auto"/>
              <w:jc w:val="left"/>
              <w:rPr>
                <w:rFonts w:hint="default" w:ascii="Times New Roman" w:hAnsi="Times New Roman" w:cs="Times New Roman"/>
                <w:b/>
                <w:bCs/>
                <w:sz w:val="20"/>
                <w:szCs w:val="20"/>
              </w:rPr>
            </w:pPr>
            <w:r>
              <w:rPr>
                <w:rFonts w:hint="default" w:ascii="Times New Roman" w:hAnsi="Times New Roman" w:cs="Times New Roman"/>
                <w:b/>
                <w:bCs/>
                <w:sz w:val="20"/>
                <w:szCs w:val="20"/>
              </w:rPr>
              <w:t>A</w:t>
            </w:r>
            <w:r>
              <w:rPr>
                <w:rFonts w:hint="default" w:ascii="Times New Roman" w:hAnsi="Times New Roman" w:cs="Times New Roman"/>
                <w:b/>
                <w:sz w:val="20"/>
                <w:szCs w:val="20"/>
              </w:rPr>
              <w:t>g</w:t>
            </w:r>
            <w:r>
              <w:rPr>
                <w:rFonts w:hint="default" w:ascii="Times New Roman" w:hAnsi="Times New Roman" w:cs="Times New Roman"/>
                <w:b/>
                <w:bCs/>
                <w:sz w:val="20"/>
                <w:szCs w:val="20"/>
              </w:rPr>
              <w:t>e (in years)</w:t>
            </w:r>
          </w:p>
        </w:tc>
        <w:tc>
          <w:tcPr>
            <w:tcW w:w="3047" w:type="dxa"/>
          </w:tcPr>
          <w:p w14:paraId="16983BE6">
            <w:pPr>
              <w:spacing w:after="0" w:line="480" w:lineRule="auto"/>
              <w:jc w:val="left"/>
              <w:rPr>
                <w:rFonts w:hint="default" w:ascii="Times New Roman" w:hAnsi="Times New Roman" w:cs="Times New Roman"/>
                <w:b/>
                <w:bCs/>
                <w:sz w:val="20"/>
                <w:szCs w:val="20"/>
              </w:rPr>
            </w:pPr>
          </w:p>
        </w:tc>
      </w:tr>
      <w:tr w14:paraId="2F868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Pr>
          <w:p w14:paraId="457F8ACF">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 xml:space="preserve">  21-35</w:t>
            </w:r>
          </w:p>
        </w:tc>
        <w:tc>
          <w:tcPr>
            <w:tcW w:w="3047" w:type="dxa"/>
          </w:tcPr>
          <w:p w14:paraId="7842473C">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127 (68.6)</w:t>
            </w:r>
          </w:p>
        </w:tc>
      </w:tr>
      <w:tr w14:paraId="727AF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Pr>
          <w:p w14:paraId="1A341A52">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 xml:space="preserve">  36-50</w:t>
            </w:r>
          </w:p>
        </w:tc>
        <w:tc>
          <w:tcPr>
            <w:tcW w:w="3047" w:type="dxa"/>
          </w:tcPr>
          <w:p w14:paraId="40009186">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50(27.0)</w:t>
            </w:r>
          </w:p>
        </w:tc>
      </w:tr>
      <w:tr w14:paraId="015AF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Pr>
          <w:p w14:paraId="1A5E3137">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 xml:space="preserve">  &gt;50</w:t>
            </w:r>
          </w:p>
        </w:tc>
        <w:tc>
          <w:tcPr>
            <w:tcW w:w="3047" w:type="dxa"/>
          </w:tcPr>
          <w:p w14:paraId="0683A01A">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8(4.3)</w:t>
            </w:r>
          </w:p>
        </w:tc>
      </w:tr>
      <w:tr w14:paraId="21E5C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Pr>
          <w:p w14:paraId="0061C5DC">
            <w:pPr>
              <w:spacing w:after="0" w:line="480" w:lineRule="auto"/>
              <w:jc w:val="left"/>
              <w:rPr>
                <w:rFonts w:hint="default" w:ascii="Times New Roman" w:hAnsi="Times New Roman" w:cs="Times New Roman"/>
                <w:b/>
                <w:bCs/>
                <w:sz w:val="20"/>
                <w:szCs w:val="20"/>
              </w:rPr>
            </w:pPr>
            <w:r>
              <w:rPr>
                <w:rFonts w:hint="default" w:ascii="Times New Roman" w:hAnsi="Times New Roman" w:cs="Times New Roman"/>
                <w:b/>
                <w:bCs/>
                <w:sz w:val="20"/>
                <w:szCs w:val="20"/>
              </w:rPr>
              <w:t>Profession</w:t>
            </w:r>
          </w:p>
        </w:tc>
        <w:tc>
          <w:tcPr>
            <w:tcW w:w="3047" w:type="dxa"/>
          </w:tcPr>
          <w:p w14:paraId="6D7F87A8">
            <w:pPr>
              <w:spacing w:after="0" w:line="480" w:lineRule="auto"/>
              <w:jc w:val="left"/>
              <w:rPr>
                <w:rFonts w:hint="default" w:ascii="Times New Roman" w:hAnsi="Times New Roman" w:cs="Times New Roman"/>
                <w:b/>
                <w:bCs/>
                <w:sz w:val="20"/>
                <w:szCs w:val="20"/>
              </w:rPr>
            </w:pPr>
          </w:p>
        </w:tc>
      </w:tr>
      <w:tr w14:paraId="06646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Pr>
          <w:p w14:paraId="5DCE7FF2">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 xml:space="preserve">  Medical officer</w:t>
            </w:r>
          </w:p>
        </w:tc>
        <w:tc>
          <w:tcPr>
            <w:tcW w:w="3047" w:type="dxa"/>
          </w:tcPr>
          <w:p w14:paraId="46784647">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2(1.1)</w:t>
            </w:r>
          </w:p>
        </w:tc>
      </w:tr>
      <w:tr w14:paraId="086BE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Pr>
          <w:p w14:paraId="114EEF7D">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 xml:space="preserve">  Registrar</w:t>
            </w:r>
          </w:p>
        </w:tc>
        <w:tc>
          <w:tcPr>
            <w:tcW w:w="3047" w:type="dxa"/>
          </w:tcPr>
          <w:p w14:paraId="21FC86C0">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26(14.1)</w:t>
            </w:r>
          </w:p>
        </w:tc>
      </w:tr>
      <w:tr w14:paraId="446F4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Pr>
          <w:p w14:paraId="256AB7BE">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 xml:space="preserve">  Nurse</w:t>
            </w:r>
          </w:p>
        </w:tc>
        <w:tc>
          <w:tcPr>
            <w:tcW w:w="3047" w:type="dxa"/>
          </w:tcPr>
          <w:p w14:paraId="03BE2B17">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100(54.1)</w:t>
            </w:r>
          </w:p>
        </w:tc>
      </w:tr>
      <w:tr w14:paraId="6F5FA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Pr>
          <w:p w14:paraId="2B84B901">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 xml:space="preserve">  Pharmacist</w:t>
            </w:r>
          </w:p>
        </w:tc>
        <w:tc>
          <w:tcPr>
            <w:tcW w:w="3047" w:type="dxa"/>
          </w:tcPr>
          <w:p w14:paraId="5DF8759A">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54(29.2)</w:t>
            </w:r>
          </w:p>
        </w:tc>
      </w:tr>
      <w:tr w14:paraId="7DCE7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Pr>
          <w:p w14:paraId="594C2F6B">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 xml:space="preserve">  Consultant</w:t>
            </w:r>
          </w:p>
        </w:tc>
        <w:tc>
          <w:tcPr>
            <w:tcW w:w="3047" w:type="dxa"/>
          </w:tcPr>
          <w:p w14:paraId="0ADBF4CC">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3(1.6)</w:t>
            </w:r>
          </w:p>
        </w:tc>
      </w:tr>
      <w:tr w14:paraId="44DB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Pr>
          <w:p w14:paraId="118B6030">
            <w:pPr>
              <w:spacing w:after="0" w:line="480" w:lineRule="auto"/>
              <w:jc w:val="left"/>
              <w:rPr>
                <w:rFonts w:hint="default" w:ascii="Times New Roman" w:hAnsi="Times New Roman" w:cs="Times New Roman"/>
                <w:b/>
                <w:bCs/>
                <w:sz w:val="20"/>
                <w:szCs w:val="20"/>
              </w:rPr>
            </w:pPr>
            <w:r>
              <w:rPr>
                <w:rFonts w:hint="default" w:ascii="Times New Roman" w:hAnsi="Times New Roman" w:cs="Times New Roman"/>
                <w:b/>
                <w:bCs/>
                <w:sz w:val="20"/>
                <w:szCs w:val="20"/>
              </w:rPr>
              <w:t>Years of experience</w:t>
            </w:r>
          </w:p>
        </w:tc>
        <w:tc>
          <w:tcPr>
            <w:tcW w:w="3047" w:type="dxa"/>
          </w:tcPr>
          <w:p w14:paraId="6E0165A1">
            <w:pPr>
              <w:spacing w:after="0" w:line="480" w:lineRule="auto"/>
              <w:jc w:val="left"/>
              <w:rPr>
                <w:rFonts w:hint="default" w:ascii="Times New Roman" w:hAnsi="Times New Roman" w:cs="Times New Roman"/>
                <w:sz w:val="20"/>
                <w:szCs w:val="20"/>
              </w:rPr>
            </w:pPr>
          </w:p>
        </w:tc>
      </w:tr>
      <w:tr w14:paraId="2ED16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Pr>
          <w:p w14:paraId="745BC79E">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 xml:space="preserve">  &lt;1</w:t>
            </w:r>
          </w:p>
        </w:tc>
        <w:tc>
          <w:tcPr>
            <w:tcW w:w="3047" w:type="dxa"/>
          </w:tcPr>
          <w:p w14:paraId="49A4CAC8">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5(2.7)</w:t>
            </w:r>
          </w:p>
        </w:tc>
      </w:tr>
      <w:tr w14:paraId="13172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Pr>
          <w:p w14:paraId="7285127F">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 xml:space="preserve">  1-5 </w:t>
            </w:r>
          </w:p>
        </w:tc>
        <w:tc>
          <w:tcPr>
            <w:tcW w:w="3047" w:type="dxa"/>
          </w:tcPr>
          <w:p w14:paraId="1D44F6CA">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109(58.9)</w:t>
            </w:r>
          </w:p>
        </w:tc>
      </w:tr>
      <w:tr w14:paraId="74BC2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Pr>
          <w:p w14:paraId="0FCDD288">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 xml:space="preserve">  &gt;5</w:t>
            </w:r>
          </w:p>
        </w:tc>
        <w:tc>
          <w:tcPr>
            <w:tcW w:w="3047" w:type="dxa"/>
          </w:tcPr>
          <w:p w14:paraId="60EA498A">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71(38.4)</w:t>
            </w:r>
          </w:p>
        </w:tc>
      </w:tr>
    </w:tbl>
    <w:p w14:paraId="428A50E3">
      <w:pPr>
        <w:spacing w:line="480" w:lineRule="auto"/>
        <w:rPr>
          <w:rFonts w:hint="default" w:ascii="Times New Roman" w:hAnsi="Times New Roman" w:cs="Times New Roman"/>
          <w:b/>
          <w:bCs/>
          <w:sz w:val="20"/>
          <w:szCs w:val="20"/>
        </w:rPr>
      </w:pPr>
    </w:p>
    <w:p w14:paraId="4B7402C1">
      <w:pPr>
        <w:spacing w:line="480" w:lineRule="auto"/>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Knowledge assessment showed that 55.1% had good knowledge. Awareness was high regarding WHO recommendations on iron (93.0%) and folic acid (91.4%) supplementation, though gaps remained in awareness of omega-3 fatty acids (16.2%) and antioxidants (27.6%) (See Table 2).</w:t>
      </w:r>
    </w:p>
    <w:p w14:paraId="1C30EDB2">
      <w:pPr>
        <w:spacing w:line="480" w:lineRule="auto"/>
        <w:rPr>
          <w:rFonts w:hint="default" w:ascii="Times New Roman" w:hAnsi="Times New Roman" w:cs="Times New Roman"/>
          <w:b/>
          <w:bCs/>
          <w:sz w:val="20"/>
          <w:szCs w:val="20"/>
        </w:rPr>
      </w:pPr>
      <w:r>
        <w:rPr>
          <w:rFonts w:hint="default" w:ascii="Times New Roman" w:hAnsi="Times New Roman" w:cs="Times New Roman"/>
          <w:b/>
          <w:bCs/>
          <w:sz w:val="20"/>
          <w:szCs w:val="20"/>
        </w:rPr>
        <w:t xml:space="preserve"> </w:t>
      </w:r>
      <w:r>
        <w:rPr>
          <w:rFonts w:hint="default" w:ascii="Times New Roman" w:hAnsi="Times New Roman" w:cs="Times New Roman"/>
          <w:b/>
          <w:bCs/>
          <w:sz w:val="20"/>
          <w:szCs w:val="20"/>
          <w:lang w:val="en-US"/>
        </w:rPr>
        <w:t xml:space="preserve">Table 2: </w:t>
      </w:r>
      <w:r>
        <w:rPr>
          <w:rFonts w:hint="default" w:ascii="Times New Roman" w:hAnsi="Times New Roman" w:cs="Times New Roman"/>
          <w:b/>
          <w:bCs/>
          <w:sz w:val="20"/>
          <w:szCs w:val="20"/>
        </w:rPr>
        <w:t>Knowledge of health practitioners on the use of Nutraceuticals (N=185)</w:t>
      </w:r>
    </w:p>
    <w:tbl>
      <w:tblPr>
        <w:tblStyle w:val="10"/>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7356"/>
        <w:gridCol w:w="1404"/>
      </w:tblGrid>
      <w:tr w14:paraId="32D3E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5F08F0CD">
            <w:pPr>
              <w:spacing w:after="0" w:line="480" w:lineRule="auto"/>
              <w:rPr>
                <w:rFonts w:hint="default" w:ascii="Times New Roman" w:hAnsi="Times New Roman" w:cs="Times New Roman"/>
                <w:b/>
                <w:bCs/>
                <w:sz w:val="20"/>
                <w:szCs w:val="20"/>
              </w:rPr>
            </w:pPr>
            <w:r>
              <w:rPr>
                <w:rFonts w:hint="default" w:ascii="Times New Roman" w:hAnsi="Times New Roman" w:cs="Times New Roman"/>
                <w:b/>
                <w:bCs/>
                <w:sz w:val="20"/>
                <w:szCs w:val="20"/>
              </w:rPr>
              <w:t>S/N</w:t>
            </w:r>
          </w:p>
        </w:tc>
        <w:tc>
          <w:tcPr>
            <w:tcW w:w="7356" w:type="dxa"/>
          </w:tcPr>
          <w:p w14:paraId="092696AB">
            <w:pPr>
              <w:spacing w:after="0" w:line="480" w:lineRule="auto"/>
              <w:jc w:val="left"/>
              <w:rPr>
                <w:rFonts w:hint="default" w:ascii="Times New Roman" w:hAnsi="Times New Roman" w:cs="Times New Roman"/>
                <w:b/>
                <w:bCs/>
                <w:sz w:val="20"/>
                <w:szCs w:val="20"/>
              </w:rPr>
            </w:pPr>
            <w:r>
              <w:rPr>
                <w:rFonts w:hint="default" w:ascii="Times New Roman" w:hAnsi="Times New Roman" w:cs="Times New Roman"/>
                <w:b/>
                <w:bCs/>
                <w:sz w:val="20"/>
                <w:szCs w:val="20"/>
              </w:rPr>
              <w:t>Questions</w:t>
            </w:r>
          </w:p>
        </w:tc>
        <w:tc>
          <w:tcPr>
            <w:tcW w:w="1404" w:type="dxa"/>
          </w:tcPr>
          <w:p w14:paraId="4F92B506">
            <w:pPr>
              <w:spacing w:after="0" w:line="480" w:lineRule="auto"/>
              <w:jc w:val="left"/>
              <w:rPr>
                <w:rFonts w:hint="default" w:ascii="Times New Roman" w:hAnsi="Times New Roman" w:cs="Times New Roman"/>
                <w:b/>
                <w:bCs/>
                <w:sz w:val="20"/>
                <w:szCs w:val="20"/>
              </w:rPr>
            </w:pPr>
            <w:r>
              <w:rPr>
                <w:rFonts w:hint="default" w:ascii="Times New Roman" w:hAnsi="Times New Roman" w:cs="Times New Roman"/>
                <w:b/>
                <w:bCs/>
                <w:sz w:val="20"/>
                <w:szCs w:val="20"/>
              </w:rPr>
              <w:t>Correct answers</w:t>
            </w:r>
          </w:p>
        </w:tc>
      </w:tr>
      <w:tr w14:paraId="6E38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003DD453">
            <w:pPr>
              <w:spacing w:after="0" w:line="480" w:lineRule="auto"/>
              <w:rPr>
                <w:rFonts w:hint="default" w:ascii="Times New Roman" w:hAnsi="Times New Roman" w:cs="Times New Roman"/>
                <w:b/>
                <w:bCs/>
                <w:sz w:val="20"/>
                <w:szCs w:val="20"/>
              </w:rPr>
            </w:pPr>
          </w:p>
        </w:tc>
        <w:tc>
          <w:tcPr>
            <w:tcW w:w="7356" w:type="dxa"/>
          </w:tcPr>
          <w:p w14:paraId="26D25377">
            <w:pPr>
              <w:spacing w:after="0" w:line="480" w:lineRule="auto"/>
              <w:jc w:val="left"/>
              <w:rPr>
                <w:rFonts w:hint="default" w:ascii="Times New Roman" w:hAnsi="Times New Roman" w:cs="Times New Roman"/>
                <w:b/>
                <w:bCs/>
                <w:sz w:val="20"/>
                <w:szCs w:val="20"/>
              </w:rPr>
            </w:pPr>
          </w:p>
        </w:tc>
        <w:tc>
          <w:tcPr>
            <w:tcW w:w="1404" w:type="dxa"/>
          </w:tcPr>
          <w:p w14:paraId="109887BE">
            <w:pPr>
              <w:spacing w:after="0" w:line="480" w:lineRule="auto"/>
              <w:jc w:val="left"/>
              <w:rPr>
                <w:rFonts w:hint="default" w:ascii="Times New Roman" w:hAnsi="Times New Roman" w:cs="Times New Roman"/>
                <w:b/>
                <w:bCs/>
                <w:sz w:val="20"/>
                <w:szCs w:val="20"/>
              </w:rPr>
            </w:pPr>
            <w:r>
              <w:rPr>
                <w:rFonts w:hint="default" w:ascii="Times New Roman" w:hAnsi="Times New Roman" w:cs="Times New Roman"/>
                <w:b/>
                <w:bCs/>
                <w:sz w:val="20"/>
                <w:szCs w:val="20"/>
              </w:rPr>
              <w:t>n(%)</w:t>
            </w:r>
          </w:p>
        </w:tc>
      </w:tr>
      <w:tr w14:paraId="4B17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1928EAB1">
            <w:pPr>
              <w:spacing w:after="0" w:line="480" w:lineRule="auto"/>
              <w:rPr>
                <w:rFonts w:hint="default" w:ascii="Times New Roman" w:hAnsi="Times New Roman" w:cs="Times New Roman"/>
                <w:sz w:val="20"/>
                <w:szCs w:val="20"/>
              </w:rPr>
            </w:pPr>
            <w:r>
              <w:rPr>
                <w:rFonts w:hint="default" w:ascii="Times New Roman" w:hAnsi="Times New Roman" w:cs="Times New Roman"/>
                <w:sz w:val="20"/>
                <w:szCs w:val="20"/>
              </w:rPr>
              <w:t>1</w:t>
            </w:r>
          </w:p>
        </w:tc>
        <w:tc>
          <w:tcPr>
            <w:tcW w:w="7356" w:type="dxa"/>
          </w:tcPr>
          <w:p w14:paraId="3435C69B">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Does the WHO recommend the use of omega-3 fatty acid supplements for cardiovascular health</w:t>
            </w:r>
          </w:p>
        </w:tc>
        <w:tc>
          <w:tcPr>
            <w:tcW w:w="1404" w:type="dxa"/>
          </w:tcPr>
          <w:p w14:paraId="53369A85">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30(16.2)</w:t>
            </w:r>
          </w:p>
        </w:tc>
      </w:tr>
      <w:tr w14:paraId="5CCF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4320C654">
            <w:pPr>
              <w:spacing w:after="0" w:line="480" w:lineRule="auto"/>
              <w:rPr>
                <w:rFonts w:hint="default" w:ascii="Times New Roman" w:hAnsi="Times New Roman" w:cs="Times New Roman"/>
                <w:sz w:val="20"/>
                <w:szCs w:val="20"/>
              </w:rPr>
            </w:pPr>
            <w:r>
              <w:rPr>
                <w:rFonts w:hint="default" w:ascii="Times New Roman" w:hAnsi="Times New Roman" w:cs="Times New Roman"/>
                <w:sz w:val="20"/>
                <w:szCs w:val="20"/>
              </w:rPr>
              <w:t>2</w:t>
            </w:r>
          </w:p>
        </w:tc>
        <w:tc>
          <w:tcPr>
            <w:tcW w:w="7356" w:type="dxa"/>
          </w:tcPr>
          <w:p w14:paraId="44FDB94F">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Does the WHO recommend the use of antioxidant supplements (eg: vitamin C, E) for preventing chronic diseases</w:t>
            </w:r>
          </w:p>
        </w:tc>
        <w:tc>
          <w:tcPr>
            <w:tcW w:w="1404" w:type="dxa"/>
          </w:tcPr>
          <w:p w14:paraId="16BDAB14">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51(27.6)</w:t>
            </w:r>
          </w:p>
        </w:tc>
      </w:tr>
      <w:tr w14:paraId="73DA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029E2F03">
            <w:pPr>
              <w:spacing w:after="0" w:line="480" w:lineRule="auto"/>
              <w:rPr>
                <w:rFonts w:hint="default" w:ascii="Times New Roman" w:hAnsi="Times New Roman" w:cs="Times New Roman"/>
                <w:sz w:val="20"/>
                <w:szCs w:val="20"/>
              </w:rPr>
            </w:pPr>
            <w:r>
              <w:rPr>
                <w:rFonts w:hint="default" w:ascii="Times New Roman" w:hAnsi="Times New Roman" w:cs="Times New Roman"/>
                <w:sz w:val="20"/>
                <w:szCs w:val="20"/>
              </w:rPr>
              <w:t>3</w:t>
            </w:r>
          </w:p>
        </w:tc>
        <w:tc>
          <w:tcPr>
            <w:tcW w:w="7356" w:type="dxa"/>
          </w:tcPr>
          <w:p w14:paraId="5AB2210F">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According to the WHO, can certain nutraceutical ( eg: curcumin, ginger) be used as adjunctive therapy for managing pain or inflammation</w:t>
            </w:r>
          </w:p>
        </w:tc>
        <w:tc>
          <w:tcPr>
            <w:tcW w:w="1404" w:type="dxa"/>
          </w:tcPr>
          <w:p w14:paraId="70EC0AB8">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148(80.0)</w:t>
            </w:r>
          </w:p>
        </w:tc>
      </w:tr>
      <w:tr w14:paraId="5669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465A5D3A">
            <w:pPr>
              <w:spacing w:after="0" w:line="480" w:lineRule="auto"/>
              <w:rPr>
                <w:rFonts w:hint="default" w:ascii="Times New Roman" w:hAnsi="Times New Roman" w:cs="Times New Roman"/>
                <w:sz w:val="20"/>
                <w:szCs w:val="20"/>
              </w:rPr>
            </w:pPr>
            <w:r>
              <w:rPr>
                <w:rFonts w:hint="default" w:ascii="Times New Roman" w:hAnsi="Times New Roman" w:cs="Times New Roman"/>
                <w:sz w:val="20"/>
                <w:szCs w:val="20"/>
              </w:rPr>
              <w:t>4</w:t>
            </w:r>
          </w:p>
        </w:tc>
        <w:tc>
          <w:tcPr>
            <w:tcW w:w="7356" w:type="dxa"/>
          </w:tcPr>
          <w:p w14:paraId="06F217A7">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Does WHO recommend iron supplements for pregnant women to prevent or treat iron-deficient anemia</w:t>
            </w:r>
          </w:p>
        </w:tc>
        <w:tc>
          <w:tcPr>
            <w:tcW w:w="1404" w:type="dxa"/>
          </w:tcPr>
          <w:p w14:paraId="5748AAE6">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172(93.0)</w:t>
            </w:r>
          </w:p>
        </w:tc>
      </w:tr>
      <w:tr w14:paraId="4E779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4D53A4FB">
            <w:pPr>
              <w:spacing w:after="0" w:line="480" w:lineRule="auto"/>
              <w:rPr>
                <w:rFonts w:hint="default" w:ascii="Times New Roman" w:hAnsi="Times New Roman" w:cs="Times New Roman"/>
                <w:sz w:val="20"/>
                <w:szCs w:val="20"/>
              </w:rPr>
            </w:pPr>
            <w:r>
              <w:rPr>
                <w:rFonts w:hint="default" w:ascii="Times New Roman" w:hAnsi="Times New Roman" w:cs="Times New Roman"/>
                <w:sz w:val="20"/>
                <w:szCs w:val="20"/>
              </w:rPr>
              <w:t>5</w:t>
            </w:r>
          </w:p>
        </w:tc>
        <w:tc>
          <w:tcPr>
            <w:tcW w:w="7356" w:type="dxa"/>
          </w:tcPr>
          <w:p w14:paraId="63E06027">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According to WHO, can folic acid supplements be used to prevent neural tube defects in newborns</w:t>
            </w:r>
          </w:p>
        </w:tc>
        <w:tc>
          <w:tcPr>
            <w:tcW w:w="1404" w:type="dxa"/>
          </w:tcPr>
          <w:p w14:paraId="3CFA7D94">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169(91.4)</w:t>
            </w:r>
          </w:p>
        </w:tc>
      </w:tr>
      <w:tr w14:paraId="7C97E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6E2636A3">
            <w:pPr>
              <w:spacing w:after="0" w:line="480" w:lineRule="auto"/>
              <w:rPr>
                <w:rFonts w:hint="default" w:ascii="Times New Roman" w:hAnsi="Times New Roman" w:cs="Times New Roman"/>
                <w:sz w:val="20"/>
                <w:szCs w:val="20"/>
              </w:rPr>
            </w:pPr>
            <w:r>
              <w:rPr>
                <w:rFonts w:hint="default" w:ascii="Times New Roman" w:hAnsi="Times New Roman" w:cs="Times New Roman"/>
                <w:sz w:val="20"/>
                <w:szCs w:val="20"/>
              </w:rPr>
              <w:t>6</w:t>
            </w:r>
          </w:p>
        </w:tc>
        <w:tc>
          <w:tcPr>
            <w:tcW w:w="7356" w:type="dxa"/>
          </w:tcPr>
          <w:p w14:paraId="63CC74F7">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Are you aware of any regulatory body responsible for the control of nutraceutical in Nigeria</w:t>
            </w:r>
          </w:p>
        </w:tc>
        <w:tc>
          <w:tcPr>
            <w:tcW w:w="1404" w:type="dxa"/>
          </w:tcPr>
          <w:p w14:paraId="25A96BCA">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100(54.1)</w:t>
            </w:r>
          </w:p>
        </w:tc>
      </w:tr>
      <w:tr w14:paraId="57E74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12A5553D">
            <w:pPr>
              <w:spacing w:after="0" w:line="480" w:lineRule="auto"/>
              <w:rPr>
                <w:rFonts w:hint="default" w:ascii="Times New Roman" w:hAnsi="Times New Roman" w:cs="Times New Roman"/>
                <w:sz w:val="20"/>
                <w:szCs w:val="20"/>
              </w:rPr>
            </w:pPr>
            <w:r>
              <w:rPr>
                <w:rFonts w:hint="default" w:ascii="Times New Roman" w:hAnsi="Times New Roman" w:cs="Times New Roman"/>
                <w:sz w:val="20"/>
                <w:szCs w:val="20"/>
              </w:rPr>
              <w:t>7</w:t>
            </w:r>
          </w:p>
        </w:tc>
        <w:tc>
          <w:tcPr>
            <w:tcW w:w="7356" w:type="dxa"/>
          </w:tcPr>
          <w:p w14:paraId="70A425C3">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Do you consider available information on nutraceutical sufficient for clinical decision making</w:t>
            </w:r>
          </w:p>
        </w:tc>
        <w:tc>
          <w:tcPr>
            <w:tcW w:w="1404" w:type="dxa"/>
          </w:tcPr>
          <w:p w14:paraId="0266FFF1">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127(68.6)</w:t>
            </w:r>
          </w:p>
        </w:tc>
      </w:tr>
    </w:tbl>
    <w:p w14:paraId="5D58119E">
      <w:pPr>
        <w:spacing w:after="0" w:line="480" w:lineRule="auto"/>
        <w:rPr>
          <w:rFonts w:hint="default" w:ascii="Times New Roman" w:hAnsi="Times New Roman" w:eastAsia="Times New Roman" w:cs="Times New Roman"/>
          <w:kern w:val="0"/>
          <w:sz w:val="20"/>
          <w:szCs w:val="20"/>
        </w:rPr>
      </w:pPr>
    </w:p>
    <w:p w14:paraId="776CF799">
      <w:pPr>
        <w:spacing w:line="480" w:lineRule="auto"/>
        <w:rPr>
          <w:rFonts w:hint="default" w:ascii="Times New Roman" w:hAnsi="Times New Roman" w:cs="Times New Roman"/>
          <w:sz w:val="20"/>
          <w:szCs w:val="20"/>
          <w:lang w:eastAsia="en-US"/>
        </w:rPr>
      </w:pPr>
      <w:r>
        <w:rPr>
          <w:rFonts w:hint="default" w:ascii="Times New Roman" w:hAnsi="Times New Roman" w:cs="Times New Roman"/>
          <w:sz w:val="20"/>
          <w:szCs w:val="20"/>
          <w:lang w:eastAsia="en-US"/>
        </w:rPr>
        <w:drawing>
          <wp:inline distT="0" distB="0" distL="0" distR="0">
            <wp:extent cx="5253990" cy="3557905"/>
            <wp:effectExtent l="4445" t="4445" r="12065" b="6350"/>
            <wp:docPr id="163516667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EA79852">
      <w:pPr>
        <w:spacing w:line="480" w:lineRule="auto"/>
        <w:rPr>
          <w:rFonts w:hint="default" w:ascii="Times New Roman" w:hAnsi="Times New Roman" w:cs="Times New Roman"/>
          <w:sz w:val="20"/>
          <w:szCs w:val="20"/>
        </w:rPr>
      </w:pPr>
      <w:r>
        <w:rPr>
          <w:rFonts w:hint="default" w:ascii="Times New Roman" w:hAnsi="Times New Roman" w:cs="Times New Roman"/>
          <w:sz w:val="20"/>
          <w:szCs w:val="20"/>
          <w:lang w:val="en-US" w:eastAsia="en-US"/>
        </w:rPr>
        <w:t>Fig 1.</w:t>
      </w:r>
      <w:r>
        <w:rPr>
          <w:rFonts w:hint="default" w:ascii="Times New Roman" w:hAnsi="Times New Roman" w:cs="Times New Roman"/>
          <w:b/>
          <w:bCs/>
          <w:sz w:val="20"/>
          <w:szCs w:val="20"/>
        </w:rPr>
        <w:t>Knowledge of health practitioners on the use of Nutraceuticals (N=185)</w:t>
      </w:r>
    </w:p>
    <w:p w14:paraId="22C7D472">
      <w:pPr>
        <w:spacing w:line="480" w:lineRule="auto"/>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Attitude analysis revealed that 53.5% demonstrated positive attitudes, with most agreeing that nutraceuticals play a role in patient care and preventive healthcare, though opinions were divided on their superiority to conventional medicines (See Table 3).</w:t>
      </w:r>
    </w:p>
    <w:p w14:paraId="76F049CC">
      <w:pPr>
        <w:spacing w:line="480" w:lineRule="auto"/>
        <w:rPr>
          <w:rFonts w:hint="default" w:ascii="Times New Roman" w:hAnsi="Times New Roman" w:cs="Times New Roman"/>
          <w:sz w:val="20"/>
          <w:szCs w:val="20"/>
        </w:rPr>
      </w:pPr>
      <w:r>
        <w:rPr>
          <w:rFonts w:hint="default" w:ascii="Times New Roman" w:hAnsi="Times New Roman" w:cs="Times New Roman"/>
          <w:b/>
          <w:bCs/>
          <w:sz w:val="20"/>
          <w:szCs w:val="20"/>
        </w:rPr>
        <w:t>Table</w:t>
      </w:r>
      <w:r>
        <w:rPr>
          <w:rFonts w:hint="default" w:ascii="Times New Roman" w:hAnsi="Times New Roman" w:cs="Times New Roman"/>
          <w:b/>
          <w:bCs/>
          <w:sz w:val="20"/>
          <w:szCs w:val="20"/>
          <w:lang w:val="en-US"/>
        </w:rPr>
        <w:t xml:space="preserve"> </w:t>
      </w:r>
      <w:r>
        <w:rPr>
          <w:rFonts w:hint="default" w:ascii="Times New Roman" w:hAnsi="Times New Roman" w:cs="Times New Roman"/>
          <w:b/>
          <w:bCs/>
          <w:sz w:val="20"/>
          <w:szCs w:val="20"/>
        </w:rPr>
        <w:t>3: Attitude of health Practitioners on the use of Nutraceuticals with Sociodemographic (N=185)</w:t>
      </w:r>
    </w:p>
    <w:tbl>
      <w:tblPr>
        <w:tblStyle w:val="10"/>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618"/>
        <w:gridCol w:w="1114"/>
        <w:gridCol w:w="1115"/>
        <w:gridCol w:w="1056"/>
        <w:gridCol w:w="1056"/>
        <w:gridCol w:w="1486"/>
        <w:gridCol w:w="1308"/>
      </w:tblGrid>
      <w:tr w14:paraId="0C3BB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tcPr>
          <w:p w14:paraId="7D811790">
            <w:pPr>
              <w:spacing w:after="0" w:line="240" w:lineRule="auto"/>
              <w:jc w:val="left"/>
              <w:rPr>
                <w:rFonts w:hint="default" w:ascii="Times New Roman" w:hAnsi="Times New Roman" w:cs="Times New Roman"/>
                <w:b/>
                <w:bCs/>
                <w:sz w:val="20"/>
                <w:szCs w:val="20"/>
              </w:rPr>
            </w:pPr>
            <w:r>
              <w:rPr>
                <w:rFonts w:hint="default" w:ascii="Times New Roman" w:hAnsi="Times New Roman" w:cs="Times New Roman"/>
                <w:b/>
                <w:bCs/>
                <w:sz w:val="20"/>
                <w:szCs w:val="20"/>
              </w:rPr>
              <w:t>S/N</w:t>
            </w:r>
          </w:p>
        </w:tc>
        <w:tc>
          <w:tcPr>
            <w:tcW w:w="1618" w:type="dxa"/>
          </w:tcPr>
          <w:p w14:paraId="7E3AEE05">
            <w:pPr>
              <w:spacing w:after="0" w:line="240" w:lineRule="auto"/>
              <w:jc w:val="left"/>
              <w:rPr>
                <w:rFonts w:hint="default" w:ascii="Times New Roman" w:hAnsi="Times New Roman" w:cs="Times New Roman"/>
                <w:b/>
                <w:bCs/>
                <w:sz w:val="20"/>
                <w:szCs w:val="20"/>
              </w:rPr>
            </w:pPr>
            <w:r>
              <w:rPr>
                <w:rFonts w:hint="default" w:ascii="Times New Roman" w:hAnsi="Times New Roman" w:cs="Times New Roman"/>
                <w:b/>
                <w:bCs/>
                <w:sz w:val="20"/>
                <w:szCs w:val="20"/>
              </w:rPr>
              <w:t>Statement</w:t>
            </w:r>
          </w:p>
        </w:tc>
        <w:tc>
          <w:tcPr>
            <w:tcW w:w="1114" w:type="dxa"/>
          </w:tcPr>
          <w:p w14:paraId="071B1486">
            <w:pPr>
              <w:spacing w:after="0" w:line="240" w:lineRule="auto"/>
              <w:jc w:val="left"/>
              <w:rPr>
                <w:rFonts w:hint="default" w:ascii="Times New Roman" w:hAnsi="Times New Roman" w:cs="Times New Roman"/>
                <w:b/>
                <w:bCs/>
                <w:sz w:val="20"/>
                <w:szCs w:val="20"/>
              </w:rPr>
            </w:pPr>
            <w:r>
              <w:rPr>
                <w:rFonts w:hint="default" w:ascii="Times New Roman" w:hAnsi="Times New Roman" w:cs="Times New Roman"/>
                <w:b/>
                <w:bCs/>
                <w:sz w:val="20"/>
                <w:szCs w:val="20"/>
              </w:rPr>
              <w:t>Strongly Disagree</w:t>
            </w:r>
          </w:p>
        </w:tc>
        <w:tc>
          <w:tcPr>
            <w:tcW w:w="1115" w:type="dxa"/>
          </w:tcPr>
          <w:p w14:paraId="69AFD495">
            <w:pPr>
              <w:spacing w:after="0" w:line="240" w:lineRule="auto"/>
              <w:jc w:val="left"/>
              <w:rPr>
                <w:rFonts w:hint="default" w:ascii="Times New Roman" w:hAnsi="Times New Roman" w:cs="Times New Roman"/>
                <w:b/>
                <w:bCs/>
                <w:sz w:val="20"/>
                <w:szCs w:val="20"/>
              </w:rPr>
            </w:pPr>
            <w:r>
              <w:rPr>
                <w:rFonts w:hint="default" w:ascii="Times New Roman" w:hAnsi="Times New Roman" w:cs="Times New Roman"/>
                <w:b/>
                <w:bCs/>
                <w:sz w:val="20"/>
                <w:szCs w:val="20"/>
              </w:rPr>
              <w:t>Disagree</w:t>
            </w:r>
          </w:p>
        </w:tc>
        <w:tc>
          <w:tcPr>
            <w:tcW w:w="1056" w:type="dxa"/>
          </w:tcPr>
          <w:p w14:paraId="2BC04137">
            <w:pPr>
              <w:spacing w:after="0" w:line="240" w:lineRule="auto"/>
              <w:jc w:val="left"/>
              <w:rPr>
                <w:rFonts w:hint="default" w:ascii="Times New Roman" w:hAnsi="Times New Roman" w:cs="Times New Roman"/>
                <w:b/>
                <w:bCs/>
                <w:sz w:val="20"/>
                <w:szCs w:val="20"/>
              </w:rPr>
            </w:pPr>
            <w:r>
              <w:rPr>
                <w:rFonts w:hint="default" w:ascii="Times New Roman" w:hAnsi="Times New Roman" w:cs="Times New Roman"/>
                <w:b/>
                <w:bCs/>
                <w:sz w:val="20"/>
                <w:szCs w:val="20"/>
              </w:rPr>
              <w:t>Neutral</w:t>
            </w:r>
          </w:p>
        </w:tc>
        <w:tc>
          <w:tcPr>
            <w:tcW w:w="1056" w:type="dxa"/>
          </w:tcPr>
          <w:p w14:paraId="7300F467">
            <w:pPr>
              <w:spacing w:after="0" w:line="240" w:lineRule="auto"/>
              <w:jc w:val="left"/>
              <w:rPr>
                <w:rFonts w:hint="default" w:ascii="Times New Roman" w:hAnsi="Times New Roman" w:cs="Times New Roman"/>
                <w:b/>
                <w:bCs/>
                <w:sz w:val="20"/>
                <w:szCs w:val="20"/>
              </w:rPr>
            </w:pPr>
            <w:r>
              <w:rPr>
                <w:rFonts w:hint="default" w:ascii="Times New Roman" w:hAnsi="Times New Roman" w:cs="Times New Roman"/>
                <w:b/>
                <w:bCs/>
                <w:sz w:val="20"/>
                <w:szCs w:val="20"/>
              </w:rPr>
              <w:t>Agree</w:t>
            </w:r>
          </w:p>
        </w:tc>
        <w:tc>
          <w:tcPr>
            <w:tcW w:w="1486" w:type="dxa"/>
          </w:tcPr>
          <w:p w14:paraId="2BA0D665">
            <w:pPr>
              <w:spacing w:after="0" w:line="240" w:lineRule="auto"/>
              <w:jc w:val="left"/>
              <w:rPr>
                <w:rFonts w:hint="default" w:ascii="Times New Roman" w:hAnsi="Times New Roman" w:cs="Times New Roman"/>
                <w:b/>
                <w:bCs/>
                <w:sz w:val="20"/>
                <w:szCs w:val="20"/>
              </w:rPr>
            </w:pPr>
            <w:r>
              <w:rPr>
                <w:rFonts w:hint="default" w:ascii="Times New Roman" w:hAnsi="Times New Roman" w:cs="Times New Roman"/>
                <w:b/>
                <w:bCs/>
                <w:sz w:val="20"/>
                <w:szCs w:val="20"/>
              </w:rPr>
              <w:t>Strongly Agree</w:t>
            </w:r>
          </w:p>
        </w:tc>
        <w:tc>
          <w:tcPr>
            <w:tcW w:w="1308" w:type="dxa"/>
          </w:tcPr>
          <w:p w14:paraId="145B839C">
            <w:pPr>
              <w:spacing w:after="0" w:line="240" w:lineRule="auto"/>
              <w:jc w:val="left"/>
              <w:rPr>
                <w:rFonts w:hint="default" w:ascii="Times New Roman" w:hAnsi="Times New Roman" w:cs="Times New Roman"/>
                <w:b/>
                <w:bCs/>
                <w:sz w:val="20"/>
                <w:szCs w:val="20"/>
              </w:rPr>
            </w:pPr>
            <w:r>
              <w:rPr>
                <w:rFonts w:hint="default" w:ascii="Times New Roman" w:hAnsi="Times New Roman" w:cs="Times New Roman"/>
                <w:b/>
                <w:bCs/>
                <w:sz w:val="20"/>
                <w:szCs w:val="20"/>
              </w:rPr>
              <w:t>Mean±SD</w:t>
            </w:r>
          </w:p>
        </w:tc>
      </w:tr>
      <w:tr w14:paraId="68E45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tcPr>
          <w:p w14:paraId="7CDF7504">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1</w:t>
            </w:r>
          </w:p>
        </w:tc>
        <w:tc>
          <w:tcPr>
            <w:tcW w:w="1618" w:type="dxa"/>
          </w:tcPr>
          <w:p w14:paraId="5B392161">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I believe nutraceuticals have a significant role in patient care</w:t>
            </w:r>
          </w:p>
        </w:tc>
        <w:tc>
          <w:tcPr>
            <w:tcW w:w="1114" w:type="dxa"/>
          </w:tcPr>
          <w:p w14:paraId="0A3D338C">
            <w:pPr>
              <w:spacing w:after="0" w:line="240" w:lineRule="auto"/>
              <w:jc w:val="left"/>
              <w:rPr>
                <w:rFonts w:hint="default" w:ascii="Times New Roman" w:hAnsi="Times New Roman" w:cs="Times New Roman"/>
                <w:b/>
                <w:bCs/>
                <w:sz w:val="20"/>
                <w:szCs w:val="20"/>
              </w:rPr>
            </w:pPr>
            <w:r>
              <w:rPr>
                <w:rFonts w:hint="default" w:ascii="Times New Roman" w:hAnsi="Times New Roman" w:cs="Times New Roman"/>
                <w:b/>
                <w:bCs/>
                <w:sz w:val="20"/>
                <w:szCs w:val="20"/>
              </w:rPr>
              <w:t>-</w:t>
            </w:r>
          </w:p>
        </w:tc>
        <w:tc>
          <w:tcPr>
            <w:tcW w:w="1115" w:type="dxa"/>
          </w:tcPr>
          <w:p w14:paraId="0FD56FCB">
            <w:pPr>
              <w:spacing w:after="0" w:line="240" w:lineRule="auto"/>
              <w:jc w:val="left"/>
              <w:rPr>
                <w:rFonts w:hint="default" w:ascii="Times New Roman" w:hAnsi="Times New Roman" w:cs="Times New Roman"/>
                <w:b/>
                <w:bCs/>
                <w:sz w:val="20"/>
                <w:szCs w:val="20"/>
              </w:rPr>
            </w:pPr>
            <w:r>
              <w:rPr>
                <w:rFonts w:hint="default" w:ascii="Times New Roman" w:hAnsi="Times New Roman" w:cs="Times New Roman"/>
                <w:b/>
                <w:bCs/>
                <w:sz w:val="20"/>
                <w:szCs w:val="20"/>
              </w:rPr>
              <w:t>-</w:t>
            </w:r>
          </w:p>
        </w:tc>
        <w:tc>
          <w:tcPr>
            <w:tcW w:w="1056" w:type="dxa"/>
          </w:tcPr>
          <w:p w14:paraId="477C77DC">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2(1.1)</w:t>
            </w:r>
          </w:p>
        </w:tc>
        <w:tc>
          <w:tcPr>
            <w:tcW w:w="1056" w:type="dxa"/>
          </w:tcPr>
          <w:p w14:paraId="53550487">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74(40.0)</w:t>
            </w:r>
          </w:p>
        </w:tc>
        <w:tc>
          <w:tcPr>
            <w:tcW w:w="1486" w:type="dxa"/>
          </w:tcPr>
          <w:p w14:paraId="570E8683">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109(58.9)</w:t>
            </w:r>
          </w:p>
        </w:tc>
        <w:tc>
          <w:tcPr>
            <w:tcW w:w="1308" w:type="dxa"/>
          </w:tcPr>
          <w:p w14:paraId="217BEB6A">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4.58±0.517</w:t>
            </w:r>
          </w:p>
        </w:tc>
      </w:tr>
      <w:tr w14:paraId="59590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tcPr>
          <w:p w14:paraId="4C7FA1E3">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2</w:t>
            </w:r>
          </w:p>
        </w:tc>
        <w:tc>
          <w:tcPr>
            <w:tcW w:w="1618" w:type="dxa"/>
          </w:tcPr>
          <w:p w14:paraId="5104283D">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Nutraceuticals are valuable addition to conventional treatment option</w:t>
            </w:r>
          </w:p>
        </w:tc>
        <w:tc>
          <w:tcPr>
            <w:tcW w:w="1114" w:type="dxa"/>
          </w:tcPr>
          <w:p w14:paraId="3C73A92E">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2(1.1)</w:t>
            </w:r>
          </w:p>
        </w:tc>
        <w:tc>
          <w:tcPr>
            <w:tcW w:w="1115" w:type="dxa"/>
          </w:tcPr>
          <w:p w14:paraId="1AB18AE7">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2(1.1)</w:t>
            </w:r>
          </w:p>
        </w:tc>
        <w:tc>
          <w:tcPr>
            <w:tcW w:w="1056" w:type="dxa"/>
          </w:tcPr>
          <w:p w14:paraId="731F6562">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16(8.6)</w:t>
            </w:r>
          </w:p>
        </w:tc>
        <w:tc>
          <w:tcPr>
            <w:tcW w:w="1056" w:type="dxa"/>
          </w:tcPr>
          <w:p w14:paraId="02EB6648">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78(42.2)</w:t>
            </w:r>
          </w:p>
        </w:tc>
        <w:tc>
          <w:tcPr>
            <w:tcW w:w="1486" w:type="dxa"/>
          </w:tcPr>
          <w:p w14:paraId="26C8EB97">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87(47.0)</w:t>
            </w:r>
          </w:p>
        </w:tc>
        <w:tc>
          <w:tcPr>
            <w:tcW w:w="1308" w:type="dxa"/>
          </w:tcPr>
          <w:p w14:paraId="7509B5A7">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4.33±0.769</w:t>
            </w:r>
          </w:p>
        </w:tc>
      </w:tr>
      <w:tr w14:paraId="08120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tcPr>
          <w:p w14:paraId="6480C67C">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3</w:t>
            </w:r>
          </w:p>
        </w:tc>
        <w:tc>
          <w:tcPr>
            <w:tcW w:w="1618" w:type="dxa"/>
          </w:tcPr>
          <w:p w14:paraId="5A51743F">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I am enthusiastic about incorporating nutraceutical into my practice</w:t>
            </w:r>
          </w:p>
        </w:tc>
        <w:tc>
          <w:tcPr>
            <w:tcW w:w="1114" w:type="dxa"/>
          </w:tcPr>
          <w:p w14:paraId="2C3D6A4D">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w:t>
            </w:r>
          </w:p>
        </w:tc>
        <w:tc>
          <w:tcPr>
            <w:tcW w:w="1115" w:type="dxa"/>
          </w:tcPr>
          <w:p w14:paraId="241E17F1">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w:t>
            </w:r>
          </w:p>
        </w:tc>
        <w:tc>
          <w:tcPr>
            <w:tcW w:w="1056" w:type="dxa"/>
          </w:tcPr>
          <w:p w14:paraId="442AD806">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41(22.2)</w:t>
            </w:r>
          </w:p>
        </w:tc>
        <w:tc>
          <w:tcPr>
            <w:tcW w:w="1056" w:type="dxa"/>
          </w:tcPr>
          <w:p w14:paraId="28B956F6">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72(38.9)</w:t>
            </w:r>
          </w:p>
        </w:tc>
        <w:tc>
          <w:tcPr>
            <w:tcW w:w="1486" w:type="dxa"/>
          </w:tcPr>
          <w:p w14:paraId="13A80C19">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72(38.9)</w:t>
            </w:r>
          </w:p>
        </w:tc>
        <w:tc>
          <w:tcPr>
            <w:tcW w:w="1308" w:type="dxa"/>
          </w:tcPr>
          <w:p w14:paraId="2E1F70BB">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4.17±0.765</w:t>
            </w:r>
          </w:p>
        </w:tc>
      </w:tr>
      <w:tr w14:paraId="65857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tcPr>
          <w:p w14:paraId="1B950280">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4</w:t>
            </w:r>
          </w:p>
        </w:tc>
        <w:tc>
          <w:tcPr>
            <w:tcW w:w="1618" w:type="dxa"/>
          </w:tcPr>
          <w:p w14:paraId="68E61922">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Nutraceuticals can improve patient’s outcome in my specialty</w:t>
            </w:r>
          </w:p>
        </w:tc>
        <w:tc>
          <w:tcPr>
            <w:tcW w:w="1114" w:type="dxa"/>
          </w:tcPr>
          <w:p w14:paraId="058511A6">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w:t>
            </w:r>
          </w:p>
        </w:tc>
        <w:tc>
          <w:tcPr>
            <w:tcW w:w="1115" w:type="dxa"/>
          </w:tcPr>
          <w:p w14:paraId="09959B25">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w:t>
            </w:r>
          </w:p>
        </w:tc>
        <w:tc>
          <w:tcPr>
            <w:tcW w:w="1056" w:type="dxa"/>
          </w:tcPr>
          <w:p w14:paraId="0C82E137">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42(22.7)</w:t>
            </w:r>
          </w:p>
        </w:tc>
        <w:tc>
          <w:tcPr>
            <w:tcW w:w="1056" w:type="dxa"/>
          </w:tcPr>
          <w:p w14:paraId="2173B1A9">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73(39.5)</w:t>
            </w:r>
          </w:p>
        </w:tc>
        <w:tc>
          <w:tcPr>
            <w:tcW w:w="1486" w:type="dxa"/>
          </w:tcPr>
          <w:p w14:paraId="436418E4">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70(37.8)</w:t>
            </w:r>
          </w:p>
        </w:tc>
        <w:tc>
          <w:tcPr>
            <w:tcW w:w="1308" w:type="dxa"/>
          </w:tcPr>
          <w:p w14:paraId="5D0C3557">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4.15±0.765</w:t>
            </w:r>
          </w:p>
        </w:tc>
      </w:tr>
      <w:tr w14:paraId="58E7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tcPr>
          <w:p w14:paraId="6DAC2784">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5</w:t>
            </w:r>
          </w:p>
        </w:tc>
        <w:tc>
          <w:tcPr>
            <w:tcW w:w="1618" w:type="dxa"/>
          </w:tcPr>
          <w:p w14:paraId="31E585A6">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Nutraceuticals are more beneficial than conventional medications for certain conditions</w:t>
            </w:r>
          </w:p>
        </w:tc>
        <w:tc>
          <w:tcPr>
            <w:tcW w:w="1114" w:type="dxa"/>
          </w:tcPr>
          <w:p w14:paraId="5D03E4AB">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20(10.8)</w:t>
            </w:r>
          </w:p>
        </w:tc>
        <w:tc>
          <w:tcPr>
            <w:tcW w:w="1115" w:type="dxa"/>
          </w:tcPr>
          <w:p w14:paraId="39CF7AFF">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36(19.5)</w:t>
            </w:r>
          </w:p>
        </w:tc>
        <w:tc>
          <w:tcPr>
            <w:tcW w:w="1056" w:type="dxa"/>
          </w:tcPr>
          <w:p w14:paraId="4F84CE3E">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63(34.1)</w:t>
            </w:r>
          </w:p>
        </w:tc>
        <w:tc>
          <w:tcPr>
            <w:tcW w:w="1056" w:type="dxa"/>
          </w:tcPr>
          <w:p w14:paraId="5E67BF64">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45(24.3)</w:t>
            </w:r>
          </w:p>
        </w:tc>
        <w:tc>
          <w:tcPr>
            <w:tcW w:w="1486" w:type="dxa"/>
          </w:tcPr>
          <w:p w14:paraId="13A8E598">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21(11.4)</w:t>
            </w:r>
          </w:p>
        </w:tc>
        <w:tc>
          <w:tcPr>
            <w:tcW w:w="1308" w:type="dxa"/>
          </w:tcPr>
          <w:p w14:paraId="20850A2E">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3.06±1.152</w:t>
            </w:r>
          </w:p>
        </w:tc>
      </w:tr>
      <w:tr w14:paraId="61547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tcPr>
          <w:p w14:paraId="6AF319F9">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6</w:t>
            </w:r>
          </w:p>
        </w:tc>
        <w:tc>
          <w:tcPr>
            <w:tcW w:w="1618" w:type="dxa"/>
          </w:tcPr>
          <w:p w14:paraId="3A05EE90">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I feel comfortable discussing nutraceutical with my patients</w:t>
            </w:r>
          </w:p>
        </w:tc>
        <w:tc>
          <w:tcPr>
            <w:tcW w:w="1114" w:type="dxa"/>
          </w:tcPr>
          <w:p w14:paraId="485EED5F">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w:t>
            </w:r>
          </w:p>
        </w:tc>
        <w:tc>
          <w:tcPr>
            <w:tcW w:w="1115" w:type="dxa"/>
          </w:tcPr>
          <w:p w14:paraId="5B8F6329">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4(2.2)</w:t>
            </w:r>
          </w:p>
        </w:tc>
        <w:tc>
          <w:tcPr>
            <w:tcW w:w="1056" w:type="dxa"/>
          </w:tcPr>
          <w:p w14:paraId="63AE0C2F">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30(16.2)</w:t>
            </w:r>
          </w:p>
        </w:tc>
        <w:tc>
          <w:tcPr>
            <w:tcW w:w="1056" w:type="dxa"/>
          </w:tcPr>
          <w:p w14:paraId="215716DB">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97(52.4)</w:t>
            </w:r>
          </w:p>
        </w:tc>
        <w:tc>
          <w:tcPr>
            <w:tcW w:w="1486" w:type="dxa"/>
          </w:tcPr>
          <w:p w14:paraId="14244BA5">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54(29.2)</w:t>
            </w:r>
          </w:p>
        </w:tc>
        <w:tc>
          <w:tcPr>
            <w:tcW w:w="1308" w:type="dxa"/>
          </w:tcPr>
          <w:p w14:paraId="24D93373">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4.09±0.732</w:t>
            </w:r>
          </w:p>
        </w:tc>
      </w:tr>
      <w:tr w14:paraId="333C9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tcPr>
          <w:p w14:paraId="13A1B225">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7</w:t>
            </w:r>
          </w:p>
        </w:tc>
        <w:tc>
          <w:tcPr>
            <w:tcW w:w="1618" w:type="dxa"/>
          </w:tcPr>
          <w:p w14:paraId="47808643">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Nutraceuticals can help reduce healthcare cost in the long run</w:t>
            </w:r>
          </w:p>
        </w:tc>
        <w:tc>
          <w:tcPr>
            <w:tcW w:w="1114" w:type="dxa"/>
          </w:tcPr>
          <w:p w14:paraId="579CDFD0">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5(2.7)</w:t>
            </w:r>
          </w:p>
        </w:tc>
        <w:tc>
          <w:tcPr>
            <w:tcW w:w="1115" w:type="dxa"/>
          </w:tcPr>
          <w:p w14:paraId="44FD98A5">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13(7.0)</w:t>
            </w:r>
          </w:p>
        </w:tc>
        <w:tc>
          <w:tcPr>
            <w:tcW w:w="1056" w:type="dxa"/>
          </w:tcPr>
          <w:p w14:paraId="2D759C61">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39(21.1)</w:t>
            </w:r>
          </w:p>
        </w:tc>
        <w:tc>
          <w:tcPr>
            <w:tcW w:w="1056" w:type="dxa"/>
          </w:tcPr>
          <w:p w14:paraId="69FE8733">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60(32.4)</w:t>
            </w:r>
          </w:p>
        </w:tc>
        <w:tc>
          <w:tcPr>
            <w:tcW w:w="1486" w:type="dxa"/>
          </w:tcPr>
          <w:p w14:paraId="4669615E">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68(36.8)</w:t>
            </w:r>
          </w:p>
        </w:tc>
        <w:tc>
          <w:tcPr>
            <w:tcW w:w="1308" w:type="dxa"/>
          </w:tcPr>
          <w:p w14:paraId="3764A5D9">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3.94±1.051</w:t>
            </w:r>
          </w:p>
        </w:tc>
      </w:tr>
      <w:tr w14:paraId="4879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tcPr>
          <w:p w14:paraId="67A513EE">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8</w:t>
            </w:r>
          </w:p>
        </w:tc>
        <w:tc>
          <w:tcPr>
            <w:tcW w:w="1618" w:type="dxa"/>
          </w:tcPr>
          <w:p w14:paraId="3E1F54A9">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I believe nutraceutical have a place in preventive healthcare</w:t>
            </w:r>
          </w:p>
        </w:tc>
        <w:tc>
          <w:tcPr>
            <w:tcW w:w="1114" w:type="dxa"/>
          </w:tcPr>
          <w:p w14:paraId="3A759913">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w:t>
            </w:r>
          </w:p>
        </w:tc>
        <w:tc>
          <w:tcPr>
            <w:tcW w:w="1115" w:type="dxa"/>
          </w:tcPr>
          <w:p w14:paraId="4AFB6E82">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2(1.1)</w:t>
            </w:r>
          </w:p>
        </w:tc>
        <w:tc>
          <w:tcPr>
            <w:tcW w:w="1056" w:type="dxa"/>
          </w:tcPr>
          <w:p w14:paraId="4552919E">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11(5.9)</w:t>
            </w:r>
          </w:p>
        </w:tc>
        <w:tc>
          <w:tcPr>
            <w:tcW w:w="1056" w:type="dxa"/>
          </w:tcPr>
          <w:p w14:paraId="559EBC9A">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78(42.2)</w:t>
            </w:r>
          </w:p>
        </w:tc>
        <w:tc>
          <w:tcPr>
            <w:tcW w:w="1486" w:type="dxa"/>
          </w:tcPr>
          <w:p w14:paraId="50955521">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94(50.8)</w:t>
            </w:r>
          </w:p>
        </w:tc>
        <w:tc>
          <w:tcPr>
            <w:tcW w:w="1308" w:type="dxa"/>
          </w:tcPr>
          <w:p w14:paraId="16B79E97">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4.43±0.656</w:t>
            </w:r>
          </w:p>
        </w:tc>
      </w:tr>
      <w:tr w14:paraId="2980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tcPr>
          <w:p w14:paraId="4ACA8C1D">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9</w:t>
            </w:r>
          </w:p>
        </w:tc>
        <w:tc>
          <w:tcPr>
            <w:tcW w:w="1618" w:type="dxa"/>
          </w:tcPr>
          <w:p w14:paraId="6B224ABB">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patients are informed about potential side effects or ADRs of nutraceutical</w:t>
            </w:r>
          </w:p>
        </w:tc>
        <w:tc>
          <w:tcPr>
            <w:tcW w:w="1114" w:type="dxa"/>
          </w:tcPr>
          <w:p w14:paraId="4A12CEB0">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18(9.7)</w:t>
            </w:r>
          </w:p>
        </w:tc>
        <w:tc>
          <w:tcPr>
            <w:tcW w:w="1115" w:type="dxa"/>
          </w:tcPr>
          <w:p w14:paraId="75394699">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25(13.5)</w:t>
            </w:r>
          </w:p>
        </w:tc>
        <w:tc>
          <w:tcPr>
            <w:tcW w:w="1056" w:type="dxa"/>
          </w:tcPr>
          <w:p w14:paraId="17E47BBA">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70(37.8)</w:t>
            </w:r>
          </w:p>
        </w:tc>
        <w:tc>
          <w:tcPr>
            <w:tcW w:w="1056" w:type="dxa"/>
          </w:tcPr>
          <w:p w14:paraId="325A9F48">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47(25.4)</w:t>
            </w:r>
          </w:p>
        </w:tc>
        <w:tc>
          <w:tcPr>
            <w:tcW w:w="1486" w:type="dxa"/>
          </w:tcPr>
          <w:p w14:paraId="20887548">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25(13.5)</w:t>
            </w:r>
          </w:p>
        </w:tc>
        <w:tc>
          <w:tcPr>
            <w:tcW w:w="1308" w:type="dxa"/>
          </w:tcPr>
          <w:p w14:paraId="180AA157">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3.19±1.135</w:t>
            </w:r>
          </w:p>
        </w:tc>
      </w:tr>
    </w:tbl>
    <w:p w14:paraId="7E1DB16E">
      <w:pPr>
        <w:spacing w:line="480" w:lineRule="auto"/>
        <w:rPr>
          <w:rFonts w:hint="default" w:ascii="Times New Roman" w:hAnsi="Times New Roman" w:cs="Times New Roman"/>
          <w:b/>
          <w:bCs/>
          <w:sz w:val="20"/>
          <w:szCs w:val="20"/>
        </w:rPr>
      </w:pPr>
    </w:p>
    <w:p w14:paraId="4BF0D119">
      <w:pPr>
        <w:spacing w:line="480" w:lineRule="auto"/>
        <w:rPr>
          <w:rFonts w:hint="default" w:ascii="Times New Roman" w:hAnsi="Times New Roman" w:cs="Times New Roman"/>
          <w:b/>
          <w:bCs/>
          <w:sz w:val="20"/>
          <w:szCs w:val="20"/>
        </w:rPr>
      </w:pPr>
    </w:p>
    <w:p w14:paraId="72F472ED">
      <w:pPr>
        <w:spacing w:line="480" w:lineRule="auto"/>
        <w:rPr>
          <w:rFonts w:hint="default" w:ascii="Times New Roman" w:hAnsi="Times New Roman" w:cs="Times New Roman"/>
          <w:b/>
          <w:bCs/>
          <w:sz w:val="20"/>
          <w:szCs w:val="20"/>
        </w:rPr>
      </w:pPr>
      <w:r>
        <w:rPr>
          <w:rFonts w:hint="default" w:ascii="Times New Roman" w:hAnsi="Times New Roman" w:cs="Times New Roman"/>
          <w:color w:val="843C0B" w:themeColor="accent2" w:themeShade="80"/>
          <w:sz w:val="20"/>
          <w:szCs w:val="20"/>
          <w:highlight w:val="black"/>
          <w:lang w:eastAsia="en-US"/>
        </w:rPr>
        <w:drawing>
          <wp:inline distT="0" distB="0" distL="0" distR="0">
            <wp:extent cx="4572000" cy="3577590"/>
            <wp:effectExtent l="4445" t="4445" r="8255" b="12065"/>
            <wp:docPr id="46614513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03C58F4">
      <w:pPr>
        <w:spacing w:line="480" w:lineRule="auto"/>
        <w:rPr>
          <w:rFonts w:hint="default" w:ascii="Times New Roman" w:hAnsi="Times New Roman" w:cs="Times New Roman"/>
          <w:b/>
          <w:bCs/>
          <w:sz w:val="20"/>
          <w:szCs w:val="20"/>
        </w:rPr>
      </w:pPr>
      <w:r>
        <w:rPr>
          <w:rFonts w:hint="default" w:ascii="Times New Roman" w:hAnsi="Times New Roman" w:cs="Times New Roman"/>
          <w:b/>
          <w:bCs/>
          <w:sz w:val="20"/>
          <w:szCs w:val="20"/>
          <w:lang w:val="en-US"/>
        </w:rPr>
        <w:t xml:space="preserve">Fig 2: </w:t>
      </w:r>
      <w:r>
        <w:rPr>
          <w:rFonts w:hint="default" w:ascii="Times New Roman" w:hAnsi="Times New Roman" w:cs="Times New Roman"/>
          <w:b/>
          <w:bCs/>
          <w:sz w:val="20"/>
          <w:szCs w:val="20"/>
        </w:rPr>
        <w:t xml:space="preserve">Attitude of health Practitioners on the use of Nutraceuticals with Sociodemographic </w:t>
      </w:r>
    </w:p>
    <w:p w14:paraId="69A67C12">
      <w:pPr>
        <w:spacing w:line="480" w:lineRule="auto"/>
        <w:rPr>
          <w:rFonts w:hint="default" w:ascii="Times New Roman" w:hAnsi="Times New Roman" w:cs="Times New Roman"/>
          <w:b/>
          <w:bCs/>
          <w:sz w:val="20"/>
          <w:szCs w:val="20"/>
          <w:lang w:val="en-US"/>
        </w:rPr>
      </w:pPr>
      <w:r>
        <w:rPr>
          <w:rFonts w:hint="default" w:ascii="Times New Roman" w:hAnsi="Times New Roman" w:eastAsia="Times New Roman" w:cs="Times New Roman"/>
          <w:sz w:val="20"/>
          <w:szCs w:val="20"/>
        </w:rPr>
        <w:t>Perceptions were favorable in 56.2% of respondents, with many endorsing their role in maintaining health and addressing malnutrition, but skepticism persisted regarding their use as first-line therapies or for weight reduction (see table</w:t>
      </w:r>
      <w:r>
        <w:rPr>
          <w:rFonts w:hint="default" w:ascii="Times New Roman" w:hAnsi="Times New Roman" w:eastAsia="Times New Roman" w:cs="Times New Roman"/>
          <w:sz w:val="20"/>
          <w:szCs w:val="20"/>
          <w:lang w:val="en-US"/>
        </w:rPr>
        <w:t xml:space="preserve"> </w:t>
      </w:r>
      <w:r>
        <w:rPr>
          <w:rFonts w:hint="default" w:ascii="Times New Roman" w:hAnsi="Times New Roman" w:eastAsia="Times New Roman" w:cs="Times New Roman"/>
          <w:sz w:val="20"/>
          <w:szCs w:val="20"/>
        </w:rPr>
        <w:t>4</w:t>
      </w:r>
      <w:r>
        <w:rPr>
          <w:rFonts w:hint="default" w:ascii="Times New Roman" w:hAnsi="Times New Roman" w:eastAsia="Times New Roman" w:cs="Times New Roman"/>
          <w:sz w:val="20"/>
          <w:szCs w:val="20"/>
          <w:lang w:val="en-US"/>
        </w:rPr>
        <w:t>)</w:t>
      </w:r>
    </w:p>
    <w:p w14:paraId="2EEF116D">
      <w:pPr>
        <w:spacing w:line="480" w:lineRule="auto"/>
        <w:rPr>
          <w:rFonts w:hint="default" w:ascii="Times New Roman" w:hAnsi="Times New Roman" w:cs="Times New Roman"/>
          <w:b/>
          <w:bCs/>
          <w:sz w:val="20"/>
          <w:szCs w:val="20"/>
        </w:rPr>
      </w:pPr>
      <w:r>
        <w:rPr>
          <w:rFonts w:hint="default" w:ascii="Times New Roman" w:hAnsi="Times New Roman" w:cs="Times New Roman"/>
          <w:b/>
          <w:bCs/>
          <w:sz w:val="20"/>
          <w:szCs w:val="20"/>
        </w:rPr>
        <w:t>Table</w:t>
      </w:r>
      <w:r>
        <w:rPr>
          <w:rFonts w:hint="default" w:ascii="Times New Roman" w:hAnsi="Times New Roman" w:cs="Times New Roman"/>
          <w:b/>
          <w:bCs/>
          <w:sz w:val="20"/>
          <w:szCs w:val="20"/>
          <w:lang w:val="en-US"/>
        </w:rPr>
        <w:t xml:space="preserve"> </w:t>
      </w:r>
      <w:r>
        <w:rPr>
          <w:rFonts w:hint="default" w:ascii="Times New Roman" w:hAnsi="Times New Roman" w:cs="Times New Roman"/>
          <w:b/>
          <w:bCs/>
          <w:sz w:val="20"/>
          <w:szCs w:val="20"/>
        </w:rPr>
        <w:t>4: Perception of health Practitioners on the use of Nutraceuticals with Sociodemographic (N=185)</w:t>
      </w:r>
    </w:p>
    <w:tbl>
      <w:tblPr>
        <w:tblStyle w:val="10"/>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917"/>
        <w:gridCol w:w="1156"/>
        <w:gridCol w:w="1121"/>
        <w:gridCol w:w="1073"/>
        <w:gridCol w:w="1073"/>
        <w:gridCol w:w="1112"/>
        <w:gridCol w:w="1308"/>
      </w:tblGrid>
      <w:tr w14:paraId="3B40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shd w:val="clear" w:color="auto" w:fill="auto"/>
            <w:vAlign w:val="top"/>
          </w:tcPr>
          <w:p w14:paraId="6F44AF50">
            <w:pPr>
              <w:spacing w:after="0" w:line="240" w:lineRule="auto"/>
              <w:jc w:val="left"/>
              <w:rPr>
                <w:rFonts w:hint="default" w:ascii="Times New Roman" w:hAnsi="Times New Roman" w:cs="Times New Roman" w:eastAsiaTheme="minorEastAsia"/>
                <w:b/>
                <w:bCs/>
                <w:kern w:val="2"/>
                <w:sz w:val="20"/>
                <w:szCs w:val="20"/>
                <w:lang w:val="en-US" w:eastAsia="zh-CN" w:bidi="ar-SA"/>
              </w:rPr>
            </w:pPr>
            <w:r>
              <w:rPr>
                <w:rFonts w:hint="default" w:ascii="Times New Roman" w:hAnsi="Times New Roman" w:cs="Times New Roman"/>
                <w:b/>
                <w:bCs/>
                <w:sz w:val="20"/>
                <w:szCs w:val="20"/>
              </w:rPr>
              <w:t>S/N</w:t>
            </w:r>
          </w:p>
        </w:tc>
        <w:tc>
          <w:tcPr>
            <w:tcW w:w="1917" w:type="dxa"/>
            <w:shd w:val="clear" w:color="auto" w:fill="auto"/>
            <w:vAlign w:val="top"/>
          </w:tcPr>
          <w:p w14:paraId="04270577">
            <w:pPr>
              <w:spacing w:after="0" w:line="240" w:lineRule="auto"/>
              <w:jc w:val="left"/>
              <w:rPr>
                <w:rFonts w:hint="default" w:ascii="Times New Roman" w:hAnsi="Times New Roman" w:cs="Times New Roman" w:eastAsiaTheme="minorEastAsia"/>
                <w:b/>
                <w:bCs/>
                <w:kern w:val="2"/>
                <w:sz w:val="20"/>
                <w:szCs w:val="20"/>
                <w:lang w:val="en-US" w:eastAsia="zh-CN" w:bidi="ar-SA"/>
              </w:rPr>
            </w:pPr>
            <w:r>
              <w:rPr>
                <w:rFonts w:hint="default" w:ascii="Times New Roman" w:hAnsi="Times New Roman" w:cs="Times New Roman"/>
                <w:b/>
                <w:bCs/>
                <w:sz w:val="20"/>
                <w:szCs w:val="20"/>
              </w:rPr>
              <w:t>Statement</w:t>
            </w:r>
          </w:p>
        </w:tc>
        <w:tc>
          <w:tcPr>
            <w:tcW w:w="1156" w:type="dxa"/>
            <w:shd w:val="clear" w:color="auto" w:fill="auto"/>
            <w:vAlign w:val="top"/>
          </w:tcPr>
          <w:p w14:paraId="105C1F5F">
            <w:pPr>
              <w:spacing w:after="0" w:line="240" w:lineRule="auto"/>
              <w:jc w:val="left"/>
              <w:rPr>
                <w:rFonts w:hint="default" w:ascii="Times New Roman" w:hAnsi="Times New Roman" w:cs="Times New Roman" w:eastAsiaTheme="minorEastAsia"/>
                <w:b/>
                <w:bCs/>
                <w:kern w:val="2"/>
                <w:sz w:val="20"/>
                <w:szCs w:val="20"/>
                <w:lang w:val="en-US" w:eastAsia="zh-CN" w:bidi="ar-SA"/>
              </w:rPr>
            </w:pPr>
            <w:r>
              <w:rPr>
                <w:rFonts w:hint="default" w:ascii="Times New Roman" w:hAnsi="Times New Roman" w:cs="Times New Roman"/>
                <w:b/>
                <w:bCs/>
                <w:sz w:val="20"/>
                <w:szCs w:val="20"/>
              </w:rPr>
              <w:t>Strongly Disagree</w:t>
            </w:r>
          </w:p>
        </w:tc>
        <w:tc>
          <w:tcPr>
            <w:tcW w:w="1121" w:type="dxa"/>
            <w:shd w:val="clear" w:color="auto" w:fill="auto"/>
            <w:vAlign w:val="top"/>
          </w:tcPr>
          <w:p w14:paraId="6A61E074">
            <w:pPr>
              <w:spacing w:after="0" w:line="240" w:lineRule="auto"/>
              <w:jc w:val="left"/>
              <w:rPr>
                <w:rFonts w:hint="default" w:ascii="Times New Roman" w:hAnsi="Times New Roman" w:cs="Times New Roman" w:eastAsiaTheme="minorEastAsia"/>
                <w:b/>
                <w:bCs/>
                <w:kern w:val="2"/>
                <w:sz w:val="20"/>
                <w:szCs w:val="20"/>
                <w:lang w:val="en-US" w:eastAsia="zh-CN" w:bidi="ar-SA"/>
              </w:rPr>
            </w:pPr>
            <w:r>
              <w:rPr>
                <w:rFonts w:hint="default" w:ascii="Times New Roman" w:hAnsi="Times New Roman" w:cs="Times New Roman"/>
                <w:b/>
                <w:bCs/>
                <w:sz w:val="20"/>
                <w:szCs w:val="20"/>
              </w:rPr>
              <w:t>Disagree</w:t>
            </w:r>
          </w:p>
        </w:tc>
        <w:tc>
          <w:tcPr>
            <w:tcW w:w="1073" w:type="dxa"/>
            <w:shd w:val="clear" w:color="auto" w:fill="auto"/>
            <w:vAlign w:val="top"/>
          </w:tcPr>
          <w:p w14:paraId="53F8DA82">
            <w:pPr>
              <w:spacing w:after="0" w:line="240" w:lineRule="auto"/>
              <w:jc w:val="left"/>
              <w:rPr>
                <w:rFonts w:hint="default" w:ascii="Times New Roman" w:hAnsi="Times New Roman" w:cs="Times New Roman" w:eastAsiaTheme="minorEastAsia"/>
                <w:b/>
                <w:bCs/>
                <w:kern w:val="2"/>
                <w:sz w:val="20"/>
                <w:szCs w:val="20"/>
                <w:lang w:val="en-US" w:eastAsia="zh-CN" w:bidi="ar-SA"/>
              </w:rPr>
            </w:pPr>
            <w:r>
              <w:rPr>
                <w:rFonts w:hint="default" w:ascii="Times New Roman" w:hAnsi="Times New Roman" w:cs="Times New Roman"/>
                <w:b/>
                <w:bCs/>
                <w:sz w:val="20"/>
                <w:szCs w:val="20"/>
              </w:rPr>
              <w:t>Neutral</w:t>
            </w:r>
          </w:p>
        </w:tc>
        <w:tc>
          <w:tcPr>
            <w:tcW w:w="1073" w:type="dxa"/>
            <w:shd w:val="clear" w:color="auto" w:fill="auto"/>
            <w:vAlign w:val="top"/>
          </w:tcPr>
          <w:p w14:paraId="4D51FBC8">
            <w:pPr>
              <w:spacing w:after="0" w:line="240" w:lineRule="auto"/>
              <w:jc w:val="left"/>
              <w:rPr>
                <w:rFonts w:hint="default" w:ascii="Times New Roman" w:hAnsi="Times New Roman" w:cs="Times New Roman" w:eastAsiaTheme="minorEastAsia"/>
                <w:b/>
                <w:bCs/>
                <w:kern w:val="2"/>
                <w:sz w:val="20"/>
                <w:szCs w:val="20"/>
                <w:lang w:val="en-US" w:eastAsia="zh-CN" w:bidi="ar-SA"/>
              </w:rPr>
            </w:pPr>
            <w:r>
              <w:rPr>
                <w:rFonts w:hint="default" w:ascii="Times New Roman" w:hAnsi="Times New Roman" w:cs="Times New Roman"/>
                <w:b/>
                <w:bCs/>
                <w:sz w:val="20"/>
                <w:szCs w:val="20"/>
              </w:rPr>
              <w:t>Agree</w:t>
            </w:r>
          </w:p>
        </w:tc>
        <w:tc>
          <w:tcPr>
            <w:tcW w:w="1112" w:type="dxa"/>
            <w:shd w:val="clear" w:color="auto" w:fill="auto"/>
            <w:vAlign w:val="top"/>
          </w:tcPr>
          <w:p w14:paraId="6BC0DC40">
            <w:pPr>
              <w:spacing w:after="0" w:line="240" w:lineRule="auto"/>
              <w:jc w:val="left"/>
              <w:rPr>
                <w:rFonts w:hint="default" w:ascii="Times New Roman" w:hAnsi="Times New Roman" w:cs="Times New Roman" w:eastAsiaTheme="minorEastAsia"/>
                <w:b/>
                <w:bCs/>
                <w:kern w:val="2"/>
                <w:sz w:val="20"/>
                <w:szCs w:val="20"/>
                <w:lang w:val="en-US" w:eastAsia="zh-CN" w:bidi="ar-SA"/>
              </w:rPr>
            </w:pPr>
            <w:r>
              <w:rPr>
                <w:rFonts w:hint="default" w:ascii="Times New Roman" w:hAnsi="Times New Roman" w:cs="Times New Roman"/>
                <w:b/>
                <w:bCs/>
                <w:sz w:val="20"/>
                <w:szCs w:val="20"/>
              </w:rPr>
              <w:t>Strongly Agree</w:t>
            </w:r>
          </w:p>
        </w:tc>
        <w:tc>
          <w:tcPr>
            <w:tcW w:w="1308" w:type="dxa"/>
            <w:shd w:val="clear" w:color="auto" w:fill="auto"/>
            <w:vAlign w:val="top"/>
          </w:tcPr>
          <w:p w14:paraId="14724862">
            <w:pPr>
              <w:spacing w:after="0" w:line="240" w:lineRule="auto"/>
              <w:jc w:val="left"/>
              <w:rPr>
                <w:rFonts w:hint="default" w:ascii="Times New Roman" w:hAnsi="Times New Roman" w:cs="Times New Roman" w:eastAsiaTheme="minorEastAsia"/>
                <w:b/>
                <w:bCs/>
                <w:kern w:val="2"/>
                <w:sz w:val="20"/>
                <w:szCs w:val="20"/>
                <w:lang w:val="en-US" w:eastAsia="zh-CN" w:bidi="ar-SA"/>
              </w:rPr>
            </w:pPr>
            <w:r>
              <w:rPr>
                <w:rFonts w:hint="default" w:ascii="Times New Roman" w:hAnsi="Times New Roman" w:cs="Times New Roman"/>
                <w:b/>
                <w:bCs/>
                <w:sz w:val="20"/>
                <w:szCs w:val="20"/>
              </w:rPr>
              <w:t>Mean±SD</w:t>
            </w:r>
          </w:p>
        </w:tc>
      </w:tr>
      <w:tr w14:paraId="0234B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0A3D80AC">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1</w:t>
            </w:r>
          </w:p>
        </w:tc>
        <w:tc>
          <w:tcPr>
            <w:tcW w:w="1917" w:type="dxa"/>
          </w:tcPr>
          <w:p w14:paraId="3B70B11A">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Nutraceuticals are needed when a person feels tired and rundown</w:t>
            </w:r>
          </w:p>
        </w:tc>
        <w:tc>
          <w:tcPr>
            <w:tcW w:w="1156" w:type="dxa"/>
          </w:tcPr>
          <w:p w14:paraId="2F6943F5">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2(1.1)</w:t>
            </w:r>
          </w:p>
        </w:tc>
        <w:tc>
          <w:tcPr>
            <w:tcW w:w="1121" w:type="dxa"/>
          </w:tcPr>
          <w:p w14:paraId="3191502B">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25(13.5)</w:t>
            </w:r>
          </w:p>
        </w:tc>
        <w:tc>
          <w:tcPr>
            <w:tcW w:w="1073" w:type="dxa"/>
          </w:tcPr>
          <w:p w14:paraId="4301D8F3">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38(20.5)</w:t>
            </w:r>
          </w:p>
        </w:tc>
        <w:tc>
          <w:tcPr>
            <w:tcW w:w="1073" w:type="dxa"/>
          </w:tcPr>
          <w:p w14:paraId="4D981241">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78(42.2)</w:t>
            </w:r>
          </w:p>
        </w:tc>
        <w:tc>
          <w:tcPr>
            <w:tcW w:w="1112" w:type="dxa"/>
          </w:tcPr>
          <w:p w14:paraId="6C28A22D">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42(22.7)</w:t>
            </w:r>
          </w:p>
        </w:tc>
        <w:tc>
          <w:tcPr>
            <w:tcW w:w="1308" w:type="dxa"/>
          </w:tcPr>
          <w:p w14:paraId="44F83814">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3.72±0.998</w:t>
            </w:r>
          </w:p>
        </w:tc>
      </w:tr>
      <w:tr w14:paraId="3D75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052F818E">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2</w:t>
            </w:r>
          </w:p>
        </w:tc>
        <w:tc>
          <w:tcPr>
            <w:tcW w:w="1917" w:type="dxa"/>
          </w:tcPr>
          <w:p w14:paraId="64A0CC1E">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Nutraceuticals help in increasing one’s physical health</w:t>
            </w:r>
          </w:p>
        </w:tc>
        <w:tc>
          <w:tcPr>
            <w:tcW w:w="1156" w:type="dxa"/>
          </w:tcPr>
          <w:p w14:paraId="77064CD0">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w:t>
            </w:r>
          </w:p>
        </w:tc>
        <w:tc>
          <w:tcPr>
            <w:tcW w:w="1121" w:type="dxa"/>
          </w:tcPr>
          <w:p w14:paraId="4EEA2B80">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2(1.1)</w:t>
            </w:r>
          </w:p>
        </w:tc>
        <w:tc>
          <w:tcPr>
            <w:tcW w:w="1073" w:type="dxa"/>
          </w:tcPr>
          <w:p w14:paraId="71A0C966">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21(11.4)</w:t>
            </w:r>
          </w:p>
        </w:tc>
        <w:tc>
          <w:tcPr>
            <w:tcW w:w="1073" w:type="dxa"/>
          </w:tcPr>
          <w:p w14:paraId="2604E5E3">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92(49.7)</w:t>
            </w:r>
          </w:p>
        </w:tc>
        <w:tc>
          <w:tcPr>
            <w:tcW w:w="1112" w:type="dxa"/>
          </w:tcPr>
          <w:p w14:paraId="629AC1E7">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70(37.8)</w:t>
            </w:r>
          </w:p>
        </w:tc>
        <w:tc>
          <w:tcPr>
            <w:tcW w:w="1308" w:type="dxa"/>
          </w:tcPr>
          <w:p w14:paraId="2397704B">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4.21±0.692</w:t>
            </w:r>
          </w:p>
        </w:tc>
      </w:tr>
      <w:tr w14:paraId="685F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692DB8DF">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3</w:t>
            </w:r>
          </w:p>
        </w:tc>
        <w:tc>
          <w:tcPr>
            <w:tcW w:w="1917" w:type="dxa"/>
          </w:tcPr>
          <w:p w14:paraId="71555658">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Nutraceuticals can be used as first line of treatment for certain health conditions</w:t>
            </w:r>
          </w:p>
        </w:tc>
        <w:tc>
          <w:tcPr>
            <w:tcW w:w="1156" w:type="dxa"/>
          </w:tcPr>
          <w:p w14:paraId="383F0CDB">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26(14.1)</w:t>
            </w:r>
          </w:p>
        </w:tc>
        <w:tc>
          <w:tcPr>
            <w:tcW w:w="1121" w:type="dxa"/>
          </w:tcPr>
          <w:p w14:paraId="3D60ECF4">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46(24.9)</w:t>
            </w:r>
          </w:p>
        </w:tc>
        <w:tc>
          <w:tcPr>
            <w:tcW w:w="1073" w:type="dxa"/>
          </w:tcPr>
          <w:p w14:paraId="5A34EE2A">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53(28.6)</w:t>
            </w:r>
          </w:p>
        </w:tc>
        <w:tc>
          <w:tcPr>
            <w:tcW w:w="1073" w:type="dxa"/>
          </w:tcPr>
          <w:p w14:paraId="69ACCF24">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41(22.2)</w:t>
            </w:r>
          </w:p>
        </w:tc>
        <w:tc>
          <w:tcPr>
            <w:tcW w:w="1112" w:type="dxa"/>
          </w:tcPr>
          <w:p w14:paraId="58C00A0E">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19(10.3)</w:t>
            </w:r>
          </w:p>
        </w:tc>
        <w:tc>
          <w:tcPr>
            <w:tcW w:w="1308" w:type="dxa"/>
          </w:tcPr>
          <w:p w14:paraId="70220E87">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2.90±1.200</w:t>
            </w:r>
          </w:p>
        </w:tc>
      </w:tr>
      <w:tr w14:paraId="4423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79F55004">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4</w:t>
            </w:r>
          </w:p>
        </w:tc>
        <w:tc>
          <w:tcPr>
            <w:tcW w:w="1917" w:type="dxa"/>
          </w:tcPr>
          <w:p w14:paraId="07846055">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One can skip meals and just take nutraceuticals (dietary supplements)</w:t>
            </w:r>
          </w:p>
        </w:tc>
        <w:tc>
          <w:tcPr>
            <w:tcW w:w="1156" w:type="dxa"/>
          </w:tcPr>
          <w:p w14:paraId="04581889">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5(2.7)</w:t>
            </w:r>
          </w:p>
        </w:tc>
        <w:tc>
          <w:tcPr>
            <w:tcW w:w="1121" w:type="dxa"/>
          </w:tcPr>
          <w:p w14:paraId="295C97C1">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5(2.7)</w:t>
            </w:r>
          </w:p>
        </w:tc>
        <w:tc>
          <w:tcPr>
            <w:tcW w:w="1073" w:type="dxa"/>
          </w:tcPr>
          <w:p w14:paraId="54290B79">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33(17.8)</w:t>
            </w:r>
          </w:p>
        </w:tc>
        <w:tc>
          <w:tcPr>
            <w:tcW w:w="1073" w:type="dxa"/>
          </w:tcPr>
          <w:p w14:paraId="3781AE93">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85(45.9)</w:t>
            </w:r>
          </w:p>
        </w:tc>
        <w:tc>
          <w:tcPr>
            <w:tcW w:w="1112" w:type="dxa"/>
          </w:tcPr>
          <w:p w14:paraId="443A13B2">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57(30.8)</w:t>
            </w:r>
          </w:p>
        </w:tc>
        <w:tc>
          <w:tcPr>
            <w:tcW w:w="1308" w:type="dxa"/>
          </w:tcPr>
          <w:p w14:paraId="25D69874">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3.99±0.918</w:t>
            </w:r>
          </w:p>
        </w:tc>
      </w:tr>
      <w:tr w14:paraId="36157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5097DF70">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5</w:t>
            </w:r>
          </w:p>
        </w:tc>
        <w:tc>
          <w:tcPr>
            <w:tcW w:w="1917" w:type="dxa"/>
          </w:tcPr>
          <w:p w14:paraId="2725025A">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Body fat can be lost by taking certain type of nutraceutical combined with exercise</w:t>
            </w:r>
          </w:p>
        </w:tc>
        <w:tc>
          <w:tcPr>
            <w:tcW w:w="1156" w:type="dxa"/>
          </w:tcPr>
          <w:p w14:paraId="58ECFBFD">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61(33.0)</w:t>
            </w:r>
          </w:p>
        </w:tc>
        <w:tc>
          <w:tcPr>
            <w:tcW w:w="1121" w:type="dxa"/>
          </w:tcPr>
          <w:p w14:paraId="43B97A65">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59(31.9)</w:t>
            </w:r>
          </w:p>
        </w:tc>
        <w:tc>
          <w:tcPr>
            <w:tcW w:w="1073" w:type="dxa"/>
          </w:tcPr>
          <w:p w14:paraId="35EF664B">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41(22.2)</w:t>
            </w:r>
          </w:p>
        </w:tc>
        <w:tc>
          <w:tcPr>
            <w:tcW w:w="1073" w:type="dxa"/>
          </w:tcPr>
          <w:p w14:paraId="454165B5">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20(10.8)</w:t>
            </w:r>
          </w:p>
        </w:tc>
        <w:tc>
          <w:tcPr>
            <w:tcW w:w="1112" w:type="dxa"/>
          </w:tcPr>
          <w:p w14:paraId="5B88D0E2">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4(2.2)</w:t>
            </w:r>
          </w:p>
        </w:tc>
        <w:tc>
          <w:tcPr>
            <w:tcW w:w="1308" w:type="dxa"/>
          </w:tcPr>
          <w:p w14:paraId="4D160780">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2.17±1.075</w:t>
            </w:r>
          </w:p>
        </w:tc>
      </w:tr>
      <w:tr w14:paraId="7CD7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2F58FB2D">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6</w:t>
            </w:r>
          </w:p>
        </w:tc>
        <w:tc>
          <w:tcPr>
            <w:tcW w:w="1917" w:type="dxa"/>
          </w:tcPr>
          <w:p w14:paraId="3AAEE14F">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Patients are adequately informed about the benefit and risks of nutraceutical</w:t>
            </w:r>
          </w:p>
        </w:tc>
        <w:tc>
          <w:tcPr>
            <w:tcW w:w="1156" w:type="dxa"/>
          </w:tcPr>
          <w:p w14:paraId="16C042D5">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13(7.0)</w:t>
            </w:r>
          </w:p>
        </w:tc>
        <w:tc>
          <w:tcPr>
            <w:tcW w:w="1121" w:type="dxa"/>
          </w:tcPr>
          <w:p w14:paraId="240DB264">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34(18.4)</w:t>
            </w:r>
          </w:p>
        </w:tc>
        <w:tc>
          <w:tcPr>
            <w:tcW w:w="1073" w:type="dxa"/>
          </w:tcPr>
          <w:p w14:paraId="2000716F">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49(26.5)</w:t>
            </w:r>
          </w:p>
        </w:tc>
        <w:tc>
          <w:tcPr>
            <w:tcW w:w="1073" w:type="dxa"/>
          </w:tcPr>
          <w:p w14:paraId="1F94B8CD">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65(35.1)</w:t>
            </w:r>
          </w:p>
        </w:tc>
        <w:tc>
          <w:tcPr>
            <w:tcW w:w="1112" w:type="dxa"/>
          </w:tcPr>
          <w:p w14:paraId="3F153F1F">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24(13.0)</w:t>
            </w:r>
          </w:p>
        </w:tc>
        <w:tc>
          <w:tcPr>
            <w:tcW w:w="1308" w:type="dxa"/>
          </w:tcPr>
          <w:p w14:paraId="6A6C0064">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3.29±1.122</w:t>
            </w:r>
          </w:p>
        </w:tc>
      </w:tr>
      <w:tr w14:paraId="1A805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3AE4E425">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7</w:t>
            </w:r>
          </w:p>
        </w:tc>
        <w:tc>
          <w:tcPr>
            <w:tcW w:w="1917" w:type="dxa"/>
          </w:tcPr>
          <w:p w14:paraId="1FC81F07">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Nutraceutical hold great potential for future because they are convenient for today's lifestyle</w:t>
            </w:r>
          </w:p>
        </w:tc>
        <w:tc>
          <w:tcPr>
            <w:tcW w:w="1156" w:type="dxa"/>
          </w:tcPr>
          <w:p w14:paraId="00B8DBBD">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w:t>
            </w:r>
          </w:p>
        </w:tc>
        <w:tc>
          <w:tcPr>
            <w:tcW w:w="1121" w:type="dxa"/>
          </w:tcPr>
          <w:p w14:paraId="66C3EB44">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w:t>
            </w:r>
          </w:p>
        </w:tc>
        <w:tc>
          <w:tcPr>
            <w:tcW w:w="1073" w:type="dxa"/>
          </w:tcPr>
          <w:p w14:paraId="53CE4C0D">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23(12.4)</w:t>
            </w:r>
          </w:p>
        </w:tc>
        <w:tc>
          <w:tcPr>
            <w:tcW w:w="1073" w:type="dxa"/>
          </w:tcPr>
          <w:p w14:paraId="429C96B3">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98(53.0)</w:t>
            </w:r>
          </w:p>
        </w:tc>
        <w:tc>
          <w:tcPr>
            <w:tcW w:w="1112" w:type="dxa"/>
          </w:tcPr>
          <w:p w14:paraId="5C7A505A">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64(34.6)</w:t>
            </w:r>
          </w:p>
        </w:tc>
        <w:tc>
          <w:tcPr>
            <w:tcW w:w="1308" w:type="dxa"/>
          </w:tcPr>
          <w:p w14:paraId="070F8828">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4.22±0.651</w:t>
            </w:r>
          </w:p>
        </w:tc>
      </w:tr>
      <w:tr w14:paraId="0C14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2FF57F41">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8</w:t>
            </w:r>
          </w:p>
        </w:tc>
        <w:tc>
          <w:tcPr>
            <w:tcW w:w="1917" w:type="dxa"/>
          </w:tcPr>
          <w:p w14:paraId="2AE5237E">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Nutraceutical supplementation can play a role in treating malnutrition in the impoverished population</w:t>
            </w:r>
          </w:p>
        </w:tc>
        <w:tc>
          <w:tcPr>
            <w:tcW w:w="1156" w:type="dxa"/>
          </w:tcPr>
          <w:p w14:paraId="74E31992">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3(1.6)</w:t>
            </w:r>
          </w:p>
        </w:tc>
        <w:tc>
          <w:tcPr>
            <w:tcW w:w="1121" w:type="dxa"/>
          </w:tcPr>
          <w:p w14:paraId="4775C93B">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2(1.1)</w:t>
            </w:r>
          </w:p>
        </w:tc>
        <w:tc>
          <w:tcPr>
            <w:tcW w:w="1073" w:type="dxa"/>
          </w:tcPr>
          <w:p w14:paraId="524F8141">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22(11.9)</w:t>
            </w:r>
          </w:p>
        </w:tc>
        <w:tc>
          <w:tcPr>
            <w:tcW w:w="1073" w:type="dxa"/>
          </w:tcPr>
          <w:p w14:paraId="5401D37B">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92(49.7)</w:t>
            </w:r>
          </w:p>
        </w:tc>
        <w:tc>
          <w:tcPr>
            <w:tcW w:w="1112" w:type="dxa"/>
          </w:tcPr>
          <w:p w14:paraId="2DE48A1C">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66(35.7)</w:t>
            </w:r>
          </w:p>
        </w:tc>
        <w:tc>
          <w:tcPr>
            <w:tcW w:w="1308" w:type="dxa"/>
          </w:tcPr>
          <w:p w14:paraId="02E24198">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4.17±0.800</w:t>
            </w:r>
          </w:p>
        </w:tc>
      </w:tr>
      <w:tr w14:paraId="2B9D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04979F89">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9</w:t>
            </w:r>
          </w:p>
        </w:tc>
        <w:tc>
          <w:tcPr>
            <w:tcW w:w="1917" w:type="dxa"/>
          </w:tcPr>
          <w:p w14:paraId="3213CF0D">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By using nutraceutical, it may be possible to eliminate the need for conventional medications, reducing the chances of any adverse effect</w:t>
            </w:r>
          </w:p>
        </w:tc>
        <w:tc>
          <w:tcPr>
            <w:tcW w:w="1156" w:type="dxa"/>
          </w:tcPr>
          <w:p w14:paraId="5E552E19">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20(10.8)</w:t>
            </w:r>
          </w:p>
        </w:tc>
        <w:tc>
          <w:tcPr>
            <w:tcW w:w="1121" w:type="dxa"/>
          </w:tcPr>
          <w:p w14:paraId="4E49E00D">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13(7.0)</w:t>
            </w:r>
          </w:p>
        </w:tc>
        <w:tc>
          <w:tcPr>
            <w:tcW w:w="1073" w:type="dxa"/>
          </w:tcPr>
          <w:p w14:paraId="2CDA36B1">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60(32.4)</w:t>
            </w:r>
          </w:p>
        </w:tc>
        <w:tc>
          <w:tcPr>
            <w:tcW w:w="1073" w:type="dxa"/>
          </w:tcPr>
          <w:p w14:paraId="58E2EC18">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67(36.2)</w:t>
            </w:r>
          </w:p>
        </w:tc>
        <w:tc>
          <w:tcPr>
            <w:tcW w:w="1112" w:type="dxa"/>
          </w:tcPr>
          <w:p w14:paraId="53E647D9">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25(13.5)</w:t>
            </w:r>
          </w:p>
        </w:tc>
        <w:tc>
          <w:tcPr>
            <w:tcW w:w="1308" w:type="dxa"/>
          </w:tcPr>
          <w:p w14:paraId="29BF19C7">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3.35±1.137</w:t>
            </w:r>
          </w:p>
        </w:tc>
      </w:tr>
      <w:tr w14:paraId="633EE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60697DD2">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10</w:t>
            </w:r>
          </w:p>
        </w:tc>
        <w:tc>
          <w:tcPr>
            <w:tcW w:w="1917" w:type="dxa"/>
          </w:tcPr>
          <w:p w14:paraId="2E3A16A3">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Healthy individuals should take nutraceuticals to maintain health</w:t>
            </w:r>
          </w:p>
        </w:tc>
        <w:tc>
          <w:tcPr>
            <w:tcW w:w="1156" w:type="dxa"/>
          </w:tcPr>
          <w:p w14:paraId="74FBC981">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1(0.5)</w:t>
            </w:r>
          </w:p>
        </w:tc>
        <w:tc>
          <w:tcPr>
            <w:tcW w:w="1121" w:type="dxa"/>
          </w:tcPr>
          <w:p w14:paraId="7F05D6A4">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5(2.7)</w:t>
            </w:r>
          </w:p>
        </w:tc>
        <w:tc>
          <w:tcPr>
            <w:tcW w:w="1073" w:type="dxa"/>
          </w:tcPr>
          <w:p w14:paraId="5CE4BF43">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8(4.3)</w:t>
            </w:r>
          </w:p>
        </w:tc>
        <w:tc>
          <w:tcPr>
            <w:tcW w:w="1073" w:type="dxa"/>
          </w:tcPr>
          <w:p w14:paraId="283FFE5E">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89(48.1)</w:t>
            </w:r>
          </w:p>
        </w:tc>
        <w:tc>
          <w:tcPr>
            <w:tcW w:w="1112" w:type="dxa"/>
          </w:tcPr>
          <w:p w14:paraId="41BA72D3">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82(44.3)</w:t>
            </w:r>
          </w:p>
        </w:tc>
        <w:tc>
          <w:tcPr>
            <w:tcW w:w="1308" w:type="dxa"/>
          </w:tcPr>
          <w:p w14:paraId="74CAD481">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4.33±0.733</w:t>
            </w:r>
          </w:p>
        </w:tc>
      </w:tr>
      <w:tr w14:paraId="1C338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557CF70B">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11</w:t>
            </w:r>
          </w:p>
        </w:tc>
        <w:tc>
          <w:tcPr>
            <w:tcW w:w="1917" w:type="dxa"/>
          </w:tcPr>
          <w:p w14:paraId="7E2705AA">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There is a lack of awareness about nutraceutical supplements and a range of supplements available in the market</w:t>
            </w:r>
          </w:p>
        </w:tc>
        <w:tc>
          <w:tcPr>
            <w:tcW w:w="1156" w:type="dxa"/>
          </w:tcPr>
          <w:p w14:paraId="1FB52025">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8(4.3)</w:t>
            </w:r>
          </w:p>
        </w:tc>
        <w:tc>
          <w:tcPr>
            <w:tcW w:w="1121" w:type="dxa"/>
          </w:tcPr>
          <w:p w14:paraId="76E572FC">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29(1.1)</w:t>
            </w:r>
          </w:p>
        </w:tc>
        <w:tc>
          <w:tcPr>
            <w:tcW w:w="1073" w:type="dxa"/>
          </w:tcPr>
          <w:p w14:paraId="59F47CFF">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11(5.9)</w:t>
            </w:r>
          </w:p>
        </w:tc>
        <w:tc>
          <w:tcPr>
            <w:tcW w:w="1073" w:type="dxa"/>
          </w:tcPr>
          <w:p w14:paraId="64B5D894">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69(37.3)</w:t>
            </w:r>
          </w:p>
        </w:tc>
        <w:tc>
          <w:tcPr>
            <w:tcW w:w="1112" w:type="dxa"/>
          </w:tcPr>
          <w:p w14:paraId="3906FD3C">
            <w:pPr>
              <w:spacing w:after="0" w:line="240" w:lineRule="auto"/>
              <w:jc w:val="left"/>
              <w:rPr>
                <w:rFonts w:hint="default" w:ascii="Times New Roman" w:hAnsi="Times New Roman" w:cs="Times New Roman"/>
                <w:sz w:val="20"/>
                <w:szCs w:val="20"/>
              </w:rPr>
            </w:pPr>
          </w:p>
        </w:tc>
        <w:tc>
          <w:tcPr>
            <w:tcW w:w="1308" w:type="dxa"/>
          </w:tcPr>
          <w:p w14:paraId="6F7F1E0D">
            <w:pPr>
              <w:spacing w:after="0" w:line="240" w:lineRule="auto"/>
              <w:jc w:val="left"/>
              <w:rPr>
                <w:rFonts w:hint="default" w:ascii="Times New Roman" w:hAnsi="Times New Roman" w:cs="Times New Roman"/>
                <w:sz w:val="20"/>
                <w:szCs w:val="20"/>
              </w:rPr>
            </w:pPr>
            <w:r>
              <w:rPr>
                <w:rFonts w:hint="default" w:ascii="Times New Roman" w:hAnsi="Times New Roman" w:cs="Times New Roman"/>
                <w:sz w:val="20"/>
                <w:szCs w:val="20"/>
              </w:rPr>
              <w:t>4.30±0.959</w:t>
            </w:r>
          </w:p>
        </w:tc>
      </w:tr>
    </w:tbl>
    <w:p w14:paraId="206E5FE6">
      <w:pPr>
        <w:spacing w:line="240" w:lineRule="auto"/>
        <w:rPr>
          <w:rFonts w:hint="default" w:ascii="Times New Roman" w:hAnsi="Times New Roman" w:cs="Times New Roman"/>
          <w:b/>
          <w:bCs/>
          <w:sz w:val="20"/>
          <w:szCs w:val="20"/>
        </w:rPr>
      </w:pPr>
    </w:p>
    <w:p w14:paraId="16DE7836">
      <w:pPr>
        <w:spacing w:line="240" w:lineRule="auto"/>
        <w:rPr>
          <w:rFonts w:hint="default" w:ascii="Times New Roman" w:hAnsi="Times New Roman" w:cs="Times New Roman"/>
          <w:b/>
          <w:bCs/>
          <w:sz w:val="20"/>
          <w:szCs w:val="20"/>
        </w:rPr>
      </w:pPr>
    </w:p>
    <w:p w14:paraId="39B14308">
      <w:pPr>
        <w:spacing w:line="480" w:lineRule="auto"/>
        <w:rPr>
          <w:rFonts w:hint="default" w:ascii="Times New Roman" w:hAnsi="Times New Roman" w:cs="Times New Roman"/>
          <w:b/>
          <w:bCs/>
          <w:sz w:val="20"/>
          <w:szCs w:val="20"/>
        </w:rPr>
      </w:pPr>
      <w:r>
        <w:rPr>
          <w:rFonts w:hint="default" w:ascii="Times New Roman" w:hAnsi="Times New Roman" w:cs="Times New Roman"/>
          <w:sz w:val="20"/>
          <w:szCs w:val="20"/>
          <w:lang w:eastAsia="en-US"/>
        </w:rPr>
        <w:drawing>
          <wp:inline distT="0" distB="0" distL="0" distR="0">
            <wp:extent cx="5400040" cy="3882390"/>
            <wp:effectExtent l="4445" t="4445" r="5715" b="12065"/>
            <wp:docPr id="185972185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42E3E85">
      <w:pPr>
        <w:spacing w:line="480" w:lineRule="auto"/>
        <w:rPr>
          <w:rFonts w:hint="default" w:ascii="Times New Roman" w:hAnsi="Times New Roman" w:cs="Times New Roman"/>
          <w:b/>
          <w:bCs/>
          <w:sz w:val="20"/>
          <w:szCs w:val="20"/>
        </w:rPr>
      </w:pPr>
      <w:r>
        <w:rPr>
          <w:rFonts w:hint="default" w:ascii="Times New Roman" w:hAnsi="Times New Roman" w:cs="Times New Roman"/>
          <w:b/>
          <w:bCs/>
          <w:sz w:val="20"/>
          <w:szCs w:val="20"/>
          <w:lang w:val="en-US"/>
        </w:rPr>
        <w:t xml:space="preserve">Fig 3: </w:t>
      </w:r>
      <w:r>
        <w:rPr>
          <w:rFonts w:hint="default" w:ascii="Times New Roman" w:hAnsi="Times New Roman" w:cs="Times New Roman"/>
          <w:b/>
          <w:bCs/>
          <w:sz w:val="20"/>
          <w:szCs w:val="20"/>
        </w:rPr>
        <w:t>Perception of health Practitioners on the use of Nutraceuticals with Sociodemographic</w:t>
      </w:r>
    </w:p>
    <w:p w14:paraId="04B80FE8">
      <w:pPr>
        <w:spacing w:line="480" w:lineRule="auto"/>
        <w:rPr>
          <w:rFonts w:hint="default" w:ascii="Times New Roman" w:hAnsi="Times New Roman" w:cs="Times New Roman"/>
          <w:sz w:val="20"/>
          <w:szCs w:val="20"/>
        </w:rPr>
      </w:pPr>
      <w:r>
        <w:rPr>
          <w:rFonts w:hint="default" w:ascii="Times New Roman" w:hAnsi="Times New Roman" w:cs="Times New Roman"/>
          <w:b/>
          <w:bCs/>
          <w:sz w:val="20"/>
          <w:szCs w:val="20"/>
        </w:rPr>
        <w:t xml:space="preserve">Association of Knowledge of health Practitioners on the use of Nutraceuticals with Sociodemographic </w:t>
      </w:r>
    </w:p>
    <w:p w14:paraId="580EF619">
      <w:pPr>
        <w:spacing w:line="480" w:lineRule="auto"/>
        <w:rPr>
          <w:rFonts w:hint="default" w:ascii="Times New Roman" w:hAnsi="Times New Roman" w:cs="Times New Roman"/>
          <w:b/>
          <w:bCs/>
          <w:sz w:val="20"/>
          <w:szCs w:val="20"/>
          <w:lang w:val="en-US"/>
        </w:rPr>
      </w:pPr>
      <w:r>
        <w:rPr>
          <w:rFonts w:hint="default" w:ascii="Times New Roman" w:hAnsi="Times New Roman" w:cs="Times New Roman"/>
          <w:sz w:val="20"/>
          <w:szCs w:val="20"/>
        </w:rPr>
        <w:t xml:space="preserve">In terms of age, a higher proportion of health Practitioners aged 36-50 had a better knowledge on the use of Nutraceuticals compared to those aged above 50 (64.0% Vs 12.5%). Despite the difference, the association between age and knowledge was </w:t>
      </w:r>
      <w:r>
        <w:rPr>
          <w:rFonts w:hint="default" w:ascii="Times New Roman" w:hAnsi="Times New Roman" w:cs="Times New Roman"/>
          <w:b/>
          <w:bCs/>
          <w:sz w:val="20"/>
          <w:szCs w:val="20"/>
        </w:rPr>
        <w:t xml:space="preserve">statistically significant </w:t>
      </w:r>
      <w:r>
        <w:rPr>
          <w:rFonts w:hint="default" w:ascii="Times New Roman" w:hAnsi="Times New Roman" w:cs="Times New Roman"/>
          <w:sz w:val="20"/>
          <w:szCs w:val="20"/>
        </w:rPr>
        <w:t>(χ</w:t>
      </w:r>
      <w:r>
        <w:rPr>
          <w:rFonts w:hint="default" w:ascii="Times New Roman" w:hAnsi="Times New Roman" w:cs="Times New Roman"/>
          <w:sz w:val="20"/>
          <w:szCs w:val="20"/>
          <w:vertAlign w:val="superscript"/>
        </w:rPr>
        <w:t xml:space="preserve">2 </w:t>
      </w:r>
      <w:r>
        <w:rPr>
          <w:rFonts w:hint="default" w:ascii="Times New Roman" w:hAnsi="Times New Roman" w:cs="Times New Roman"/>
          <w:b/>
          <w:bCs/>
          <w:sz w:val="20"/>
          <w:szCs w:val="20"/>
        </w:rPr>
        <w:t>=</w:t>
      </w:r>
      <w:r>
        <w:rPr>
          <w:rFonts w:hint="default" w:ascii="Times New Roman" w:hAnsi="Times New Roman" w:cs="Times New Roman"/>
          <w:sz w:val="20"/>
          <w:szCs w:val="20"/>
        </w:rPr>
        <w:t>7.501, p=</w:t>
      </w:r>
      <w:r>
        <w:rPr>
          <w:rFonts w:hint="default" w:ascii="Times New Roman" w:hAnsi="Times New Roman" w:cs="Times New Roman"/>
          <w:b/>
          <w:bCs/>
          <w:sz w:val="20"/>
          <w:szCs w:val="20"/>
        </w:rPr>
        <w:t>0.024</w:t>
      </w:r>
      <w:r>
        <w:rPr>
          <w:rFonts w:hint="default" w:ascii="Times New Roman" w:hAnsi="Times New Roman" w:cs="Times New Roman"/>
          <w:sz w:val="20"/>
          <w:szCs w:val="20"/>
        </w:rPr>
        <w:t xml:space="preserve">). Similarly, the Registrars and a better knowledge compared to Consultants and Pharmacists (69.2% Vs 66.7% Vs 57.4%). While this may suggest that profession may enhance knowledge of nutraceuticals, the association was </w:t>
      </w:r>
      <w:r>
        <w:rPr>
          <w:rFonts w:hint="default" w:ascii="Times New Roman" w:hAnsi="Times New Roman" w:cs="Times New Roman"/>
          <w:b/>
          <w:bCs/>
          <w:sz w:val="20"/>
          <w:szCs w:val="20"/>
        </w:rPr>
        <w:t>not statistically significant</w:t>
      </w:r>
      <w:r>
        <w:rPr>
          <w:rFonts w:hint="default" w:ascii="Times New Roman" w:hAnsi="Times New Roman" w:cs="Times New Roman"/>
          <w:sz w:val="20"/>
          <w:szCs w:val="20"/>
        </w:rPr>
        <w:t xml:space="preserve"> (χ</w:t>
      </w:r>
      <w:r>
        <w:rPr>
          <w:rFonts w:hint="default" w:ascii="Times New Roman" w:hAnsi="Times New Roman" w:cs="Times New Roman"/>
          <w:sz w:val="20"/>
          <w:szCs w:val="20"/>
          <w:vertAlign w:val="superscript"/>
        </w:rPr>
        <w:t xml:space="preserve">2 </w:t>
      </w:r>
      <w:r>
        <w:rPr>
          <w:rFonts w:hint="default" w:ascii="Times New Roman" w:hAnsi="Times New Roman" w:cs="Times New Roman"/>
          <w:b/>
          <w:bCs/>
          <w:sz w:val="20"/>
          <w:szCs w:val="20"/>
        </w:rPr>
        <w:t>=</w:t>
      </w:r>
      <w:r>
        <w:rPr>
          <w:rFonts w:hint="default" w:ascii="Times New Roman" w:hAnsi="Times New Roman" w:cs="Times New Roman"/>
          <w:sz w:val="20"/>
          <w:szCs w:val="20"/>
        </w:rPr>
        <w:t xml:space="preserve">3.450, </w:t>
      </w:r>
      <w:r>
        <w:rPr>
          <w:rFonts w:hint="default" w:ascii="Times New Roman" w:hAnsi="Times New Roman" w:cs="Times New Roman"/>
          <w:b/>
          <w:bCs/>
          <w:sz w:val="20"/>
          <w:szCs w:val="20"/>
        </w:rPr>
        <w:t>p=0.486</w:t>
      </w:r>
      <w:r>
        <w:rPr>
          <w:rFonts w:hint="default" w:ascii="Times New Roman" w:hAnsi="Times New Roman" w:cs="Times New Roman"/>
          <w:sz w:val="20"/>
          <w:szCs w:val="20"/>
        </w:rPr>
        <w:t xml:space="preserve">). This </w:t>
      </w:r>
      <w:r>
        <w:rPr>
          <w:rFonts w:hint="default" w:ascii="Times New Roman" w:hAnsi="Times New Roman" w:cs="Times New Roman"/>
          <w:sz w:val="20"/>
          <w:szCs w:val="20"/>
          <w:lang w:val="en-US"/>
        </w:rPr>
        <w:t xml:space="preserve">is an indication </w:t>
      </w:r>
      <w:r>
        <w:rPr>
          <w:rFonts w:hint="default" w:ascii="Times New Roman" w:hAnsi="Times New Roman" w:cs="Times New Roman"/>
          <w:sz w:val="20"/>
          <w:szCs w:val="20"/>
        </w:rPr>
        <w:t xml:space="preserve"> that age rather than profession contributes more to knowledge of health practitioners on the use of nutraceuticals</w:t>
      </w:r>
      <w:r>
        <w:rPr>
          <w:rFonts w:hint="default" w:ascii="Times New Roman" w:hAnsi="Times New Roman" w:cs="Times New Roman"/>
          <w:sz w:val="20"/>
          <w:szCs w:val="20"/>
          <w:lang w:val="en-US"/>
        </w:rPr>
        <w:t xml:space="preserve"> (See table 5).</w:t>
      </w:r>
    </w:p>
    <w:p w14:paraId="5CF00C89">
      <w:pPr>
        <w:spacing w:line="480" w:lineRule="auto"/>
        <w:rPr>
          <w:rFonts w:hint="default" w:ascii="Times New Roman" w:hAnsi="Times New Roman" w:cs="Times New Roman"/>
          <w:b/>
          <w:bCs/>
          <w:sz w:val="20"/>
          <w:szCs w:val="20"/>
        </w:rPr>
      </w:pPr>
      <w:r>
        <w:rPr>
          <w:rFonts w:hint="default" w:ascii="Times New Roman" w:hAnsi="Times New Roman" w:cs="Times New Roman"/>
          <w:b/>
          <w:bCs/>
          <w:sz w:val="20"/>
          <w:szCs w:val="20"/>
        </w:rPr>
        <w:t>Table</w:t>
      </w:r>
      <w:r>
        <w:rPr>
          <w:rFonts w:hint="default" w:ascii="Times New Roman" w:hAnsi="Times New Roman" w:cs="Times New Roman"/>
          <w:b/>
          <w:bCs/>
          <w:sz w:val="20"/>
          <w:szCs w:val="20"/>
          <w:lang w:val="en-US"/>
        </w:rPr>
        <w:t xml:space="preserve"> </w:t>
      </w:r>
      <w:r>
        <w:rPr>
          <w:rFonts w:hint="default" w:ascii="Times New Roman" w:hAnsi="Times New Roman" w:cs="Times New Roman"/>
          <w:b/>
          <w:bCs/>
          <w:sz w:val="20"/>
          <w:szCs w:val="20"/>
        </w:rPr>
        <w:t>5: Association of Knowledge of health Practitioners on the use of Nutraceuticals with Sociodemographic (N=185)</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5"/>
        <w:gridCol w:w="1890"/>
        <w:gridCol w:w="2160"/>
        <w:gridCol w:w="1080"/>
        <w:gridCol w:w="1345"/>
      </w:tblGrid>
      <w:tr w14:paraId="6E0A4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Pr>
          <w:p w14:paraId="152C0F26">
            <w:pPr>
              <w:spacing w:after="0" w:line="480" w:lineRule="auto"/>
              <w:jc w:val="left"/>
              <w:rPr>
                <w:rFonts w:hint="default" w:ascii="Times New Roman" w:hAnsi="Times New Roman" w:cs="Times New Roman"/>
                <w:b/>
                <w:bCs/>
                <w:sz w:val="20"/>
                <w:szCs w:val="20"/>
              </w:rPr>
            </w:pPr>
            <w:r>
              <w:rPr>
                <w:rFonts w:hint="default" w:ascii="Times New Roman" w:hAnsi="Times New Roman" w:cs="Times New Roman"/>
                <w:b/>
                <w:bCs/>
                <w:sz w:val="20"/>
                <w:szCs w:val="20"/>
              </w:rPr>
              <w:t>Variables</w:t>
            </w:r>
          </w:p>
        </w:tc>
        <w:tc>
          <w:tcPr>
            <w:tcW w:w="1890" w:type="dxa"/>
          </w:tcPr>
          <w:p w14:paraId="6AEF018B">
            <w:pPr>
              <w:spacing w:after="0" w:line="480" w:lineRule="auto"/>
              <w:jc w:val="left"/>
              <w:rPr>
                <w:rFonts w:hint="default" w:ascii="Times New Roman" w:hAnsi="Times New Roman" w:cs="Times New Roman"/>
                <w:b/>
                <w:bCs/>
                <w:sz w:val="20"/>
                <w:szCs w:val="20"/>
              </w:rPr>
            </w:pPr>
            <w:r>
              <w:rPr>
                <w:rFonts w:hint="default" w:ascii="Times New Roman" w:hAnsi="Times New Roman" w:cs="Times New Roman"/>
                <w:b/>
                <w:bCs/>
                <w:sz w:val="20"/>
                <w:szCs w:val="20"/>
              </w:rPr>
              <w:t>Poor Knowledge</w:t>
            </w:r>
          </w:p>
        </w:tc>
        <w:tc>
          <w:tcPr>
            <w:tcW w:w="2160" w:type="dxa"/>
          </w:tcPr>
          <w:p w14:paraId="5045F89A">
            <w:pPr>
              <w:spacing w:after="0" w:line="480" w:lineRule="auto"/>
              <w:jc w:val="left"/>
              <w:rPr>
                <w:rFonts w:hint="default" w:ascii="Times New Roman" w:hAnsi="Times New Roman" w:cs="Times New Roman"/>
                <w:b/>
                <w:bCs/>
                <w:sz w:val="20"/>
                <w:szCs w:val="20"/>
              </w:rPr>
            </w:pPr>
            <w:r>
              <w:rPr>
                <w:rFonts w:hint="default" w:ascii="Times New Roman" w:hAnsi="Times New Roman" w:cs="Times New Roman"/>
                <w:b/>
                <w:bCs/>
                <w:sz w:val="20"/>
                <w:szCs w:val="20"/>
              </w:rPr>
              <w:t xml:space="preserve">Good Knowledge       </w:t>
            </w:r>
          </w:p>
        </w:tc>
        <w:tc>
          <w:tcPr>
            <w:tcW w:w="1080" w:type="dxa"/>
          </w:tcPr>
          <w:p w14:paraId="19FE3241">
            <w:pPr>
              <w:spacing w:after="0" w:line="480" w:lineRule="auto"/>
              <w:jc w:val="left"/>
              <w:rPr>
                <w:rFonts w:hint="default" w:ascii="Times New Roman" w:hAnsi="Times New Roman" w:cs="Times New Roman"/>
                <w:b/>
                <w:bCs/>
                <w:sz w:val="20"/>
                <w:szCs w:val="20"/>
              </w:rPr>
            </w:pPr>
            <w:r>
              <w:rPr>
                <w:rFonts w:hint="default" w:ascii="Times New Roman" w:hAnsi="Times New Roman" w:cs="Times New Roman"/>
                <w:b/>
                <w:bCs/>
                <w:sz w:val="20"/>
                <w:szCs w:val="20"/>
              </w:rPr>
              <w:t>χ</w:t>
            </w:r>
            <w:r>
              <w:rPr>
                <w:rFonts w:hint="default" w:ascii="Times New Roman" w:hAnsi="Times New Roman" w:cs="Times New Roman"/>
                <w:b/>
                <w:bCs/>
                <w:sz w:val="20"/>
                <w:szCs w:val="20"/>
                <w:vertAlign w:val="superscript"/>
              </w:rPr>
              <w:t>2</w:t>
            </w:r>
            <w:r>
              <w:rPr>
                <w:rFonts w:hint="default" w:ascii="Times New Roman" w:hAnsi="Times New Roman" w:cs="Times New Roman"/>
                <w:b/>
                <w:bCs/>
                <w:sz w:val="20"/>
                <w:szCs w:val="20"/>
              </w:rPr>
              <w:t>(df)</w:t>
            </w:r>
          </w:p>
        </w:tc>
        <w:tc>
          <w:tcPr>
            <w:tcW w:w="1345" w:type="dxa"/>
          </w:tcPr>
          <w:p w14:paraId="414A3ED0">
            <w:pPr>
              <w:spacing w:after="0" w:line="480" w:lineRule="auto"/>
              <w:jc w:val="left"/>
              <w:rPr>
                <w:rFonts w:hint="default" w:ascii="Times New Roman" w:hAnsi="Times New Roman" w:cs="Times New Roman"/>
                <w:b/>
                <w:bCs/>
                <w:sz w:val="20"/>
                <w:szCs w:val="20"/>
              </w:rPr>
            </w:pPr>
            <w:r>
              <w:rPr>
                <w:rFonts w:hint="default" w:ascii="Times New Roman" w:hAnsi="Times New Roman" w:cs="Times New Roman"/>
                <w:b/>
                <w:bCs/>
                <w:sz w:val="20"/>
                <w:szCs w:val="20"/>
              </w:rPr>
              <w:t>p-value</w:t>
            </w:r>
          </w:p>
        </w:tc>
      </w:tr>
      <w:tr w14:paraId="3CD1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Pr>
          <w:p w14:paraId="092F55AC">
            <w:pPr>
              <w:spacing w:after="0" w:line="480" w:lineRule="auto"/>
              <w:jc w:val="left"/>
              <w:rPr>
                <w:rFonts w:hint="default" w:ascii="Times New Roman" w:hAnsi="Times New Roman" w:cs="Times New Roman"/>
                <w:b/>
                <w:bCs/>
                <w:sz w:val="20"/>
                <w:szCs w:val="20"/>
              </w:rPr>
            </w:pPr>
            <w:r>
              <w:rPr>
                <w:rFonts w:hint="default" w:ascii="Times New Roman" w:hAnsi="Times New Roman" w:cs="Times New Roman"/>
                <w:b/>
                <w:bCs/>
                <w:sz w:val="20"/>
                <w:szCs w:val="20"/>
              </w:rPr>
              <w:t>Gender</w:t>
            </w:r>
          </w:p>
        </w:tc>
        <w:tc>
          <w:tcPr>
            <w:tcW w:w="1890" w:type="dxa"/>
          </w:tcPr>
          <w:p w14:paraId="32B40321">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n (%)</w:t>
            </w:r>
          </w:p>
        </w:tc>
        <w:tc>
          <w:tcPr>
            <w:tcW w:w="2160" w:type="dxa"/>
          </w:tcPr>
          <w:p w14:paraId="24BD7B75">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n (%)</w:t>
            </w:r>
          </w:p>
        </w:tc>
        <w:tc>
          <w:tcPr>
            <w:tcW w:w="1080" w:type="dxa"/>
          </w:tcPr>
          <w:p w14:paraId="441E748C">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0.055(1)</w:t>
            </w:r>
          </w:p>
        </w:tc>
        <w:tc>
          <w:tcPr>
            <w:tcW w:w="1345" w:type="dxa"/>
          </w:tcPr>
          <w:p w14:paraId="04679D27">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0.814</w:t>
            </w:r>
          </w:p>
        </w:tc>
      </w:tr>
      <w:tr w14:paraId="44A20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Pr>
          <w:p w14:paraId="6C3EB269">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 xml:space="preserve">  Male</w:t>
            </w:r>
          </w:p>
        </w:tc>
        <w:tc>
          <w:tcPr>
            <w:tcW w:w="1890" w:type="dxa"/>
          </w:tcPr>
          <w:p w14:paraId="71839553">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36(43.9)</w:t>
            </w:r>
          </w:p>
        </w:tc>
        <w:tc>
          <w:tcPr>
            <w:tcW w:w="2160" w:type="dxa"/>
          </w:tcPr>
          <w:p w14:paraId="5BB2A9E9">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46(56.1)</w:t>
            </w:r>
          </w:p>
        </w:tc>
        <w:tc>
          <w:tcPr>
            <w:tcW w:w="1080" w:type="dxa"/>
          </w:tcPr>
          <w:p w14:paraId="37222630">
            <w:pPr>
              <w:spacing w:after="0" w:line="480" w:lineRule="auto"/>
              <w:jc w:val="left"/>
              <w:rPr>
                <w:rFonts w:hint="default" w:ascii="Times New Roman" w:hAnsi="Times New Roman" w:cs="Times New Roman"/>
                <w:b/>
                <w:bCs/>
                <w:sz w:val="20"/>
                <w:szCs w:val="20"/>
              </w:rPr>
            </w:pPr>
          </w:p>
        </w:tc>
        <w:tc>
          <w:tcPr>
            <w:tcW w:w="1345" w:type="dxa"/>
          </w:tcPr>
          <w:p w14:paraId="448430B4">
            <w:pPr>
              <w:spacing w:after="0" w:line="480" w:lineRule="auto"/>
              <w:jc w:val="left"/>
              <w:rPr>
                <w:rFonts w:hint="default" w:ascii="Times New Roman" w:hAnsi="Times New Roman" w:cs="Times New Roman"/>
                <w:b/>
                <w:bCs/>
                <w:sz w:val="20"/>
                <w:szCs w:val="20"/>
              </w:rPr>
            </w:pPr>
          </w:p>
        </w:tc>
      </w:tr>
      <w:tr w14:paraId="19E9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Pr>
          <w:p w14:paraId="365047EA">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 xml:space="preserve">  Female</w:t>
            </w:r>
          </w:p>
        </w:tc>
        <w:tc>
          <w:tcPr>
            <w:tcW w:w="1890" w:type="dxa"/>
          </w:tcPr>
          <w:p w14:paraId="092A04DB">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47(45.6)</w:t>
            </w:r>
          </w:p>
        </w:tc>
        <w:tc>
          <w:tcPr>
            <w:tcW w:w="2160" w:type="dxa"/>
          </w:tcPr>
          <w:p w14:paraId="3BCE1198">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56(54.4)</w:t>
            </w:r>
          </w:p>
        </w:tc>
        <w:tc>
          <w:tcPr>
            <w:tcW w:w="1080" w:type="dxa"/>
          </w:tcPr>
          <w:p w14:paraId="0782E474">
            <w:pPr>
              <w:spacing w:after="0" w:line="480" w:lineRule="auto"/>
              <w:jc w:val="left"/>
              <w:rPr>
                <w:rFonts w:hint="default" w:ascii="Times New Roman" w:hAnsi="Times New Roman" w:cs="Times New Roman"/>
                <w:b/>
                <w:bCs/>
                <w:sz w:val="20"/>
                <w:szCs w:val="20"/>
              </w:rPr>
            </w:pPr>
          </w:p>
        </w:tc>
        <w:tc>
          <w:tcPr>
            <w:tcW w:w="1345" w:type="dxa"/>
          </w:tcPr>
          <w:p w14:paraId="5FF300AA">
            <w:pPr>
              <w:spacing w:after="0" w:line="480" w:lineRule="auto"/>
              <w:jc w:val="left"/>
              <w:rPr>
                <w:rFonts w:hint="default" w:ascii="Times New Roman" w:hAnsi="Times New Roman" w:cs="Times New Roman"/>
                <w:b/>
                <w:bCs/>
                <w:sz w:val="20"/>
                <w:szCs w:val="20"/>
              </w:rPr>
            </w:pPr>
          </w:p>
        </w:tc>
      </w:tr>
      <w:tr w14:paraId="1D33D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Pr>
          <w:p w14:paraId="31802E75">
            <w:pPr>
              <w:spacing w:after="0" w:line="480" w:lineRule="auto"/>
              <w:jc w:val="left"/>
              <w:rPr>
                <w:rFonts w:hint="default" w:ascii="Times New Roman" w:hAnsi="Times New Roman" w:cs="Times New Roman"/>
                <w:b/>
                <w:bCs/>
                <w:sz w:val="20"/>
                <w:szCs w:val="20"/>
              </w:rPr>
            </w:pPr>
            <w:r>
              <w:rPr>
                <w:rFonts w:hint="default" w:ascii="Times New Roman" w:hAnsi="Times New Roman" w:cs="Times New Roman"/>
                <w:b/>
                <w:bCs/>
                <w:sz w:val="20"/>
                <w:szCs w:val="20"/>
              </w:rPr>
              <w:t>Age (in years)</w:t>
            </w:r>
          </w:p>
        </w:tc>
        <w:tc>
          <w:tcPr>
            <w:tcW w:w="1890" w:type="dxa"/>
          </w:tcPr>
          <w:p w14:paraId="2656BD30">
            <w:pPr>
              <w:spacing w:after="0" w:line="480" w:lineRule="auto"/>
              <w:jc w:val="left"/>
              <w:rPr>
                <w:rFonts w:hint="default" w:ascii="Times New Roman" w:hAnsi="Times New Roman" w:cs="Times New Roman"/>
                <w:b/>
                <w:bCs/>
                <w:sz w:val="20"/>
                <w:szCs w:val="20"/>
              </w:rPr>
            </w:pPr>
          </w:p>
        </w:tc>
        <w:tc>
          <w:tcPr>
            <w:tcW w:w="2160" w:type="dxa"/>
          </w:tcPr>
          <w:p w14:paraId="2212CF00">
            <w:pPr>
              <w:spacing w:after="0" w:line="480" w:lineRule="auto"/>
              <w:jc w:val="left"/>
              <w:rPr>
                <w:rFonts w:hint="default" w:ascii="Times New Roman" w:hAnsi="Times New Roman" w:cs="Times New Roman"/>
                <w:b/>
                <w:bCs/>
                <w:sz w:val="20"/>
                <w:szCs w:val="20"/>
              </w:rPr>
            </w:pPr>
          </w:p>
        </w:tc>
        <w:tc>
          <w:tcPr>
            <w:tcW w:w="1080" w:type="dxa"/>
          </w:tcPr>
          <w:p w14:paraId="1C5230E4">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7.501(2)</w:t>
            </w:r>
          </w:p>
        </w:tc>
        <w:tc>
          <w:tcPr>
            <w:tcW w:w="1345" w:type="dxa"/>
          </w:tcPr>
          <w:p w14:paraId="3034CACD">
            <w:pPr>
              <w:spacing w:after="0" w:line="480" w:lineRule="auto"/>
              <w:jc w:val="left"/>
              <w:rPr>
                <w:rFonts w:hint="default" w:ascii="Times New Roman" w:hAnsi="Times New Roman" w:cs="Times New Roman"/>
                <w:b/>
                <w:bCs/>
                <w:sz w:val="20"/>
                <w:szCs w:val="20"/>
              </w:rPr>
            </w:pPr>
            <w:r>
              <w:rPr>
                <w:rFonts w:hint="default" w:ascii="Times New Roman" w:hAnsi="Times New Roman" w:cs="Times New Roman"/>
                <w:b/>
                <w:bCs/>
                <w:sz w:val="20"/>
                <w:szCs w:val="20"/>
              </w:rPr>
              <w:t>0.024</w:t>
            </w:r>
          </w:p>
        </w:tc>
      </w:tr>
      <w:tr w14:paraId="3D31F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Pr>
          <w:p w14:paraId="1E0923E8">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 xml:space="preserve">  21-35</w:t>
            </w:r>
          </w:p>
        </w:tc>
        <w:tc>
          <w:tcPr>
            <w:tcW w:w="1890" w:type="dxa"/>
          </w:tcPr>
          <w:p w14:paraId="46886E4F">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58(45.7)</w:t>
            </w:r>
          </w:p>
        </w:tc>
        <w:tc>
          <w:tcPr>
            <w:tcW w:w="2160" w:type="dxa"/>
          </w:tcPr>
          <w:p w14:paraId="79507DD4">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69(54.3)</w:t>
            </w:r>
          </w:p>
        </w:tc>
        <w:tc>
          <w:tcPr>
            <w:tcW w:w="1080" w:type="dxa"/>
          </w:tcPr>
          <w:p w14:paraId="14E17589">
            <w:pPr>
              <w:spacing w:after="0" w:line="480" w:lineRule="auto"/>
              <w:jc w:val="left"/>
              <w:rPr>
                <w:rFonts w:hint="default" w:ascii="Times New Roman" w:hAnsi="Times New Roman" w:cs="Times New Roman"/>
                <w:b/>
                <w:bCs/>
                <w:sz w:val="20"/>
                <w:szCs w:val="20"/>
              </w:rPr>
            </w:pPr>
          </w:p>
        </w:tc>
        <w:tc>
          <w:tcPr>
            <w:tcW w:w="1345" w:type="dxa"/>
          </w:tcPr>
          <w:p w14:paraId="5CDF88E4">
            <w:pPr>
              <w:spacing w:after="0" w:line="480" w:lineRule="auto"/>
              <w:jc w:val="left"/>
              <w:rPr>
                <w:rFonts w:hint="default" w:ascii="Times New Roman" w:hAnsi="Times New Roman" w:cs="Times New Roman"/>
                <w:b/>
                <w:bCs/>
                <w:sz w:val="20"/>
                <w:szCs w:val="20"/>
              </w:rPr>
            </w:pPr>
          </w:p>
        </w:tc>
      </w:tr>
      <w:tr w14:paraId="65D86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Pr>
          <w:p w14:paraId="3922AFAD">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 xml:space="preserve">  36-50</w:t>
            </w:r>
          </w:p>
        </w:tc>
        <w:tc>
          <w:tcPr>
            <w:tcW w:w="1890" w:type="dxa"/>
          </w:tcPr>
          <w:p w14:paraId="245BCE5D">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18(36.0)</w:t>
            </w:r>
          </w:p>
        </w:tc>
        <w:tc>
          <w:tcPr>
            <w:tcW w:w="2160" w:type="dxa"/>
          </w:tcPr>
          <w:p w14:paraId="7109D0D0">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32(64.0)</w:t>
            </w:r>
          </w:p>
        </w:tc>
        <w:tc>
          <w:tcPr>
            <w:tcW w:w="1080" w:type="dxa"/>
          </w:tcPr>
          <w:p w14:paraId="5A28A476">
            <w:pPr>
              <w:spacing w:after="0" w:line="480" w:lineRule="auto"/>
              <w:jc w:val="left"/>
              <w:rPr>
                <w:rFonts w:hint="default" w:ascii="Times New Roman" w:hAnsi="Times New Roman" w:cs="Times New Roman"/>
                <w:b/>
                <w:bCs/>
                <w:sz w:val="20"/>
                <w:szCs w:val="20"/>
              </w:rPr>
            </w:pPr>
          </w:p>
        </w:tc>
        <w:tc>
          <w:tcPr>
            <w:tcW w:w="1345" w:type="dxa"/>
          </w:tcPr>
          <w:p w14:paraId="5AFA20DC">
            <w:pPr>
              <w:spacing w:after="0" w:line="480" w:lineRule="auto"/>
              <w:jc w:val="left"/>
              <w:rPr>
                <w:rFonts w:hint="default" w:ascii="Times New Roman" w:hAnsi="Times New Roman" w:cs="Times New Roman"/>
                <w:b/>
                <w:bCs/>
                <w:sz w:val="20"/>
                <w:szCs w:val="20"/>
              </w:rPr>
            </w:pPr>
          </w:p>
        </w:tc>
      </w:tr>
      <w:tr w14:paraId="5C3C7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Pr>
          <w:p w14:paraId="5FA83344">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&gt;50</w:t>
            </w:r>
          </w:p>
        </w:tc>
        <w:tc>
          <w:tcPr>
            <w:tcW w:w="1890" w:type="dxa"/>
          </w:tcPr>
          <w:p w14:paraId="68025DCD">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7(87.5)</w:t>
            </w:r>
          </w:p>
        </w:tc>
        <w:tc>
          <w:tcPr>
            <w:tcW w:w="2160" w:type="dxa"/>
          </w:tcPr>
          <w:p w14:paraId="7FE33210">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1(12.5)</w:t>
            </w:r>
          </w:p>
        </w:tc>
        <w:tc>
          <w:tcPr>
            <w:tcW w:w="1080" w:type="dxa"/>
          </w:tcPr>
          <w:p w14:paraId="3B08D2F1">
            <w:pPr>
              <w:spacing w:after="0" w:line="480" w:lineRule="auto"/>
              <w:jc w:val="left"/>
              <w:rPr>
                <w:rFonts w:hint="default" w:ascii="Times New Roman" w:hAnsi="Times New Roman" w:cs="Times New Roman"/>
                <w:b/>
                <w:bCs/>
                <w:sz w:val="20"/>
                <w:szCs w:val="20"/>
              </w:rPr>
            </w:pPr>
          </w:p>
        </w:tc>
        <w:tc>
          <w:tcPr>
            <w:tcW w:w="1345" w:type="dxa"/>
          </w:tcPr>
          <w:p w14:paraId="1AEC97B3">
            <w:pPr>
              <w:spacing w:after="0" w:line="480" w:lineRule="auto"/>
              <w:jc w:val="left"/>
              <w:rPr>
                <w:rFonts w:hint="default" w:ascii="Times New Roman" w:hAnsi="Times New Roman" w:cs="Times New Roman"/>
                <w:b/>
                <w:bCs/>
                <w:sz w:val="20"/>
                <w:szCs w:val="20"/>
              </w:rPr>
            </w:pPr>
          </w:p>
        </w:tc>
      </w:tr>
      <w:tr w14:paraId="6F40C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Pr>
          <w:p w14:paraId="74FB3E4D">
            <w:pPr>
              <w:spacing w:after="0" w:line="480" w:lineRule="auto"/>
              <w:jc w:val="left"/>
              <w:rPr>
                <w:rFonts w:hint="default" w:ascii="Times New Roman" w:hAnsi="Times New Roman" w:cs="Times New Roman"/>
                <w:b/>
                <w:bCs/>
                <w:sz w:val="20"/>
                <w:szCs w:val="20"/>
              </w:rPr>
            </w:pPr>
            <w:r>
              <w:rPr>
                <w:rFonts w:hint="default" w:ascii="Times New Roman" w:hAnsi="Times New Roman" w:cs="Times New Roman"/>
                <w:b/>
                <w:bCs/>
                <w:sz w:val="20"/>
                <w:szCs w:val="20"/>
              </w:rPr>
              <w:t>Profession</w:t>
            </w:r>
          </w:p>
        </w:tc>
        <w:tc>
          <w:tcPr>
            <w:tcW w:w="1890" w:type="dxa"/>
          </w:tcPr>
          <w:p w14:paraId="6E209B22">
            <w:pPr>
              <w:spacing w:after="0" w:line="480" w:lineRule="auto"/>
              <w:jc w:val="left"/>
              <w:rPr>
                <w:rFonts w:hint="default" w:ascii="Times New Roman" w:hAnsi="Times New Roman" w:cs="Times New Roman"/>
                <w:b/>
                <w:bCs/>
                <w:sz w:val="20"/>
                <w:szCs w:val="20"/>
              </w:rPr>
            </w:pPr>
          </w:p>
        </w:tc>
        <w:tc>
          <w:tcPr>
            <w:tcW w:w="2160" w:type="dxa"/>
          </w:tcPr>
          <w:p w14:paraId="0862314A">
            <w:pPr>
              <w:spacing w:after="0" w:line="480" w:lineRule="auto"/>
              <w:jc w:val="left"/>
              <w:rPr>
                <w:rFonts w:hint="default" w:ascii="Times New Roman" w:hAnsi="Times New Roman" w:cs="Times New Roman"/>
                <w:b/>
                <w:bCs/>
                <w:sz w:val="20"/>
                <w:szCs w:val="20"/>
              </w:rPr>
            </w:pPr>
          </w:p>
        </w:tc>
        <w:tc>
          <w:tcPr>
            <w:tcW w:w="1080" w:type="dxa"/>
          </w:tcPr>
          <w:p w14:paraId="58EBDED6">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3.450(4)</w:t>
            </w:r>
          </w:p>
        </w:tc>
        <w:tc>
          <w:tcPr>
            <w:tcW w:w="1345" w:type="dxa"/>
          </w:tcPr>
          <w:p w14:paraId="09A5E1CA">
            <w:pPr>
              <w:spacing w:after="0" w:line="480" w:lineRule="auto"/>
              <w:jc w:val="left"/>
              <w:rPr>
                <w:rFonts w:hint="default" w:ascii="Times New Roman" w:hAnsi="Times New Roman" w:cs="Times New Roman"/>
                <w:sz w:val="20"/>
                <w:szCs w:val="20"/>
              </w:rPr>
            </w:pPr>
            <w:r>
              <w:rPr>
                <w:rFonts w:hint="default" w:ascii="Times New Roman" w:hAnsi="Times New Roman" w:cs="Times New Roman"/>
                <w:b/>
                <w:bCs/>
                <w:sz w:val="20"/>
                <w:szCs w:val="20"/>
              </w:rPr>
              <w:t>0.486</w:t>
            </w:r>
          </w:p>
        </w:tc>
      </w:tr>
      <w:tr w14:paraId="0B5C6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Pr>
          <w:p w14:paraId="1E8F3C04">
            <w:pPr>
              <w:spacing w:after="0" w:line="480" w:lineRule="auto"/>
              <w:jc w:val="left"/>
              <w:rPr>
                <w:rFonts w:hint="default" w:ascii="Times New Roman" w:hAnsi="Times New Roman" w:cs="Times New Roman"/>
                <w:b/>
                <w:bCs/>
                <w:sz w:val="20"/>
                <w:szCs w:val="20"/>
              </w:rPr>
            </w:pPr>
            <w:r>
              <w:rPr>
                <w:rFonts w:hint="default" w:ascii="Times New Roman" w:hAnsi="Times New Roman" w:cs="Times New Roman"/>
                <w:sz w:val="20"/>
                <w:szCs w:val="20"/>
              </w:rPr>
              <w:t xml:space="preserve">  Medical officer</w:t>
            </w:r>
          </w:p>
        </w:tc>
        <w:tc>
          <w:tcPr>
            <w:tcW w:w="1890" w:type="dxa"/>
          </w:tcPr>
          <w:p w14:paraId="3BFD53E7">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1(50)_</w:t>
            </w:r>
          </w:p>
        </w:tc>
        <w:tc>
          <w:tcPr>
            <w:tcW w:w="2160" w:type="dxa"/>
          </w:tcPr>
          <w:p w14:paraId="507A818D">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1(50)</w:t>
            </w:r>
          </w:p>
        </w:tc>
        <w:tc>
          <w:tcPr>
            <w:tcW w:w="1080" w:type="dxa"/>
          </w:tcPr>
          <w:p w14:paraId="5A573A3A">
            <w:pPr>
              <w:spacing w:after="0" w:line="480" w:lineRule="auto"/>
              <w:jc w:val="left"/>
              <w:rPr>
                <w:rFonts w:hint="default" w:ascii="Times New Roman" w:hAnsi="Times New Roman" w:cs="Times New Roman"/>
                <w:b/>
                <w:bCs/>
                <w:sz w:val="20"/>
                <w:szCs w:val="20"/>
              </w:rPr>
            </w:pPr>
          </w:p>
        </w:tc>
        <w:tc>
          <w:tcPr>
            <w:tcW w:w="1345" w:type="dxa"/>
          </w:tcPr>
          <w:p w14:paraId="318A28B6">
            <w:pPr>
              <w:spacing w:after="0" w:line="480" w:lineRule="auto"/>
              <w:jc w:val="left"/>
              <w:rPr>
                <w:rFonts w:hint="default" w:ascii="Times New Roman" w:hAnsi="Times New Roman" w:cs="Times New Roman"/>
                <w:b/>
                <w:bCs/>
                <w:sz w:val="20"/>
                <w:szCs w:val="20"/>
              </w:rPr>
            </w:pPr>
          </w:p>
        </w:tc>
      </w:tr>
      <w:tr w14:paraId="7D8CF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Pr>
          <w:p w14:paraId="57DB6105">
            <w:pPr>
              <w:spacing w:after="0" w:line="480" w:lineRule="auto"/>
              <w:jc w:val="left"/>
              <w:rPr>
                <w:rFonts w:hint="default" w:ascii="Times New Roman" w:hAnsi="Times New Roman" w:cs="Times New Roman"/>
                <w:b/>
                <w:bCs/>
                <w:sz w:val="20"/>
                <w:szCs w:val="20"/>
              </w:rPr>
            </w:pPr>
            <w:r>
              <w:rPr>
                <w:rFonts w:hint="default" w:ascii="Times New Roman" w:hAnsi="Times New Roman" w:cs="Times New Roman"/>
                <w:sz w:val="20"/>
                <w:szCs w:val="20"/>
              </w:rPr>
              <w:t xml:space="preserve">  Registrar</w:t>
            </w:r>
          </w:p>
        </w:tc>
        <w:tc>
          <w:tcPr>
            <w:tcW w:w="1890" w:type="dxa"/>
          </w:tcPr>
          <w:p w14:paraId="1C7B4423">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8(30.8)</w:t>
            </w:r>
          </w:p>
        </w:tc>
        <w:tc>
          <w:tcPr>
            <w:tcW w:w="2160" w:type="dxa"/>
          </w:tcPr>
          <w:p w14:paraId="1E07B368">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18(69.2)</w:t>
            </w:r>
          </w:p>
        </w:tc>
        <w:tc>
          <w:tcPr>
            <w:tcW w:w="1080" w:type="dxa"/>
          </w:tcPr>
          <w:p w14:paraId="4D2DECB2">
            <w:pPr>
              <w:spacing w:after="0" w:line="480" w:lineRule="auto"/>
              <w:jc w:val="left"/>
              <w:rPr>
                <w:rFonts w:hint="default" w:ascii="Times New Roman" w:hAnsi="Times New Roman" w:cs="Times New Roman"/>
                <w:b/>
                <w:bCs/>
                <w:sz w:val="20"/>
                <w:szCs w:val="20"/>
              </w:rPr>
            </w:pPr>
          </w:p>
        </w:tc>
        <w:tc>
          <w:tcPr>
            <w:tcW w:w="1345" w:type="dxa"/>
          </w:tcPr>
          <w:p w14:paraId="5CFEB5A9">
            <w:pPr>
              <w:spacing w:after="0" w:line="480" w:lineRule="auto"/>
              <w:jc w:val="left"/>
              <w:rPr>
                <w:rFonts w:hint="default" w:ascii="Times New Roman" w:hAnsi="Times New Roman" w:cs="Times New Roman"/>
                <w:b/>
                <w:bCs/>
                <w:sz w:val="20"/>
                <w:szCs w:val="20"/>
              </w:rPr>
            </w:pPr>
          </w:p>
        </w:tc>
      </w:tr>
      <w:tr w14:paraId="5888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Pr>
          <w:p w14:paraId="44844012">
            <w:pPr>
              <w:spacing w:after="0" w:line="480" w:lineRule="auto"/>
              <w:jc w:val="left"/>
              <w:rPr>
                <w:rFonts w:hint="default" w:ascii="Times New Roman" w:hAnsi="Times New Roman" w:cs="Times New Roman"/>
                <w:b/>
                <w:bCs/>
                <w:sz w:val="20"/>
                <w:szCs w:val="20"/>
              </w:rPr>
            </w:pPr>
            <w:r>
              <w:rPr>
                <w:rFonts w:hint="default" w:ascii="Times New Roman" w:hAnsi="Times New Roman" w:cs="Times New Roman"/>
                <w:sz w:val="20"/>
                <w:szCs w:val="20"/>
              </w:rPr>
              <w:t xml:space="preserve">  Nurse</w:t>
            </w:r>
          </w:p>
        </w:tc>
        <w:tc>
          <w:tcPr>
            <w:tcW w:w="1890" w:type="dxa"/>
          </w:tcPr>
          <w:p w14:paraId="24FF964D">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50(50.0)</w:t>
            </w:r>
          </w:p>
        </w:tc>
        <w:tc>
          <w:tcPr>
            <w:tcW w:w="2160" w:type="dxa"/>
          </w:tcPr>
          <w:p w14:paraId="1559822B">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50(50.0)</w:t>
            </w:r>
          </w:p>
        </w:tc>
        <w:tc>
          <w:tcPr>
            <w:tcW w:w="1080" w:type="dxa"/>
          </w:tcPr>
          <w:p w14:paraId="0C58F726">
            <w:pPr>
              <w:spacing w:after="0" w:line="480" w:lineRule="auto"/>
              <w:jc w:val="left"/>
              <w:rPr>
                <w:rFonts w:hint="default" w:ascii="Times New Roman" w:hAnsi="Times New Roman" w:cs="Times New Roman"/>
                <w:b/>
                <w:bCs/>
                <w:sz w:val="20"/>
                <w:szCs w:val="20"/>
              </w:rPr>
            </w:pPr>
          </w:p>
        </w:tc>
        <w:tc>
          <w:tcPr>
            <w:tcW w:w="1345" w:type="dxa"/>
          </w:tcPr>
          <w:p w14:paraId="60CFA124">
            <w:pPr>
              <w:spacing w:after="0" w:line="480" w:lineRule="auto"/>
              <w:jc w:val="left"/>
              <w:rPr>
                <w:rFonts w:hint="default" w:ascii="Times New Roman" w:hAnsi="Times New Roman" w:cs="Times New Roman"/>
                <w:b/>
                <w:bCs/>
                <w:sz w:val="20"/>
                <w:szCs w:val="20"/>
              </w:rPr>
            </w:pPr>
          </w:p>
        </w:tc>
      </w:tr>
      <w:tr w14:paraId="35CD9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Pr>
          <w:p w14:paraId="07002B2A">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 xml:space="preserve">  Pharmacist</w:t>
            </w:r>
          </w:p>
        </w:tc>
        <w:tc>
          <w:tcPr>
            <w:tcW w:w="1890" w:type="dxa"/>
          </w:tcPr>
          <w:p w14:paraId="35FE04D4">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23(42.6)</w:t>
            </w:r>
          </w:p>
        </w:tc>
        <w:tc>
          <w:tcPr>
            <w:tcW w:w="2160" w:type="dxa"/>
          </w:tcPr>
          <w:p w14:paraId="3C8CD62F">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31(57.4)</w:t>
            </w:r>
          </w:p>
        </w:tc>
        <w:tc>
          <w:tcPr>
            <w:tcW w:w="1080" w:type="dxa"/>
          </w:tcPr>
          <w:p w14:paraId="1845DAFA">
            <w:pPr>
              <w:spacing w:after="0" w:line="480" w:lineRule="auto"/>
              <w:jc w:val="left"/>
              <w:rPr>
                <w:rFonts w:hint="default" w:ascii="Times New Roman" w:hAnsi="Times New Roman" w:cs="Times New Roman"/>
                <w:b/>
                <w:bCs/>
                <w:sz w:val="20"/>
                <w:szCs w:val="20"/>
              </w:rPr>
            </w:pPr>
          </w:p>
        </w:tc>
        <w:tc>
          <w:tcPr>
            <w:tcW w:w="1345" w:type="dxa"/>
          </w:tcPr>
          <w:p w14:paraId="134C5D7A">
            <w:pPr>
              <w:spacing w:after="0" w:line="480" w:lineRule="auto"/>
              <w:jc w:val="left"/>
              <w:rPr>
                <w:rFonts w:hint="default" w:ascii="Times New Roman" w:hAnsi="Times New Roman" w:cs="Times New Roman"/>
                <w:b/>
                <w:bCs/>
                <w:sz w:val="20"/>
                <w:szCs w:val="20"/>
              </w:rPr>
            </w:pPr>
          </w:p>
        </w:tc>
      </w:tr>
      <w:tr w14:paraId="44A0D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Pr>
          <w:p w14:paraId="36489069">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 xml:space="preserve">  Consultant</w:t>
            </w:r>
          </w:p>
        </w:tc>
        <w:tc>
          <w:tcPr>
            <w:tcW w:w="1890" w:type="dxa"/>
          </w:tcPr>
          <w:p w14:paraId="1035F098">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1(33.3)</w:t>
            </w:r>
          </w:p>
        </w:tc>
        <w:tc>
          <w:tcPr>
            <w:tcW w:w="2160" w:type="dxa"/>
          </w:tcPr>
          <w:p w14:paraId="384C267A">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2(66.7)</w:t>
            </w:r>
          </w:p>
        </w:tc>
        <w:tc>
          <w:tcPr>
            <w:tcW w:w="1080" w:type="dxa"/>
          </w:tcPr>
          <w:p w14:paraId="1942881E">
            <w:pPr>
              <w:spacing w:after="0" w:line="480" w:lineRule="auto"/>
              <w:jc w:val="left"/>
              <w:rPr>
                <w:rFonts w:hint="default" w:ascii="Times New Roman" w:hAnsi="Times New Roman" w:cs="Times New Roman"/>
                <w:b/>
                <w:bCs/>
                <w:sz w:val="20"/>
                <w:szCs w:val="20"/>
              </w:rPr>
            </w:pPr>
          </w:p>
        </w:tc>
        <w:tc>
          <w:tcPr>
            <w:tcW w:w="1345" w:type="dxa"/>
          </w:tcPr>
          <w:p w14:paraId="198C1B81">
            <w:pPr>
              <w:spacing w:after="0" w:line="480" w:lineRule="auto"/>
              <w:jc w:val="left"/>
              <w:rPr>
                <w:rFonts w:hint="default" w:ascii="Times New Roman" w:hAnsi="Times New Roman" w:cs="Times New Roman"/>
                <w:b/>
                <w:bCs/>
                <w:sz w:val="20"/>
                <w:szCs w:val="20"/>
              </w:rPr>
            </w:pPr>
          </w:p>
        </w:tc>
      </w:tr>
      <w:tr w14:paraId="5DD6C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Pr>
          <w:p w14:paraId="290E7D64">
            <w:pPr>
              <w:spacing w:after="0" w:line="480" w:lineRule="auto"/>
              <w:jc w:val="left"/>
              <w:rPr>
                <w:rFonts w:hint="default" w:ascii="Times New Roman" w:hAnsi="Times New Roman" w:cs="Times New Roman"/>
                <w:sz w:val="20"/>
                <w:szCs w:val="20"/>
              </w:rPr>
            </w:pPr>
            <w:r>
              <w:rPr>
                <w:rFonts w:hint="default" w:ascii="Times New Roman" w:hAnsi="Times New Roman" w:cs="Times New Roman"/>
                <w:b/>
                <w:bCs/>
                <w:sz w:val="20"/>
                <w:szCs w:val="20"/>
              </w:rPr>
              <w:t>Years of experience</w:t>
            </w:r>
          </w:p>
        </w:tc>
        <w:tc>
          <w:tcPr>
            <w:tcW w:w="1890" w:type="dxa"/>
          </w:tcPr>
          <w:p w14:paraId="5268A276">
            <w:pPr>
              <w:spacing w:after="0" w:line="480" w:lineRule="auto"/>
              <w:jc w:val="left"/>
              <w:rPr>
                <w:rFonts w:hint="default" w:ascii="Times New Roman" w:hAnsi="Times New Roman" w:cs="Times New Roman"/>
                <w:b/>
                <w:bCs/>
                <w:sz w:val="20"/>
                <w:szCs w:val="20"/>
              </w:rPr>
            </w:pPr>
          </w:p>
        </w:tc>
        <w:tc>
          <w:tcPr>
            <w:tcW w:w="2160" w:type="dxa"/>
          </w:tcPr>
          <w:p w14:paraId="0318C60F">
            <w:pPr>
              <w:spacing w:after="0" w:line="480" w:lineRule="auto"/>
              <w:jc w:val="left"/>
              <w:rPr>
                <w:rFonts w:hint="default" w:ascii="Times New Roman" w:hAnsi="Times New Roman" w:cs="Times New Roman"/>
                <w:b/>
                <w:bCs/>
                <w:sz w:val="20"/>
                <w:szCs w:val="20"/>
              </w:rPr>
            </w:pPr>
          </w:p>
        </w:tc>
        <w:tc>
          <w:tcPr>
            <w:tcW w:w="1080" w:type="dxa"/>
          </w:tcPr>
          <w:p w14:paraId="231EE757">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0.494(2)</w:t>
            </w:r>
          </w:p>
        </w:tc>
        <w:tc>
          <w:tcPr>
            <w:tcW w:w="1345" w:type="dxa"/>
          </w:tcPr>
          <w:p w14:paraId="1E76E73A">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0.781</w:t>
            </w:r>
          </w:p>
        </w:tc>
      </w:tr>
      <w:tr w14:paraId="082B5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Pr>
          <w:p w14:paraId="36AD41D5">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 xml:space="preserve">  &lt;1</w:t>
            </w:r>
          </w:p>
        </w:tc>
        <w:tc>
          <w:tcPr>
            <w:tcW w:w="1890" w:type="dxa"/>
          </w:tcPr>
          <w:p w14:paraId="1FA3FD39">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3(60.0)</w:t>
            </w:r>
          </w:p>
        </w:tc>
        <w:tc>
          <w:tcPr>
            <w:tcW w:w="2160" w:type="dxa"/>
          </w:tcPr>
          <w:p w14:paraId="6843D579">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2(40.0)</w:t>
            </w:r>
          </w:p>
        </w:tc>
        <w:tc>
          <w:tcPr>
            <w:tcW w:w="1080" w:type="dxa"/>
          </w:tcPr>
          <w:p w14:paraId="7C827A7A">
            <w:pPr>
              <w:spacing w:after="0" w:line="480" w:lineRule="auto"/>
              <w:jc w:val="left"/>
              <w:rPr>
                <w:rFonts w:hint="default" w:ascii="Times New Roman" w:hAnsi="Times New Roman" w:cs="Times New Roman"/>
                <w:b/>
                <w:bCs/>
                <w:sz w:val="20"/>
                <w:szCs w:val="20"/>
              </w:rPr>
            </w:pPr>
          </w:p>
        </w:tc>
        <w:tc>
          <w:tcPr>
            <w:tcW w:w="1345" w:type="dxa"/>
          </w:tcPr>
          <w:p w14:paraId="3B89924D">
            <w:pPr>
              <w:spacing w:after="0" w:line="480" w:lineRule="auto"/>
              <w:jc w:val="left"/>
              <w:rPr>
                <w:rFonts w:hint="default" w:ascii="Times New Roman" w:hAnsi="Times New Roman" w:cs="Times New Roman"/>
                <w:b/>
                <w:bCs/>
                <w:sz w:val="20"/>
                <w:szCs w:val="20"/>
              </w:rPr>
            </w:pPr>
          </w:p>
        </w:tc>
      </w:tr>
      <w:tr w14:paraId="7EAE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Pr>
          <w:p w14:paraId="16202F51">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 xml:space="preserve">  1-5 </w:t>
            </w:r>
          </w:p>
        </w:tc>
        <w:tc>
          <w:tcPr>
            <w:tcW w:w="1890" w:type="dxa"/>
          </w:tcPr>
          <w:p w14:paraId="3EFEBDB4">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48(44.0)</w:t>
            </w:r>
          </w:p>
        </w:tc>
        <w:tc>
          <w:tcPr>
            <w:tcW w:w="2160" w:type="dxa"/>
          </w:tcPr>
          <w:p w14:paraId="1A6FF665">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61(56.0)</w:t>
            </w:r>
          </w:p>
        </w:tc>
        <w:tc>
          <w:tcPr>
            <w:tcW w:w="1080" w:type="dxa"/>
          </w:tcPr>
          <w:p w14:paraId="1C5DFF43">
            <w:pPr>
              <w:spacing w:after="0" w:line="480" w:lineRule="auto"/>
              <w:jc w:val="left"/>
              <w:rPr>
                <w:rFonts w:hint="default" w:ascii="Times New Roman" w:hAnsi="Times New Roman" w:cs="Times New Roman"/>
                <w:b/>
                <w:bCs/>
                <w:sz w:val="20"/>
                <w:szCs w:val="20"/>
              </w:rPr>
            </w:pPr>
          </w:p>
        </w:tc>
        <w:tc>
          <w:tcPr>
            <w:tcW w:w="1345" w:type="dxa"/>
          </w:tcPr>
          <w:p w14:paraId="5F258070">
            <w:pPr>
              <w:spacing w:after="0" w:line="480" w:lineRule="auto"/>
              <w:rPr>
                <w:rFonts w:hint="default" w:ascii="Times New Roman" w:hAnsi="Times New Roman" w:cs="Times New Roman"/>
                <w:b/>
                <w:bCs/>
                <w:sz w:val="20"/>
                <w:szCs w:val="20"/>
              </w:rPr>
            </w:pPr>
          </w:p>
        </w:tc>
      </w:tr>
      <w:tr w14:paraId="493D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Pr>
          <w:p w14:paraId="35CA195F">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 xml:space="preserve">  &gt;5</w:t>
            </w:r>
          </w:p>
        </w:tc>
        <w:tc>
          <w:tcPr>
            <w:tcW w:w="1890" w:type="dxa"/>
          </w:tcPr>
          <w:p w14:paraId="49B7299C">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32(45.1)</w:t>
            </w:r>
          </w:p>
        </w:tc>
        <w:tc>
          <w:tcPr>
            <w:tcW w:w="2160" w:type="dxa"/>
          </w:tcPr>
          <w:p w14:paraId="725A0E63">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39(54.9)</w:t>
            </w:r>
          </w:p>
        </w:tc>
        <w:tc>
          <w:tcPr>
            <w:tcW w:w="1080" w:type="dxa"/>
          </w:tcPr>
          <w:p w14:paraId="162AB729">
            <w:pPr>
              <w:spacing w:after="0" w:line="480" w:lineRule="auto"/>
              <w:jc w:val="left"/>
              <w:rPr>
                <w:rFonts w:hint="default" w:ascii="Times New Roman" w:hAnsi="Times New Roman" w:cs="Times New Roman"/>
                <w:b/>
                <w:bCs/>
                <w:sz w:val="20"/>
                <w:szCs w:val="20"/>
              </w:rPr>
            </w:pPr>
          </w:p>
        </w:tc>
        <w:tc>
          <w:tcPr>
            <w:tcW w:w="1345" w:type="dxa"/>
          </w:tcPr>
          <w:p w14:paraId="2BF09728">
            <w:pPr>
              <w:spacing w:after="0" w:line="480" w:lineRule="auto"/>
              <w:rPr>
                <w:rFonts w:hint="default" w:ascii="Times New Roman" w:hAnsi="Times New Roman" w:cs="Times New Roman"/>
                <w:b/>
                <w:bCs/>
                <w:sz w:val="20"/>
                <w:szCs w:val="20"/>
              </w:rPr>
            </w:pPr>
          </w:p>
        </w:tc>
      </w:tr>
    </w:tbl>
    <w:p w14:paraId="78BCB65B">
      <w:pPr>
        <w:spacing w:line="480" w:lineRule="auto"/>
        <w:rPr>
          <w:rFonts w:hint="default" w:ascii="Times New Roman" w:hAnsi="Times New Roman" w:cs="Times New Roman"/>
          <w:b/>
          <w:bCs/>
          <w:sz w:val="20"/>
          <w:szCs w:val="20"/>
        </w:rPr>
      </w:pPr>
    </w:p>
    <w:p w14:paraId="63E606CD">
      <w:pPr>
        <w:spacing w:line="480" w:lineRule="auto"/>
        <w:rPr>
          <w:rFonts w:hint="default" w:ascii="Times New Roman" w:hAnsi="Times New Roman" w:cs="Times New Roman"/>
          <w:b/>
          <w:bCs/>
          <w:sz w:val="20"/>
          <w:szCs w:val="20"/>
        </w:rPr>
      </w:pPr>
      <w:r>
        <w:rPr>
          <w:rFonts w:hint="default" w:ascii="Times New Roman" w:hAnsi="Times New Roman" w:cs="Times New Roman"/>
          <w:b/>
          <w:bCs/>
          <w:sz w:val="20"/>
          <w:szCs w:val="20"/>
        </w:rPr>
        <w:t>Association of Attitude of health Practitioners on the use of Nutraceuticals with Sociodemographic</w:t>
      </w:r>
    </w:p>
    <w:p w14:paraId="039F27F4">
      <w:pPr>
        <w:spacing w:line="480" w:lineRule="auto"/>
        <w:rPr>
          <w:rFonts w:hint="default" w:ascii="Times New Roman" w:hAnsi="Times New Roman" w:cs="Times New Roman"/>
          <w:b/>
          <w:bCs/>
          <w:sz w:val="20"/>
          <w:szCs w:val="20"/>
          <w:lang w:val="en-US"/>
        </w:rPr>
      </w:pPr>
      <w:r>
        <w:rPr>
          <w:rFonts w:hint="default" w:ascii="Times New Roman" w:hAnsi="Times New Roman" w:cs="Times New Roman"/>
          <w:sz w:val="20"/>
          <w:szCs w:val="20"/>
        </w:rPr>
        <w:t>The result generally</w:t>
      </w:r>
      <w:r>
        <w:rPr>
          <w:rFonts w:hint="default" w:ascii="Times New Roman" w:hAnsi="Times New Roman" w:cs="Times New Roman"/>
          <w:b/>
          <w:bCs/>
          <w:sz w:val="20"/>
          <w:szCs w:val="20"/>
        </w:rPr>
        <w:t xml:space="preserve"> </w:t>
      </w:r>
      <w:r>
        <w:rPr>
          <w:rFonts w:hint="default" w:ascii="Times New Roman" w:hAnsi="Times New Roman" w:cs="Times New Roman"/>
          <w:sz w:val="20"/>
          <w:szCs w:val="20"/>
        </w:rPr>
        <w:t>indicates no statistically significant association, as all reported p-value were greater than 0.05.</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Pr>
        <w:t xml:space="preserve">Majority of the health practitioners who are either medical officer/consultants had a better attitude on the use of nutraceuticals compared to the ones who were registrars and nurses (100% Vs 57.7% Vs 52.0%). Despite these differences, the association between profession and attitude was </w:t>
      </w:r>
      <w:r>
        <w:rPr>
          <w:rFonts w:hint="default" w:ascii="Times New Roman" w:hAnsi="Times New Roman" w:cs="Times New Roman"/>
          <w:b/>
          <w:bCs/>
          <w:sz w:val="20"/>
          <w:szCs w:val="20"/>
        </w:rPr>
        <w:t xml:space="preserve">not statistically significant </w:t>
      </w:r>
      <w:r>
        <w:rPr>
          <w:rFonts w:hint="default" w:ascii="Times New Roman" w:hAnsi="Times New Roman" w:cs="Times New Roman"/>
          <w:sz w:val="20"/>
          <w:szCs w:val="20"/>
        </w:rPr>
        <w:t>(χ</w:t>
      </w:r>
      <w:r>
        <w:rPr>
          <w:rFonts w:hint="default" w:ascii="Times New Roman" w:hAnsi="Times New Roman" w:cs="Times New Roman"/>
          <w:sz w:val="20"/>
          <w:szCs w:val="20"/>
          <w:vertAlign w:val="superscript"/>
        </w:rPr>
        <w:t xml:space="preserve">2 </w:t>
      </w:r>
      <w:r>
        <w:rPr>
          <w:rFonts w:hint="default" w:ascii="Times New Roman" w:hAnsi="Times New Roman" w:cs="Times New Roman"/>
          <w:sz w:val="20"/>
          <w:szCs w:val="20"/>
        </w:rPr>
        <w:t xml:space="preserve">= 4.886, </w:t>
      </w:r>
      <w:r>
        <w:rPr>
          <w:rFonts w:hint="default" w:ascii="Times New Roman" w:hAnsi="Times New Roman" w:cs="Times New Roman"/>
          <w:b/>
          <w:bCs/>
          <w:sz w:val="20"/>
          <w:szCs w:val="20"/>
        </w:rPr>
        <w:t>p =0.299</w:t>
      </w:r>
      <w:r>
        <w:rPr>
          <w:rFonts w:hint="default" w:ascii="Times New Roman" w:hAnsi="Times New Roman" w:cs="Times New Roman"/>
          <w:sz w:val="20"/>
          <w:szCs w:val="20"/>
        </w:rPr>
        <w:t xml:space="preserve">). Also, heath practitioners aged 36-50 had a better attitude on the use of nutraceuticals compared to those aged 21-35 (62.0 Vs 52.0;). The association is </w:t>
      </w:r>
      <w:r>
        <w:rPr>
          <w:rFonts w:hint="default" w:ascii="Times New Roman" w:hAnsi="Times New Roman" w:cs="Times New Roman"/>
          <w:b/>
          <w:bCs/>
          <w:sz w:val="20"/>
          <w:szCs w:val="20"/>
        </w:rPr>
        <w:t>not statistically significant (</w:t>
      </w:r>
      <w:r>
        <w:rPr>
          <w:rFonts w:hint="default" w:ascii="Times New Roman" w:hAnsi="Times New Roman" w:cs="Times New Roman"/>
          <w:sz w:val="20"/>
          <w:szCs w:val="20"/>
        </w:rPr>
        <w:t>χ</w:t>
      </w:r>
      <w:r>
        <w:rPr>
          <w:rFonts w:hint="default" w:ascii="Times New Roman" w:hAnsi="Times New Roman" w:cs="Times New Roman"/>
          <w:sz w:val="20"/>
          <w:szCs w:val="20"/>
          <w:vertAlign w:val="superscript"/>
        </w:rPr>
        <w:t xml:space="preserve">2 </w:t>
      </w:r>
      <w:r>
        <w:rPr>
          <w:rFonts w:hint="default" w:ascii="Times New Roman" w:hAnsi="Times New Roman" w:cs="Times New Roman"/>
          <w:sz w:val="20"/>
          <w:szCs w:val="20"/>
        </w:rPr>
        <w:t xml:space="preserve">=4.184, p= </w:t>
      </w:r>
      <w:r>
        <w:rPr>
          <w:rFonts w:hint="default" w:ascii="Times New Roman" w:hAnsi="Times New Roman" w:cs="Times New Roman"/>
          <w:b/>
          <w:bCs/>
          <w:sz w:val="20"/>
          <w:szCs w:val="20"/>
        </w:rPr>
        <w:t>0.123</w:t>
      </w:r>
      <w:r>
        <w:rPr>
          <w:rFonts w:hint="default" w:ascii="Times New Roman" w:hAnsi="Times New Roman" w:cs="Times New Roman"/>
          <w:sz w:val="20"/>
          <w:szCs w:val="20"/>
        </w:rPr>
        <w:t>)</w:t>
      </w:r>
      <w:r>
        <w:rPr>
          <w:rFonts w:hint="default" w:ascii="Times New Roman" w:hAnsi="Times New Roman" w:cs="Times New Roman"/>
          <w:sz w:val="20"/>
          <w:szCs w:val="20"/>
          <w:lang w:val="en-US"/>
        </w:rPr>
        <w:t xml:space="preserve"> see table 6</w:t>
      </w:r>
    </w:p>
    <w:p w14:paraId="27342ABB">
      <w:pPr>
        <w:spacing w:line="480" w:lineRule="auto"/>
        <w:rPr>
          <w:rFonts w:hint="default" w:ascii="Times New Roman" w:hAnsi="Times New Roman" w:cs="Times New Roman"/>
          <w:b/>
          <w:bCs/>
          <w:sz w:val="20"/>
          <w:szCs w:val="20"/>
        </w:rPr>
      </w:pPr>
      <w:r>
        <w:rPr>
          <w:rFonts w:hint="default" w:ascii="Times New Roman" w:hAnsi="Times New Roman" w:cs="Times New Roman"/>
          <w:b/>
          <w:bCs/>
          <w:sz w:val="20"/>
          <w:szCs w:val="20"/>
        </w:rPr>
        <w:t>Table</w:t>
      </w:r>
      <w:r>
        <w:rPr>
          <w:rFonts w:hint="default" w:ascii="Times New Roman" w:hAnsi="Times New Roman" w:cs="Times New Roman"/>
          <w:b/>
          <w:bCs/>
          <w:sz w:val="20"/>
          <w:szCs w:val="20"/>
          <w:lang w:val="en-US"/>
        </w:rPr>
        <w:t xml:space="preserve"> </w:t>
      </w:r>
      <w:r>
        <w:rPr>
          <w:rFonts w:hint="default" w:ascii="Times New Roman" w:hAnsi="Times New Roman" w:cs="Times New Roman"/>
          <w:b/>
          <w:bCs/>
          <w:sz w:val="20"/>
          <w:szCs w:val="20"/>
        </w:rPr>
        <w:t>6: Association of Attitude of health Practitioners on the use of Nutraceuticals with Sociodemo</w:t>
      </w:r>
      <w:r>
        <w:rPr>
          <w:rFonts w:hint="default" w:ascii="Times New Roman" w:hAnsi="Times New Roman" w:cs="Times New Roman"/>
          <w:b/>
          <w:sz w:val="20"/>
          <w:szCs w:val="20"/>
        </w:rPr>
        <w:t>g</w:t>
      </w:r>
      <w:r>
        <w:rPr>
          <w:rFonts w:hint="default" w:ascii="Times New Roman" w:hAnsi="Times New Roman" w:cs="Times New Roman"/>
          <w:b/>
          <w:bCs/>
          <w:sz w:val="20"/>
          <w:szCs w:val="20"/>
        </w:rPr>
        <w:t>raphics (N=185)</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5"/>
        <w:gridCol w:w="2340"/>
        <w:gridCol w:w="2160"/>
        <w:gridCol w:w="1080"/>
        <w:gridCol w:w="1435"/>
      </w:tblGrid>
      <w:tr w14:paraId="3825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14:paraId="59A594AB">
            <w:pPr>
              <w:spacing w:after="0" w:line="480" w:lineRule="auto"/>
              <w:jc w:val="left"/>
              <w:rPr>
                <w:rFonts w:hint="default" w:ascii="Times New Roman" w:hAnsi="Times New Roman" w:cs="Times New Roman"/>
                <w:b/>
                <w:bCs/>
                <w:sz w:val="20"/>
                <w:szCs w:val="20"/>
              </w:rPr>
            </w:pPr>
            <w:r>
              <w:rPr>
                <w:rFonts w:hint="default" w:ascii="Times New Roman" w:hAnsi="Times New Roman" w:cs="Times New Roman"/>
                <w:b/>
                <w:bCs/>
                <w:sz w:val="20"/>
                <w:szCs w:val="20"/>
              </w:rPr>
              <w:t>Variables</w:t>
            </w:r>
          </w:p>
        </w:tc>
        <w:tc>
          <w:tcPr>
            <w:tcW w:w="2340" w:type="dxa"/>
          </w:tcPr>
          <w:p w14:paraId="507B57F6">
            <w:pPr>
              <w:spacing w:after="0" w:line="480" w:lineRule="auto"/>
              <w:jc w:val="left"/>
              <w:rPr>
                <w:rFonts w:hint="default" w:ascii="Times New Roman" w:hAnsi="Times New Roman" w:cs="Times New Roman"/>
                <w:b/>
                <w:bCs/>
                <w:sz w:val="20"/>
                <w:szCs w:val="20"/>
              </w:rPr>
            </w:pPr>
            <w:r>
              <w:rPr>
                <w:rFonts w:hint="default" w:ascii="Times New Roman" w:hAnsi="Times New Roman" w:cs="Times New Roman"/>
                <w:b/>
                <w:bCs/>
                <w:sz w:val="20"/>
                <w:szCs w:val="20"/>
              </w:rPr>
              <w:t>Negative Attitude</w:t>
            </w:r>
          </w:p>
        </w:tc>
        <w:tc>
          <w:tcPr>
            <w:tcW w:w="2160" w:type="dxa"/>
          </w:tcPr>
          <w:p w14:paraId="4B8B99B7">
            <w:pPr>
              <w:spacing w:after="0" w:line="480" w:lineRule="auto"/>
              <w:jc w:val="left"/>
              <w:rPr>
                <w:rFonts w:hint="default" w:ascii="Times New Roman" w:hAnsi="Times New Roman" w:cs="Times New Roman"/>
                <w:b/>
                <w:bCs/>
                <w:sz w:val="20"/>
                <w:szCs w:val="20"/>
              </w:rPr>
            </w:pPr>
            <w:r>
              <w:rPr>
                <w:rFonts w:hint="default" w:ascii="Times New Roman" w:hAnsi="Times New Roman" w:cs="Times New Roman"/>
                <w:b/>
                <w:bCs/>
                <w:sz w:val="20"/>
                <w:szCs w:val="20"/>
              </w:rPr>
              <w:t>Positive Attitude</w:t>
            </w:r>
          </w:p>
        </w:tc>
        <w:tc>
          <w:tcPr>
            <w:tcW w:w="1080" w:type="dxa"/>
          </w:tcPr>
          <w:p w14:paraId="5312A8F9">
            <w:pPr>
              <w:spacing w:after="0" w:line="480" w:lineRule="auto"/>
              <w:jc w:val="left"/>
              <w:rPr>
                <w:rFonts w:hint="default" w:ascii="Times New Roman" w:hAnsi="Times New Roman" w:cs="Times New Roman"/>
                <w:b/>
                <w:bCs/>
                <w:sz w:val="20"/>
                <w:szCs w:val="20"/>
              </w:rPr>
            </w:pPr>
            <w:r>
              <w:rPr>
                <w:rFonts w:hint="default" w:ascii="Times New Roman" w:hAnsi="Times New Roman" w:cs="Times New Roman"/>
                <w:b/>
                <w:bCs/>
                <w:sz w:val="20"/>
                <w:szCs w:val="20"/>
              </w:rPr>
              <w:t>χ</w:t>
            </w:r>
            <w:r>
              <w:rPr>
                <w:rFonts w:hint="default" w:ascii="Times New Roman" w:hAnsi="Times New Roman" w:cs="Times New Roman"/>
                <w:b/>
                <w:bCs/>
                <w:sz w:val="20"/>
                <w:szCs w:val="20"/>
                <w:vertAlign w:val="superscript"/>
              </w:rPr>
              <w:t>2</w:t>
            </w:r>
            <w:r>
              <w:rPr>
                <w:rFonts w:hint="default" w:ascii="Times New Roman" w:hAnsi="Times New Roman" w:cs="Times New Roman"/>
                <w:b/>
                <w:bCs/>
                <w:sz w:val="20"/>
                <w:szCs w:val="20"/>
              </w:rPr>
              <w:t>(df)</w:t>
            </w:r>
          </w:p>
        </w:tc>
        <w:tc>
          <w:tcPr>
            <w:tcW w:w="1435" w:type="dxa"/>
          </w:tcPr>
          <w:p w14:paraId="1A3E7882">
            <w:pPr>
              <w:spacing w:after="0" w:line="480" w:lineRule="auto"/>
              <w:jc w:val="left"/>
              <w:rPr>
                <w:rFonts w:hint="default" w:ascii="Times New Roman" w:hAnsi="Times New Roman" w:cs="Times New Roman"/>
                <w:b/>
                <w:bCs/>
                <w:sz w:val="20"/>
                <w:szCs w:val="20"/>
              </w:rPr>
            </w:pPr>
            <w:r>
              <w:rPr>
                <w:rFonts w:hint="default" w:ascii="Times New Roman" w:hAnsi="Times New Roman" w:cs="Times New Roman"/>
                <w:b/>
                <w:bCs/>
                <w:sz w:val="20"/>
                <w:szCs w:val="20"/>
              </w:rPr>
              <w:t>p-value</w:t>
            </w:r>
          </w:p>
        </w:tc>
      </w:tr>
      <w:tr w14:paraId="206BD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14:paraId="30C8AF9E">
            <w:pPr>
              <w:spacing w:after="0" w:line="480" w:lineRule="auto"/>
              <w:jc w:val="left"/>
              <w:rPr>
                <w:rFonts w:hint="default" w:ascii="Times New Roman" w:hAnsi="Times New Roman" w:cs="Times New Roman"/>
                <w:b/>
                <w:bCs/>
                <w:sz w:val="20"/>
                <w:szCs w:val="20"/>
              </w:rPr>
            </w:pPr>
            <w:r>
              <w:rPr>
                <w:rFonts w:hint="default" w:ascii="Times New Roman" w:hAnsi="Times New Roman" w:cs="Times New Roman"/>
                <w:b/>
                <w:bCs/>
                <w:sz w:val="20"/>
                <w:szCs w:val="20"/>
              </w:rPr>
              <w:t>Gender</w:t>
            </w:r>
          </w:p>
        </w:tc>
        <w:tc>
          <w:tcPr>
            <w:tcW w:w="2340" w:type="dxa"/>
          </w:tcPr>
          <w:p w14:paraId="3AB901BE">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n (%)</w:t>
            </w:r>
          </w:p>
        </w:tc>
        <w:tc>
          <w:tcPr>
            <w:tcW w:w="2160" w:type="dxa"/>
          </w:tcPr>
          <w:p w14:paraId="3DFE90F7">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n (%)</w:t>
            </w:r>
          </w:p>
        </w:tc>
        <w:tc>
          <w:tcPr>
            <w:tcW w:w="1080" w:type="dxa"/>
          </w:tcPr>
          <w:p w14:paraId="7513C390">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0.312(1)</w:t>
            </w:r>
          </w:p>
        </w:tc>
        <w:tc>
          <w:tcPr>
            <w:tcW w:w="1435" w:type="dxa"/>
          </w:tcPr>
          <w:p w14:paraId="22F5DC7F">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0.577</w:t>
            </w:r>
          </w:p>
        </w:tc>
      </w:tr>
      <w:tr w14:paraId="6E7E4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14:paraId="32C8282B">
            <w:pPr>
              <w:spacing w:after="0" w:line="480" w:lineRule="auto"/>
              <w:jc w:val="left"/>
              <w:rPr>
                <w:rFonts w:hint="default" w:ascii="Times New Roman" w:hAnsi="Times New Roman" w:cs="Times New Roman"/>
                <w:b/>
                <w:bCs/>
                <w:sz w:val="20"/>
                <w:szCs w:val="20"/>
              </w:rPr>
            </w:pPr>
            <w:r>
              <w:rPr>
                <w:rFonts w:hint="default" w:ascii="Times New Roman" w:hAnsi="Times New Roman" w:cs="Times New Roman"/>
                <w:sz w:val="20"/>
                <w:szCs w:val="20"/>
              </w:rPr>
              <w:t xml:space="preserve">  Male</w:t>
            </w:r>
          </w:p>
        </w:tc>
        <w:tc>
          <w:tcPr>
            <w:tcW w:w="2340" w:type="dxa"/>
          </w:tcPr>
          <w:p w14:paraId="0CBD1823">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40(48.8)</w:t>
            </w:r>
          </w:p>
        </w:tc>
        <w:tc>
          <w:tcPr>
            <w:tcW w:w="2160" w:type="dxa"/>
          </w:tcPr>
          <w:p w14:paraId="7EF47748">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42(51.2)</w:t>
            </w:r>
          </w:p>
        </w:tc>
        <w:tc>
          <w:tcPr>
            <w:tcW w:w="1080" w:type="dxa"/>
          </w:tcPr>
          <w:p w14:paraId="31FAF6AB">
            <w:pPr>
              <w:spacing w:after="0" w:line="480" w:lineRule="auto"/>
              <w:jc w:val="left"/>
              <w:rPr>
                <w:rFonts w:hint="default" w:ascii="Times New Roman" w:hAnsi="Times New Roman" w:cs="Times New Roman"/>
                <w:sz w:val="20"/>
                <w:szCs w:val="20"/>
              </w:rPr>
            </w:pPr>
          </w:p>
        </w:tc>
        <w:tc>
          <w:tcPr>
            <w:tcW w:w="1435" w:type="dxa"/>
          </w:tcPr>
          <w:p w14:paraId="30A9DB43">
            <w:pPr>
              <w:spacing w:after="0" w:line="480" w:lineRule="auto"/>
              <w:jc w:val="left"/>
              <w:rPr>
                <w:rFonts w:hint="default" w:ascii="Times New Roman" w:hAnsi="Times New Roman" w:cs="Times New Roman"/>
                <w:sz w:val="20"/>
                <w:szCs w:val="20"/>
              </w:rPr>
            </w:pPr>
          </w:p>
        </w:tc>
      </w:tr>
      <w:tr w14:paraId="3EEE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14:paraId="39B04DB7">
            <w:pPr>
              <w:spacing w:after="0" w:line="480" w:lineRule="auto"/>
              <w:jc w:val="left"/>
              <w:rPr>
                <w:rFonts w:hint="default" w:ascii="Times New Roman" w:hAnsi="Times New Roman" w:cs="Times New Roman"/>
                <w:b/>
                <w:bCs/>
                <w:sz w:val="20"/>
                <w:szCs w:val="20"/>
              </w:rPr>
            </w:pPr>
            <w:r>
              <w:rPr>
                <w:rFonts w:hint="default" w:ascii="Times New Roman" w:hAnsi="Times New Roman" w:cs="Times New Roman"/>
                <w:sz w:val="20"/>
                <w:szCs w:val="20"/>
              </w:rPr>
              <w:t xml:space="preserve">  Female</w:t>
            </w:r>
          </w:p>
        </w:tc>
        <w:tc>
          <w:tcPr>
            <w:tcW w:w="2340" w:type="dxa"/>
          </w:tcPr>
          <w:p w14:paraId="4E63FC6E">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46(44.7)</w:t>
            </w:r>
          </w:p>
        </w:tc>
        <w:tc>
          <w:tcPr>
            <w:tcW w:w="2160" w:type="dxa"/>
          </w:tcPr>
          <w:p w14:paraId="784905AE">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57(55.3)</w:t>
            </w:r>
          </w:p>
        </w:tc>
        <w:tc>
          <w:tcPr>
            <w:tcW w:w="1080" w:type="dxa"/>
          </w:tcPr>
          <w:p w14:paraId="637A3B6D">
            <w:pPr>
              <w:spacing w:after="0" w:line="480" w:lineRule="auto"/>
              <w:jc w:val="left"/>
              <w:rPr>
                <w:rFonts w:hint="default" w:ascii="Times New Roman" w:hAnsi="Times New Roman" w:cs="Times New Roman"/>
                <w:sz w:val="20"/>
                <w:szCs w:val="20"/>
              </w:rPr>
            </w:pPr>
          </w:p>
        </w:tc>
        <w:tc>
          <w:tcPr>
            <w:tcW w:w="1435" w:type="dxa"/>
          </w:tcPr>
          <w:p w14:paraId="16BE534B">
            <w:pPr>
              <w:spacing w:after="0" w:line="480" w:lineRule="auto"/>
              <w:jc w:val="left"/>
              <w:rPr>
                <w:rFonts w:hint="default" w:ascii="Times New Roman" w:hAnsi="Times New Roman" w:cs="Times New Roman"/>
                <w:sz w:val="20"/>
                <w:szCs w:val="20"/>
              </w:rPr>
            </w:pPr>
          </w:p>
        </w:tc>
      </w:tr>
      <w:tr w14:paraId="05F28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14:paraId="2F47115D">
            <w:pPr>
              <w:spacing w:after="0" w:line="480" w:lineRule="auto"/>
              <w:jc w:val="left"/>
              <w:rPr>
                <w:rFonts w:hint="default" w:ascii="Times New Roman" w:hAnsi="Times New Roman" w:cs="Times New Roman"/>
                <w:b/>
                <w:bCs/>
                <w:sz w:val="20"/>
                <w:szCs w:val="20"/>
              </w:rPr>
            </w:pPr>
            <w:r>
              <w:rPr>
                <w:rFonts w:hint="default" w:ascii="Times New Roman" w:hAnsi="Times New Roman" w:cs="Times New Roman"/>
                <w:b/>
                <w:bCs/>
                <w:sz w:val="20"/>
                <w:szCs w:val="20"/>
              </w:rPr>
              <w:t>Age (in years)</w:t>
            </w:r>
          </w:p>
        </w:tc>
        <w:tc>
          <w:tcPr>
            <w:tcW w:w="2340" w:type="dxa"/>
          </w:tcPr>
          <w:p w14:paraId="130C7CBC">
            <w:pPr>
              <w:spacing w:after="0" w:line="480" w:lineRule="auto"/>
              <w:jc w:val="left"/>
              <w:rPr>
                <w:rFonts w:hint="default" w:ascii="Times New Roman" w:hAnsi="Times New Roman" w:cs="Times New Roman"/>
                <w:b/>
                <w:bCs/>
                <w:sz w:val="20"/>
                <w:szCs w:val="20"/>
              </w:rPr>
            </w:pPr>
          </w:p>
        </w:tc>
        <w:tc>
          <w:tcPr>
            <w:tcW w:w="2160" w:type="dxa"/>
          </w:tcPr>
          <w:p w14:paraId="40D87F5E">
            <w:pPr>
              <w:spacing w:after="0" w:line="480" w:lineRule="auto"/>
              <w:jc w:val="left"/>
              <w:rPr>
                <w:rFonts w:hint="default" w:ascii="Times New Roman" w:hAnsi="Times New Roman" w:cs="Times New Roman"/>
                <w:b/>
                <w:bCs/>
                <w:sz w:val="20"/>
                <w:szCs w:val="20"/>
              </w:rPr>
            </w:pPr>
          </w:p>
        </w:tc>
        <w:tc>
          <w:tcPr>
            <w:tcW w:w="1080" w:type="dxa"/>
          </w:tcPr>
          <w:p w14:paraId="20A18086">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4.184(2)</w:t>
            </w:r>
          </w:p>
        </w:tc>
        <w:tc>
          <w:tcPr>
            <w:tcW w:w="1435" w:type="dxa"/>
          </w:tcPr>
          <w:p w14:paraId="614781AF">
            <w:pPr>
              <w:spacing w:after="0" w:line="480" w:lineRule="auto"/>
              <w:jc w:val="left"/>
              <w:rPr>
                <w:rFonts w:hint="default" w:ascii="Times New Roman" w:hAnsi="Times New Roman" w:cs="Times New Roman"/>
                <w:sz w:val="20"/>
                <w:szCs w:val="20"/>
              </w:rPr>
            </w:pPr>
            <w:r>
              <w:rPr>
                <w:rFonts w:hint="default" w:ascii="Times New Roman" w:hAnsi="Times New Roman" w:cs="Times New Roman"/>
                <w:b/>
                <w:bCs/>
                <w:sz w:val="20"/>
                <w:szCs w:val="20"/>
              </w:rPr>
              <w:t>0.123</w:t>
            </w:r>
          </w:p>
        </w:tc>
      </w:tr>
      <w:tr w14:paraId="00035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14:paraId="0AE7A74B">
            <w:pPr>
              <w:spacing w:after="0" w:line="480" w:lineRule="auto"/>
              <w:jc w:val="left"/>
              <w:rPr>
                <w:rFonts w:hint="default" w:ascii="Times New Roman" w:hAnsi="Times New Roman" w:cs="Times New Roman"/>
                <w:b/>
                <w:bCs/>
                <w:sz w:val="20"/>
                <w:szCs w:val="20"/>
              </w:rPr>
            </w:pPr>
            <w:r>
              <w:rPr>
                <w:rFonts w:hint="default" w:ascii="Times New Roman" w:hAnsi="Times New Roman" w:cs="Times New Roman"/>
                <w:sz w:val="20"/>
                <w:szCs w:val="20"/>
              </w:rPr>
              <w:t xml:space="preserve">  21-35</w:t>
            </w:r>
          </w:p>
        </w:tc>
        <w:tc>
          <w:tcPr>
            <w:tcW w:w="2340" w:type="dxa"/>
          </w:tcPr>
          <w:p w14:paraId="7E040F0C">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61(48.0)</w:t>
            </w:r>
          </w:p>
        </w:tc>
        <w:tc>
          <w:tcPr>
            <w:tcW w:w="2160" w:type="dxa"/>
          </w:tcPr>
          <w:p w14:paraId="2C2A550C">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66(52.0)</w:t>
            </w:r>
          </w:p>
        </w:tc>
        <w:tc>
          <w:tcPr>
            <w:tcW w:w="1080" w:type="dxa"/>
          </w:tcPr>
          <w:p w14:paraId="329C5EB6">
            <w:pPr>
              <w:spacing w:after="0" w:line="480" w:lineRule="auto"/>
              <w:jc w:val="left"/>
              <w:rPr>
                <w:rFonts w:hint="default" w:ascii="Times New Roman" w:hAnsi="Times New Roman" w:cs="Times New Roman"/>
                <w:sz w:val="20"/>
                <w:szCs w:val="20"/>
              </w:rPr>
            </w:pPr>
          </w:p>
        </w:tc>
        <w:tc>
          <w:tcPr>
            <w:tcW w:w="1435" w:type="dxa"/>
          </w:tcPr>
          <w:p w14:paraId="00DAB198">
            <w:pPr>
              <w:spacing w:after="0" w:line="480" w:lineRule="auto"/>
              <w:jc w:val="left"/>
              <w:rPr>
                <w:rFonts w:hint="default" w:ascii="Times New Roman" w:hAnsi="Times New Roman" w:cs="Times New Roman"/>
                <w:sz w:val="20"/>
                <w:szCs w:val="20"/>
              </w:rPr>
            </w:pPr>
          </w:p>
        </w:tc>
      </w:tr>
      <w:tr w14:paraId="3F06A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14:paraId="5019819C">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 xml:space="preserve">  36-50</w:t>
            </w:r>
          </w:p>
        </w:tc>
        <w:tc>
          <w:tcPr>
            <w:tcW w:w="2340" w:type="dxa"/>
          </w:tcPr>
          <w:p w14:paraId="3058BC59">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19(38.0)</w:t>
            </w:r>
          </w:p>
        </w:tc>
        <w:tc>
          <w:tcPr>
            <w:tcW w:w="2160" w:type="dxa"/>
          </w:tcPr>
          <w:p w14:paraId="07275D2B">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31(62.0)</w:t>
            </w:r>
          </w:p>
        </w:tc>
        <w:tc>
          <w:tcPr>
            <w:tcW w:w="1080" w:type="dxa"/>
          </w:tcPr>
          <w:p w14:paraId="425B99E4">
            <w:pPr>
              <w:spacing w:after="0" w:line="480" w:lineRule="auto"/>
              <w:jc w:val="left"/>
              <w:rPr>
                <w:rFonts w:hint="default" w:ascii="Times New Roman" w:hAnsi="Times New Roman" w:cs="Times New Roman"/>
                <w:sz w:val="20"/>
                <w:szCs w:val="20"/>
              </w:rPr>
            </w:pPr>
          </w:p>
        </w:tc>
        <w:tc>
          <w:tcPr>
            <w:tcW w:w="1435" w:type="dxa"/>
          </w:tcPr>
          <w:p w14:paraId="5AB27D47">
            <w:pPr>
              <w:spacing w:after="0" w:line="480" w:lineRule="auto"/>
              <w:jc w:val="left"/>
              <w:rPr>
                <w:rFonts w:hint="default" w:ascii="Times New Roman" w:hAnsi="Times New Roman" w:cs="Times New Roman"/>
                <w:sz w:val="20"/>
                <w:szCs w:val="20"/>
              </w:rPr>
            </w:pPr>
          </w:p>
        </w:tc>
      </w:tr>
      <w:tr w14:paraId="3C8CE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14:paraId="2503248C">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&gt;50</w:t>
            </w:r>
          </w:p>
        </w:tc>
        <w:tc>
          <w:tcPr>
            <w:tcW w:w="2340" w:type="dxa"/>
          </w:tcPr>
          <w:p w14:paraId="0593C07A">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6(75.0)</w:t>
            </w:r>
          </w:p>
        </w:tc>
        <w:tc>
          <w:tcPr>
            <w:tcW w:w="2160" w:type="dxa"/>
          </w:tcPr>
          <w:p w14:paraId="708D8A4F">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2(25.0)</w:t>
            </w:r>
          </w:p>
        </w:tc>
        <w:tc>
          <w:tcPr>
            <w:tcW w:w="1080" w:type="dxa"/>
          </w:tcPr>
          <w:p w14:paraId="2109D90D">
            <w:pPr>
              <w:spacing w:after="0" w:line="480" w:lineRule="auto"/>
              <w:jc w:val="left"/>
              <w:rPr>
                <w:rFonts w:hint="default" w:ascii="Times New Roman" w:hAnsi="Times New Roman" w:cs="Times New Roman"/>
                <w:sz w:val="20"/>
                <w:szCs w:val="20"/>
              </w:rPr>
            </w:pPr>
          </w:p>
        </w:tc>
        <w:tc>
          <w:tcPr>
            <w:tcW w:w="1435" w:type="dxa"/>
          </w:tcPr>
          <w:p w14:paraId="244BF0E3">
            <w:pPr>
              <w:spacing w:after="0" w:line="480" w:lineRule="auto"/>
              <w:jc w:val="left"/>
              <w:rPr>
                <w:rFonts w:hint="default" w:ascii="Times New Roman" w:hAnsi="Times New Roman" w:cs="Times New Roman"/>
                <w:sz w:val="20"/>
                <w:szCs w:val="20"/>
              </w:rPr>
            </w:pPr>
          </w:p>
        </w:tc>
      </w:tr>
      <w:tr w14:paraId="4C12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14:paraId="5E9F0997">
            <w:pPr>
              <w:spacing w:after="0" w:line="480" w:lineRule="auto"/>
              <w:jc w:val="left"/>
              <w:rPr>
                <w:rFonts w:hint="default" w:ascii="Times New Roman" w:hAnsi="Times New Roman" w:cs="Times New Roman"/>
                <w:sz w:val="20"/>
                <w:szCs w:val="20"/>
              </w:rPr>
            </w:pPr>
            <w:r>
              <w:rPr>
                <w:rFonts w:hint="default" w:ascii="Times New Roman" w:hAnsi="Times New Roman" w:cs="Times New Roman"/>
                <w:b/>
                <w:bCs/>
                <w:sz w:val="20"/>
                <w:szCs w:val="20"/>
              </w:rPr>
              <w:t>Profession</w:t>
            </w:r>
          </w:p>
        </w:tc>
        <w:tc>
          <w:tcPr>
            <w:tcW w:w="2340" w:type="dxa"/>
          </w:tcPr>
          <w:p w14:paraId="35E506AF">
            <w:pPr>
              <w:spacing w:after="0" w:line="480" w:lineRule="auto"/>
              <w:jc w:val="left"/>
              <w:rPr>
                <w:rFonts w:hint="default" w:ascii="Times New Roman" w:hAnsi="Times New Roman" w:cs="Times New Roman"/>
                <w:b/>
                <w:bCs/>
                <w:sz w:val="20"/>
                <w:szCs w:val="20"/>
              </w:rPr>
            </w:pPr>
          </w:p>
        </w:tc>
        <w:tc>
          <w:tcPr>
            <w:tcW w:w="2160" w:type="dxa"/>
          </w:tcPr>
          <w:p w14:paraId="0142C4EA">
            <w:pPr>
              <w:spacing w:after="0" w:line="480" w:lineRule="auto"/>
              <w:jc w:val="left"/>
              <w:rPr>
                <w:rFonts w:hint="default" w:ascii="Times New Roman" w:hAnsi="Times New Roman" w:cs="Times New Roman"/>
                <w:b/>
                <w:bCs/>
                <w:sz w:val="20"/>
                <w:szCs w:val="20"/>
              </w:rPr>
            </w:pPr>
          </w:p>
        </w:tc>
        <w:tc>
          <w:tcPr>
            <w:tcW w:w="1080" w:type="dxa"/>
          </w:tcPr>
          <w:p w14:paraId="5D9C4C5A">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4.886(4)</w:t>
            </w:r>
          </w:p>
        </w:tc>
        <w:tc>
          <w:tcPr>
            <w:tcW w:w="1435" w:type="dxa"/>
          </w:tcPr>
          <w:p w14:paraId="04823200">
            <w:pPr>
              <w:spacing w:after="0" w:line="480" w:lineRule="auto"/>
              <w:jc w:val="left"/>
              <w:rPr>
                <w:rFonts w:hint="default" w:ascii="Times New Roman" w:hAnsi="Times New Roman" w:cs="Times New Roman"/>
                <w:sz w:val="20"/>
                <w:szCs w:val="20"/>
              </w:rPr>
            </w:pPr>
            <w:r>
              <w:rPr>
                <w:rFonts w:hint="default" w:ascii="Times New Roman" w:hAnsi="Times New Roman" w:cs="Times New Roman"/>
                <w:b/>
                <w:bCs/>
                <w:sz w:val="20"/>
                <w:szCs w:val="20"/>
              </w:rPr>
              <w:t>0.299</w:t>
            </w:r>
          </w:p>
        </w:tc>
      </w:tr>
      <w:tr w14:paraId="4CE3E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14:paraId="0010E711">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 xml:space="preserve">  Medical officer</w:t>
            </w:r>
          </w:p>
        </w:tc>
        <w:tc>
          <w:tcPr>
            <w:tcW w:w="2340" w:type="dxa"/>
          </w:tcPr>
          <w:p w14:paraId="3AC8202A">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2160" w:type="dxa"/>
          </w:tcPr>
          <w:p w14:paraId="65717293">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2(100)</w:t>
            </w:r>
          </w:p>
        </w:tc>
        <w:tc>
          <w:tcPr>
            <w:tcW w:w="1080" w:type="dxa"/>
          </w:tcPr>
          <w:p w14:paraId="5767F306">
            <w:pPr>
              <w:spacing w:after="0" w:line="480" w:lineRule="auto"/>
              <w:jc w:val="left"/>
              <w:rPr>
                <w:rFonts w:hint="default" w:ascii="Times New Roman" w:hAnsi="Times New Roman" w:cs="Times New Roman"/>
                <w:sz w:val="20"/>
                <w:szCs w:val="20"/>
              </w:rPr>
            </w:pPr>
          </w:p>
        </w:tc>
        <w:tc>
          <w:tcPr>
            <w:tcW w:w="1435" w:type="dxa"/>
          </w:tcPr>
          <w:p w14:paraId="74B54B80">
            <w:pPr>
              <w:spacing w:after="0" w:line="480" w:lineRule="auto"/>
              <w:jc w:val="left"/>
              <w:rPr>
                <w:rFonts w:hint="default" w:ascii="Times New Roman" w:hAnsi="Times New Roman" w:cs="Times New Roman"/>
                <w:sz w:val="20"/>
                <w:szCs w:val="20"/>
              </w:rPr>
            </w:pPr>
          </w:p>
        </w:tc>
      </w:tr>
      <w:tr w14:paraId="73FA3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14:paraId="7CA19E08">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 xml:space="preserve">  Registrar</w:t>
            </w:r>
          </w:p>
        </w:tc>
        <w:tc>
          <w:tcPr>
            <w:tcW w:w="2340" w:type="dxa"/>
          </w:tcPr>
          <w:p w14:paraId="69AD2CB8">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11(42.3)</w:t>
            </w:r>
          </w:p>
        </w:tc>
        <w:tc>
          <w:tcPr>
            <w:tcW w:w="2160" w:type="dxa"/>
          </w:tcPr>
          <w:p w14:paraId="1D9CC7F2">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15(57.7)</w:t>
            </w:r>
          </w:p>
        </w:tc>
        <w:tc>
          <w:tcPr>
            <w:tcW w:w="1080" w:type="dxa"/>
          </w:tcPr>
          <w:p w14:paraId="0454A610">
            <w:pPr>
              <w:spacing w:after="0" w:line="480" w:lineRule="auto"/>
              <w:jc w:val="left"/>
              <w:rPr>
                <w:rFonts w:hint="default" w:ascii="Times New Roman" w:hAnsi="Times New Roman" w:cs="Times New Roman"/>
                <w:sz w:val="20"/>
                <w:szCs w:val="20"/>
              </w:rPr>
            </w:pPr>
          </w:p>
        </w:tc>
        <w:tc>
          <w:tcPr>
            <w:tcW w:w="1435" w:type="dxa"/>
          </w:tcPr>
          <w:p w14:paraId="6B7DE2BB">
            <w:pPr>
              <w:spacing w:after="0" w:line="480" w:lineRule="auto"/>
              <w:jc w:val="left"/>
              <w:rPr>
                <w:rFonts w:hint="default" w:ascii="Times New Roman" w:hAnsi="Times New Roman" w:cs="Times New Roman"/>
                <w:sz w:val="20"/>
                <w:szCs w:val="20"/>
              </w:rPr>
            </w:pPr>
          </w:p>
        </w:tc>
      </w:tr>
      <w:tr w14:paraId="062D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14:paraId="38F25CAA">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 xml:space="preserve">  Nurse</w:t>
            </w:r>
          </w:p>
        </w:tc>
        <w:tc>
          <w:tcPr>
            <w:tcW w:w="2340" w:type="dxa"/>
          </w:tcPr>
          <w:p w14:paraId="6EF232FB">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48(48.0)</w:t>
            </w:r>
          </w:p>
        </w:tc>
        <w:tc>
          <w:tcPr>
            <w:tcW w:w="2160" w:type="dxa"/>
          </w:tcPr>
          <w:p w14:paraId="787742F4">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52(52.0)</w:t>
            </w:r>
          </w:p>
        </w:tc>
        <w:tc>
          <w:tcPr>
            <w:tcW w:w="1080" w:type="dxa"/>
          </w:tcPr>
          <w:p w14:paraId="45E25E22">
            <w:pPr>
              <w:spacing w:after="0" w:line="480" w:lineRule="auto"/>
              <w:jc w:val="left"/>
              <w:rPr>
                <w:rFonts w:hint="default" w:ascii="Times New Roman" w:hAnsi="Times New Roman" w:cs="Times New Roman"/>
                <w:sz w:val="20"/>
                <w:szCs w:val="20"/>
              </w:rPr>
            </w:pPr>
          </w:p>
        </w:tc>
        <w:tc>
          <w:tcPr>
            <w:tcW w:w="1435" w:type="dxa"/>
          </w:tcPr>
          <w:p w14:paraId="79315D2C">
            <w:pPr>
              <w:spacing w:after="0" w:line="480" w:lineRule="auto"/>
              <w:jc w:val="left"/>
              <w:rPr>
                <w:rFonts w:hint="default" w:ascii="Times New Roman" w:hAnsi="Times New Roman" w:cs="Times New Roman"/>
                <w:sz w:val="20"/>
                <w:szCs w:val="20"/>
              </w:rPr>
            </w:pPr>
          </w:p>
        </w:tc>
      </w:tr>
      <w:tr w14:paraId="235E2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14:paraId="03EB52F7">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 xml:space="preserve">  Pharmacist</w:t>
            </w:r>
          </w:p>
        </w:tc>
        <w:tc>
          <w:tcPr>
            <w:tcW w:w="2340" w:type="dxa"/>
          </w:tcPr>
          <w:p w14:paraId="50A68EE2">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27(5.0)</w:t>
            </w:r>
          </w:p>
        </w:tc>
        <w:tc>
          <w:tcPr>
            <w:tcW w:w="2160" w:type="dxa"/>
          </w:tcPr>
          <w:p w14:paraId="2421B9F9">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27(5.0)</w:t>
            </w:r>
          </w:p>
        </w:tc>
        <w:tc>
          <w:tcPr>
            <w:tcW w:w="1080" w:type="dxa"/>
          </w:tcPr>
          <w:p w14:paraId="7872F901">
            <w:pPr>
              <w:spacing w:after="0" w:line="480" w:lineRule="auto"/>
              <w:jc w:val="left"/>
              <w:rPr>
                <w:rFonts w:hint="default" w:ascii="Times New Roman" w:hAnsi="Times New Roman" w:cs="Times New Roman"/>
                <w:sz w:val="20"/>
                <w:szCs w:val="20"/>
              </w:rPr>
            </w:pPr>
          </w:p>
        </w:tc>
        <w:tc>
          <w:tcPr>
            <w:tcW w:w="1435" w:type="dxa"/>
          </w:tcPr>
          <w:p w14:paraId="7612EAF4">
            <w:pPr>
              <w:spacing w:after="0" w:line="480" w:lineRule="auto"/>
              <w:jc w:val="left"/>
              <w:rPr>
                <w:rFonts w:hint="default" w:ascii="Times New Roman" w:hAnsi="Times New Roman" w:cs="Times New Roman"/>
                <w:sz w:val="20"/>
                <w:szCs w:val="20"/>
              </w:rPr>
            </w:pPr>
          </w:p>
        </w:tc>
      </w:tr>
      <w:tr w14:paraId="1B117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14:paraId="2E28AD18">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 xml:space="preserve">  Consultant</w:t>
            </w:r>
          </w:p>
        </w:tc>
        <w:tc>
          <w:tcPr>
            <w:tcW w:w="2340" w:type="dxa"/>
          </w:tcPr>
          <w:p w14:paraId="02EFE51D">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2160" w:type="dxa"/>
          </w:tcPr>
          <w:p w14:paraId="6BC34BF8">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3(100)</w:t>
            </w:r>
          </w:p>
        </w:tc>
        <w:tc>
          <w:tcPr>
            <w:tcW w:w="1080" w:type="dxa"/>
          </w:tcPr>
          <w:p w14:paraId="1F5DBFEF">
            <w:pPr>
              <w:spacing w:after="0" w:line="480" w:lineRule="auto"/>
              <w:jc w:val="left"/>
              <w:rPr>
                <w:rFonts w:hint="default" w:ascii="Times New Roman" w:hAnsi="Times New Roman" w:cs="Times New Roman"/>
                <w:sz w:val="20"/>
                <w:szCs w:val="20"/>
              </w:rPr>
            </w:pPr>
          </w:p>
        </w:tc>
        <w:tc>
          <w:tcPr>
            <w:tcW w:w="1435" w:type="dxa"/>
          </w:tcPr>
          <w:p w14:paraId="79BA8121">
            <w:pPr>
              <w:spacing w:after="0" w:line="480" w:lineRule="auto"/>
              <w:jc w:val="left"/>
              <w:rPr>
                <w:rFonts w:hint="default" w:ascii="Times New Roman" w:hAnsi="Times New Roman" w:cs="Times New Roman"/>
                <w:sz w:val="20"/>
                <w:szCs w:val="20"/>
              </w:rPr>
            </w:pPr>
          </w:p>
        </w:tc>
      </w:tr>
      <w:tr w14:paraId="65410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14:paraId="53073CF9">
            <w:pPr>
              <w:spacing w:after="0" w:line="480" w:lineRule="auto"/>
              <w:jc w:val="left"/>
              <w:rPr>
                <w:rFonts w:hint="default" w:ascii="Times New Roman" w:hAnsi="Times New Roman" w:cs="Times New Roman"/>
                <w:sz w:val="20"/>
                <w:szCs w:val="20"/>
              </w:rPr>
            </w:pPr>
            <w:r>
              <w:rPr>
                <w:rFonts w:hint="default" w:ascii="Times New Roman" w:hAnsi="Times New Roman" w:cs="Times New Roman"/>
                <w:b/>
                <w:bCs/>
                <w:sz w:val="20"/>
                <w:szCs w:val="20"/>
              </w:rPr>
              <w:t>Years of experience</w:t>
            </w:r>
          </w:p>
        </w:tc>
        <w:tc>
          <w:tcPr>
            <w:tcW w:w="2340" w:type="dxa"/>
          </w:tcPr>
          <w:p w14:paraId="62CF2D0C">
            <w:pPr>
              <w:spacing w:after="0" w:line="480" w:lineRule="auto"/>
              <w:jc w:val="left"/>
              <w:rPr>
                <w:rFonts w:hint="default" w:ascii="Times New Roman" w:hAnsi="Times New Roman" w:cs="Times New Roman"/>
                <w:b/>
                <w:bCs/>
                <w:sz w:val="20"/>
                <w:szCs w:val="20"/>
              </w:rPr>
            </w:pPr>
          </w:p>
        </w:tc>
        <w:tc>
          <w:tcPr>
            <w:tcW w:w="2160" w:type="dxa"/>
          </w:tcPr>
          <w:p w14:paraId="134248C4">
            <w:pPr>
              <w:spacing w:after="0" w:line="480" w:lineRule="auto"/>
              <w:jc w:val="left"/>
              <w:rPr>
                <w:rFonts w:hint="default" w:ascii="Times New Roman" w:hAnsi="Times New Roman" w:cs="Times New Roman"/>
                <w:b/>
                <w:bCs/>
                <w:sz w:val="20"/>
                <w:szCs w:val="20"/>
              </w:rPr>
            </w:pPr>
          </w:p>
        </w:tc>
        <w:tc>
          <w:tcPr>
            <w:tcW w:w="1080" w:type="dxa"/>
          </w:tcPr>
          <w:p w14:paraId="26715787">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2.576(2)</w:t>
            </w:r>
          </w:p>
        </w:tc>
        <w:tc>
          <w:tcPr>
            <w:tcW w:w="1435" w:type="dxa"/>
          </w:tcPr>
          <w:p w14:paraId="2A378BBF">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0.276</w:t>
            </w:r>
          </w:p>
        </w:tc>
      </w:tr>
      <w:tr w14:paraId="473A7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14:paraId="6301D14B">
            <w:pPr>
              <w:spacing w:after="0" w:line="480" w:lineRule="auto"/>
              <w:jc w:val="left"/>
              <w:rPr>
                <w:rFonts w:hint="default" w:ascii="Times New Roman" w:hAnsi="Times New Roman" w:cs="Times New Roman"/>
                <w:b/>
                <w:bCs/>
                <w:sz w:val="20"/>
                <w:szCs w:val="20"/>
              </w:rPr>
            </w:pPr>
            <w:r>
              <w:rPr>
                <w:rFonts w:hint="default" w:ascii="Times New Roman" w:hAnsi="Times New Roman" w:cs="Times New Roman"/>
                <w:sz w:val="20"/>
                <w:szCs w:val="20"/>
              </w:rPr>
              <w:t xml:space="preserve">  &lt;1</w:t>
            </w:r>
          </w:p>
        </w:tc>
        <w:tc>
          <w:tcPr>
            <w:tcW w:w="2340" w:type="dxa"/>
          </w:tcPr>
          <w:p w14:paraId="4F4E1AFA">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4(80.0)</w:t>
            </w:r>
          </w:p>
        </w:tc>
        <w:tc>
          <w:tcPr>
            <w:tcW w:w="2160" w:type="dxa"/>
          </w:tcPr>
          <w:p w14:paraId="38EF7097">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1(20)</w:t>
            </w:r>
          </w:p>
        </w:tc>
        <w:tc>
          <w:tcPr>
            <w:tcW w:w="1080" w:type="dxa"/>
          </w:tcPr>
          <w:p w14:paraId="0DC4AE82">
            <w:pPr>
              <w:spacing w:after="0" w:line="480" w:lineRule="auto"/>
              <w:jc w:val="left"/>
              <w:rPr>
                <w:rFonts w:hint="default" w:ascii="Times New Roman" w:hAnsi="Times New Roman" w:cs="Times New Roman"/>
                <w:b/>
                <w:bCs/>
                <w:sz w:val="20"/>
                <w:szCs w:val="20"/>
              </w:rPr>
            </w:pPr>
          </w:p>
        </w:tc>
        <w:tc>
          <w:tcPr>
            <w:tcW w:w="1435" w:type="dxa"/>
          </w:tcPr>
          <w:p w14:paraId="20EDFBC9">
            <w:pPr>
              <w:spacing w:after="0" w:line="480" w:lineRule="auto"/>
              <w:jc w:val="left"/>
              <w:rPr>
                <w:rFonts w:hint="default" w:ascii="Times New Roman" w:hAnsi="Times New Roman" w:cs="Times New Roman"/>
                <w:b/>
                <w:bCs/>
                <w:sz w:val="20"/>
                <w:szCs w:val="20"/>
              </w:rPr>
            </w:pPr>
          </w:p>
        </w:tc>
      </w:tr>
      <w:tr w14:paraId="1CAFB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14:paraId="2AB75E66">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 xml:space="preserve">  1-5 </w:t>
            </w:r>
          </w:p>
        </w:tc>
        <w:tc>
          <w:tcPr>
            <w:tcW w:w="2340" w:type="dxa"/>
          </w:tcPr>
          <w:p w14:paraId="39ED6053">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48(44.0)</w:t>
            </w:r>
          </w:p>
        </w:tc>
        <w:tc>
          <w:tcPr>
            <w:tcW w:w="2160" w:type="dxa"/>
          </w:tcPr>
          <w:p w14:paraId="495D253B">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61(56.0)</w:t>
            </w:r>
          </w:p>
        </w:tc>
        <w:tc>
          <w:tcPr>
            <w:tcW w:w="1080" w:type="dxa"/>
          </w:tcPr>
          <w:p w14:paraId="2BC2249A">
            <w:pPr>
              <w:spacing w:after="0" w:line="480" w:lineRule="auto"/>
              <w:jc w:val="left"/>
              <w:rPr>
                <w:rFonts w:hint="default" w:ascii="Times New Roman" w:hAnsi="Times New Roman" w:cs="Times New Roman"/>
                <w:b/>
                <w:bCs/>
                <w:sz w:val="20"/>
                <w:szCs w:val="20"/>
              </w:rPr>
            </w:pPr>
          </w:p>
        </w:tc>
        <w:tc>
          <w:tcPr>
            <w:tcW w:w="1435" w:type="dxa"/>
          </w:tcPr>
          <w:p w14:paraId="4C524DED">
            <w:pPr>
              <w:spacing w:after="0" w:line="480" w:lineRule="auto"/>
              <w:jc w:val="left"/>
              <w:rPr>
                <w:rFonts w:hint="default" w:ascii="Times New Roman" w:hAnsi="Times New Roman" w:cs="Times New Roman"/>
                <w:b/>
                <w:bCs/>
                <w:sz w:val="20"/>
                <w:szCs w:val="20"/>
              </w:rPr>
            </w:pPr>
          </w:p>
        </w:tc>
      </w:tr>
      <w:tr w14:paraId="17B72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14:paraId="352B14E8">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 xml:space="preserve">  &gt;5</w:t>
            </w:r>
          </w:p>
        </w:tc>
        <w:tc>
          <w:tcPr>
            <w:tcW w:w="2340" w:type="dxa"/>
          </w:tcPr>
          <w:p w14:paraId="28CE5AFA">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34(47.9)</w:t>
            </w:r>
          </w:p>
        </w:tc>
        <w:tc>
          <w:tcPr>
            <w:tcW w:w="2160" w:type="dxa"/>
          </w:tcPr>
          <w:p w14:paraId="2E9FBD9A">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37(52.1)</w:t>
            </w:r>
          </w:p>
        </w:tc>
        <w:tc>
          <w:tcPr>
            <w:tcW w:w="1080" w:type="dxa"/>
          </w:tcPr>
          <w:p w14:paraId="58379BE4">
            <w:pPr>
              <w:spacing w:after="0" w:line="480" w:lineRule="auto"/>
              <w:rPr>
                <w:rFonts w:hint="default" w:ascii="Times New Roman" w:hAnsi="Times New Roman" w:cs="Times New Roman"/>
                <w:b/>
                <w:bCs/>
                <w:sz w:val="20"/>
                <w:szCs w:val="20"/>
              </w:rPr>
            </w:pPr>
          </w:p>
        </w:tc>
        <w:tc>
          <w:tcPr>
            <w:tcW w:w="1435" w:type="dxa"/>
          </w:tcPr>
          <w:p w14:paraId="1FB2D6A7">
            <w:pPr>
              <w:spacing w:after="0" w:line="480" w:lineRule="auto"/>
              <w:rPr>
                <w:rFonts w:hint="default" w:ascii="Times New Roman" w:hAnsi="Times New Roman" w:cs="Times New Roman"/>
                <w:b/>
                <w:bCs/>
                <w:sz w:val="20"/>
                <w:szCs w:val="20"/>
              </w:rPr>
            </w:pPr>
          </w:p>
        </w:tc>
      </w:tr>
    </w:tbl>
    <w:p w14:paraId="2A8D7F8E">
      <w:pPr>
        <w:spacing w:line="480" w:lineRule="auto"/>
        <w:rPr>
          <w:rFonts w:hint="default" w:ascii="Times New Roman" w:hAnsi="Times New Roman" w:cs="Times New Roman"/>
          <w:b/>
          <w:bCs/>
          <w:sz w:val="20"/>
          <w:szCs w:val="20"/>
        </w:rPr>
      </w:pPr>
    </w:p>
    <w:p w14:paraId="1F959DB1">
      <w:pPr>
        <w:spacing w:line="480" w:lineRule="auto"/>
        <w:rPr>
          <w:rFonts w:hint="default" w:ascii="Times New Roman" w:hAnsi="Times New Roman" w:cs="Times New Roman"/>
          <w:sz w:val="20"/>
          <w:szCs w:val="20"/>
        </w:rPr>
      </w:pPr>
      <w:r>
        <w:rPr>
          <w:rFonts w:hint="default" w:ascii="Times New Roman" w:hAnsi="Times New Roman" w:cs="Times New Roman"/>
          <w:b/>
          <w:bCs/>
          <w:sz w:val="20"/>
          <w:szCs w:val="20"/>
        </w:rPr>
        <w:t>Association of Perception of health Practitioners on the use of Nutraceuticals with Sociodemographic (N=185)</w:t>
      </w:r>
    </w:p>
    <w:p w14:paraId="11089B31">
      <w:pPr>
        <w:spacing w:line="480" w:lineRule="auto"/>
        <w:rPr>
          <w:rFonts w:hint="default" w:ascii="Times New Roman" w:hAnsi="Times New Roman" w:cs="Times New Roman"/>
          <w:sz w:val="20"/>
          <w:szCs w:val="20"/>
        </w:rPr>
      </w:pPr>
      <w:r>
        <w:rPr>
          <w:rFonts w:hint="default" w:ascii="Times New Roman" w:hAnsi="Times New Roman" w:cs="Times New Roman"/>
          <w:sz w:val="20"/>
          <w:szCs w:val="20"/>
        </w:rPr>
        <w:t xml:space="preserve">Most of the health Practitioners who were females had a better perception on the use of Nutraceuticals compared to the male’s counterpart (63.1% Vs 47.6%), this difference was </w:t>
      </w:r>
      <w:r>
        <w:rPr>
          <w:rFonts w:hint="default" w:ascii="Times New Roman" w:hAnsi="Times New Roman" w:cs="Times New Roman"/>
          <w:b/>
          <w:bCs/>
          <w:sz w:val="20"/>
          <w:szCs w:val="20"/>
        </w:rPr>
        <w:t xml:space="preserve">statistically significant </w:t>
      </w:r>
      <w:r>
        <w:rPr>
          <w:rFonts w:hint="default" w:ascii="Times New Roman" w:hAnsi="Times New Roman" w:cs="Times New Roman"/>
          <w:sz w:val="20"/>
          <w:szCs w:val="20"/>
        </w:rPr>
        <w:t>(χ</w:t>
      </w:r>
      <w:r>
        <w:rPr>
          <w:rFonts w:hint="default" w:ascii="Times New Roman" w:hAnsi="Times New Roman" w:cs="Times New Roman"/>
          <w:sz w:val="20"/>
          <w:szCs w:val="20"/>
          <w:vertAlign w:val="superscript"/>
        </w:rPr>
        <w:t xml:space="preserve">2 </w:t>
      </w:r>
      <w:r>
        <w:rPr>
          <w:rFonts w:hint="default" w:ascii="Times New Roman" w:hAnsi="Times New Roman" w:cs="Times New Roman"/>
          <w:b/>
          <w:bCs/>
          <w:sz w:val="20"/>
          <w:szCs w:val="20"/>
        </w:rPr>
        <w:t>=</w:t>
      </w:r>
      <w:r>
        <w:rPr>
          <w:rFonts w:hint="default" w:ascii="Times New Roman" w:hAnsi="Times New Roman" w:cs="Times New Roman"/>
          <w:sz w:val="20"/>
          <w:szCs w:val="20"/>
        </w:rPr>
        <w:t xml:space="preserve">4.483, p=0.034). Likewise, majority </w:t>
      </w:r>
      <w:r>
        <w:rPr>
          <w:rFonts w:hint="default" w:ascii="Times New Roman" w:hAnsi="Times New Roman" w:cs="Times New Roman"/>
          <w:sz w:val="20"/>
          <w:szCs w:val="20"/>
          <w:lang w:val="en-US"/>
        </w:rPr>
        <w:t xml:space="preserve">of the </w:t>
      </w:r>
      <w:r>
        <w:rPr>
          <w:rFonts w:hint="default" w:ascii="Times New Roman" w:hAnsi="Times New Roman" w:cs="Times New Roman"/>
          <w:sz w:val="20"/>
          <w:szCs w:val="20"/>
        </w:rPr>
        <w:t xml:space="preserve">health Practitioners who were either consultant/medical officers had a better perception on the use of Nutraceuticals compared to the ones who were Registrar (100% Vs 73.1% Vs 63.0%), the association between profession and perception was </w:t>
      </w:r>
      <w:r>
        <w:rPr>
          <w:rFonts w:hint="default" w:ascii="Times New Roman" w:hAnsi="Times New Roman" w:cs="Times New Roman"/>
          <w:b/>
          <w:bCs/>
          <w:sz w:val="20"/>
          <w:szCs w:val="20"/>
        </w:rPr>
        <w:t xml:space="preserve">statistically significant </w:t>
      </w:r>
      <w:r>
        <w:rPr>
          <w:rFonts w:hint="default" w:ascii="Times New Roman" w:hAnsi="Times New Roman" w:cs="Times New Roman"/>
          <w:sz w:val="20"/>
          <w:szCs w:val="20"/>
        </w:rPr>
        <w:t>(χ</w:t>
      </w:r>
      <w:r>
        <w:rPr>
          <w:rFonts w:hint="default" w:ascii="Times New Roman" w:hAnsi="Times New Roman" w:cs="Times New Roman"/>
          <w:sz w:val="20"/>
          <w:szCs w:val="20"/>
          <w:vertAlign w:val="superscript"/>
        </w:rPr>
        <w:t xml:space="preserve">2 </w:t>
      </w:r>
      <w:r>
        <w:rPr>
          <w:rFonts w:hint="default" w:ascii="Times New Roman" w:hAnsi="Times New Roman" w:cs="Times New Roman"/>
          <w:b/>
          <w:bCs/>
          <w:sz w:val="20"/>
          <w:szCs w:val="20"/>
        </w:rPr>
        <w:t>=</w:t>
      </w:r>
      <w:r>
        <w:rPr>
          <w:rFonts w:hint="default" w:ascii="Times New Roman" w:hAnsi="Times New Roman" w:cs="Times New Roman"/>
          <w:sz w:val="20"/>
          <w:szCs w:val="20"/>
        </w:rPr>
        <w:t xml:space="preserve">12.136, p=0.016). This indicates that there’s an association between sociodemographic and perception of health practitioners on the use of nutraceuticals </w:t>
      </w:r>
      <w:r>
        <w:rPr>
          <w:rFonts w:hint="default" w:ascii="Times New Roman" w:hAnsi="Times New Roman" w:cs="Times New Roman"/>
          <w:sz w:val="20"/>
          <w:szCs w:val="20"/>
          <w:lang w:val="en-US"/>
        </w:rPr>
        <w:t>(</w:t>
      </w:r>
      <w:r>
        <w:rPr>
          <w:rFonts w:hint="default" w:ascii="Times New Roman" w:hAnsi="Times New Roman" w:cs="Times New Roman"/>
          <w:sz w:val="20"/>
          <w:szCs w:val="20"/>
        </w:rPr>
        <w:t>Table 7</w:t>
      </w:r>
      <w:r>
        <w:rPr>
          <w:rFonts w:hint="default" w:ascii="Times New Roman" w:hAnsi="Times New Roman" w:cs="Times New Roman"/>
          <w:sz w:val="20"/>
          <w:szCs w:val="20"/>
          <w:lang w:val="en-US"/>
        </w:rPr>
        <w:t>)</w:t>
      </w:r>
      <w:r>
        <w:rPr>
          <w:rFonts w:hint="default" w:ascii="Times New Roman" w:hAnsi="Times New Roman" w:cs="Times New Roman"/>
          <w:sz w:val="20"/>
          <w:szCs w:val="20"/>
        </w:rPr>
        <w:t>.</w:t>
      </w:r>
    </w:p>
    <w:p w14:paraId="4F244A87">
      <w:pPr>
        <w:spacing w:line="480" w:lineRule="auto"/>
        <w:jc w:val="left"/>
        <w:rPr>
          <w:rFonts w:hint="default" w:ascii="Times New Roman" w:hAnsi="Times New Roman" w:cs="Times New Roman"/>
          <w:b/>
          <w:bCs/>
          <w:sz w:val="20"/>
          <w:szCs w:val="20"/>
        </w:rPr>
      </w:pPr>
      <w:r>
        <w:rPr>
          <w:rFonts w:hint="default" w:ascii="Times New Roman" w:hAnsi="Times New Roman" w:cs="Times New Roman"/>
          <w:b/>
          <w:bCs/>
          <w:sz w:val="20"/>
          <w:szCs w:val="20"/>
          <w:lang w:val="en-US"/>
        </w:rPr>
        <w:t xml:space="preserve">Table 7: </w:t>
      </w:r>
      <w:r>
        <w:rPr>
          <w:rFonts w:hint="default" w:ascii="Times New Roman" w:hAnsi="Times New Roman" w:cs="Times New Roman"/>
          <w:b/>
          <w:bCs/>
          <w:sz w:val="20"/>
          <w:szCs w:val="20"/>
        </w:rPr>
        <w:t>Association of health Practitioners on the use of Nutraceuticals with Sociodemographic (N=185)</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5"/>
        <w:gridCol w:w="1890"/>
        <w:gridCol w:w="2250"/>
        <w:gridCol w:w="1440"/>
        <w:gridCol w:w="1525"/>
      </w:tblGrid>
      <w:tr w14:paraId="319EB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14:paraId="6AB436A5">
            <w:pPr>
              <w:spacing w:after="0" w:line="480" w:lineRule="auto"/>
              <w:jc w:val="left"/>
              <w:rPr>
                <w:rFonts w:hint="default" w:ascii="Times New Roman" w:hAnsi="Times New Roman" w:cs="Times New Roman"/>
                <w:b/>
                <w:bCs/>
                <w:sz w:val="20"/>
                <w:szCs w:val="20"/>
              </w:rPr>
            </w:pPr>
            <w:r>
              <w:rPr>
                <w:rFonts w:hint="default" w:ascii="Times New Roman" w:hAnsi="Times New Roman" w:cs="Times New Roman"/>
                <w:b/>
                <w:bCs/>
                <w:sz w:val="20"/>
                <w:szCs w:val="20"/>
              </w:rPr>
              <w:t>Variables</w:t>
            </w:r>
          </w:p>
        </w:tc>
        <w:tc>
          <w:tcPr>
            <w:tcW w:w="1890" w:type="dxa"/>
          </w:tcPr>
          <w:p w14:paraId="1A862F4F">
            <w:pPr>
              <w:spacing w:after="0" w:line="480" w:lineRule="auto"/>
              <w:jc w:val="left"/>
              <w:rPr>
                <w:rFonts w:hint="default" w:ascii="Times New Roman" w:hAnsi="Times New Roman" w:cs="Times New Roman"/>
                <w:b/>
                <w:bCs/>
                <w:sz w:val="20"/>
                <w:szCs w:val="20"/>
              </w:rPr>
            </w:pPr>
            <w:r>
              <w:rPr>
                <w:rFonts w:hint="default" w:ascii="Times New Roman" w:hAnsi="Times New Roman" w:cs="Times New Roman"/>
                <w:b/>
                <w:bCs/>
                <w:sz w:val="20"/>
                <w:szCs w:val="20"/>
              </w:rPr>
              <w:t>Poor Perception</w:t>
            </w:r>
          </w:p>
        </w:tc>
        <w:tc>
          <w:tcPr>
            <w:tcW w:w="2250" w:type="dxa"/>
          </w:tcPr>
          <w:p w14:paraId="06EE0F66">
            <w:pPr>
              <w:spacing w:after="0" w:line="480" w:lineRule="auto"/>
              <w:jc w:val="left"/>
              <w:rPr>
                <w:rFonts w:hint="default" w:ascii="Times New Roman" w:hAnsi="Times New Roman" w:cs="Times New Roman"/>
                <w:b/>
                <w:bCs/>
                <w:sz w:val="20"/>
                <w:szCs w:val="20"/>
              </w:rPr>
            </w:pPr>
            <w:r>
              <w:rPr>
                <w:rFonts w:hint="default" w:ascii="Times New Roman" w:hAnsi="Times New Roman" w:cs="Times New Roman"/>
                <w:b/>
                <w:bCs/>
                <w:sz w:val="20"/>
                <w:szCs w:val="20"/>
              </w:rPr>
              <w:t>Good Perception</w:t>
            </w:r>
          </w:p>
        </w:tc>
        <w:tc>
          <w:tcPr>
            <w:tcW w:w="1440" w:type="dxa"/>
          </w:tcPr>
          <w:p w14:paraId="21EA3EF4">
            <w:pPr>
              <w:spacing w:after="0" w:line="480" w:lineRule="auto"/>
              <w:jc w:val="left"/>
              <w:rPr>
                <w:rFonts w:hint="default" w:ascii="Times New Roman" w:hAnsi="Times New Roman" w:cs="Times New Roman"/>
                <w:b/>
                <w:bCs/>
                <w:sz w:val="20"/>
                <w:szCs w:val="20"/>
              </w:rPr>
            </w:pPr>
            <w:r>
              <w:rPr>
                <w:rFonts w:hint="default" w:ascii="Times New Roman" w:hAnsi="Times New Roman" w:cs="Times New Roman"/>
                <w:b/>
                <w:bCs/>
                <w:sz w:val="20"/>
                <w:szCs w:val="20"/>
              </w:rPr>
              <w:t>χ</w:t>
            </w:r>
            <w:r>
              <w:rPr>
                <w:rFonts w:hint="default" w:ascii="Times New Roman" w:hAnsi="Times New Roman" w:cs="Times New Roman"/>
                <w:b/>
                <w:bCs/>
                <w:sz w:val="20"/>
                <w:szCs w:val="20"/>
                <w:vertAlign w:val="superscript"/>
              </w:rPr>
              <w:t>2</w:t>
            </w:r>
            <w:r>
              <w:rPr>
                <w:rFonts w:hint="default" w:ascii="Times New Roman" w:hAnsi="Times New Roman" w:cs="Times New Roman"/>
                <w:b/>
                <w:bCs/>
                <w:sz w:val="20"/>
                <w:szCs w:val="20"/>
              </w:rPr>
              <w:t>(df)</w:t>
            </w:r>
          </w:p>
        </w:tc>
        <w:tc>
          <w:tcPr>
            <w:tcW w:w="1525" w:type="dxa"/>
          </w:tcPr>
          <w:p w14:paraId="09799EAE">
            <w:pPr>
              <w:spacing w:after="0" w:line="480" w:lineRule="auto"/>
              <w:jc w:val="left"/>
              <w:rPr>
                <w:rFonts w:hint="default" w:ascii="Times New Roman" w:hAnsi="Times New Roman" w:cs="Times New Roman"/>
                <w:b/>
                <w:bCs/>
                <w:sz w:val="20"/>
                <w:szCs w:val="20"/>
              </w:rPr>
            </w:pPr>
            <w:r>
              <w:rPr>
                <w:rFonts w:hint="default" w:ascii="Times New Roman" w:hAnsi="Times New Roman" w:cs="Times New Roman"/>
                <w:b/>
                <w:bCs/>
                <w:sz w:val="20"/>
                <w:szCs w:val="20"/>
              </w:rPr>
              <w:t>p-value</w:t>
            </w:r>
          </w:p>
        </w:tc>
      </w:tr>
      <w:tr w14:paraId="24B8A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14:paraId="4A987460">
            <w:pPr>
              <w:spacing w:after="0" w:line="480" w:lineRule="auto"/>
              <w:jc w:val="left"/>
              <w:rPr>
                <w:rFonts w:hint="default" w:ascii="Times New Roman" w:hAnsi="Times New Roman" w:cs="Times New Roman"/>
                <w:b/>
                <w:bCs/>
                <w:sz w:val="20"/>
                <w:szCs w:val="20"/>
              </w:rPr>
            </w:pPr>
            <w:r>
              <w:rPr>
                <w:rFonts w:hint="default" w:ascii="Times New Roman" w:hAnsi="Times New Roman" w:cs="Times New Roman"/>
                <w:b/>
                <w:bCs/>
                <w:sz w:val="20"/>
                <w:szCs w:val="20"/>
              </w:rPr>
              <w:t>Gender</w:t>
            </w:r>
          </w:p>
        </w:tc>
        <w:tc>
          <w:tcPr>
            <w:tcW w:w="1890" w:type="dxa"/>
          </w:tcPr>
          <w:p w14:paraId="7BC0196D">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n (%)</w:t>
            </w:r>
          </w:p>
        </w:tc>
        <w:tc>
          <w:tcPr>
            <w:tcW w:w="2250" w:type="dxa"/>
          </w:tcPr>
          <w:p w14:paraId="76B7693F">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n (%)</w:t>
            </w:r>
          </w:p>
        </w:tc>
        <w:tc>
          <w:tcPr>
            <w:tcW w:w="1440" w:type="dxa"/>
          </w:tcPr>
          <w:p w14:paraId="3D92C7BC">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4.483(1)</w:t>
            </w:r>
          </w:p>
        </w:tc>
        <w:tc>
          <w:tcPr>
            <w:tcW w:w="1525" w:type="dxa"/>
          </w:tcPr>
          <w:p w14:paraId="3BE8A606">
            <w:pPr>
              <w:spacing w:after="0" w:line="480" w:lineRule="auto"/>
              <w:jc w:val="left"/>
              <w:rPr>
                <w:rFonts w:hint="default" w:ascii="Times New Roman" w:hAnsi="Times New Roman" w:cs="Times New Roman"/>
                <w:b/>
                <w:bCs/>
                <w:sz w:val="20"/>
                <w:szCs w:val="20"/>
              </w:rPr>
            </w:pPr>
            <w:r>
              <w:rPr>
                <w:rFonts w:hint="default" w:ascii="Times New Roman" w:hAnsi="Times New Roman" w:cs="Times New Roman"/>
                <w:b/>
                <w:bCs/>
                <w:sz w:val="20"/>
                <w:szCs w:val="20"/>
              </w:rPr>
              <w:t>0.034</w:t>
            </w:r>
          </w:p>
        </w:tc>
      </w:tr>
      <w:tr w14:paraId="656A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14:paraId="1C0A6932">
            <w:pPr>
              <w:spacing w:after="0" w:line="480" w:lineRule="auto"/>
              <w:jc w:val="left"/>
              <w:rPr>
                <w:rFonts w:hint="default" w:ascii="Times New Roman" w:hAnsi="Times New Roman" w:cs="Times New Roman"/>
                <w:b/>
                <w:bCs/>
                <w:sz w:val="20"/>
                <w:szCs w:val="20"/>
              </w:rPr>
            </w:pPr>
            <w:r>
              <w:rPr>
                <w:rFonts w:hint="default" w:ascii="Times New Roman" w:hAnsi="Times New Roman" w:cs="Times New Roman"/>
                <w:sz w:val="20"/>
                <w:szCs w:val="20"/>
              </w:rPr>
              <w:t xml:space="preserve">  Male</w:t>
            </w:r>
          </w:p>
        </w:tc>
        <w:tc>
          <w:tcPr>
            <w:tcW w:w="1890" w:type="dxa"/>
          </w:tcPr>
          <w:p w14:paraId="10EABFA5">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43(52.4)</w:t>
            </w:r>
          </w:p>
        </w:tc>
        <w:tc>
          <w:tcPr>
            <w:tcW w:w="2250" w:type="dxa"/>
          </w:tcPr>
          <w:p w14:paraId="2057FCFA">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39(47.6)</w:t>
            </w:r>
          </w:p>
        </w:tc>
        <w:tc>
          <w:tcPr>
            <w:tcW w:w="1440" w:type="dxa"/>
          </w:tcPr>
          <w:p w14:paraId="38D800C5">
            <w:pPr>
              <w:spacing w:after="0" w:line="480" w:lineRule="auto"/>
              <w:jc w:val="left"/>
              <w:rPr>
                <w:rFonts w:hint="default" w:ascii="Times New Roman" w:hAnsi="Times New Roman" w:cs="Times New Roman"/>
                <w:b/>
                <w:bCs/>
                <w:sz w:val="20"/>
                <w:szCs w:val="20"/>
              </w:rPr>
            </w:pPr>
          </w:p>
        </w:tc>
        <w:tc>
          <w:tcPr>
            <w:tcW w:w="1525" w:type="dxa"/>
          </w:tcPr>
          <w:p w14:paraId="2AA921AA">
            <w:pPr>
              <w:spacing w:after="0" w:line="480" w:lineRule="auto"/>
              <w:jc w:val="left"/>
              <w:rPr>
                <w:rFonts w:hint="default" w:ascii="Times New Roman" w:hAnsi="Times New Roman" w:cs="Times New Roman"/>
                <w:b/>
                <w:bCs/>
                <w:sz w:val="20"/>
                <w:szCs w:val="20"/>
              </w:rPr>
            </w:pPr>
          </w:p>
        </w:tc>
      </w:tr>
      <w:tr w14:paraId="2468B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14:paraId="611A974A">
            <w:pPr>
              <w:spacing w:after="0" w:line="480" w:lineRule="auto"/>
              <w:jc w:val="left"/>
              <w:rPr>
                <w:rFonts w:hint="default" w:ascii="Times New Roman" w:hAnsi="Times New Roman" w:cs="Times New Roman"/>
                <w:b/>
                <w:bCs/>
                <w:sz w:val="20"/>
                <w:szCs w:val="20"/>
              </w:rPr>
            </w:pPr>
            <w:r>
              <w:rPr>
                <w:rFonts w:hint="default" w:ascii="Times New Roman" w:hAnsi="Times New Roman" w:cs="Times New Roman"/>
                <w:sz w:val="20"/>
                <w:szCs w:val="20"/>
              </w:rPr>
              <w:t xml:space="preserve">  Female</w:t>
            </w:r>
          </w:p>
        </w:tc>
        <w:tc>
          <w:tcPr>
            <w:tcW w:w="1890" w:type="dxa"/>
          </w:tcPr>
          <w:p w14:paraId="1E44FA65">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38(36.9)</w:t>
            </w:r>
          </w:p>
        </w:tc>
        <w:tc>
          <w:tcPr>
            <w:tcW w:w="2250" w:type="dxa"/>
          </w:tcPr>
          <w:p w14:paraId="53F547B1">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65(63.1)</w:t>
            </w:r>
          </w:p>
        </w:tc>
        <w:tc>
          <w:tcPr>
            <w:tcW w:w="1440" w:type="dxa"/>
          </w:tcPr>
          <w:p w14:paraId="63756BD0">
            <w:pPr>
              <w:spacing w:after="0" w:line="480" w:lineRule="auto"/>
              <w:jc w:val="left"/>
              <w:rPr>
                <w:rFonts w:hint="default" w:ascii="Times New Roman" w:hAnsi="Times New Roman" w:cs="Times New Roman"/>
                <w:sz w:val="20"/>
                <w:szCs w:val="20"/>
              </w:rPr>
            </w:pPr>
          </w:p>
        </w:tc>
        <w:tc>
          <w:tcPr>
            <w:tcW w:w="1525" w:type="dxa"/>
          </w:tcPr>
          <w:p w14:paraId="3477B126">
            <w:pPr>
              <w:spacing w:after="0" w:line="480" w:lineRule="auto"/>
              <w:jc w:val="left"/>
              <w:rPr>
                <w:rFonts w:hint="default" w:ascii="Times New Roman" w:hAnsi="Times New Roman" w:cs="Times New Roman"/>
                <w:sz w:val="20"/>
                <w:szCs w:val="20"/>
              </w:rPr>
            </w:pPr>
          </w:p>
        </w:tc>
      </w:tr>
      <w:tr w14:paraId="6606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14:paraId="01744D9D">
            <w:pPr>
              <w:spacing w:after="0" w:line="480" w:lineRule="auto"/>
              <w:jc w:val="left"/>
              <w:rPr>
                <w:rFonts w:hint="default" w:ascii="Times New Roman" w:hAnsi="Times New Roman" w:cs="Times New Roman"/>
                <w:b/>
                <w:bCs/>
                <w:sz w:val="20"/>
                <w:szCs w:val="20"/>
              </w:rPr>
            </w:pPr>
            <w:r>
              <w:rPr>
                <w:rFonts w:hint="default" w:ascii="Times New Roman" w:hAnsi="Times New Roman" w:cs="Times New Roman"/>
                <w:b/>
                <w:bCs/>
                <w:sz w:val="20"/>
                <w:szCs w:val="20"/>
              </w:rPr>
              <w:t>Age (in years)</w:t>
            </w:r>
          </w:p>
        </w:tc>
        <w:tc>
          <w:tcPr>
            <w:tcW w:w="1890" w:type="dxa"/>
          </w:tcPr>
          <w:p w14:paraId="203B98B9">
            <w:pPr>
              <w:spacing w:after="0" w:line="480" w:lineRule="auto"/>
              <w:jc w:val="left"/>
              <w:rPr>
                <w:rFonts w:hint="default" w:ascii="Times New Roman" w:hAnsi="Times New Roman" w:cs="Times New Roman"/>
                <w:sz w:val="20"/>
                <w:szCs w:val="20"/>
              </w:rPr>
            </w:pPr>
          </w:p>
        </w:tc>
        <w:tc>
          <w:tcPr>
            <w:tcW w:w="2250" w:type="dxa"/>
          </w:tcPr>
          <w:p w14:paraId="4FB5989F">
            <w:pPr>
              <w:spacing w:after="0" w:line="480" w:lineRule="auto"/>
              <w:jc w:val="left"/>
              <w:rPr>
                <w:rFonts w:hint="default" w:ascii="Times New Roman" w:hAnsi="Times New Roman" w:cs="Times New Roman"/>
                <w:sz w:val="20"/>
                <w:szCs w:val="20"/>
              </w:rPr>
            </w:pPr>
          </w:p>
        </w:tc>
        <w:tc>
          <w:tcPr>
            <w:tcW w:w="1440" w:type="dxa"/>
          </w:tcPr>
          <w:p w14:paraId="303E6FC9">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1.215(2)</w:t>
            </w:r>
          </w:p>
        </w:tc>
        <w:tc>
          <w:tcPr>
            <w:tcW w:w="1525" w:type="dxa"/>
          </w:tcPr>
          <w:p w14:paraId="2CFBF057">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0.545</w:t>
            </w:r>
          </w:p>
        </w:tc>
      </w:tr>
      <w:tr w14:paraId="59630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14:paraId="33A6FEBD">
            <w:pPr>
              <w:spacing w:after="0" w:line="480" w:lineRule="auto"/>
              <w:jc w:val="left"/>
              <w:rPr>
                <w:rFonts w:hint="default" w:ascii="Times New Roman" w:hAnsi="Times New Roman" w:cs="Times New Roman"/>
                <w:b/>
                <w:bCs/>
                <w:sz w:val="20"/>
                <w:szCs w:val="20"/>
              </w:rPr>
            </w:pPr>
            <w:r>
              <w:rPr>
                <w:rFonts w:hint="default" w:ascii="Times New Roman" w:hAnsi="Times New Roman" w:cs="Times New Roman"/>
                <w:sz w:val="20"/>
                <w:szCs w:val="20"/>
              </w:rPr>
              <w:t xml:space="preserve">  21-35</w:t>
            </w:r>
          </w:p>
        </w:tc>
        <w:tc>
          <w:tcPr>
            <w:tcW w:w="1890" w:type="dxa"/>
          </w:tcPr>
          <w:p w14:paraId="668AD160">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55(43.3)</w:t>
            </w:r>
          </w:p>
        </w:tc>
        <w:tc>
          <w:tcPr>
            <w:tcW w:w="2250" w:type="dxa"/>
          </w:tcPr>
          <w:p w14:paraId="2BA80D51">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72(56.7)</w:t>
            </w:r>
          </w:p>
        </w:tc>
        <w:tc>
          <w:tcPr>
            <w:tcW w:w="1440" w:type="dxa"/>
          </w:tcPr>
          <w:p w14:paraId="2C13CD77">
            <w:pPr>
              <w:spacing w:after="0" w:line="480" w:lineRule="auto"/>
              <w:jc w:val="left"/>
              <w:rPr>
                <w:rFonts w:hint="default" w:ascii="Times New Roman" w:hAnsi="Times New Roman" w:cs="Times New Roman"/>
                <w:b/>
                <w:bCs/>
                <w:sz w:val="20"/>
                <w:szCs w:val="20"/>
              </w:rPr>
            </w:pPr>
          </w:p>
        </w:tc>
        <w:tc>
          <w:tcPr>
            <w:tcW w:w="1525" w:type="dxa"/>
          </w:tcPr>
          <w:p w14:paraId="48B17926">
            <w:pPr>
              <w:spacing w:after="0" w:line="480" w:lineRule="auto"/>
              <w:jc w:val="left"/>
              <w:rPr>
                <w:rFonts w:hint="default" w:ascii="Times New Roman" w:hAnsi="Times New Roman" w:cs="Times New Roman"/>
                <w:b/>
                <w:bCs/>
                <w:sz w:val="20"/>
                <w:szCs w:val="20"/>
              </w:rPr>
            </w:pPr>
          </w:p>
        </w:tc>
      </w:tr>
      <w:tr w14:paraId="21E35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14:paraId="4FE58623">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 xml:space="preserve">  36-50</w:t>
            </w:r>
          </w:p>
        </w:tc>
        <w:tc>
          <w:tcPr>
            <w:tcW w:w="1890" w:type="dxa"/>
          </w:tcPr>
          <w:p w14:paraId="1057D99C">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21(42.0)</w:t>
            </w:r>
          </w:p>
        </w:tc>
        <w:tc>
          <w:tcPr>
            <w:tcW w:w="2250" w:type="dxa"/>
          </w:tcPr>
          <w:p w14:paraId="29E0C3EC">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29(58.0)</w:t>
            </w:r>
          </w:p>
        </w:tc>
        <w:tc>
          <w:tcPr>
            <w:tcW w:w="1440" w:type="dxa"/>
          </w:tcPr>
          <w:p w14:paraId="19CDAAEC">
            <w:pPr>
              <w:spacing w:after="0" w:line="480" w:lineRule="auto"/>
              <w:jc w:val="left"/>
              <w:rPr>
                <w:rFonts w:hint="default" w:ascii="Times New Roman" w:hAnsi="Times New Roman" w:cs="Times New Roman"/>
                <w:b/>
                <w:bCs/>
                <w:sz w:val="20"/>
                <w:szCs w:val="20"/>
              </w:rPr>
            </w:pPr>
          </w:p>
        </w:tc>
        <w:tc>
          <w:tcPr>
            <w:tcW w:w="1525" w:type="dxa"/>
          </w:tcPr>
          <w:p w14:paraId="398E585E">
            <w:pPr>
              <w:spacing w:after="0" w:line="480" w:lineRule="auto"/>
              <w:jc w:val="left"/>
              <w:rPr>
                <w:rFonts w:hint="default" w:ascii="Times New Roman" w:hAnsi="Times New Roman" w:cs="Times New Roman"/>
                <w:b/>
                <w:bCs/>
                <w:sz w:val="20"/>
                <w:szCs w:val="20"/>
              </w:rPr>
            </w:pPr>
          </w:p>
        </w:tc>
      </w:tr>
      <w:tr w14:paraId="0BAB6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14:paraId="6123E947">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&gt;50</w:t>
            </w:r>
          </w:p>
        </w:tc>
        <w:tc>
          <w:tcPr>
            <w:tcW w:w="1890" w:type="dxa"/>
          </w:tcPr>
          <w:p w14:paraId="16C1DC04">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5962.5)</w:t>
            </w:r>
          </w:p>
        </w:tc>
        <w:tc>
          <w:tcPr>
            <w:tcW w:w="2250" w:type="dxa"/>
          </w:tcPr>
          <w:p w14:paraId="54857289">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3(37.5)</w:t>
            </w:r>
          </w:p>
        </w:tc>
        <w:tc>
          <w:tcPr>
            <w:tcW w:w="1440" w:type="dxa"/>
          </w:tcPr>
          <w:p w14:paraId="27F73BCF">
            <w:pPr>
              <w:spacing w:after="0" w:line="480" w:lineRule="auto"/>
              <w:jc w:val="left"/>
              <w:rPr>
                <w:rFonts w:hint="default" w:ascii="Times New Roman" w:hAnsi="Times New Roman" w:cs="Times New Roman"/>
                <w:b/>
                <w:bCs/>
                <w:sz w:val="20"/>
                <w:szCs w:val="20"/>
              </w:rPr>
            </w:pPr>
          </w:p>
        </w:tc>
        <w:tc>
          <w:tcPr>
            <w:tcW w:w="1525" w:type="dxa"/>
          </w:tcPr>
          <w:p w14:paraId="7D8A3764">
            <w:pPr>
              <w:spacing w:after="0" w:line="480" w:lineRule="auto"/>
              <w:jc w:val="left"/>
              <w:rPr>
                <w:rFonts w:hint="default" w:ascii="Times New Roman" w:hAnsi="Times New Roman" w:cs="Times New Roman"/>
                <w:b/>
                <w:bCs/>
                <w:sz w:val="20"/>
                <w:szCs w:val="20"/>
              </w:rPr>
            </w:pPr>
          </w:p>
        </w:tc>
      </w:tr>
      <w:tr w14:paraId="5587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14:paraId="512AB8E1">
            <w:pPr>
              <w:spacing w:after="0" w:line="480" w:lineRule="auto"/>
              <w:jc w:val="left"/>
              <w:rPr>
                <w:rFonts w:hint="default" w:ascii="Times New Roman" w:hAnsi="Times New Roman" w:cs="Times New Roman"/>
                <w:sz w:val="20"/>
                <w:szCs w:val="20"/>
              </w:rPr>
            </w:pPr>
            <w:r>
              <w:rPr>
                <w:rFonts w:hint="default" w:ascii="Times New Roman" w:hAnsi="Times New Roman" w:cs="Times New Roman"/>
                <w:b/>
                <w:bCs/>
                <w:sz w:val="20"/>
                <w:szCs w:val="20"/>
              </w:rPr>
              <w:t>Profession</w:t>
            </w:r>
          </w:p>
        </w:tc>
        <w:tc>
          <w:tcPr>
            <w:tcW w:w="1890" w:type="dxa"/>
          </w:tcPr>
          <w:p w14:paraId="10D938E9">
            <w:pPr>
              <w:spacing w:after="0" w:line="480" w:lineRule="auto"/>
              <w:jc w:val="left"/>
              <w:rPr>
                <w:rFonts w:hint="default" w:ascii="Times New Roman" w:hAnsi="Times New Roman" w:cs="Times New Roman"/>
                <w:b/>
                <w:bCs/>
                <w:sz w:val="20"/>
                <w:szCs w:val="20"/>
              </w:rPr>
            </w:pPr>
          </w:p>
        </w:tc>
        <w:tc>
          <w:tcPr>
            <w:tcW w:w="2250" w:type="dxa"/>
          </w:tcPr>
          <w:p w14:paraId="5CECEBDD">
            <w:pPr>
              <w:spacing w:after="0" w:line="480" w:lineRule="auto"/>
              <w:jc w:val="left"/>
              <w:rPr>
                <w:rFonts w:hint="default" w:ascii="Times New Roman" w:hAnsi="Times New Roman" w:cs="Times New Roman"/>
                <w:b/>
                <w:bCs/>
                <w:sz w:val="20"/>
                <w:szCs w:val="20"/>
              </w:rPr>
            </w:pPr>
          </w:p>
        </w:tc>
        <w:tc>
          <w:tcPr>
            <w:tcW w:w="1440" w:type="dxa"/>
          </w:tcPr>
          <w:p w14:paraId="21B5BE5D">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12.136(4)</w:t>
            </w:r>
          </w:p>
        </w:tc>
        <w:tc>
          <w:tcPr>
            <w:tcW w:w="1525" w:type="dxa"/>
          </w:tcPr>
          <w:p w14:paraId="079E142E">
            <w:pPr>
              <w:spacing w:after="0" w:line="480" w:lineRule="auto"/>
              <w:jc w:val="left"/>
              <w:rPr>
                <w:rFonts w:hint="default" w:ascii="Times New Roman" w:hAnsi="Times New Roman" w:cs="Times New Roman"/>
                <w:b/>
                <w:bCs/>
                <w:sz w:val="20"/>
                <w:szCs w:val="20"/>
              </w:rPr>
            </w:pPr>
            <w:r>
              <w:rPr>
                <w:rFonts w:hint="default" w:ascii="Times New Roman" w:hAnsi="Times New Roman" w:cs="Times New Roman"/>
                <w:b/>
                <w:bCs/>
                <w:sz w:val="20"/>
                <w:szCs w:val="20"/>
              </w:rPr>
              <w:t>0.016</w:t>
            </w:r>
          </w:p>
        </w:tc>
      </w:tr>
      <w:tr w14:paraId="2E4C7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14:paraId="361B3346">
            <w:pPr>
              <w:spacing w:after="0" w:line="480" w:lineRule="auto"/>
              <w:jc w:val="left"/>
              <w:rPr>
                <w:rFonts w:hint="default" w:ascii="Times New Roman" w:hAnsi="Times New Roman" w:cs="Times New Roman"/>
                <w:b/>
                <w:bCs/>
                <w:sz w:val="20"/>
                <w:szCs w:val="20"/>
              </w:rPr>
            </w:pPr>
            <w:r>
              <w:rPr>
                <w:rFonts w:hint="default" w:ascii="Times New Roman" w:hAnsi="Times New Roman" w:cs="Times New Roman"/>
                <w:sz w:val="20"/>
                <w:szCs w:val="20"/>
              </w:rPr>
              <w:t xml:space="preserve">  Medical officer</w:t>
            </w:r>
          </w:p>
        </w:tc>
        <w:tc>
          <w:tcPr>
            <w:tcW w:w="1890" w:type="dxa"/>
          </w:tcPr>
          <w:p w14:paraId="61C575C6">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2250" w:type="dxa"/>
          </w:tcPr>
          <w:p w14:paraId="3C1B54A3">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2(100)</w:t>
            </w:r>
          </w:p>
        </w:tc>
        <w:tc>
          <w:tcPr>
            <w:tcW w:w="1440" w:type="dxa"/>
          </w:tcPr>
          <w:p w14:paraId="7F165002">
            <w:pPr>
              <w:spacing w:after="0" w:line="480" w:lineRule="auto"/>
              <w:jc w:val="left"/>
              <w:rPr>
                <w:rFonts w:hint="default" w:ascii="Times New Roman" w:hAnsi="Times New Roman" w:cs="Times New Roman"/>
                <w:b/>
                <w:bCs/>
                <w:sz w:val="20"/>
                <w:szCs w:val="20"/>
              </w:rPr>
            </w:pPr>
          </w:p>
        </w:tc>
        <w:tc>
          <w:tcPr>
            <w:tcW w:w="1525" w:type="dxa"/>
          </w:tcPr>
          <w:p w14:paraId="28C1A66C">
            <w:pPr>
              <w:spacing w:after="0" w:line="480" w:lineRule="auto"/>
              <w:jc w:val="left"/>
              <w:rPr>
                <w:rFonts w:hint="default" w:ascii="Times New Roman" w:hAnsi="Times New Roman" w:cs="Times New Roman"/>
                <w:b/>
                <w:bCs/>
                <w:sz w:val="20"/>
                <w:szCs w:val="20"/>
              </w:rPr>
            </w:pPr>
          </w:p>
        </w:tc>
      </w:tr>
      <w:tr w14:paraId="1A410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14:paraId="4C121269">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 xml:space="preserve">  Registrar</w:t>
            </w:r>
          </w:p>
        </w:tc>
        <w:tc>
          <w:tcPr>
            <w:tcW w:w="1890" w:type="dxa"/>
          </w:tcPr>
          <w:p w14:paraId="745EB2DD">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7(26.9)</w:t>
            </w:r>
          </w:p>
        </w:tc>
        <w:tc>
          <w:tcPr>
            <w:tcW w:w="2250" w:type="dxa"/>
          </w:tcPr>
          <w:p w14:paraId="46EDDF47">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19(73.1)</w:t>
            </w:r>
          </w:p>
        </w:tc>
        <w:tc>
          <w:tcPr>
            <w:tcW w:w="1440" w:type="dxa"/>
          </w:tcPr>
          <w:p w14:paraId="25E2C0BC">
            <w:pPr>
              <w:spacing w:after="0" w:line="480" w:lineRule="auto"/>
              <w:jc w:val="left"/>
              <w:rPr>
                <w:rFonts w:hint="default" w:ascii="Times New Roman" w:hAnsi="Times New Roman" w:cs="Times New Roman"/>
                <w:b/>
                <w:bCs/>
                <w:sz w:val="20"/>
                <w:szCs w:val="20"/>
              </w:rPr>
            </w:pPr>
          </w:p>
        </w:tc>
        <w:tc>
          <w:tcPr>
            <w:tcW w:w="1525" w:type="dxa"/>
          </w:tcPr>
          <w:p w14:paraId="6FFB1C43">
            <w:pPr>
              <w:spacing w:after="0" w:line="480" w:lineRule="auto"/>
              <w:jc w:val="left"/>
              <w:rPr>
                <w:rFonts w:hint="default" w:ascii="Times New Roman" w:hAnsi="Times New Roman" w:cs="Times New Roman"/>
                <w:b/>
                <w:bCs/>
                <w:sz w:val="20"/>
                <w:szCs w:val="20"/>
              </w:rPr>
            </w:pPr>
          </w:p>
        </w:tc>
      </w:tr>
      <w:tr w14:paraId="2AAF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14:paraId="15587789">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 xml:space="preserve">  Nurse</w:t>
            </w:r>
          </w:p>
        </w:tc>
        <w:tc>
          <w:tcPr>
            <w:tcW w:w="1890" w:type="dxa"/>
          </w:tcPr>
          <w:p w14:paraId="5F0F6DDA">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54(54.0)</w:t>
            </w:r>
          </w:p>
        </w:tc>
        <w:tc>
          <w:tcPr>
            <w:tcW w:w="2250" w:type="dxa"/>
          </w:tcPr>
          <w:p w14:paraId="051BE16C">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46(46.0)</w:t>
            </w:r>
          </w:p>
        </w:tc>
        <w:tc>
          <w:tcPr>
            <w:tcW w:w="1440" w:type="dxa"/>
          </w:tcPr>
          <w:p w14:paraId="3ABB2AB0">
            <w:pPr>
              <w:spacing w:after="0" w:line="480" w:lineRule="auto"/>
              <w:jc w:val="left"/>
              <w:rPr>
                <w:rFonts w:hint="default" w:ascii="Times New Roman" w:hAnsi="Times New Roman" w:cs="Times New Roman"/>
                <w:b/>
                <w:bCs/>
                <w:sz w:val="20"/>
                <w:szCs w:val="20"/>
              </w:rPr>
            </w:pPr>
          </w:p>
        </w:tc>
        <w:tc>
          <w:tcPr>
            <w:tcW w:w="1525" w:type="dxa"/>
          </w:tcPr>
          <w:p w14:paraId="04B98A81">
            <w:pPr>
              <w:spacing w:after="0" w:line="480" w:lineRule="auto"/>
              <w:jc w:val="left"/>
              <w:rPr>
                <w:rFonts w:hint="default" w:ascii="Times New Roman" w:hAnsi="Times New Roman" w:cs="Times New Roman"/>
                <w:b/>
                <w:bCs/>
                <w:sz w:val="20"/>
                <w:szCs w:val="20"/>
              </w:rPr>
            </w:pPr>
          </w:p>
        </w:tc>
      </w:tr>
      <w:tr w14:paraId="37C2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14:paraId="39763F3A">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 xml:space="preserve">  Pharmacist</w:t>
            </w:r>
          </w:p>
        </w:tc>
        <w:tc>
          <w:tcPr>
            <w:tcW w:w="1890" w:type="dxa"/>
          </w:tcPr>
          <w:p w14:paraId="14105C00">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20(37.0)</w:t>
            </w:r>
          </w:p>
        </w:tc>
        <w:tc>
          <w:tcPr>
            <w:tcW w:w="2250" w:type="dxa"/>
          </w:tcPr>
          <w:p w14:paraId="5B66E499">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34(63.0)</w:t>
            </w:r>
          </w:p>
        </w:tc>
        <w:tc>
          <w:tcPr>
            <w:tcW w:w="1440" w:type="dxa"/>
          </w:tcPr>
          <w:p w14:paraId="1E05E5AC">
            <w:pPr>
              <w:spacing w:after="0" w:line="480" w:lineRule="auto"/>
              <w:jc w:val="left"/>
              <w:rPr>
                <w:rFonts w:hint="default" w:ascii="Times New Roman" w:hAnsi="Times New Roman" w:cs="Times New Roman"/>
                <w:b/>
                <w:bCs/>
                <w:sz w:val="20"/>
                <w:szCs w:val="20"/>
              </w:rPr>
            </w:pPr>
          </w:p>
        </w:tc>
        <w:tc>
          <w:tcPr>
            <w:tcW w:w="1525" w:type="dxa"/>
          </w:tcPr>
          <w:p w14:paraId="717FF637">
            <w:pPr>
              <w:spacing w:after="0" w:line="480" w:lineRule="auto"/>
              <w:jc w:val="left"/>
              <w:rPr>
                <w:rFonts w:hint="default" w:ascii="Times New Roman" w:hAnsi="Times New Roman" w:cs="Times New Roman"/>
                <w:b/>
                <w:bCs/>
                <w:sz w:val="20"/>
                <w:szCs w:val="20"/>
              </w:rPr>
            </w:pPr>
          </w:p>
        </w:tc>
      </w:tr>
      <w:tr w14:paraId="5668B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14:paraId="5CFFC0AA">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 xml:space="preserve">  Consultant</w:t>
            </w:r>
          </w:p>
        </w:tc>
        <w:tc>
          <w:tcPr>
            <w:tcW w:w="1890" w:type="dxa"/>
          </w:tcPr>
          <w:p w14:paraId="05D1A582">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0().0)</w:t>
            </w:r>
          </w:p>
        </w:tc>
        <w:tc>
          <w:tcPr>
            <w:tcW w:w="2250" w:type="dxa"/>
          </w:tcPr>
          <w:p w14:paraId="1B9EA8D0">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3(100)</w:t>
            </w:r>
          </w:p>
        </w:tc>
        <w:tc>
          <w:tcPr>
            <w:tcW w:w="1440" w:type="dxa"/>
          </w:tcPr>
          <w:p w14:paraId="60FA01F2">
            <w:pPr>
              <w:spacing w:after="0" w:line="480" w:lineRule="auto"/>
              <w:jc w:val="left"/>
              <w:rPr>
                <w:rFonts w:hint="default" w:ascii="Times New Roman" w:hAnsi="Times New Roman" w:cs="Times New Roman"/>
                <w:b/>
                <w:bCs/>
                <w:sz w:val="20"/>
                <w:szCs w:val="20"/>
              </w:rPr>
            </w:pPr>
          </w:p>
        </w:tc>
        <w:tc>
          <w:tcPr>
            <w:tcW w:w="1525" w:type="dxa"/>
          </w:tcPr>
          <w:p w14:paraId="6DCA4008">
            <w:pPr>
              <w:spacing w:after="0" w:line="480" w:lineRule="auto"/>
              <w:jc w:val="left"/>
              <w:rPr>
                <w:rFonts w:hint="default" w:ascii="Times New Roman" w:hAnsi="Times New Roman" w:cs="Times New Roman"/>
                <w:b/>
                <w:bCs/>
                <w:sz w:val="20"/>
                <w:szCs w:val="20"/>
              </w:rPr>
            </w:pPr>
          </w:p>
        </w:tc>
      </w:tr>
      <w:tr w14:paraId="5EAE0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14:paraId="1F3ED405">
            <w:pPr>
              <w:spacing w:after="0" w:line="480" w:lineRule="auto"/>
              <w:jc w:val="left"/>
              <w:rPr>
                <w:rFonts w:hint="default" w:ascii="Times New Roman" w:hAnsi="Times New Roman" w:cs="Times New Roman"/>
                <w:sz w:val="20"/>
                <w:szCs w:val="20"/>
              </w:rPr>
            </w:pPr>
            <w:r>
              <w:rPr>
                <w:rFonts w:hint="default" w:ascii="Times New Roman" w:hAnsi="Times New Roman" w:cs="Times New Roman"/>
                <w:b/>
                <w:bCs/>
                <w:sz w:val="20"/>
                <w:szCs w:val="20"/>
              </w:rPr>
              <w:t>Years of experience</w:t>
            </w:r>
          </w:p>
        </w:tc>
        <w:tc>
          <w:tcPr>
            <w:tcW w:w="1890" w:type="dxa"/>
          </w:tcPr>
          <w:p w14:paraId="2FCF0F2C">
            <w:pPr>
              <w:spacing w:after="0" w:line="480" w:lineRule="auto"/>
              <w:jc w:val="left"/>
              <w:rPr>
                <w:rFonts w:hint="default" w:ascii="Times New Roman" w:hAnsi="Times New Roman" w:cs="Times New Roman"/>
                <w:b/>
                <w:bCs/>
                <w:sz w:val="20"/>
                <w:szCs w:val="20"/>
              </w:rPr>
            </w:pPr>
          </w:p>
        </w:tc>
        <w:tc>
          <w:tcPr>
            <w:tcW w:w="2250" w:type="dxa"/>
          </w:tcPr>
          <w:p w14:paraId="0204DEDB">
            <w:pPr>
              <w:spacing w:after="0" w:line="480" w:lineRule="auto"/>
              <w:jc w:val="left"/>
              <w:rPr>
                <w:rFonts w:hint="default" w:ascii="Times New Roman" w:hAnsi="Times New Roman" w:cs="Times New Roman"/>
                <w:b/>
                <w:bCs/>
                <w:sz w:val="20"/>
                <w:szCs w:val="20"/>
              </w:rPr>
            </w:pPr>
          </w:p>
        </w:tc>
        <w:tc>
          <w:tcPr>
            <w:tcW w:w="1440" w:type="dxa"/>
          </w:tcPr>
          <w:p w14:paraId="376F4A03">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1.272(2)</w:t>
            </w:r>
          </w:p>
        </w:tc>
        <w:tc>
          <w:tcPr>
            <w:tcW w:w="1525" w:type="dxa"/>
          </w:tcPr>
          <w:p w14:paraId="0F8F337F">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0.529</w:t>
            </w:r>
          </w:p>
        </w:tc>
      </w:tr>
      <w:tr w14:paraId="43B73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14:paraId="30B831D4">
            <w:pPr>
              <w:spacing w:after="0" w:line="480" w:lineRule="auto"/>
              <w:jc w:val="left"/>
              <w:rPr>
                <w:rFonts w:hint="default" w:ascii="Times New Roman" w:hAnsi="Times New Roman" w:cs="Times New Roman"/>
                <w:b/>
                <w:bCs/>
                <w:sz w:val="20"/>
                <w:szCs w:val="20"/>
              </w:rPr>
            </w:pPr>
            <w:r>
              <w:rPr>
                <w:rFonts w:hint="default" w:ascii="Times New Roman" w:hAnsi="Times New Roman" w:cs="Times New Roman"/>
                <w:sz w:val="20"/>
                <w:szCs w:val="20"/>
              </w:rPr>
              <w:t xml:space="preserve">  &lt;1</w:t>
            </w:r>
          </w:p>
        </w:tc>
        <w:tc>
          <w:tcPr>
            <w:tcW w:w="1890" w:type="dxa"/>
          </w:tcPr>
          <w:p w14:paraId="1CCA224B">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3(60.0)</w:t>
            </w:r>
          </w:p>
        </w:tc>
        <w:tc>
          <w:tcPr>
            <w:tcW w:w="2250" w:type="dxa"/>
          </w:tcPr>
          <w:p w14:paraId="4C3FBE77">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2(40.0)</w:t>
            </w:r>
          </w:p>
        </w:tc>
        <w:tc>
          <w:tcPr>
            <w:tcW w:w="1440" w:type="dxa"/>
          </w:tcPr>
          <w:p w14:paraId="46A28EBC">
            <w:pPr>
              <w:spacing w:after="0" w:line="480" w:lineRule="auto"/>
              <w:jc w:val="left"/>
              <w:rPr>
                <w:rFonts w:hint="default" w:ascii="Times New Roman" w:hAnsi="Times New Roman" w:cs="Times New Roman"/>
                <w:b/>
                <w:bCs/>
                <w:sz w:val="20"/>
                <w:szCs w:val="20"/>
              </w:rPr>
            </w:pPr>
          </w:p>
        </w:tc>
        <w:tc>
          <w:tcPr>
            <w:tcW w:w="1525" w:type="dxa"/>
          </w:tcPr>
          <w:p w14:paraId="2AD3A8E2">
            <w:pPr>
              <w:spacing w:after="0" w:line="480" w:lineRule="auto"/>
              <w:jc w:val="left"/>
              <w:rPr>
                <w:rFonts w:hint="default" w:ascii="Times New Roman" w:hAnsi="Times New Roman" w:cs="Times New Roman"/>
                <w:b/>
                <w:bCs/>
                <w:sz w:val="20"/>
                <w:szCs w:val="20"/>
              </w:rPr>
            </w:pPr>
          </w:p>
        </w:tc>
      </w:tr>
      <w:tr w14:paraId="1B87E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14:paraId="5D737CA9">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 xml:space="preserve">  1-5 </w:t>
            </w:r>
          </w:p>
        </w:tc>
        <w:tc>
          <w:tcPr>
            <w:tcW w:w="1890" w:type="dxa"/>
          </w:tcPr>
          <w:p w14:paraId="3DAFC4CE">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50(45.9)</w:t>
            </w:r>
          </w:p>
        </w:tc>
        <w:tc>
          <w:tcPr>
            <w:tcW w:w="2250" w:type="dxa"/>
          </w:tcPr>
          <w:p w14:paraId="2225DCEA">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59(54.1)</w:t>
            </w:r>
          </w:p>
        </w:tc>
        <w:tc>
          <w:tcPr>
            <w:tcW w:w="1440" w:type="dxa"/>
          </w:tcPr>
          <w:p w14:paraId="79F6C325">
            <w:pPr>
              <w:spacing w:after="0" w:line="480" w:lineRule="auto"/>
              <w:jc w:val="left"/>
              <w:rPr>
                <w:rFonts w:hint="default" w:ascii="Times New Roman" w:hAnsi="Times New Roman" w:cs="Times New Roman"/>
                <w:b/>
                <w:bCs/>
                <w:sz w:val="20"/>
                <w:szCs w:val="20"/>
              </w:rPr>
            </w:pPr>
          </w:p>
        </w:tc>
        <w:tc>
          <w:tcPr>
            <w:tcW w:w="1525" w:type="dxa"/>
          </w:tcPr>
          <w:p w14:paraId="181D55FD">
            <w:pPr>
              <w:spacing w:after="0" w:line="480" w:lineRule="auto"/>
              <w:jc w:val="left"/>
              <w:rPr>
                <w:rFonts w:hint="default" w:ascii="Times New Roman" w:hAnsi="Times New Roman" w:cs="Times New Roman"/>
                <w:b/>
                <w:bCs/>
                <w:sz w:val="20"/>
                <w:szCs w:val="20"/>
              </w:rPr>
            </w:pPr>
          </w:p>
        </w:tc>
      </w:tr>
      <w:tr w14:paraId="69AF6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14:paraId="7803E104">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 xml:space="preserve">  &gt;5</w:t>
            </w:r>
          </w:p>
        </w:tc>
        <w:tc>
          <w:tcPr>
            <w:tcW w:w="1890" w:type="dxa"/>
          </w:tcPr>
          <w:p w14:paraId="2A3210F3">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28(39.4)</w:t>
            </w:r>
          </w:p>
        </w:tc>
        <w:tc>
          <w:tcPr>
            <w:tcW w:w="2250" w:type="dxa"/>
          </w:tcPr>
          <w:p w14:paraId="16DA0499">
            <w:pPr>
              <w:spacing w:after="0" w:line="480" w:lineRule="auto"/>
              <w:jc w:val="left"/>
              <w:rPr>
                <w:rFonts w:hint="default" w:ascii="Times New Roman" w:hAnsi="Times New Roman" w:cs="Times New Roman"/>
                <w:sz w:val="20"/>
                <w:szCs w:val="20"/>
              </w:rPr>
            </w:pPr>
            <w:r>
              <w:rPr>
                <w:rFonts w:hint="default" w:ascii="Times New Roman" w:hAnsi="Times New Roman" w:cs="Times New Roman"/>
                <w:sz w:val="20"/>
                <w:szCs w:val="20"/>
              </w:rPr>
              <w:t>43(60.6)</w:t>
            </w:r>
          </w:p>
        </w:tc>
        <w:tc>
          <w:tcPr>
            <w:tcW w:w="1440" w:type="dxa"/>
          </w:tcPr>
          <w:p w14:paraId="553C6462">
            <w:pPr>
              <w:spacing w:after="0" w:line="480" w:lineRule="auto"/>
              <w:jc w:val="left"/>
              <w:rPr>
                <w:rFonts w:hint="default" w:ascii="Times New Roman" w:hAnsi="Times New Roman" w:cs="Times New Roman"/>
                <w:b/>
                <w:bCs/>
                <w:sz w:val="20"/>
                <w:szCs w:val="20"/>
              </w:rPr>
            </w:pPr>
          </w:p>
        </w:tc>
        <w:tc>
          <w:tcPr>
            <w:tcW w:w="1525" w:type="dxa"/>
          </w:tcPr>
          <w:p w14:paraId="2CD080DE">
            <w:pPr>
              <w:spacing w:after="0" w:line="480" w:lineRule="auto"/>
              <w:jc w:val="left"/>
              <w:rPr>
                <w:rFonts w:hint="default" w:ascii="Times New Roman" w:hAnsi="Times New Roman" w:cs="Times New Roman"/>
                <w:b/>
                <w:bCs/>
                <w:sz w:val="20"/>
                <w:szCs w:val="20"/>
              </w:rPr>
            </w:pPr>
          </w:p>
        </w:tc>
      </w:tr>
    </w:tbl>
    <w:p w14:paraId="04EE08BD">
      <w:pPr>
        <w:spacing w:before="100" w:beforeAutospacing="1" w:after="100" w:afterAutospacing="1" w:line="480" w:lineRule="auto"/>
        <w:outlineLvl w:val="2"/>
        <w:rPr>
          <w:rFonts w:hint="default" w:ascii="Times New Roman" w:hAnsi="Times New Roman" w:eastAsia="Times New Roman" w:cs="Times New Roman"/>
          <w:b/>
          <w:bCs/>
          <w:sz w:val="20"/>
          <w:szCs w:val="20"/>
          <w:lang w:eastAsia="en-US"/>
        </w:rPr>
      </w:pPr>
      <w:r>
        <w:rPr>
          <w:rFonts w:hint="default" w:ascii="Times New Roman" w:hAnsi="Times New Roman" w:eastAsia="Times New Roman" w:cs="Times New Roman"/>
          <w:b/>
          <w:bCs/>
          <w:sz w:val="20"/>
          <w:szCs w:val="20"/>
          <w:lang w:eastAsia="en-US"/>
        </w:rPr>
        <w:t>DISCUSSION</w:t>
      </w:r>
    </w:p>
    <w:p w14:paraId="769D2A1C">
      <w:pPr>
        <w:spacing w:before="100" w:beforeAutospacing="1" w:after="100" w:afterAutospacing="1" w:line="480" w:lineRule="auto"/>
        <w:outlineLvl w:val="2"/>
        <w:rPr>
          <w:rFonts w:hint="default"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rPr>
        <w:t>Th</w:t>
      </w:r>
      <w:r>
        <w:rPr>
          <w:rFonts w:hint="default" w:ascii="Times New Roman" w:hAnsi="Times New Roman" w:eastAsia="Times New Roman" w:cs="Times New Roman"/>
          <w:sz w:val="20"/>
          <w:szCs w:val="20"/>
          <w:lang w:val="en-US"/>
        </w:rPr>
        <w:t>is</w:t>
      </w:r>
      <w:r>
        <w:rPr>
          <w:rFonts w:hint="default" w:ascii="Times New Roman" w:hAnsi="Times New Roman" w:eastAsia="Times New Roman" w:cs="Times New Roman"/>
          <w:sz w:val="20"/>
          <w:szCs w:val="20"/>
        </w:rPr>
        <w:t xml:space="preserve"> study assess</w:t>
      </w:r>
      <w:r>
        <w:rPr>
          <w:rFonts w:hint="default" w:ascii="Times New Roman" w:hAnsi="Times New Roman" w:eastAsia="Times New Roman" w:cs="Times New Roman"/>
          <w:sz w:val="20"/>
          <w:szCs w:val="20"/>
          <w:lang w:val="en-US"/>
        </w:rPr>
        <w:t>ed</w:t>
      </w:r>
      <w:r>
        <w:rPr>
          <w:rFonts w:hint="default" w:ascii="Times New Roman" w:hAnsi="Times New Roman" w:eastAsia="Times New Roman" w:cs="Times New Roman"/>
          <w:sz w:val="20"/>
          <w:szCs w:val="20"/>
        </w:rPr>
        <w:t xml:space="preserve"> the knowledge, attitudes and perception level of healthcare practitioners in Enugu state on the use of nutraceuticals.</w:t>
      </w:r>
      <w:r>
        <w:rPr>
          <w:rFonts w:hint="default" w:ascii="Times New Roman" w:hAnsi="Times New Roman" w:eastAsia="Times New Roman" w:cs="Times New Roman"/>
          <w:sz w:val="20"/>
          <w:szCs w:val="20"/>
          <w:lang w:val="en-US"/>
        </w:rPr>
        <w:t xml:space="preserve"> Most of the health practitioners studied have a good knowledge on the use of Nutraceuticals, they showed a positive attitude as well as a good perception on the use of nutraceuticals. </w:t>
      </w:r>
    </w:p>
    <w:p w14:paraId="5C1E1D81">
      <w:pPr>
        <w:spacing w:after="0" w:line="480" w:lineRule="auto"/>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 xml:space="preserve">Knowledge of healthcare practitioners; The findings indicate a significant majority of this study participants showed a good understanding of nutraceuticals, with a greater awareness of iron and folic acid supplements than of antioxidants or omega-3 fatty acids. This incomplete understanding is consistent with Shrestha </w:t>
      </w:r>
      <w:r>
        <w:rPr>
          <w:rFonts w:hint="default" w:ascii="Times New Roman" w:hAnsi="Times New Roman" w:eastAsia="Times New Roman" w:cs="Times New Roman"/>
          <w:i/>
          <w:iCs/>
          <w:sz w:val="20"/>
          <w:szCs w:val="20"/>
        </w:rPr>
        <w:t>et al</w:t>
      </w:r>
      <w:r>
        <w:rPr>
          <w:rFonts w:hint="default" w:ascii="Times New Roman" w:hAnsi="Times New Roman" w:eastAsia="Times New Roman" w:cs="Times New Roman"/>
          <w:sz w:val="20"/>
          <w:szCs w:val="20"/>
        </w:rPr>
        <w:t>.</w:t>
      </w:r>
      <w:r>
        <w:rPr>
          <w:rFonts w:hint="default" w:ascii="Times New Roman" w:hAnsi="Times New Roman" w:eastAsia="Times New Roman" w:cs="Times New Roman"/>
          <w:sz w:val="20"/>
          <w:szCs w:val="20"/>
        </w:rPr>
        <w:fldChar w:fldCharType="begin" w:fldLock="1"/>
      </w:r>
      <w:r>
        <w:rPr>
          <w:rFonts w:hint="default" w:ascii="Times New Roman" w:hAnsi="Times New Roman" w:eastAsia="Times New Roman" w:cs="Times New Roman"/>
          <w:sz w:val="20"/>
          <w:szCs w:val="20"/>
          <w:lang w:val="en-US"/>
        </w:rPr>
        <w:instrText xml:space="preserve">ADDIN CSL_CITATION {"citationItems":[{"id":"ITEM-1","itemData":{"DOI":"10.1371/JOURNAL.PONE.0252538","ISSN":"19326203","PMID":"34086755","abstract":"Background There is substantial increment in nutraceutical consumption in Nepal, although the data on its efficacy and safety is scarce. The practices of nutraceutical supplements users in Nepal remain undocumented. Therefore, this study was conducted to study the prescription pattern, cost, knowledge, attitude and practice (KAP) of the patient towards nutraceutical. Methods Descriptive cross-sectional study with stratified purposive sampling (n = 400) (patients from the out-patient departments of Scheer Memorial Adventist Hospital, Kavre, Nepal) was performed using a validated structured questionnaire assessing the socio-demographic characteristics, knowledge, attitude, practice of nutraceutical and total cost patients spent on nutraceutical alone. Pearson Chi-square test (x2) was used to investigate the association between socio-demographic variables and patients' KAP (knowledge, attitude and practice) towards nutraceutical. One way ANOVA was performed to compare the cost of nutraceutical among the different outpatient departments. Results More than 80% of patients were found to be consuming nutraceutical on their own. The mostly prescribed nutraceutical were vitamins (40.7%), minerals (23.7%), enzymes (21.1%), proteins (8.8%), probiotics (4.2%) and herbals (2.0%). With the most common reasons for consuming nutraceutical were to maintain good health (70.0%) and healthcare professionals (57.85%) were the most approached source of information for nutraceutical. Nearly half of the patients (46.5%) had an inadequate level of knowledge whereas more than two-third (71.5%) showed a moderate positive attitude towards nutraceutical use. The average amount patients spent was NRs.575.78 [equivalent to USD 4.85] per prescription on nutraceutical alone. The maximum cost amounted to NRs 757.18 [equivalent to USD 6.43] in Orthopedics, and the minimum cost was NRs 399.03 [equivalent to USD 3.36] in Obstetrics and gynecology, respectively. There was a significant difference (p &lt; 0.001) in cost of nutraceutical prescribed between the OPD clinics. Conclusion The higher prevalence of inadequate knowledge despite moderate positive attitude towards nutraceutical among patients regarding some significant issues such as safety and interactions of nutraceutical consumption and its' substitution for meals reflects the need to develop an educational strategy to increase general public awareness on the rational use of nutraceutical. Copyright:","author":[{"dropping-particle":"","family":"Shrestha","given":"Rabi","non-dropping-particle":"","parse-names":false,"suffix":""},{"dropping-particle":"","family":"Shrestha","given":"Sweta","non-dropping-particle":"","parse-names":false,"suffix":""},{"dropping-particle":"","family":"Badri","given":"K. C.","non-dropping-particle":"","parse-names":false,"suffix":""},{"dropping-particle":"","family":"Shrestha","given":"Sunil","non-dropping-particle":"","parse-names":false,"suffix":""}],"container-title":"PLoS ONE","id":"ITEM-1","issue":"6 June","issued":{"date-parts":[["2021","6","1"]]},"publisher":"Public Library of Science","title":"Evaluation of nutritional supplements prescribed, its associated cost and patients knowledge, attitude and practice towards nutraceuticals: A hospital based crosssectional study in Kavrepalanchok, Nepal","type":"article-journal","volume":"16"},"uris":["http://www.mendeley.com/documents/?uuid=a86c1afa-a7fd-3702-82ca-ab1a7488ea51"]}],"mendeley":{"formattedCitation":"(Shrestha et al., 2021)","plainTextFormattedCitation":"(Shrestha et al., 2021)","previouslyFormattedCitation":"(Shrestha et al., 2021)"},"properties":{"noteIndex":0},"schema":"https://github.com/citation-style-language/schema/raw/master/csl-citation.json"}</w:instrText>
      </w:r>
      <w:r>
        <w:rPr>
          <w:rFonts w:hint="default" w:ascii="Times New Roman" w:hAnsi="Times New Roman" w:eastAsia="Times New Roman" w:cs="Times New Roman"/>
          <w:sz w:val="20"/>
          <w:szCs w:val="20"/>
        </w:rPr>
        <w:fldChar w:fldCharType="separate"/>
      </w:r>
      <w:r>
        <w:rPr>
          <w:rFonts w:hint="default" w:ascii="Times New Roman" w:hAnsi="Times New Roman" w:eastAsia="Times New Roman" w:cs="Times New Roman"/>
          <w:b w:val="0"/>
          <w:i w:val="0"/>
          <w:smallCaps w:val="0"/>
          <w:sz w:val="20"/>
          <w:szCs w:val="20"/>
          <w:u w:val="none"/>
          <w:lang w:val="en-US" w:eastAsia="zh-CN"/>
        </w:rPr>
        <w:t>(Shrestha et al., 2021)</w:t>
      </w:r>
      <w:r>
        <w:rPr>
          <w:rFonts w:hint="default" w:ascii="Times New Roman" w:hAnsi="Times New Roman" w:eastAsia="Times New Roman" w:cs="Times New Roman"/>
          <w:sz w:val="20"/>
          <w:szCs w:val="20"/>
        </w:rPr>
        <w:fldChar w:fldCharType="end"/>
      </w:r>
      <w:r>
        <w:rPr>
          <w:rFonts w:hint="default" w:ascii="Times New Roman" w:hAnsi="Times New Roman" w:eastAsia="Times New Roman" w:cs="Times New Roman"/>
          <w:sz w:val="20"/>
          <w:szCs w:val="20"/>
        </w:rPr>
        <w:t xml:space="preserve">, who found that despite high rates of consumption, nearly half of patients in Nepal lacked sufficient knowledge about nutraceuticals, indicating that awareness is frequently biased toward supplements like vitamins and minerals that are frequently promoted. Similar to the current study's result of low regulatory awareness, Hussain </w:t>
      </w:r>
      <w:r>
        <w:rPr>
          <w:rFonts w:hint="default" w:ascii="Times New Roman" w:hAnsi="Times New Roman" w:eastAsia="Times New Roman" w:cs="Times New Roman"/>
          <w:i/>
          <w:iCs/>
          <w:sz w:val="20"/>
          <w:szCs w:val="20"/>
        </w:rPr>
        <w:t>et al</w:t>
      </w:r>
      <w:r>
        <w:rPr>
          <w:rFonts w:hint="default" w:ascii="Times New Roman" w:hAnsi="Times New Roman" w:eastAsia="Times New Roman" w:cs="Times New Roman"/>
          <w:sz w:val="20"/>
          <w:szCs w:val="20"/>
        </w:rPr>
        <w:t>.</w:t>
      </w:r>
      <w:r>
        <w:rPr>
          <w:rFonts w:hint="default" w:ascii="Times New Roman" w:hAnsi="Times New Roman" w:eastAsia="Times New Roman" w:cs="Times New Roman"/>
          <w:sz w:val="20"/>
          <w:szCs w:val="20"/>
        </w:rPr>
        <w:fldChar w:fldCharType="begin" w:fldLock="1"/>
      </w:r>
      <w:r>
        <w:rPr>
          <w:rFonts w:hint="default" w:ascii="Times New Roman" w:hAnsi="Times New Roman" w:eastAsia="Times New Roman" w:cs="Times New Roman"/>
          <w:sz w:val="20"/>
          <w:szCs w:val="20"/>
          <w:lang w:val="en-US"/>
        </w:rPr>
        <w:instrText xml:space="preserve">ADDIN CSL_CITATION {"citationItems":[{"id":"ITEM-1","itemData":{"DOI":"10.20959/wjpr20206-17523","abstract":"… Which includes β-glucans, pectin, gums, mucilage and hemicelluloses that are fermented in … Lycopene is one of the major carotenoids and is found exclusively in tomatoes, guava, pink …","author":[{"dropping-particle":"","family":"Hussain","given":"B","non-dropping-particle":"","parse-names":false,"suffix":""},{"dropping-particle":"","family":"Sajid","given":"M A","non-dropping-particle":"","parse-names":false,"suffix":""},{"dropping-particle":"","family":"Nabeel","given":"M","non-dropping-particle":"","parse-names":false,"suffix":""},{"dropping-particle":"","family":"...","given":"","non-dropping-particle":"","parse-names":false,"suffix":""}],"container-title":"World Journal …","id":"ITEM-1","issue":"6","issued":{"date-parts":[["2020"]]},"page":"49-119","title":"Study of assessment of knowledge of patients and health care professionals about the use of nutraceuticals","type":"article-journal","volume":"9"},"uris":["http://www.mendeley.com/documents/?uuid=aadd82e5-3ff1-4b47-8bd5-630f40b908d4"]}],"mendeley":{"formattedCitation":"(Hussain et al., 2020)","plainTextFormattedCitation":"(Hussain et al., 2020)","previouslyFormattedCitation":"(Hussain et al., 2020)"},"properties":{"noteIndex":0},"schema":"https://github.com/citation-style-language/schema/raw/master/csl-citation.json"}</w:instrText>
      </w:r>
      <w:r>
        <w:rPr>
          <w:rFonts w:hint="default" w:ascii="Times New Roman" w:hAnsi="Times New Roman" w:eastAsia="Times New Roman" w:cs="Times New Roman"/>
          <w:sz w:val="20"/>
          <w:szCs w:val="20"/>
        </w:rPr>
        <w:fldChar w:fldCharType="separate"/>
      </w:r>
      <w:r>
        <w:rPr>
          <w:rFonts w:hint="default" w:ascii="Times New Roman" w:hAnsi="Times New Roman" w:eastAsia="Times New Roman" w:cs="Times New Roman"/>
          <w:b w:val="0"/>
          <w:i w:val="0"/>
          <w:smallCaps w:val="0"/>
          <w:sz w:val="20"/>
          <w:szCs w:val="20"/>
          <w:u w:val="none"/>
          <w:lang w:val="en-US" w:eastAsia="zh-CN"/>
        </w:rPr>
        <w:t>(Hussain et al., 2020)</w:t>
      </w:r>
      <w:r>
        <w:rPr>
          <w:rFonts w:hint="default" w:ascii="Times New Roman" w:hAnsi="Times New Roman" w:eastAsia="Times New Roman" w:cs="Times New Roman"/>
          <w:sz w:val="20"/>
          <w:szCs w:val="20"/>
        </w:rPr>
        <w:fldChar w:fldCharType="end"/>
      </w:r>
      <w:r>
        <w:rPr>
          <w:rFonts w:hint="default" w:ascii="Times New Roman" w:hAnsi="Times New Roman" w:eastAsia="Times New Roman" w:cs="Times New Roman"/>
          <w:sz w:val="20"/>
          <w:szCs w:val="20"/>
          <w:lang w:val="en-US"/>
        </w:rPr>
        <w:t xml:space="preserve"> </w:t>
      </w:r>
      <w:r>
        <w:rPr>
          <w:rFonts w:hint="default" w:ascii="Times New Roman" w:hAnsi="Times New Roman" w:eastAsia="Times New Roman" w:cs="Times New Roman"/>
          <w:sz w:val="20"/>
          <w:szCs w:val="20"/>
        </w:rPr>
        <w:t xml:space="preserve">noted knowledge gaps among Pakistani doctors and patients, particularly with reference to adverse effects and dosage techniques. In contrast, Strocka </w:t>
      </w:r>
      <w:r>
        <w:rPr>
          <w:rFonts w:hint="default" w:ascii="Times New Roman" w:hAnsi="Times New Roman" w:eastAsia="Times New Roman" w:cs="Times New Roman"/>
          <w:i/>
          <w:iCs/>
          <w:sz w:val="20"/>
          <w:szCs w:val="20"/>
        </w:rPr>
        <w:t>et al</w:t>
      </w:r>
      <w:r>
        <w:rPr>
          <w:rFonts w:hint="default" w:ascii="Times New Roman" w:hAnsi="Times New Roman" w:eastAsia="Times New Roman" w:cs="Times New Roman"/>
          <w:sz w:val="20"/>
          <w:szCs w:val="20"/>
        </w:rPr>
        <w:t>.</w:t>
      </w:r>
      <w:r>
        <w:rPr>
          <w:rFonts w:hint="default" w:ascii="Times New Roman" w:hAnsi="Times New Roman" w:eastAsia="Times New Roman" w:cs="Times New Roman"/>
          <w:sz w:val="20"/>
          <w:szCs w:val="20"/>
        </w:rPr>
        <w:fldChar w:fldCharType="begin" w:fldLock="1"/>
      </w:r>
      <w:r>
        <w:rPr>
          <w:rFonts w:hint="default" w:ascii="Times New Roman" w:hAnsi="Times New Roman" w:eastAsia="Times New Roman" w:cs="Times New Roman"/>
          <w:sz w:val="20"/>
          <w:szCs w:val="20"/>
          <w:lang w:val="en-US"/>
        </w:rPr>
        <w:instrText xml:space="preserve">ADDIN CSL_CITATION {"citationItems":[{"id":"ITEM-1","itemData":{"DOI":"10.3390/NU16213691","ISSN":"2072-6643","PMID":"39519524","abstract":"Introduction: The growing popularity of dietary supplements in Poland raises the need to verify the knowledge and practices of healthcare workers who have a key role in recommending their use. Understanding these issues is important to ensure patient safety and the correct use of dietary supplements. Therefore, the aim of the study was to examine the level of knowledge, practices, and sources of information on dietary supplements among various professional groups of healthcare workers. Material and Methods: The study conducted from September 2023 to June 2024 involved 743 healthcare professionals, including doctors, pharmacists, and nurses. Data were collected online using an original questionnaire. The questionnaire was placed in portals associated with target groups. Results: A total of 73.49% of respondents declared knowledge of dietary supplements. The most common source of information was scientific articles (42.8%), and only 7.00% of respondents used official sources such as the Chief Sanitary Inspectorate. Advertisements had a smaller impact on doctors (p &lt; 0.001), with 46.97% of respondents stating that they did not pay attention to them. In addition, 84.52% of respondents considered the composition of the dietary supplement to be a key factor in their recommendation. Conclusions: Knowledge of dietary supplements among healthcare professionals varies, particularly between different professional groups. The results indicate a need for further education and standardization of information to ensure safe and responsible recommendation of supplements to consumers.","author":[{"dropping-particle":"","family":"Strocka","given":"Justyna","non-dropping-particle":"","parse-names":false,"suffix":""},{"dropping-particle":"","family":"Religioni","given":"Urszula","non-dropping-particle":"","parse-names":false,"suffix":""},{"dropping-particle":"","family":"Plagens-Rotman","given":"Katarzyna","non-dropping-particle":"","parse-names":false,"suffix":""},{"dropping-particle":"","family":"Drab","given":"Agnieszka","non-dropping-particle":"","parse-names":false,"suffix":""},{"dropping-particle":"","family":"Merks","given":"Piotr","non-dropping-particle":"","parse-names":false,"suffix":""},{"dropping-particle":"","family":"Kaźmierczak","given":"Justyna","non-dropping-particle":"","parse-names":false,"suffix":""},{"dropping-particle":"","family":"Blicharska","given":"Eliza","non-dropping-particle":"","parse-names":false,"suffix":""},{"dropping-particle":"","family":"Pinkas","given":"Jarosław","non-dropping-particle":"","parse-names":false,"suffix":""}],"container-title":"Nutrients 2024, Vol. 16, Page 3691","id":"ITEM-1","issue":"21","issued":{"date-parts":[["2024","10","29"]]},"page":"3691","publisher":"Multidisciplinary Digital Publishing Institute","title":"Knowledge and Practices Regarding Dietary Supplements Among Healthcare Professionals in Poland","type":"article-journal","volume":"16"},"uris":["http://www.mendeley.com/documents/?uuid=94cbb8e2-2d22-32fe-8f58-f4752dc59a2c"]}],"mendeley":{"formattedCitation":"(Strocka et al., 2024)","plainTextFormattedCitation":"(Strocka et al., 2024)","previouslyFormattedCitation":"(Strocka et al., 2024)"},"properties":{"noteIndex":0},"schema":"https://github.com/citation-style-language/schema/raw/master/csl-citation.json"}</w:instrText>
      </w:r>
      <w:r>
        <w:rPr>
          <w:rFonts w:hint="default" w:ascii="Times New Roman" w:hAnsi="Times New Roman" w:eastAsia="Times New Roman" w:cs="Times New Roman"/>
          <w:sz w:val="20"/>
          <w:szCs w:val="20"/>
        </w:rPr>
        <w:fldChar w:fldCharType="separate"/>
      </w:r>
      <w:r>
        <w:rPr>
          <w:rFonts w:hint="default" w:ascii="Times New Roman" w:hAnsi="Times New Roman" w:eastAsia="Times New Roman" w:cs="Times New Roman"/>
          <w:b w:val="0"/>
          <w:i w:val="0"/>
          <w:smallCaps w:val="0"/>
          <w:sz w:val="20"/>
          <w:szCs w:val="20"/>
          <w:u w:val="none"/>
          <w:lang w:val="en-US" w:eastAsia="zh-CN"/>
        </w:rPr>
        <w:t>(Strocka et al., 2024)</w:t>
      </w:r>
      <w:r>
        <w:rPr>
          <w:rFonts w:hint="default" w:ascii="Times New Roman" w:hAnsi="Times New Roman" w:eastAsia="Times New Roman" w:cs="Times New Roman"/>
          <w:sz w:val="20"/>
          <w:szCs w:val="20"/>
        </w:rPr>
        <w:fldChar w:fldCharType="end"/>
      </w:r>
      <w:r>
        <w:rPr>
          <w:rFonts w:hint="default" w:ascii="Times New Roman" w:hAnsi="Times New Roman" w:eastAsia="Times New Roman" w:cs="Times New Roman"/>
          <w:sz w:val="20"/>
          <w:szCs w:val="20"/>
        </w:rPr>
        <w:t>reported that a larger proportion of healthcare professionals in Poland claimed knowledge of dietary supplements, though variation existed between professions and their primary sources of information. These differences may reflect disparities in national health policies, educational exposure, and availability of official guidelines.</w:t>
      </w:r>
    </w:p>
    <w:p w14:paraId="45C31AE0">
      <w:pPr>
        <w:spacing w:after="0" w:line="480" w:lineRule="auto"/>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 xml:space="preserve">The current study revealed a generally favorable attitude toward nutraceuticals, with many participants appreciating their benefits in preventative care but being cautious about substituting them for traditional medicines. The results of Wagner </w:t>
      </w:r>
      <w:r>
        <w:rPr>
          <w:rFonts w:hint="default" w:ascii="Times New Roman" w:hAnsi="Times New Roman" w:eastAsia="Times New Roman" w:cs="Times New Roman"/>
          <w:i/>
          <w:iCs/>
          <w:sz w:val="20"/>
          <w:szCs w:val="20"/>
        </w:rPr>
        <w:t>et al</w:t>
      </w:r>
      <w:r>
        <w:rPr>
          <w:rFonts w:hint="default" w:ascii="Times New Roman" w:hAnsi="Times New Roman" w:eastAsia="Times New Roman" w:cs="Times New Roman"/>
          <w:sz w:val="20"/>
          <w:szCs w:val="20"/>
        </w:rPr>
        <w:t>.</w:t>
      </w:r>
      <w:r>
        <w:rPr>
          <w:rFonts w:hint="default" w:ascii="Times New Roman" w:hAnsi="Times New Roman" w:eastAsia="Times New Roman" w:cs="Times New Roman"/>
          <w:sz w:val="20"/>
          <w:szCs w:val="20"/>
        </w:rPr>
        <w:fldChar w:fldCharType="begin" w:fldLock="1"/>
      </w:r>
      <w:r>
        <w:rPr>
          <w:rFonts w:hint="default" w:ascii="Times New Roman" w:hAnsi="Times New Roman" w:eastAsia="Times New Roman" w:cs="Times New Roman"/>
          <w:sz w:val="20"/>
          <w:szCs w:val="20"/>
          <w:lang w:val="en-US"/>
        </w:rPr>
        <w:instrText xml:space="preserve">ADDIN CSL_CITATION {"citationItems":[{"id":"ITEM-1","itemData":{"DOI":"10.1186/S12875-024-02654-4","ISSN":"2731-4553","PMID":"39592961","abstract":"Background: Dietary supplements (DS) are often used by patients to enhance their health and well-being. General practitioners (GPs) are commonly the first point of contact for patients who enquire about DS. The aim of this study was to explore GPs’ views on DS. Methods: A cross-sectional purposeful recruitment online survey of 162 general practitioners (GPs) in Germany was conducted between May and August 2021. The questionnaire assessed GPs’ views on dietary supplements (DS), including perceptions of safety, efficacy, and importance in medical practice. Data were analyzed using inferential statistics and logistic regression analyses to explore associations between GPs’ views and demographic factors. Results: Response rate could not be determined because multipliers were included here by means of personal networks, consent rate was 100%. Many respondents considered DS to be an important topic in their daily practice (64,8%, n = 99). Almost two thirds were convinced of their efficacy and considered DS to be safe for use (61,2%, n = 93). However, the majority of respondents were in favor of more standardized guidelines (86.8%, n = 132) and improved medical education on the handling of DS in routine care (89,5%, n = 136). Physicians who self-administered DS were statistically significantly more likely to perceive them as safe to use, with an OR of 4.25 (95% CI: 1.74–10.40). Self-administration [OR 4.52 (1.67–12.22)] and participation in continuous medical education (CME) [OR 3.52 (1.133–9.38)] were positively associated with perceiving them as an important topic. Conclusions: To the best of our knowledge, this is the first study to assess German GPs’ perceptions regarding DS. The majority of physicians recognized the importance of DS in routine care but wished for improved regulation and more standardized guidelines regarding their use. The findings could be used to develop targeted educational interventions and improve handling of DS in daily general practice.","author":[{"dropping-particle":"","family":"Wagner","given":"Sophia","non-dropping-particle":"","parse-names":false,"suffix":""},{"dropping-particle":"","family":"Eickmann","given":"Sascha","non-dropping-particle":"","parse-names":false,"suffix":""},{"dropping-particle":"","family":"Baurecht","given":"Hansjörg","non-dropping-particle":"","parse-names":false,"suffix":""},{"dropping-particle":"","family":"Herrmann","given":"Anne","non-dropping-particle":"","parse-names":false,"suffix":""}],"container-title":"BMC primary care","id":"ITEM-1","issue":"1","issued":{"date-parts":[["2024","12","1"]]},"publisher":"BMC Prim Care","title":"A cross-sectional study exploring general practitioners' views on dietary supplements","type":"article-journal","volume":"25"},"uris":["http://www.mendeley.com/documents/?uuid=ecc7911d-08f8-344f-bec5-51354c358fc9"]}],"mendeley":{"formattedCitation":"(Wagner et al., 2024)","plainTextFormattedCitation":"(Wagner et al., 2024)","previouslyFormattedCitation":"(Wagner et al., 2024)"},"properties":{"noteIndex":0},"schema":"https://github.com/citation-style-language/schema/raw/master/csl-citation.json"}</w:instrText>
      </w:r>
      <w:r>
        <w:rPr>
          <w:rFonts w:hint="default" w:ascii="Times New Roman" w:hAnsi="Times New Roman" w:eastAsia="Times New Roman" w:cs="Times New Roman"/>
          <w:sz w:val="20"/>
          <w:szCs w:val="20"/>
        </w:rPr>
        <w:fldChar w:fldCharType="separate"/>
      </w:r>
      <w:r>
        <w:rPr>
          <w:rFonts w:hint="default" w:ascii="Times New Roman" w:hAnsi="Times New Roman" w:eastAsia="Times New Roman" w:cs="Times New Roman"/>
          <w:b w:val="0"/>
          <w:i w:val="0"/>
          <w:smallCaps w:val="0"/>
          <w:sz w:val="20"/>
          <w:szCs w:val="20"/>
          <w:u w:val="none"/>
          <w:lang w:val="en-US" w:eastAsia="zh-CN"/>
        </w:rPr>
        <w:t>(Wagner et al., 2024)</w:t>
      </w:r>
      <w:r>
        <w:rPr>
          <w:rFonts w:hint="default" w:ascii="Times New Roman" w:hAnsi="Times New Roman" w:eastAsia="Times New Roman" w:cs="Times New Roman"/>
          <w:sz w:val="20"/>
          <w:szCs w:val="20"/>
        </w:rPr>
        <w:fldChar w:fldCharType="end"/>
      </w:r>
      <w:r>
        <w:rPr>
          <w:rFonts w:hint="default" w:ascii="Times New Roman" w:hAnsi="Times New Roman" w:eastAsia="Times New Roman" w:cs="Times New Roman"/>
          <w:sz w:val="20"/>
          <w:szCs w:val="20"/>
        </w:rPr>
        <w:t xml:space="preserve">in Germany, where the majority of general practitioners acknowledged the value of nutritional supplements in practice and believed in their effectiveness, but also demanded more medical education and established protocols, are similar to this cautious optimism. The professional differences seen in the current study, where pharmacists showed more positive perspectives, were further supported by Bukic </w:t>
      </w:r>
      <w:r>
        <w:rPr>
          <w:rFonts w:hint="default" w:ascii="Times New Roman" w:hAnsi="Times New Roman" w:eastAsia="Times New Roman" w:cs="Times New Roman"/>
          <w:i/>
          <w:iCs/>
          <w:sz w:val="20"/>
          <w:szCs w:val="20"/>
        </w:rPr>
        <w:t>et</w:t>
      </w:r>
      <w:r>
        <w:rPr>
          <w:rFonts w:hint="default" w:ascii="Times New Roman" w:hAnsi="Times New Roman" w:eastAsia="Times New Roman" w:cs="Times New Roman"/>
          <w:sz w:val="20"/>
          <w:szCs w:val="20"/>
        </w:rPr>
        <w:t xml:space="preserve"> </w:t>
      </w:r>
      <w:r>
        <w:rPr>
          <w:rFonts w:hint="default" w:ascii="Times New Roman" w:hAnsi="Times New Roman" w:eastAsia="Times New Roman" w:cs="Times New Roman"/>
          <w:i/>
          <w:iCs/>
          <w:sz w:val="20"/>
          <w:szCs w:val="20"/>
        </w:rPr>
        <w:t>al</w:t>
      </w:r>
      <w:r>
        <w:rPr>
          <w:rFonts w:hint="default" w:ascii="Times New Roman" w:hAnsi="Times New Roman" w:eastAsia="Times New Roman" w:cs="Times New Roman"/>
          <w:sz w:val="20"/>
          <w:szCs w:val="20"/>
        </w:rPr>
        <w:t>.</w:t>
      </w:r>
      <w:r>
        <w:rPr>
          <w:rFonts w:hint="default" w:ascii="Times New Roman" w:hAnsi="Times New Roman" w:eastAsia="Times New Roman" w:cs="Times New Roman"/>
          <w:sz w:val="20"/>
          <w:szCs w:val="20"/>
        </w:rPr>
        <w:fldChar w:fldCharType="begin" w:fldLock="1"/>
      </w:r>
      <w:r>
        <w:rPr>
          <w:rFonts w:hint="default" w:ascii="Times New Roman" w:hAnsi="Times New Roman" w:eastAsia="Times New Roman" w:cs="Times New Roman"/>
          <w:sz w:val="20"/>
          <w:szCs w:val="20"/>
          <w:lang w:val="en-US"/>
        </w:rPr>
        <w:instrText xml:space="preserve">ADDIN CSL_CITATION {"citationItems":[{"id":"ITEM-1","itemData":{"DOI":"10.1016/J.CTIM.2018.09.005","ISSN":"1873-6963","PMID":"30477862","abstract":"Objectives: The objectives of this study were to evaluate the difference among pharmacy, dental and medical students’ attitudes, knowledge and use of dietary supplements. Furthermore, factors likely to influence their personal use and willingness to recommend supplement to patient were investigated. Design: A cross-sectional survey study. Setting: The study was carried out at a single university. Main outcome measures: Survey gathered socio-demographic data and questioned students’ attitudes, knowledge and use of dietary supplements. Results: A total of 506 students were included in the study. Pharmacy students showed more positive attitudes about dietary supplements, and achieved higher knowledge scores when compared to dental or medical students (p &lt; 0.001). Medical students were more likely to use evidence based sources of information about dietary supplements. There was no difference in supplements use across study programs (p = 0.177). As many as 59.7% of students that participated in the study reported using dietary supplements. Data analysis showed that the previous personal use supplements was a significant independent predictor whether students would recommend supplements to their patients (OR 27.03, 95% CI 14.08-50, p &lt; 0.001). Conclusions: Students’ education did not influence their personal use of dietary supplements. However, their personal experience seems to influence their willingness to recommend supplements to patients. Pharmacy students showed greater knowledge about supplements than their dental or medical colleagues. In future practice, health care students could benefit from collaboration with pharmacists when they provide care to patients seeking advice about the use of dietary supplements.","author":[{"dropping-particle":"","family":"Bukic","given":"Josipa","non-dropping-particle":"","parse-names":false,"suffix":""},{"dropping-particle":"","family":"Rusic","given":"Doris","non-dropping-particle":"","parse-names":false,"suffix":""},{"dropping-particle":"","family":"Bozic","given":"Josko","non-dropping-particle":"","parse-names":false,"suffix":""},{"dropping-particle":"","family":"Zekan","given":"Lovre","non-dropping-particle":"","parse-names":false,"suffix":""},{"dropping-particle":"","family":"Leskur","given":"Dario","non-dropping-particle":"","parse-names":false,"suffix":""},{"dropping-particle":"","family":"Seselja Perisin","given":"Ana","non-dropping-particle":"","parse-names":false,"suffix":""},{"dropping-particle":"","family":"Modun","given":"Darko","non-dropping-particle":"","parse-names":false,"suffix":""}],"container-title":"Complementary therapies in medicine","id":"ITEM-1","issued":{"date-parts":[["2018","12","1"]]},"page":"35-40","publisher":"Complement Ther Med","title":"Differences among health care students' attitudes, knowledge and use of dietary supplements: a cross-sectional study","type":"article-journal","volume":"41"},"uris":["http://www.mendeley.com/documents/?uuid=ef8fa40f-3d85-3e7b-bcb0-7980fd56d0ee"]}],"mendeley":{"formattedCitation":"(Bukic et al., 2018)","plainTextFormattedCitation":"(Bukic et al., 2018)","previouslyFormattedCitation":"(Bukic et al., 2018)"},"properties":{"noteIndex":0},"schema":"https://github.com/citation-style-language/schema/raw/master/csl-citation.json"}</w:instrText>
      </w:r>
      <w:r>
        <w:rPr>
          <w:rFonts w:hint="default" w:ascii="Times New Roman" w:hAnsi="Times New Roman" w:eastAsia="Times New Roman" w:cs="Times New Roman"/>
          <w:sz w:val="20"/>
          <w:szCs w:val="20"/>
        </w:rPr>
        <w:fldChar w:fldCharType="separate"/>
      </w:r>
      <w:r>
        <w:rPr>
          <w:rFonts w:hint="default" w:ascii="Times New Roman" w:hAnsi="Times New Roman" w:eastAsia="Times New Roman" w:cs="Times New Roman"/>
          <w:b w:val="0"/>
          <w:i w:val="0"/>
          <w:smallCaps w:val="0"/>
          <w:sz w:val="20"/>
          <w:szCs w:val="20"/>
          <w:u w:val="none"/>
          <w:lang w:val="en-US" w:eastAsia="zh-CN"/>
        </w:rPr>
        <w:t>(Bukic et al., 2018)</w:t>
      </w:r>
      <w:r>
        <w:rPr>
          <w:rFonts w:hint="default" w:ascii="Times New Roman" w:hAnsi="Times New Roman" w:eastAsia="Times New Roman" w:cs="Times New Roman"/>
          <w:sz w:val="20"/>
          <w:szCs w:val="20"/>
        </w:rPr>
        <w:fldChar w:fldCharType="end"/>
      </w:r>
      <w:r>
        <w:rPr>
          <w:rFonts w:hint="default" w:ascii="Times New Roman" w:hAnsi="Times New Roman" w:eastAsia="Times New Roman" w:cs="Times New Roman"/>
          <w:sz w:val="20"/>
          <w:szCs w:val="20"/>
        </w:rPr>
        <w:t xml:space="preserve">, who found that pharmacy students had higher knowledge and more positive attitudes than dental or medical students. The overall balance between acceptance and caution also resonates with Wierzejska </w:t>
      </w:r>
      <w:r>
        <w:rPr>
          <w:rFonts w:hint="default" w:ascii="Times New Roman" w:hAnsi="Times New Roman" w:eastAsia="Times New Roman" w:cs="Times New Roman"/>
          <w:i/>
          <w:iCs/>
          <w:sz w:val="20"/>
          <w:szCs w:val="20"/>
        </w:rPr>
        <w:t>et al</w:t>
      </w:r>
      <w:r>
        <w:rPr>
          <w:rFonts w:hint="default" w:ascii="Times New Roman" w:hAnsi="Times New Roman" w:eastAsia="Times New Roman" w:cs="Times New Roman"/>
          <w:sz w:val="20"/>
          <w:szCs w:val="20"/>
          <w:lang w:val="en-US"/>
        </w:rPr>
        <w:t>.</w:t>
      </w:r>
      <w:r>
        <w:rPr>
          <w:rFonts w:hint="default" w:ascii="Times New Roman" w:hAnsi="Times New Roman" w:eastAsia="Times New Roman" w:cs="Times New Roman"/>
          <w:sz w:val="20"/>
          <w:szCs w:val="20"/>
        </w:rPr>
        <w:fldChar w:fldCharType="begin" w:fldLock="1"/>
      </w:r>
      <w:r>
        <w:rPr>
          <w:rFonts w:hint="default" w:ascii="Times New Roman" w:hAnsi="Times New Roman" w:eastAsia="Times New Roman" w:cs="Times New Roman"/>
          <w:sz w:val="20"/>
          <w:szCs w:val="20"/>
          <w:lang w:val="en-US"/>
        </w:rPr>
        <w:instrText xml:space="preserve">ADDIN CSL_CITATION {"citationItems":[{"id":"ITEM-1","itemData":{"DOI":"10.2478/HEPO-2018-0004","ISSN":"24498343","abstract":"Introduction: The use of dietary supplements has been observed for many years. Unfortunately, the status of food supplements and main differences between these and drugs remain unknown to most consumers. Objective: The purpose of the study was to analyze the opinions of future healthcare professionals on dietary supplements, their behavior concerning food supplementation, as well as their knowledge on the safety of these products. Methods: The survey was conducted among 354 future healthcare professionals, using a questionnaire composed of 21 items exploring demographic characteristics, knowledge of supplements, reasons for the use of dietary supplement, and recall of the use. Results: All respondents knew that the purpose of using these products is supplementation. A vast majority of respondents (83.9%) thought that a diet with no supplementation is possible or probably possible. 49.4% of respondents (n=175) declared taking food supplements. The most commonly used ones (68.6%) were products recommended during illness and used to improve the condition of skin, hair, and nails. Moreover, dietary supplements mentioned by students included those containing herbal ingredients, such as: Equisetum arvense, Allium sativum, Panax ginseng, and Ginkgo biloba. Most of respondents buy dietary supplements at pharmacies (89.14%). Conclusions: Use of dietary supplements is widespread among students. Future healthcare professionals have a better knowledge on food supplementation than population of Poland in general, however, they still need good education in this matter.","author":[{"dropping-particle":"","family":"Wierzejska","given":"Ewelina","non-dropping-particle":"","parse-names":false,"suffix":""},{"dropping-particle":"","family":"Krzysztoszek","given":"Jana","non-dropping-particle":"","parse-names":false,"suffix":""},{"dropping-particle":"","family":"Karasiewicz","given":"Monika","non-dropping-particle":"","parse-names":false,"suffix":""}],"container-title":"Herba Polonica","id":"ITEM-1","issue":"1","issued":{"date-parts":[["2018","3","29"]]},"page":"44-55","publisher":"Sciendo","title":"Attitude of future healthcare professionals towards food supplements","type":"article-journal","volume":"64"},"uris":["http://www.mendeley.com/documents/?uuid=477dbe29-1a0b-372a-96d8-c96571d7822b"]}],"mendeley":{"formattedCitation":"(Wierzejska et al., 2018)","plainTextFormattedCitation":"(Wierzejska et al., 2018)","previouslyFormattedCitation":"(Wierzejska et al., 2018)"},"properties":{"noteIndex":0},"schema":"https://github.com/citation-style-language/schema/raw/master/csl-citation.json"}</w:instrText>
      </w:r>
      <w:r>
        <w:rPr>
          <w:rFonts w:hint="default" w:ascii="Times New Roman" w:hAnsi="Times New Roman" w:eastAsia="Times New Roman" w:cs="Times New Roman"/>
          <w:sz w:val="20"/>
          <w:szCs w:val="20"/>
        </w:rPr>
        <w:fldChar w:fldCharType="separate"/>
      </w:r>
      <w:r>
        <w:rPr>
          <w:rFonts w:hint="default" w:ascii="Times New Roman" w:hAnsi="Times New Roman" w:eastAsia="Times New Roman" w:cs="Times New Roman"/>
          <w:b w:val="0"/>
          <w:i w:val="0"/>
          <w:smallCaps w:val="0"/>
          <w:sz w:val="20"/>
          <w:szCs w:val="20"/>
          <w:u w:val="none"/>
          <w:lang w:val="en-US" w:eastAsia="zh-CN"/>
        </w:rPr>
        <w:t>(Wierzejska et al., 2018)</w:t>
      </w:r>
      <w:r>
        <w:rPr>
          <w:rFonts w:hint="default" w:ascii="Times New Roman" w:hAnsi="Times New Roman" w:eastAsia="Times New Roman" w:cs="Times New Roman"/>
          <w:sz w:val="20"/>
          <w:szCs w:val="20"/>
        </w:rPr>
        <w:fldChar w:fldCharType="end"/>
      </w:r>
      <w:r>
        <w:rPr>
          <w:rFonts w:hint="default" w:ascii="Times New Roman" w:hAnsi="Times New Roman" w:eastAsia="Times New Roman" w:cs="Times New Roman"/>
          <w:sz w:val="20"/>
          <w:szCs w:val="20"/>
        </w:rPr>
        <w:t>, who found that although future healthcare professionals in Poland were familiar with dietary supplements, they acknowledged the need for stronger educational grounding.</w:t>
      </w:r>
    </w:p>
    <w:p w14:paraId="7DDF9B72">
      <w:pPr>
        <w:spacing w:after="0" w:line="480" w:lineRule="auto"/>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 xml:space="preserve">Regarding attitudes, this study found that medical experts acknowledged the benefits of nutraceuticals in enhancing physical health, reducing malnutrition, and fostering wellness, but they were dubious about its application as first-line treatments or for weight loss. This is in line with Menon </w:t>
      </w:r>
      <w:r>
        <w:rPr>
          <w:rFonts w:hint="default" w:ascii="Times New Roman" w:hAnsi="Times New Roman" w:eastAsia="Times New Roman" w:cs="Times New Roman"/>
          <w:i/>
          <w:iCs/>
          <w:sz w:val="20"/>
          <w:szCs w:val="20"/>
        </w:rPr>
        <w:t>et al</w:t>
      </w:r>
      <w:r>
        <w:rPr>
          <w:rFonts w:hint="default" w:ascii="Times New Roman" w:hAnsi="Times New Roman" w:eastAsia="Times New Roman" w:cs="Times New Roman"/>
          <w:sz w:val="20"/>
          <w:szCs w:val="20"/>
        </w:rPr>
        <w:t>.</w:t>
      </w:r>
      <w:r>
        <w:rPr>
          <w:rFonts w:hint="default" w:ascii="Times New Roman" w:hAnsi="Times New Roman" w:eastAsia="Times New Roman" w:cs="Times New Roman"/>
          <w:sz w:val="20"/>
          <w:szCs w:val="20"/>
        </w:rPr>
        <w:fldChar w:fldCharType="begin" w:fldLock="1"/>
      </w:r>
      <w:r>
        <w:rPr>
          <w:rFonts w:hint="default" w:ascii="Times New Roman" w:hAnsi="Times New Roman" w:eastAsia="Times New Roman" w:cs="Times New Roman"/>
          <w:sz w:val="20"/>
          <w:szCs w:val="20"/>
          <w:lang w:val="en-US"/>
        </w:rPr>
        <w:instrText xml:space="preserve">ADDIN CSL_CITATION {"citationItems":[{"id":"ITEM-1","itemData":{"DOI":"10.32628/IJSRST218559","ISSN":"2395-6011","abstract":"During the last few decades, the demand for healthy food and beverages has increased and it is expected to continue increasing in the future. A Nutraceutical is defined as any substance that provides medical or health benefits, including the prevention and treatment of disease. Its constituents are either of known therapeutic activity or contribute substantially to the therapeutic activity of a drug. This research study was dedicated towards a better understanding of nutraceuticals in terms of its awareness, perception and usage by the general public. The study also provided the opinion of clinicians on the same. Sample populations of 650 individuals and 50 clinicians were analyzed in the study. The consumers’ willingness towards nutraceuticals was explained through the following predictors- Age group, gender, health perception and occupation. Google forms platform was used to make the questionnaires and was distributed over social media. Data analysis was performed using Google Sheets (Pivot Tables) and Microsoft Excel (Power Query Editor tool). The data was compared and relationships were mapped among the various factors included in the study. The results conclusively depicted that factors like affordability and employment status played a role in the purchase of nutraceuticals. The COVID-19 pandemic played a significant role in influencing consumers to opt for immunity boosting products and supplements. The study was also able to understand the various consumption patterns and opinions of respondents on the different nutraceutical products available in the market. The survey was observed to have increased public awareness in the sample population.","author":[{"dropping-particle":"","family":"Anushka Menon","given":"","non-dropping-particle":"","parse-names":false,"suffix":""},{"dropping-particle":"","family":"Mugdhali Sawant","given":"","non-dropping-particle":"","parse-names":false,"suffix":""},{"dropping-particle":"","family":"Shivangi Mishra","given":"","non-dropping-particle":"","parse-names":false,"suffix":""},{"dropping-particle":"","family":"Prachi Bhatia","given":"","non-dropping-particle":"","parse-names":false,"suffix":""},{"dropping-particle":"","family":"Sejal Rathod","given":"","non-dropping-particle":"","parse-names":false,"suffix":""}],"container-title":"International Journal of Scientific Research in Science and Technology","id":"ITEM-1","issued":{"date-parts":[["2021","10","19"]]},"page":"399-414","publisher":"Technoscience Academy","title":"Awareness, Perception and Usage of Nutraceuticals in Indian Society","type":"article-journal"},"uris":["http://www.mendeley.com/documents/?uuid=4068dde4-852f-3646-97bb-d5b74dabec88"]}],"mendeley":{"formattedCitation":"(Anushka Menon et al., 2021)","plainTextFormattedCitation":"(Anushka Menon et al., 2021)","previouslyFormattedCitation":"(Anushka Menon et al., 2021)"},"properties":{"noteIndex":0},"schema":"https://github.com/citation-style-language/schema/raw/master/csl-citation.json"}</w:instrText>
      </w:r>
      <w:r>
        <w:rPr>
          <w:rFonts w:hint="default" w:ascii="Times New Roman" w:hAnsi="Times New Roman" w:eastAsia="Times New Roman" w:cs="Times New Roman"/>
          <w:sz w:val="20"/>
          <w:szCs w:val="20"/>
        </w:rPr>
        <w:fldChar w:fldCharType="separate"/>
      </w:r>
      <w:r>
        <w:rPr>
          <w:rFonts w:hint="default" w:ascii="Times New Roman" w:hAnsi="Times New Roman" w:eastAsia="Times New Roman" w:cs="Times New Roman"/>
          <w:b w:val="0"/>
          <w:i w:val="0"/>
          <w:smallCaps w:val="0"/>
          <w:sz w:val="20"/>
          <w:szCs w:val="20"/>
          <w:u w:val="none"/>
          <w:lang w:val="en-US" w:eastAsia="zh-CN"/>
        </w:rPr>
        <w:t>(Anushka Menon et al., 2021)</w:t>
      </w:r>
      <w:r>
        <w:rPr>
          <w:rFonts w:hint="default" w:ascii="Times New Roman" w:hAnsi="Times New Roman" w:eastAsia="Times New Roman" w:cs="Times New Roman"/>
          <w:sz w:val="20"/>
          <w:szCs w:val="20"/>
        </w:rPr>
        <w:fldChar w:fldCharType="end"/>
      </w:r>
      <w:r>
        <w:rPr>
          <w:rFonts w:hint="default" w:ascii="Times New Roman" w:hAnsi="Times New Roman" w:eastAsia="Times New Roman" w:cs="Times New Roman"/>
          <w:sz w:val="20"/>
          <w:szCs w:val="20"/>
        </w:rPr>
        <w:t xml:space="preserve">, who discovered that while views of efficacy differed among product categories, customer desire to utilize nutraceuticals was influenced by characteristics like affordability, occupation, and the COVID-19 epidemic. Similar to the current study's emphasis on evidence-based evaluation, Strocka </w:t>
      </w:r>
      <w:r>
        <w:rPr>
          <w:rFonts w:hint="default" w:ascii="Times New Roman" w:hAnsi="Times New Roman" w:eastAsia="Times New Roman" w:cs="Times New Roman"/>
          <w:i/>
          <w:iCs/>
          <w:sz w:val="20"/>
          <w:szCs w:val="20"/>
        </w:rPr>
        <w:t>et al</w:t>
      </w:r>
      <w:r>
        <w:rPr>
          <w:rFonts w:hint="default" w:ascii="Times New Roman" w:hAnsi="Times New Roman" w:eastAsia="Times New Roman" w:cs="Times New Roman"/>
          <w:sz w:val="20"/>
          <w:szCs w:val="20"/>
        </w:rPr>
        <w:fldChar w:fldCharType="begin" w:fldLock="1"/>
      </w:r>
      <w:r>
        <w:rPr>
          <w:rFonts w:hint="default" w:ascii="Times New Roman" w:hAnsi="Times New Roman" w:eastAsia="Times New Roman" w:cs="Times New Roman"/>
          <w:sz w:val="20"/>
          <w:szCs w:val="20"/>
          <w:lang w:val="en-US"/>
        </w:rPr>
        <w:instrText xml:space="preserve">ADDIN CSL_CITATION {"citationItems":[{"id":"ITEM-1","itemData":{"DOI":"10.3390/NU16213691","ISSN":"2072-6643","PMID":"39519524","abstract":"Introduction: The growing popularity of dietary supplements in Poland raises the need to verify the knowledge and practices of healthcare workers who have a key role in recommending their use. Understanding these issues is important to ensure patient safety and the correct use of dietary supplements. Therefore, the aim of the study was to examine the level of knowledge, practices, and sources of information on dietary supplements among various professional groups of healthcare workers. Material and Methods: The study conducted from September 2023 to June 2024 involved 743 healthcare professionals, including doctors, pharmacists, and nurses. Data were collected online using an original questionnaire. The questionnaire was placed in portals associated with target groups. Results: A total of 73.49% of respondents declared knowledge of dietary supplements. The most common source of information was scientific articles (42.8%), and only 7.00% of respondents used official sources such as the Chief Sanitary Inspectorate. Advertisements had a smaller impact on doctors (p &lt; 0.001), with 46.97% of respondents stating that they did not pay attention to them. In addition, 84.52% of respondents considered the composition of the dietary supplement to be a key factor in their recommendation. Conclusions: Knowledge of dietary supplements among healthcare professionals varies, particularly between different professional groups. The results indicate a need for further education and standardization of information to ensure safe and responsible recommendation of supplements to consumers.","author":[{"dropping-particle":"","family":"Strocka","given":"Justyna","non-dropping-particle":"","parse-names":false,"suffix":""},{"dropping-particle":"","family":"Religioni","given":"Urszula","non-dropping-particle":"","parse-names":false,"suffix":""},{"dropping-particle":"","family":"Plagens-Rotman","given":"Katarzyna","non-dropping-particle":"","parse-names":false,"suffix":""},{"dropping-particle":"","family":"Drab","given":"Agnieszka","non-dropping-particle":"","parse-names":false,"suffix":""},{"dropping-particle":"","family":"Merks","given":"Piotr","non-dropping-particle":"","parse-names":false,"suffix":""},{"dropping-particle":"","family":"Kaźmierczak","given":"Justyna","non-dropping-particle":"","parse-names":false,"suffix":""},{"dropping-particle":"","family":"Blicharska","given":"Eliza","non-dropping-particle":"","parse-names":false,"suffix":""},{"dropping-particle":"","family":"Pinkas","given":"Jarosław","non-dropping-particle":"","parse-names":false,"suffix":""}],"container-title":"Nutrients 2024, Vol. 16, Page 3691","id":"ITEM-1","issue":"21","issued":{"date-parts":[["2024","10","29"]]},"page":"3691","publisher":"Multidisciplinary Digital Publishing Institute","title":"Knowledge and Practices Regarding Dietary Supplements Among Healthcare Professionals in Poland","type":"article-journal","volume":"16"},"uris":["http://www.mendeley.com/documents/?uuid=94cbb8e2-2d22-32fe-8f58-f4752dc59a2c"]}],"mendeley":{"formattedCitation":"(Strocka et al., 2024)","plainTextFormattedCitation":"(Strocka et al., 2024)","previouslyFormattedCitation":"(Strocka et al., 2024)"},"properties":{"noteIndex":0},"schema":"https://github.com/citation-style-language/schema/raw/master/csl-citation.json"}</w:instrText>
      </w:r>
      <w:r>
        <w:rPr>
          <w:rFonts w:hint="default" w:ascii="Times New Roman" w:hAnsi="Times New Roman" w:eastAsia="Times New Roman" w:cs="Times New Roman"/>
          <w:sz w:val="20"/>
          <w:szCs w:val="20"/>
        </w:rPr>
        <w:fldChar w:fldCharType="separate"/>
      </w:r>
      <w:r>
        <w:rPr>
          <w:rFonts w:hint="default" w:ascii="Times New Roman" w:hAnsi="Times New Roman" w:eastAsia="Times New Roman" w:cs="Times New Roman"/>
          <w:b w:val="0"/>
          <w:i w:val="0"/>
          <w:smallCaps w:val="0"/>
          <w:sz w:val="20"/>
          <w:szCs w:val="20"/>
          <w:u w:val="none"/>
          <w:lang w:val="en-US" w:eastAsia="zh-CN"/>
        </w:rPr>
        <w:t>(Strocka et al., 2024)</w:t>
      </w:r>
      <w:r>
        <w:rPr>
          <w:rFonts w:hint="default" w:ascii="Times New Roman" w:hAnsi="Times New Roman" w:eastAsia="Times New Roman" w:cs="Times New Roman"/>
          <w:sz w:val="20"/>
          <w:szCs w:val="20"/>
        </w:rPr>
        <w:fldChar w:fldCharType="end"/>
      </w:r>
      <w:r>
        <w:rPr>
          <w:rFonts w:hint="default" w:ascii="Times New Roman" w:hAnsi="Times New Roman" w:eastAsia="Times New Roman" w:cs="Times New Roman"/>
          <w:sz w:val="20"/>
          <w:szCs w:val="20"/>
        </w:rPr>
        <w:t xml:space="preserve"> reported that Polish healthcare professionals ranked supplement composition as the most important consideration when making recommendations. Meanwhile, Wagner et al.  reported that self-use of dietary supplements strongly shaped physicians’ perceptions, paralleling findings from Bukic </w:t>
      </w:r>
      <w:r>
        <w:rPr>
          <w:rFonts w:hint="default" w:ascii="Times New Roman" w:hAnsi="Times New Roman" w:eastAsia="Times New Roman" w:cs="Times New Roman"/>
          <w:i/>
          <w:iCs/>
          <w:sz w:val="20"/>
          <w:szCs w:val="20"/>
        </w:rPr>
        <w:t>et al</w:t>
      </w:r>
      <w:r>
        <w:rPr>
          <w:rFonts w:hint="default" w:ascii="Times New Roman" w:hAnsi="Times New Roman" w:eastAsia="Times New Roman" w:cs="Times New Roman"/>
          <w:sz w:val="20"/>
          <w:szCs w:val="20"/>
        </w:rPr>
        <w:t>.</w:t>
      </w:r>
      <w:r>
        <w:rPr>
          <w:rFonts w:hint="default" w:ascii="Times New Roman" w:hAnsi="Times New Roman" w:eastAsia="Times New Roman" w:cs="Times New Roman"/>
          <w:sz w:val="20"/>
          <w:szCs w:val="20"/>
        </w:rPr>
        <w:fldChar w:fldCharType="begin" w:fldLock="1"/>
      </w:r>
      <w:r>
        <w:rPr>
          <w:rFonts w:hint="default" w:ascii="Times New Roman" w:hAnsi="Times New Roman" w:eastAsia="Times New Roman" w:cs="Times New Roman"/>
          <w:sz w:val="20"/>
          <w:szCs w:val="20"/>
          <w:lang w:val="en-US"/>
        </w:rPr>
        <w:instrText xml:space="preserve">ADDIN CSL_CITATION {"citationItems":[{"id":"ITEM-1","itemData":{"DOI":"10.1016/J.CTIM.2018.09.005","ISSN":"1873-6963","PMID":"30477862","abstract":"Objectives: The objectives of this study were to evaluate the difference among pharmacy, dental and medical students’ attitudes, knowledge and use of dietary supplements. Furthermore, factors likely to influence their personal use and willingness to recommend supplement to patient were investigated. Design: A cross-sectional survey study. Setting: The study was carried out at a single university. Main outcome measures: Survey gathered socio-demographic data and questioned students’ attitudes, knowledge and use of dietary supplements. Results: A total of 506 students were included in the study. Pharmacy students showed more positive attitudes about dietary supplements, and achieved higher knowledge scores when compared to dental or medical students (p &lt; 0.001). Medical students were more likely to use evidence based sources of information about dietary supplements. There was no difference in supplements use across study programs (p = 0.177). As many as 59.7% of students that participated in the study reported using dietary supplements. Data analysis showed that the previous personal use supplements was a significant independent predictor whether students would recommend supplements to their patients (OR 27.03, 95% CI 14.08-50, p &lt; 0.001). Conclusions: Students’ education did not influence their personal use of dietary supplements. However, their personal experience seems to influence their willingness to recommend supplements to patients. Pharmacy students showed greater knowledge about supplements than their dental or medical colleagues. In future practice, health care students could benefit from collaboration with pharmacists when they provide care to patients seeking advice about the use of dietary supplements.","author":[{"dropping-particle":"","family":"Bukic","given":"Josipa","non-dropping-particle":"","parse-names":false,"suffix":""},{"dropping-particle":"","family":"Rusic","given":"Doris","non-dropping-particle":"","parse-names":false,"suffix":""},{"dropping-particle":"","family":"Bozic","given":"Josko","non-dropping-particle":"","parse-names":false,"suffix":""},{"dropping-particle":"","family":"Zekan","given":"Lovre","non-dropping-particle":"","parse-names":false,"suffix":""},{"dropping-particle":"","family":"Leskur","given":"Dario","non-dropping-particle":"","parse-names":false,"suffix":""},{"dropping-particle":"","family":"Seselja Perisin","given":"Ana","non-dropping-particle":"","parse-names":false,"suffix":""},{"dropping-particle":"","family":"Modun","given":"Darko","non-dropping-particle":"","parse-names":false,"suffix":""}],"container-title":"Complementary therapies in medicine","id":"ITEM-1","issued":{"date-parts":[["2018","12","1"]]},"page":"35-40","publisher":"Complement Ther Med","title":"Differences among health care students' attitudes, knowledge and use of dietary supplements: a cross-sectional study","type":"article-journal","volume":"41"},"uris":["http://www.mendeley.com/documents/?uuid=ef8fa40f-3d85-3e7b-bcb0-7980fd56d0ee"]}],"mendeley":{"formattedCitation":"(Bukic et al., 2018)","plainTextFormattedCitation":"(Bukic et al., 2018)","previouslyFormattedCitation":"(Bukic et al., 2018)"},"properties":{"noteIndex":0},"schema":"https://github.com/citation-style-language/schema/raw/master/csl-citation.json"}</w:instrText>
      </w:r>
      <w:r>
        <w:rPr>
          <w:rFonts w:hint="default" w:ascii="Times New Roman" w:hAnsi="Times New Roman" w:eastAsia="Times New Roman" w:cs="Times New Roman"/>
          <w:sz w:val="20"/>
          <w:szCs w:val="20"/>
        </w:rPr>
        <w:fldChar w:fldCharType="separate"/>
      </w:r>
      <w:r>
        <w:rPr>
          <w:rFonts w:hint="default" w:ascii="Times New Roman" w:hAnsi="Times New Roman" w:eastAsia="Times New Roman" w:cs="Times New Roman"/>
          <w:b w:val="0"/>
          <w:i w:val="0"/>
          <w:smallCaps w:val="0"/>
          <w:sz w:val="20"/>
          <w:szCs w:val="20"/>
          <w:u w:val="none"/>
          <w:lang w:val="en-US" w:eastAsia="zh-CN"/>
        </w:rPr>
        <w:t>(Bukic et al., 2018)</w:t>
      </w:r>
      <w:r>
        <w:rPr>
          <w:rFonts w:hint="default" w:ascii="Times New Roman" w:hAnsi="Times New Roman" w:eastAsia="Times New Roman" w:cs="Times New Roman"/>
          <w:sz w:val="20"/>
          <w:szCs w:val="20"/>
        </w:rPr>
        <w:fldChar w:fldCharType="end"/>
      </w:r>
      <w:r>
        <w:rPr>
          <w:rFonts w:hint="default" w:ascii="Times New Roman" w:hAnsi="Times New Roman" w:eastAsia="Times New Roman" w:cs="Times New Roman"/>
          <w:sz w:val="20"/>
          <w:szCs w:val="20"/>
        </w:rPr>
        <w:t>, where prior personal use influenced willingness to recommend supplements. This suggests that experiential familiarity, alongside professional training, may shape healthcare professionals’ perceptions across contexts.</w:t>
      </w:r>
    </w:p>
    <w:p w14:paraId="7DF3A43B">
      <w:pPr>
        <w:keepNext w:val="0"/>
        <w:keepLines w:val="0"/>
        <w:widowControl/>
        <w:suppressLineNumbers w:val="0"/>
        <w:spacing w:line="480" w:lineRule="auto"/>
        <w:jc w:val="both"/>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 xml:space="preserve">These trends were further supported by sociodemographic variables. Significant relationships between knowledge and age, as well as between attitudes, gender, and profession, were found in this study; pharmacists and female respondents expressed more positive opinions. These results are consistent with Bukic </w:t>
      </w:r>
      <w:r>
        <w:rPr>
          <w:rFonts w:hint="default" w:ascii="Times New Roman" w:hAnsi="Times New Roman" w:eastAsia="Times New Roman" w:cs="Times New Roman"/>
          <w:i/>
          <w:iCs/>
          <w:sz w:val="20"/>
          <w:szCs w:val="20"/>
        </w:rPr>
        <w:t>et al</w:t>
      </w:r>
      <w:r>
        <w:rPr>
          <w:rFonts w:hint="default" w:ascii="Times New Roman" w:hAnsi="Times New Roman" w:eastAsia="Times New Roman" w:cs="Times New Roman"/>
          <w:i/>
          <w:iCs/>
          <w:sz w:val="20"/>
          <w:szCs w:val="20"/>
          <w:lang w:val="en-US"/>
        </w:rPr>
        <w:t xml:space="preserve"> </w:t>
      </w:r>
      <w:r>
        <w:rPr>
          <w:rFonts w:hint="default" w:ascii="Times New Roman" w:hAnsi="Times New Roman" w:eastAsia="Times New Roman" w:cs="Times New Roman"/>
          <w:sz w:val="20"/>
          <w:szCs w:val="20"/>
          <w:lang w:val="en-US"/>
        </w:rPr>
        <w:t xml:space="preserve">and </w:t>
      </w:r>
      <w:r>
        <w:rPr>
          <w:rFonts w:hint="default" w:ascii="Times New Roman" w:hAnsi="Times New Roman" w:eastAsia="SimSun" w:cs="Times New Roman"/>
          <w:kern w:val="0"/>
          <w:sz w:val="20"/>
          <w:szCs w:val="20"/>
          <w:lang w:val="en-US" w:eastAsia="zh-CN" w:bidi="ar"/>
        </w:rPr>
        <w:t>Ajagu N</w:t>
      </w:r>
      <w:r>
        <w:rPr>
          <w:rFonts w:hint="default" w:ascii="Times New Roman" w:hAnsi="Times New Roman" w:eastAsia="Times New Roman" w:cs="Times New Roman"/>
          <w:sz w:val="20"/>
          <w:szCs w:val="20"/>
        </w:rPr>
        <w:t>,</w:t>
      </w:r>
      <w:r>
        <w:rPr>
          <w:rFonts w:hint="default" w:ascii="Times New Roman" w:hAnsi="Times New Roman" w:eastAsia="Times New Roman" w:cs="Times New Roman"/>
          <w:sz w:val="20"/>
          <w:szCs w:val="20"/>
        </w:rPr>
        <w:fldChar w:fldCharType="begin" w:fldLock="1"/>
      </w:r>
      <w:r>
        <w:rPr>
          <w:rFonts w:hint="default" w:ascii="Times New Roman" w:hAnsi="Times New Roman" w:eastAsia="Times New Roman" w:cs="Times New Roman"/>
          <w:sz w:val="20"/>
          <w:szCs w:val="20"/>
          <w:lang w:val="en-US"/>
        </w:rPr>
        <w:instrText xml:space="preserve">ADDIN CSL_CITATION {"citationItems":[{"id":"ITEM-1","itemData":{"DOI":"10.5281/ZENODO.15319310","ISSN":"0975-4725","abstract":"This review undertakes a thorough examination of the pivotal role that pharmacists play in Nigeria in the critical activity of monitoring self-medication and self-care practices. This monitoring specifically focuses on the utilization of over-the-counter (OTC) nutritional supplements and herbal remedies. The practice of self-medication in Nigeria is a widespread phenomenon, often fueled by a complex and diverse set of underlying factors. One significant driver of self-medication is the limited availability and accessibility of essential prescription medications for a considerable portion of the population. This accessibility gap compels individuals to seek alternative healthcare solutions and often leads them to engage in self-treatment strategies. Within the healthcare landscape, pharmacists occupy a uniquely advantageous position, serving as the most readily accessible healthcare providers to the general public. Given their widespread presence and ease of access, pharmacists are therefore of crucial importance in promoting responsible self-care practices and ensuring the appropriate and safe use of medications, including both conventional drugs and OTC products. Their involvement is essential to effectively mitigate potential risks and adverse consequences that may arise from inappropriate or unsupervised self-treatment, thus safeguarding public health.","author":[{"dropping-particle":"","family":"Nnenna Ajagu","given":"","non-dropping-particle":"","parse-names":false,"suffix":""}],"container-title":"International Journal of Pharmaceutical Sciences","id":"ITEM-1","issue":"04","issued":{"date-parts":[["2025"]]},"page":"90","publisher":"IJPS Journal","title":"Pharmacist Role in Monitoring Self Medication and Self-Care with Over-the-Counter Nutritional and Herbal Supplements in Nigeria: A Review","type":"article-journal","volume":"03"},"uris":["http://www.mendeley.com/documents/?uuid=275eaaa2-364e-3281-9beb-52d68db0aafb"]},{"id":"ITEM-2","itemData":{"DOI":"10.1016/J.CTIM.2018.09.005","ISSN":"1873-6963","PMID":"30477862","abstract":"Objectives: The objectives of this study were to evaluate the difference among pharmacy, dental and medical students’ attitudes, knowledge and use of dietary supplements. Furthermore, factors likely to influence their personal use and willingness to recommend supplement to patient were investigated. Design: A cross-sectional survey study. Setting: The study was carried out at a single university. Main outcome measures: Survey gathered socio-demographic data and questioned students’ attitudes, knowledge and use of dietary supplements. Results: A total of 506 students were included in the study. Pharmacy students showed more positive attitudes about dietary supplements, and achieved higher knowledge scores when compared to dental or medical students (p &lt; 0.001). Medical students were more likely to use evidence based sources of information about dietary supplements. There was no difference in supplements use across study programs (p = 0.177). As many as 59.7% of students that participated in the study reported using dietary supplements. Data analysis showed that the previous personal use supplements was a significant independent predictor whether students would recommend supplements to their patients (OR 27.03, 95% CI 14.08-50, p &lt; 0.001). Conclusions: Students’ education did not influence their personal use of dietary supplements. However, their personal experience seems to influence their willingness to recommend supplements to patients. Pharmacy students showed greater knowledge about supplements than their dental or medical colleagues. In future practice, health care students could benefit from collaboration with pharmacists when they provide care to patients seeking advice about the use of dietary supplements.","author":[{"dropping-particle":"","family":"Bukic","given":"Josipa","non-dropping-particle":"","parse-names":false,"suffix":""},{"dropping-particle":"","family":"Rusic","given":"Doris","non-dropping-particle":"","parse-names":false,"suffix":""},{"dropping-particle":"","family":"Bozic","given":"Josko","non-dropping-particle":"","parse-names":false,"suffix":""},{"dropping-particle":"","family":"Zekan","given":"Lovre","non-dropping-particle":"","parse-names":false,"suffix":""},{"dropping-particle":"","family":"Leskur","given":"Dario","non-dropping-particle":"","parse-names":false,"suffix":""},{"dropping-particle":"","family":"Seselja Perisin","given":"Ana","non-dropping-particle":"","parse-names":false,"suffix":""},{"dropping-particle":"","family":"Modun","given":"Darko","non-dropping-particle":"","parse-names":false,"suffix":""}],"container-title":"Complementary therapies in medicine","id":"ITEM-2","issued":{"date-parts":[["2018","12","1"]]},"page":"35-40","publisher":"Complement Ther Med","title":"Differences among health care students' attitudes, knowledge and use of dietary supplements: a cross-sectional study","type":"article-journal","volume":"41"},"uris":["http://www.mendeley.com/documents/?uuid=ef8fa40f-3d85-3e7b-bcb0-7980fd56d0ee"]}],"mendeley":{"formattedCitation":"(Bukic et al., 2018; Nnenna Ajagu, 2025)","plainTextFormattedCitation":"(Bukic et al., 2018; Nnenna Ajagu, 2025)","previouslyFormattedCitation":"(Bukic et al., 2018; Nnenna Ajagu, 2025)"},"properties":{"noteIndex":0},"schema":"https://github.com/citation-style-language/schema/raw/master/csl-citation.json"}</w:instrText>
      </w:r>
      <w:r>
        <w:rPr>
          <w:rFonts w:hint="default" w:ascii="Times New Roman" w:hAnsi="Times New Roman" w:eastAsia="Times New Roman" w:cs="Times New Roman"/>
          <w:sz w:val="20"/>
          <w:szCs w:val="20"/>
        </w:rPr>
        <w:fldChar w:fldCharType="separate"/>
      </w:r>
      <w:r>
        <w:rPr>
          <w:rFonts w:hint="default" w:ascii="Times New Roman" w:hAnsi="Times New Roman" w:eastAsia="Times New Roman" w:cs="Times New Roman"/>
          <w:b w:val="0"/>
          <w:i w:val="0"/>
          <w:smallCaps w:val="0"/>
          <w:sz w:val="20"/>
          <w:szCs w:val="20"/>
          <w:u w:val="none"/>
          <w:lang w:val="en-US"/>
        </w:rPr>
        <w:t>(Bukic et al., 2018; Nnenna Ajagu, 2025)</w:t>
      </w:r>
      <w:r>
        <w:rPr>
          <w:rFonts w:hint="default" w:ascii="Times New Roman" w:hAnsi="Times New Roman" w:eastAsia="Times New Roman" w:cs="Times New Roman"/>
          <w:sz w:val="20"/>
          <w:szCs w:val="20"/>
        </w:rPr>
        <w:fldChar w:fldCharType="end"/>
      </w:r>
      <w:r>
        <w:rPr>
          <w:rFonts w:hint="default" w:ascii="Times New Roman" w:hAnsi="Times New Roman" w:eastAsia="Times New Roman" w:cs="Times New Roman"/>
          <w:sz w:val="20"/>
          <w:szCs w:val="20"/>
        </w:rPr>
        <w:t xml:space="preserve"> who emphasized the professional distinctions between medical, dentistry, and pharmacy students, and Hussain </w:t>
      </w:r>
      <w:r>
        <w:rPr>
          <w:rFonts w:hint="default" w:ascii="Times New Roman" w:hAnsi="Times New Roman" w:eastAsia="Times New Roman" w:cs="Times New Roman"/>
          <w:i/>
          <w:iCs/>
          <w:sz w:val="20"/>
          <w:szCs w:val="20"/>
        </w:rPr>
        <w:t>et al</w:t>
      </w:r>
      <w:r>
        <w:rPr>
          <w:rFonts w:hint="default" w:ascii="Times New Roman" w:hAnsi="Times New Roman" w:eastAsia="Times New Roman" w:cs="Times New Roman"/>
          <w:sz w:val="20"/>
          <w:szCs w:val="20"/>
        </w:rPr>
        <w:t>.</w:t>
      </w:r>
      <w:r>
        <w:rPr>
          <w:rFonts w:hint="default" w:ascii="Times New Roman" w:hAnsi="Times New Roman" w:eastAsia="Times New Roman" w:cs="Times New Roman"/>
          <w:sz w:val="20"/>
          <w:szCs w:val="20"/>
        </w:rPr>
        <w:fldChar w:fldCharType="begin" w:fldLock="1"/>
      </w:r>
      <w:r>
        <w:rPr>
          <w:rFonts w:hint="default" w:ascii="Times New Roman" w:hAnsi="Times New Roman" w:eastAsia="Times New Roman" w:cs="Times New Roman"/>
          <w:sz w:val="20"/>
          <w:szCs w:val="20"/>
          <w:lang w:val="en-US"/>
        </w:rPr>
        <w:instrText xml:space="preserve">ADDIN CSL_CITATION {"citationItems":[{"id":"ITEM-1","itemData":{"DOI":"10.20959/wjpr20206-17523","abstract":"… Which includes β-glucans, pectin, gums, mucilage and hemicelluloses that are fermented in … Lycopene is one of the major carotenoids and is found exclusively in tomatoes, guava, pink …","author":[{"dropping-particle":"","family":"Hussain","given":"B","non-dropping-particle":"","parse-names":false,"suffix":""},{"dropping-particle":"","family":"Sajid","given":"M A","non-dropping-particle":"","parse-names":false,"suffix":""},{"dropping-particle":"","family":"Nabeel","given":"M","non-dropping-particle":"","parse-names":false,"suffix":""},{"dropping-particle":"","family":"...","given":"","non-dropping-particle":"","parse-names":false,"suffix":""}],"container-title":"World Journal …","id":"ITEM-1","issue":"6","issued":{"date-parts":[["2020"]]},"page":"49-119","title":"Study of assessment of knowledge of patients and health care professionals about the use of nutraceuticals","type":"article-journal","volume":"9"},"uris":["http://www.mendeley.com/documents/?uuid=aadd82e5-3ff1-4b47-8bd5-630f40b908d4"]}],"mendeley":{"formattedCitation":"(Hussain et al., 2020)","plainTextFormattedCitation":"(Hussain et al., 2020)","previouslyFormattedCitation":"(Hussain et al., 2020)"},"properties":{"noteIndex":0},"schema":"https://github.com/citation-style-language/schema/raw/master/csl-citation.json"}</w:instrText>
      </w:r>
      <w:r>
        <w:rPr>
          <w:rFonts w:hint="default" w:ascii="Times New Roman" w:hAnsi="Times New Roman" w:eastAsia="Times New Roman" w:cs="Times New Roman"/>
          <w:sz w:val="20"/>
          <w:szCs w:val="20"/>
        </w:rPr>
        <w:fldChar w:fldCharType="separate"/>
      </w:r>
      <w:r>
        <w:rPr>
          <w:rFonts w:hint="default" w:ascii="Times New Roman" w:hAnsi="Times New Roman" w:eastAsia="Times New Roman" w:cs="Times New Roman"/>
          <w:b w:val="0"/>
          <w:i w:val="0"/>
          <w:smallCaps w:val="0"/>
          <w:sz w:val="20"/>
          <w:szCs w:val="20"/>
          <w:u w:val="none"/>
          <w:lang w:val="en-US"/>
        </w:rPr>
        <w:t>(Hussain et al., 2020)</w:t>
      </w:r>
      <w:r>
        <w:rPr>
          <w:rFonts w:hint="default" w:ascii="Times New Roman" w:hAnsi="Times New Roman" w:eastAsia="Times New Roman" w:cs="Times New Roman"/>
          <w:sz w:val="20"/>
          <w:szCs w:val="20"/>
        </w:rPr>
        <w:fldChar w:fldCharType="end"/>
      </w:r>
      <w:r>
        <w:rPr>
          <w:rFonts w:hint="default" w:ascii="Times New Roman" w:hAnsi="Times New Roman" w:eastAsia="Times New Roman" w:cs="Times New Roman"/>
          <w:sz w:val="20"/>
          <w:szCs w:val="20"/>
        </w:rPr>
        <w:t>, who emphasized the significance of physician training to fill in knowledge gaps</w:t>
      </w:r>
      <w:r>
        <w:rPr>
          <w:rFonts w:hint="default" w:ascii="Times New Roman" w:hAnsi="Times New Roman" w:eastAsia="Times New Roman" w:cs="Times New Roman"/>
          <w:sz w:val="20"/>
          <w:szCs w:val="20"/>
          <w:lang w:val="en-US"/>
        </w:rPr>
        <w:t xml:space="preserve"> </w:t>
      </w:r>
      <w:r>
        <w:rPr>
          <w:rFonts w:hint="default" w:ascii="Times New Roman" w:hAnsi="Times New Roman" w:eastAsia="Times New Roman" w:cs="Times New Roman"/>
          <w:sz w:val="20"/>
          <w:szCs w:val="20"/>
        </w:rPr>
        <w:t>Strocka et al</w:t>
      </w:r>
      <w:r>
        <w:rPr>
          <w:rFonts w:hint="default" w:ascii="Times New Roman" w:hAnsi="Times New Roman" w:eastAsia="Times New Roman" w:cs="Times New Roman"/>
          <w:sz w:val="20"/>
          <w:szCs w:val="20"/>
          <w:lang w:val="en-US"/>
        </w:rPr>
        <w:t xml:space="preserve"> and </w:t>
      </w:r>
      <w:r>
        <w:rPr>
          <w:rFonts w:hint="default" w:ascii="Times New Roman" w:hAnsi="Times New Roman" w:eastAsia="SimSun" w:cs="Times New Roman"/>
          <w:kern w:val="0"/>
          <w:sz w:val="20"/>
          <w:szCs w:val="20"/>
          <w:lang w:val="en-US" w:eastAsia="zh-CN" w:bidi="ar"/>
        </w:rPr>
        <w:t>Abasie et al</w:t>
      </w:r>
      <w:r>
        <w:rPr>
          <w:rFonts w:hint="default" w:ascii="Times New Roman" w:hAnsi="Times New Roman" w:eastAsia="SimSun" w:cs="Times New Roman"/>
          <w:kern w:val="0"/>
          <w:sz w:val="20"/>
          <w:szCs w:val="20"/>
          <w:lang w:val="en-US" w:eastAsia="zh-CN" w:bidi="ar"/>
        </w:rPr>
        <w:fldChar w:fldCharType="begin" w:fldLock="1"/>
      </w:r>
      <w:r>
        <w:rPr>
          <w:rFonts w:hint="default" w:ascii="Times New Roman" w:hAnsi="Times New Roman" w:eastAsia="SimSun" w:cs="Times New Roman"/>
          <w:kern w:val="0"/>
          <w:sz w:val="20"/>
          <w:szCs w:val="20"/>
          <w:lang w:val="en-US" w:eastAsia="zh-CN" w:bidi="ar"/>
        </w:rPr>
        <w:instrText xml:space="preserve">ADDIN CSL_CITATION {"citationItems":[{"id":"ITEM-1","itemData":{"DOI":"10.52768/2833-2725/1049","abstract":"Drug is an essential part of health care services yet their misuse and/or abuse constitutes a very serious public health and security problem that obstructs the socio-economic development of people, especially youths in the society.","author":[{"dropping-particle":"","family":"R","given":"Abazie Nneka","non-dropping-particle":"","parse-names":false,"suffix":""},{"dropping-particle":"","family":"Nnenna","given":"Ajagu","non-dropping-particle":"","parse-names":false,"suffix":""}],"container-title":"Open Journal of Clinical and Medical Images","id":"ITEM-1","issue":"1","issued":{"date-parts":[["2022","6","9"]]},"publisher":"Open Source Publications","title":"Knowledge and perception of university students on drug Abuse in Delta State, South-South, Nigeria","type":"article-journal","volume":"2"},"uris":["http://www.mendeley.com/documents/?uuid=176e9601-2868-3b43-9219-94b681ae5b59"]},{"id":"ITEM-2","itemData":{"DOI":"10.3390/NU16213691","ISSN":"2072-6643","PMID":"39519524","abstract":"Introduction: The growing popularity of dietary supplements in Poland raises the need to verify the knowledge and practices of healthcare workers who have a key role in recommending their use. Understanding these issues is important to ensure patient safety and the correct use of dietary supplements. Therefore, the aim of the study was to examine the level of knowledge, practices, and sources of information on dietary supplements among various professional groups of healthcare workers. Material and Methods: The study conducted from September 2023 to June 2024 involved 743 healthcare professionals, including doctors, pharmacists, and nurses. Data were collected online using an original questionnaire. The questionnaire was placed in portals associated with target groups. Results: A total of 73.49% of respondents declared knowledge of dietary supplements. The most common source of information was scientific articles (42.8%), and only 7.00% of respondents used official sources such as the Chief Sanitary Inspectorate. Advertisements had a smaller impact on doctors (p &lt; 0.001), with 46.97% of respondents stating that they did not pay attention to them. In addition, 84.52% of respondents considered the composition of the dietary supplement to be a key factor in their recommendation. Conclusions: Knowledge of dietary supplements among healthcare professionals varies, particularly between different professional groups. The results indicate a need for further education and standardization of information to ensure safe and responsible recommendation of supplements to consumers.","author":[{"dropping-particle":"","family":"Strocka","given":"Justyna","non-dropping-particle":"","parse-names":false,"suffix":""},{"dropping-particle":"","family":"Religioni","given":"Urszula","non-dropping-particle":"","parse-names":false,"suffix":""},{"dropping-particle":"","family":"Plagens-Rotman","given":"Katarzyna","non-dropping-particle":"","parse-names":false,"suffix":""},{"dropping-particle":"","family":"Drab","given":"Agnieszka","non-dropping-particle":"","parse-names":false,"suffix":""},{"dropping-particle":"","family":"Merks","given":"Piotr","non-dropping-particle":"","parse-names":false,"suffix":""},{"dropping-particle":"","family":"Kaźmierczak","given":"Justyna","non-dropping-particle":"","parse-names":false,"suffix":""},{"dropping-particle":"","family":"Blicharska","given":"Eliza","non-dropping-particle":"","parse-names":false,"suffix":""},{"dropping-particle":"","family":"Pinkas","given":"Jarosław","non-dropping-particle":"","parse-names":false,"suffix":""}],"container-title":"Nutrients 2024, Vol. 16, Page 3691","id":"ITEM-2","issue":"21","issued":{"date-parts":[["2024","10","29"]]},"page":"3691","publisher":"Multidisciplinary Digital Publishing Institute","title":"Knowledge and Practices Regarding Dietary Supplements Among Healthcare Professionals in Poland","type":"article-journal","volume":"16"},"uris":["http://www.mendeley.com/documents/?uuid=94cbb8e2-2d22-32fe-8f58-f4752dc59a2c"]}],"mendeley":{"formattedCitation":"(R &amp; Nnenna, 2022; Strocka et al., 2024)","plainTextFormattedCitation":"(R &amp; Nnenna, 2022; Strocka et al., 2024)","previouslyFormattedCitation":"(R &amp; Nnenna, 2022; Strocka et al., 2024)"},"properties":{"noteIndex":0},"schema":"https://github.com/citation-style-language/schema/raw/master/csl-citation.json"}</w:instrText>
      </w:r>
      <w:r>
        <w:rPr>
          <w:rFonts w:hint="default" w:ascii="Times New Roman" w:hAnsi="Times New Roman" w:eastAsia="SimSun" w:cs="Times New Roman"/>
          <w:kern w:val="0"/>
          <w:sz w:val="20"/>
          <w:szCs w:val="20"/>
          <w:lang w:val="en-US" w:eastAsia="zh-CN" w:bidi="ar"/>
        </w:rPr>
        <w:fldChar w:fldCharType="separate"/>
      </w:r>
      <w:r>
        <w:rPr>
          <w:rFonts w:hint="default" w:ascii="Times New Roman" w:hAnsi="Times New Roman" w:eastAsia="SimSun" w:cs="Times New Roman"/>
          <w:b w:val="0"/>
          <w:i w:val="0"/>
          <w:smallCaps w:val="0"/>
          <w:kern w:val="0"/>
          <w:sz w:val="20"/>
          <w:szCs w:val="20"/>
          <w:u w:val="none"/>
          <w:lang w:val="en-US" w:eastAsia="zh-CN" w:bidi="ar"/>
        </w:rPr>
        <w:t>(R &amp; Nnenna, 2022; Strocka et al., 2024)</w:t>
      </w:r>
      <w:r>
        <w:rPr>
          <w:rFonts w:hint="default" w:ascii="Times New Roman" w:hAnsi="Times New Roman" w:eastAsia="SimSun" w:cs="Times New Roman"/>
          <w:kern w:val="0"/>
          <w:sz w:val="20"/>
          <w:szCs w:val="20"/>
          <w:lang w:val="en-US" w:eastAsia="zh-CN" w:bidi="ar"/>
        </w:rPr>
        <w:fldChar w:fldCharType="end"/>
      </w:r>
      <w:r>
        <w:rPr>
          <w:rFonts w:hint="default" w:ascii="Times New Roman" w:hAnsi="Times New Roman" w:eastAsia="SimSun" w:cs="Times New Roman"/>
          <w:kern w:val="0"/>
          <w:sz w:val="20"/>
          <w:szCs w:val="20"/>
          <w:lang w:val="en-US" w:eastAsia="zh-CN" w:bidi="ar"/>
        </w:rPr>
        <w:t xml:space="preserve"> o</w:t>
      </w:r>
      <w:r>
        <w:rPr>
          <w:rFonts w:hint="default" w:ascii="Times New Roman" w:hAnsi="Times New Roman" w:eastAsia="Times New Roman" w:cs="Times New Roman"/>
          <w:sz w:val="20"/>
          <w:szCs w:val="20"/>
        </w:rPr>
        <w:t>n the other hand,</w:t>
      </w:r>
      <w:r>
        <w:rPr>
          <w:rFonts w:hint="default" w:ascii="Times New Roman" w:hAnsi="Times New Roman" w:eastAsia="Times New Roman" w:cs="Times New Roman"/>
          <w:sz w:val="20"/>
          <w:szCs w:val="20"/>
          <w:lang w:val="en-US"/>
        </w:rPr>
        <w:t xml:space="preserve"> </w:t>
      </w:r>
      <w:r>
        <w:rPr>
          <w:rFonts w:hint="default" w:ascii="Times New Roman" w:hAnsi="Times New Roman" w:eastAsia="Times New Roman" w:cs="Times New Roman"/>
          <w:sz w:val="20"/>
          <w:szCs w:val="20"/>
        </w:rPr>
        <w:t>found that variations were more noticeable between professional groups than between demographic traits like gender, indicating that context-specific factors influence variation.</w:t>
      </w:r>
    </w:p>
    <w:p w14:paraId="6F6472D8">
      <w:pPr>
        <w:spacing w:after="0" w:line="480" w:lineRule="auto"/>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All things considered, the current study contributes to the global literature by verifying that medical professionals typically have positive attitudes and favorable impressions about nutraceuticals, although they frequently lack thorough information, particularly in areas that public health programs place less emphasis on. Similar to earlier research</w:t>
      </w:r>
      <w:r>
        <w:rPr>
          <w:rFonts w:hint="default" w:ascii="Times New Roman" w:hAnsi="Times New Roman" w:eastAsia="Times New Roman" w:cs="Times New Roman"/>
          <w:sz w:val="20"/>
          <w:szCs w:val="20"/>
        </w:rPr>
        <w:fldChar w:fldCharType="begin" w:fldLock="1"/>
      </w:r>
      <w:r>
        <w:rPr>
          <w:rFonts w:hint="default" w:ascii="Times New Roman" w:hAnsi="Times New Roman" w:eastAsia="Times New Roman" w:cs="Times New Roman"/>
          <w:sz w:val="20"/>
          <w:szCs w:val="20"/>
          <w:lang w:val="en-US"/>
        </w:rPr>
        <w:instrText xml:space="preserve">ADDIN CSL_CITATION {"citationItems":[{"id":"ITEM-1","itemData":{"DOI":"10.1371/JOURNAL.PONE.0252538","ISSN":"19326203","PMID":"34086755","abstract":"Background There is substantial increment in nutraceutical consumption in Nepal, although the data on its efficacy and safety is scarce. The practices of nutraceutical supplements users in Nepal remain undocumented. Therefore, this study was conducted to study the prescription pattern, cost, knowledge, attitude and practice (KAP) of the patient towards nutraceutical. Methods Descriptive cross-sectional study with stratified purposive sampling (n = 400) (patients from the out-patient departments of Scheer Memorial Adventist Hospital, Kavre, Nepal) was performed using a validated structured questionnaire assessing the socio-demographic characteristics, knowledge, attitude, practice of nutraceutical and total cost patients spent on nutraceutical alone. Pearson Chi-square test (x2) was used to investigate the association between socio-demographic variables and patients' KAP (knowledge, attitude and practice) towards nutraceutical. One way ANOVA was performed to compare the cost of nutraceutical among the different outpatient departments. Results More than 80% of patients were found to be consuming nutraceutical on their own. The mostly prescribed nutraceutical were vitamins (40.7%), minerals (23.7%), enzymes (21.1%), proteins (8.8%), probiotics (4.2%) and herbals (2.0%). With the most common reasons for consuming nutraceutical were to maintain good health (70.0%) and healthcare professionals (57.85%) were the most approached source of information for nutraceutical. Nearly half of the patients (46.5%) had an inadequate level of knowledge whereas more than two-third (71.5%) showed a moderate positive attitude towards nutraceutical use. The average amount patients spent was NRs.575.78 [equivalent to USD 4.85] per prescription on nutraceutical alone. The maximum cost amounted to NRs 757.18 [equivalent to USD 6.43] in Orthopedics, and the minimum cost was NRs 399.03 [equivalent to USD 3.36] in Obstetrics and gynecology, respectively. There was a significant difference (p &lt; 0.001) in cost of nutraceutical prescribed between the OPD clinics. Conclusion The higher prevalence of inadequate knowledge despite moderate positive attitude towards nutraceutical among patients regarding some significant issues such as safety and interactions of nutraceutical consumption and its' substitution for meals reflects the need to develop an educational strategy to increase general public awareness on the rational use of nutraceutical. Copyright:","author":[{"dropping-particle":"","family":"Shrestha","given":"Rabi","non-dropping-particle":"","parse-names":false,"suffix":""},{"dropping-particle":"","family":"Shrestha","given":"Sweta","non-dropping-particle":"","parse-names":false,"suffix":""},{"dropping-particle":"","family":"Badri","given":"K. C.","non-dropping-particle":"","parse-names":false,"suffix":""},{"dropping-particle":"","family":"Shrestha","given":"Sunil","non-dropping-particle":"","parse-names":false,"suffix":""}],"container-title":"PLoS ONE","id":"ITEM-1","issue":"6 June","issued":{"date-parts":[["2021","6","1"]]},"publisher":"Public Library of Science","title":"Evaluation of nutritional supplements prescribed, its associated cost and patients knowledge, attitude and practice towards nutraceuticals: A hospital based crosssectional study in Kavrepalanchok, Nepal","type":"article-journal","volume":"16"},"uris":["http://www.mendeley.com/documents/?uuid=a86c1afa-a7fd-3702-82ca-ab1a7488ea51"]},{"id":"ITEM-2","itemData":{"DOI":"10.20959/wjpr20206-17523","abstract":"… Which includes β-glucans, pectin, gums, mucilage and hemicelluloses that are fermented in … Lycopene is one of the major carotenoids and is found exclusively in tomatoes, guava, pink …","author":[{"dropping-particle":"","family":"Hussain","given":"B","non-dropping-particle":"","parse-names":false,"suffix":""},{"dropping-particle":"","family":"Sajid","given":"M A","non-dropping-particle":"","parse-names":false,"suffix":""},{"dropping-particle":"","family":"Nabeel","given":"M","non-dropping-particle":"","parse-names":false,"suffix":""},{"dropping-particle":"","family":"...","given":"","non-dropping-particle":"","parse-names":false,"suffix":""}],"container-title":"World Journal …","id":"ITEM-2","issue":"6","issued":{"date-parts":[["2020"]]},"page":"49-119","title":"Study of assessment of knowledge of patients and health care professionals about the use of nutraceuticals","type":"article-journal","volume":"9"},"uris":["http://www.mendeley.com/documents/?uuid=aadd82e5-3ff1-4b47-8bd5-630f40b908d4"]},{"id":"ITEM-3","itemData":{"DOI":"10.1186/S12875-024-02654-4","ISSN":"2731-4553","PMID":"39592961","abstract":"Background: Dietary supplements (DS) are often used by patients to enhance their health and well-being. General practitioners (GPs) are commonly the first point of contact for patients who enquire about DS. The aim of this study was to explore GPs’ views on DS. Methods: A cross-sectional purposeful recruitment online survey of 162 general practitioners (GPs) in Germany was conducted between May and August 2021. The questionnaire assessed GPs’ views on dietary supplements (DS), including perceptions of safety, efficacy, and importance in medical practice. Data were analyzed using inferential statistics and logistic regression analyses to explore associations between GPs’ views and demographic factors. Results: Response rate could not be determined because multipliers were included here by means of personal networks, consent rate was 100%. Many respondents considered DS to be an important topic in their daily practice (64,8%, n = 99). Almost two thirds were convinced of their efficacy and considered DS to be safe for use (61,2%, n = 93). However, the majority of respondents were in favor of more standardized guidelines (86.8%, n = 132) and improved medical education on the handling of DS in routine care (89,5%, n = 136). Physicians who self-administered DS were statistically significantly more likely to perceive them as safe to use, with an OR of 4.25 (95% CI: 1.74–10.40). Self-administration [OR 4.52 (1.67–12.22)] and participation in continuous medical education (CME) [OR 3.52 (1.133–9.38)] were positively associated with perceiving them as an important topic. Conclusions: To the best of our knowledge, this is the first study to assess German GPs’ perceptions regarding DS. The majority of physicians recognized the importance of DS in routine care but wished for improved regulation and more standardized guidelines regarding their use. The findings could be used to develop targeted educational interventions and improve handling of DS in daily general practice.","author":[{"dropping-particle":"","family":"Wagner","given":"Sophia","non-dropping-particle":"","parse-names":false,"suffix":""},{"dropping-particle":"","family":"Eickmann","given":"Sascha","non-dropping-particle":"","parse-names":false,"suffix":""},{"dropping-particle":"","family":"Baurecht","given":"Hansjörg","non-dropping-particle":"","parse-names":false,"suffix":""},{"dropping-particle":"","family":"Herrmann","given":"Anne","non-dropping-particle":"","parse-names":false,"suffix":""}],"container-title":"BMC primary care","id":"ITEM-3","issue":"1","issued":{"date-parts":[["2024","12","1"]]},"publisher":"BMC Prim Care","title":"A cross-sectional study exploring general practitioners' views on dietary supplements","type":"article-journal","volume":"25"},"uris":["http://www.mendeley.com/documents/?uuid=ecc7911d-08f8-344f-bec5-51354c358fc9"]}],"mendeley":{"formattedCitation":"(Hussain et al., 2020; Shrestha et al., 2021; Wagner et al., 2024)","plainTextFormattedCitation":"(Hussain et al., 2020; Shrestha et al., 2021; Wagner et al., 2024)","previouslyFormattedCitation":"(Hussain et al., 2020; Shrestha et al., 2021; Wagner et al., 2024)"},"properties":{"noteIndex":0},"schema":"https://github.com/citation-style-language/schema/raw/master/csl-citation.json"}</w:instrText>
      </w:r>
      <w:r>
        <w:rPr>
          <w:rFonts w:hint="default" w:ascii="Times New Roman" w:hAnsi="Times New Roman" w:eastAsia="Times New Roman" w:cs="Times New Roman"/>
          <w:sz w:val="20"/>
          <w:szCs w:val="20"/>
        </w:rPr>
        <w:fldChar w:fldCharType="separate"/>
      </w:r>
      <w:r>
        <w:rPr>
          <w:rFonts w:hint="default" w:ascii="Times New Roman" w:hAnsi="Times New Roman" w:eastAsia="Times New Roman" w:cs="Times New Roman"/>
          <w:b w:val="0"/>
          <w:i w:val="0"/>
          <w:smallCaps w:val="0"/>
          <w:sz w:val="20"/>
          <w:szCs w:val="20"/>
          <w:u w:val="none"/>
          <w:lang w:val="en-US" w:eastAsia="zh-CN"/>
        </w:rPr>
        <w:t>(Hussain et al., 2020; Shrestha et al., 2021; Wagner et al., 2024)</w:t>
      </w:r>
      <w:r>
        <w:rPr>
          <w:rFonts w:hint="default" w:ascii="Times New Roman" w:hAnsi="Times New Roman" w:eastAsia="Times New Roman" w:cs="Times New Roman"/>
          <w:sz w:val="20"/>
          <w:szCs w:val="20"/>
        </w:rPr>
        <w:fldChar w:fldCharType="end"/>
      </w:r>
      <w:r>
        <w:rPr>
          <w:rFonts w:hint="default" w:ascii="Times New Roman" w:hAnsi="Times New Roman" w:eastAsia="Times New Roman" w:cs="Times New Roman"/>
          <w:sz w:val="20"/>
          <w:szCs w:val="20"/>
          <w:lang w:val="en-US"/>
        </w:rPr>
        <w:t>,</w:t>
      </w:r>
      <w:r>
        <w:rPr>
          <w:rFonts w:hint="default" w:ascii="Times New Roman" w:hAnsi="Times New Roman" w:eastAsia="Times New Roman" w:cs="Times New Roman"/>
          <w:sz w:val="20"/>
          <w:szCs w:val="20"/>
        </w:rPr>
        <w:t xml:space="preserve"> it emphasizes the critical need for organized instruction, transparent regulations, and evidence-based recommendations to improve medical professionals' capacity to provide patients with effective counseling. However, the results also show distinct trends in Nigeria, where there is a significant dependence on understanding of iron and folic acid but a low awareness of regulatory control. This disparity is less noticeable in European environments where official norms are more well-established.</w:t>
      </w:r>
    </w:p>
    <w:p w14:paraId="1A8EE6DF">
      <w:pPr>
        <w:spacing w:after="0" w:line="480" w:lineRule="auto"/>
        <w:rPr>
          <w:rFonts w:hint="default" w:ascii="Times New Roman" w:hAnsi="Times New Roman" w:eastAsia="Times New Roman" w:cs="Times New Roman"/>
          <w:b/>
          <w:sz w:val="20"/>
          <w:szCs w:val="20"/>
        </w:rPr>
      </w:pPr>
      <w:r>
        <w:rPr>
          <w:rFonts w:hint="default" w:ascii="Times New Roman" w:hAnsi="Times New Roman" w:eastAsia="Times New Roman" w:cs="Times New Roman"/>
          <w:b/>
          <w:sz w:val="20"/>
          <w:szCs w:val="20"/>
        </w:rPr>
        <w:t>CONCLUSION</w:t>
      </w:r>
    </w:p>
    <w:p w14:paraId="36A96D02">
      <w:pPr>
        <w:spacing w:after="0" w:line="480" w:lineRule="auto"/>
        <w:rPr>
          <w:rFonts w:hint="default" w:ascii="Times New Roman" w:hAnsi="Times New Roman" w:eastAsia="Times New Roman" w:cs="Times New Roman"/>
          <w:sz w:val="20"/>
          <w:szCs w:val="20"/>
          <w:lang w:eastAsia="en-US"/>
        </w:rPr>
      </w:pPr>
      <w:r>
        <w:rPr>
          <w:rFonts w:hint="default" w:ascii="Times New Roman" w:hAnsi="Times New Roman" w:eastAsia="Times New Roman" w:cs="Times New Roman"/>
          <w:sz w:val="20"/>
          <w:szCs w:val="20"/>
          <w:lang w:eastAsia="en-US"/>
        </w:rPr>
        <w:t xml:space="preserve">This study done in Enugu among healthcare practitioners shows that although there are still significant gaps in some areas, such as knowledge of WHO recommendations on omega-3 fatty acid use, antioxidant use, and the regulatory framework in Nigeria, this study showed that healthcare professionals had moderate to good knowledge, generally positive attitudes, and favorable perceptions regarding the use of nutraceuticals and dietary supplements. Although the majority of respondents recognized the value of nutraceuticals as dietary supplements, preventative healthcare, and patient care adjuncts, they were cautious about using them in place of first-line treatments or traditional medication. Demographic characteristics that may influence professional attitudes and therapeutic procedures are highlighted by the significant correlations found between knowledge and age, as well as between perception and gender and profession. All things considered, the results highlight the necessity of improved instruction, regulatory knowledge, and evidence-based recommendations to assist the safe and efficient incorporation of nutraceuticals into healthcare delivery, improving patient outcomes and bolstering preventive health initiatives </w:t>
      </w:r>
    </w:p>
    <w:p w14:paraId="1A87113A">
      <w:pPr>
        <w:spacing w:line="360" w:lineRule="auto"/>
        <w:rPr>
          <w:rFonts w:hint="default" w:ascii="Times New Roman" w:hAnsi="Times New Roman" w:eastAsia="Times New Roman" w:cs="Times New Roman"/>
          <w:b/>
          <w:sz w:val="20"/>
          <w:szCs w:val="20"/>
          <w:lang w:eastAsia="en-US"/>
        </w:rPr>
      </w:pPr>
    </w:p>
    <w:p w14:paraId="7092471C">
      <w:pPr>
        <w:rPr>
          <w:rFonts w:hint="default" w:ascii="Times New Roman" w:hAnsi="Times New Roman" w:eastAsia="Times New Roman" w:cs="Times New Roman"/>
          <w:b/>
          <w:sz w:val="20"/>
          <w:szCs w:val="20"/>
          <w:lang w:eastAsia="en-US"/>
        </w:rPr>
      </w:pPr>
      <w:r>
        <w:rPr>
          <w:rFonts w:hint="default" w:ascii="Times New Roman" w:hAnsi="Times New Roman" w:eastAsia="Times New Roman" w:cs="Times New Roman"/>
          <w:b/>
          <w:sz w:val="20"/>
          <w:szCs w:val="20"/>
          <w:lang w:eastAsia="en-US"/>
        </w:rPr>
        <w:t xml:space="preserve">                                </w:t>
      </w:r>
    </w:p>
    <w:p w14:paraId="354EBB73">
      <w:pPr>
        <w:rPr>
          <w:rFonts w:hint="default" w:ascii="Times New Roman" w:hAnsi="Times New Roman" w:eastAsia="Times New Roman" w:cs="Times New Roman"/>
          <w:b/>
          <w:sz w:val="20"/>
          <w:szCs w:val="20"/>
          <w:lang w:eastAsia="en-US"/>
        </w:rPr>
      </w:pPr>
      <w:r>
        <w:rPr>
          <w:rFonts w:hint="default" w:ascii="Times New Roman" w:hAnsi="Times New Roman" w:eastAsia="Times New Roman" w:cs="Times New Roman"/>
          <w:b/>
          <w:sz w:val="20"/>
          <w:szCs w:val="20"/>
          <w:lang w:eastAsia="en-US"/>
        </w:rPr>
        <w:t xml:space="preserve">                                </w:t>
      </w:r>
    </w:p>
    <w:p w14:paraId="77AC9A1B">
      <w:pPr>
        <w:widowControl/>
        <w:jc w:val="left"/>
        <w:rPr>
          <w:rFonts w:hint="default" w:ascii="Times New Roman" w:hAnsi="Times New Roman" w:eastAsia="Times New Roman" w:cs="Times New Roman"/>
          <w:b/>
          <w:sz w:val="20"/>
          <w:szCs w:val="20"/>
          <w:lang w:eastAsia="en-US"/>
        </w:rPr>
      </w:pPr>
      <w:r>
        <w:rPr>
          <w:rFonts w:hint="default" w:ascii="Times New Roman" w:hAnsi="Times New Roman" w:eastAsia="Times New Roman" w:cs="Times New Roman"/>
          <w:b/>
          <w:sz w:val="20"/>
          <w:szCs w:val="20"/>
          <w:lang w:eastAsia="en-US"/>
        </w:rPr>
        <w:br w:type="page"/>
      </w:r>
    </w:p>
    <w:p w14:paraId="55A8B953">
      <w:pPr>
        <w:spacing w:after="0" w:line="480" w:lineRule="auto"/>
        <w:ind w:left="418" w:right="720" w:hanging="418"/>
        <w:rPr>
          <w:rFonts w:hint="default" w:ascii="Times New Roman" w:hAnsi="Times New Roman" w:eastAsia="Times New Roman" w:cs="Times New Roman"/>
          <w:b/>
          <w:bCs/>
          <w:sz w:val="20"/>
          <w:szCs w:val="20"/>
          <w:shd w:val="clear" w:color="auto" w:fill="FFFFFF"/>
          <w:lang w:val="en-US"/>
        </w:rPr>
      </w:pPr>
      <w:bookmarkStart w:id="0" w:name="_GoBack"/>
      <w:r>
        <w:rPr>
          <w:rFonts w:hint="default" w:ascii="Times New Roman" w:hAnsi="Times New Roman" w:eastAsia="Times New Roman" w:cs="Times New Roman"/>
          <w:b/>
          <w:bCs/>
          <w:sz w:val="20"/>
          <w:szCs w:val="20"/>
          <w:shd w:val="clear" w:color="auto" w:fill="FFFFFF"/>
          <w:lang w:val="en-US"/>
        </w:rPr>
        <w:t xml:space="preserve">REFERENCE  </w:t>
      </w:r>
    </w:p>
    <w:p w14:paraId="688D4A0B">
      <w:pPr>
        <w:spacing w:beforeLines="0" w:after="0" w:afterLines="0" w:line="480" w:lineRule="auto"/>
        <w:ind w:left="418" w:leftChars="0" w:hanging="418" w:hangingChars="209"/>
        <w:jc w:val="left"/>
        <w:rPr>
          <w:rFonts w:hint="default" w:ascii="Times New Roman" w:hAnsi="Times New Roman" w:cs="Times New Roman"/>
          <w:sz w:val="20"/>
          <w:szCs w:val="20"/>
        </w:rPr>
      </w:pPr>
      <w:r>
        <w:rPr>
          <w:rFonts w:hint="default" w:ascii="Times New Roman" w:hAnsi="Times New Roman" w:eastAsia="Times New Roman" w:cs="Times New Roman"/>
          <w:sz w:val="20"/>
          <w:szCs w:val="20"/>
          <w:shd w:val="clear" w:color="auto" w:fill="FFFFFF"/>
        </w:rPr>
        <w:fldChar w:fldCharType="begin" w:fldLock="1"/>
      </w:r>
      <w:r>
        <w:rPr>
          <w:rFonts w:hint="default" w:ascii="Times New Roman" w:hAnsi="Times New Roman" w:eastAsia="Times New Roman" w:cs="Times New Roman"/>
          <w:sz w:val="20"/>
          <w:szCs w:val="20"/>
          <w:shd w:val="clear" w:color="auto" w:fill="FFFFFF"/>
          <w:lang w:val="en-US"/>
        </w:rPr>
        <w:instrText xml:space="preserve">ADDIN Mendeley Bibliography CSL_BIBLIOGRAPHY </w:instrText>
      </w:r>
      <w:r>
        <w:rPr>
          <w:rFonts w:hint="default" w:ascii="Times New Roman" w:hAnsi="Times New Roman" w:eastAsia="Times New Roman" w:cs="Times New Roman"/>
          <w:sz w:val="20"/>
          <w:szCs w:val="20"/>
          <w:shd w:val="clear" w:color="auto" w:fill="FFFFFF"/>
        </w:rPr>
        <w:fldChar w:fldCharType="separate"/>
      </w:r>
      <w:r>
        <w:rPr>
          <w:rFonts w:hint="default" w:ascii="Times New Roman" w:hAnsi="Times New Roman" w:cs="Times New Roman"/>
          <w:sz w:val="20"/>
          <w:szCs w:val="20"/>
        </w:rPr>
        <w:t xml:space="preserve">Ajagu, N. (2025). </w:t>
      </w:r>
      <w:r>
        <w:rPr>
          <w:rFonts w:hint="default" w:ascii="Times New Roman" w:hAnsi="Times New Roman" w:cs="Times New Roman"/>
          <w:i/>
          <w:sz w:val="20"/>
          <w:szCs w:val="20"/>
        </w:rPr>
        <w:t>Pharmacist Role in Monitoring Self Medication and Self-Care with Over-the-Counter Nutritional and Herbal Supplements in Nigeria : A Review</w:t>
      </w:r>
      <w:r>
        <w:rPr>
          <w:rFonts w:hint="default" w:ascii="Times New Roman" w:hAnsi="Times New Roman" w:cs="Times New Roman"/>
          <w:sz w:val="20"/>
          <w:szCs w:val="20"/>
        </w:rPr>
        <w:t xml:space="preserve">. </w:t>
      </w:r>
      <w:r>
        <w:rPr>
          <w:rFonts w:hint="default" w:ascii="Times New Roman" w:hAnsi="Times New Roman" w:cs="Times New Roman"/>
          <w:i/>
          <w:sz w:val="20"/>
          <w:szCs w:val="20"/>
        </w:rPr>
        <w:t>3</w:t>
      </w:r>
      <w:r>
        <w:rPr>
          <w:rFonts w:hint="default" w:ascii="Times New Roman" w:hAnsi="Times New Roman" w:cs="Times New Roman"/>
          <w:sz w:val="20"/>
          <w:szCs w:val="20"/>
        </w:rPr>
        <w:t>(5), 108–115. https://doi.org/10.5281/zenodo.15319310</w:t>
      </w:r>
    </w:p>
    <w:p w14:paraId="3CEF0435">
      <w:pPr>
        <w:spacing w:beforeLines="0" w:after="0" w:afterLines="0" w:line="480" w:lineRule="auto"/>
        <w:ind w:left="480" w:hanging="480"/>
        <w:jc w:val="left"/>
        <w:rPr>
          <w:rFonts w:hint="default" w:ascii="Times New Roman" w:hAnsi="Times New Roman" w:cs="Times New Roman"/>
          <w:sz w:val="20"/>
          <w:szCs w:val="20"/>
        </w:rPr>
      </w:pPr>
      <w:r>
        <w:rPr>
          <w:rFonts w:hint="default" w:ascii="Times New Roman" w:hAnsi="Times New Roman" w:cs="Times New Roman"/>
          <w:sz w:val="20"/>
          <w:szCs w:val="20"/>
        </w:rPr>
        <w:t xml:space="preserve">Ajagu, N., Nwankpa, V. E., Aniekwe, A. O., Kalu, B. A., &amp; Kalu, I. A. (2026). Knowledge and Attitudes Towards Self-Medication with Antibiotics Among Health Science Students of Enugu State University, Nigeria. </w:t>
      </w:r>
      <w:r>
        <w:rPr>
          <w:rFonts w:hint="default" w:ascii="Times New Roman" w:hAnsi="Times New Roman" w:cs="Times New Roman"/>
          <w:i/>
          <w:sz w:val="20"/>
          <w:szCs w:val="20"/>
        </w:rPr>
        <w:t>IPS Journal of Public Health</w:t>
      </w:r>
      <w:r>
        <w:rPr>
          <w:rFonts w:hint="default" w:ascii="Times New Roman" w:hAnsi="Times New Roman" w:cs="Times New Roman"/>
          <w:sz w:val="20"/>
          <w:szCs w:val="20"/>
        </w:rPr>
        <w:t xml:space="preserve">, </w:t>
      </w:r>
      <w:r>
        <w:rPr>
          <w:rFonts w:hint="default" w:ascii="Times New Roman" w:hAnsi="Times New Roman" w:cs="Times New Roman"/>
          <w:i/>
          <w:sz w:val="20"/>
          <w:szCs w:val="20"/>
        </w:rPr>
        <w:t>6</w:t>
      </w:r>
      <w:r>
        <w:rPr>
          <w:rFonts w:hint="default" w:ascii="Times New Roman" w:hAnsi="Times New Roman" w:cs="Times New Roman"/>
          <w:sz w:val="20"/>
          <w:szCs w:val="20"/>
        </w:rPr>
        <w:t>(1), 542–554. https://doi.org/10.54117/Z6W29S37</w:t>
      </w:r>
    </w:p>
    <w:p w14:paraId="1CD3C06C">
      <w:pPr>
        <w:spacing w:beforeLines="0" w:after="0" w:afterLines="0" w:line="480" w:lineRule="auto"/>
        <w:ind w:left="480" w:hanging="480"/>
        <w:jc w:val="left"/>
        <w:rPr>
          <w:rFonts w:hint="default" w:ascii="Times New Roman" w:hAnsi="Times New Roman" w:cs="Times New Roman"/>
          <w:sz w:val="20"/>
          <w:szCs w:val="20"/>
        </w:rPr>
      </w:pPr>
      <w:r>
        <w:rPr>
          <w:rFonts w:hint="default" w:ascii="Times New Roman" w:hAnsi="Times New Roman" w:cs="Times New Roman"/>
          <w:sz w:val="20"/>
          <w:szCs w:val="20"/>
        </w:rPr>
        <w:t xml:space="preserve">Anushka Menon, Mugdhali Sawant, Shivangi Mishra, Prachi Bhatia, &amp; Sejal Rathod. (2021). Awareness, Perception and Usage of Nutraceuticals in Indian Society. </w:t>
      </w:r>
      <w:r>
        <w:rPr>
          <w:rFonts w:hint="default" w:ascii="Times New Roman" w:hAnsi="Times New Roman" w:cs="Times New Roman"/>
          <w:i/>
          <w:sz w:val="20"/>
          <w:szCs w:val="20"/>
        </w:rPr>
        <w:t>International Journal of Scientific Research in Science and Technology</w:t>
      </w:r>
      <w:r>
        <w:rPr>
          <w:rFonts w:hint="default" w:ascii="Times New Roman" w:hAnsi="Times New Roman" w:cs="Times New Roman"/>
          <w:sz w:val="20"/>
          <w:szCs w:val="20"/>
        </w:rPr>
        <w:t>, 399–414. https://doi.org/10.32628/IJSRST218559</w:t>
      </w:r>
    </w:p>
    <w:p w14:paraId="439C677A">
      <w:pPr>
        <w:spacing w:beforeLines="0" w:after="0" w:afterLines="0" w:line="480" w:lineRule="auto"/>
        <w:ind w:left="480" w:hanging="480"/>
        <w:jc w:val="left"/>
        <w:rPr>
          <w:rFonts w:hint="default" w:ascii="Times New Roman" w:hAnsi="Times New Roman" w:cs="Times New Roman"/>
          <w:sz w:val="20"/>
          <w:szCs w:val="20"/>
        </w:rPr>
      </w:pPr>
      <w:r>
        <w:rPr>
          <w:rFonts w:hint="default" w:ascii="Times New Roman" w:hAnsi="Times New Roman" w:cs="Times New Roman"/>
          <w:sz w:val="20"/>
          <w:szCs w:val="20"/>
        </w:rPr>
        <w:t xml:space="preserve">Bailey, R. L. (2018). Current regulatory guidelines and resources to support research of dietary supplements in the United States. </w:t>
      </w:r>
      <w:r>
        <w:rPr>
          <w:rFonts w:hint="default" w:ascii="Times New Roman" w:hAnsi="Times New Roman" w:cs="Times New Roman"/>
          <w:i/>
          <w:sz w:val="20"/>
          <w:szCs w:val="20"/>
        </w:rPr>
        <w:t>Critical Reviews in Food Science and Nutrition</w:t>
      </w:r>
      <w:r>
        <w:rPr>
          <w:rFonts w:hint="default" w:ascii="Times New Roman" w:hAnsi="Times New Roman" w:cs="Times New Roman"/>
          <w:sz w:val="20"/>
          <w:szCs w:val="20"/>
        </w:rPr>
        <w:t xml:space="preserve">, </w:t>
      </w:r>
      <w:r>
        <w:rPr>
          <w:rFonts w:hint="default" w:ascii="Times New Roman" w:hAnsi="Times New Roman" w:cs="Times New Roman"/>
          <w:i/>
          <w:sz w:val="20"/>
          <w:szCs w:val="20"/>
        </w:rPr>
        <w:t>60</w:t>
      </w:r>
      <w:r>
        <w:rPr>
          <w:rFonts w:hint="default" w:ascii="Times New Roman" w:hAnsi="Times New Roman" w:cs="Times New Roman"/>
          <w:sz w:val="20"/>
          <w:szCs w:val="20"/>
        </w:rPr>
        <w:t>(2), 298. https://doi.org/10.1080/10408398.2018.1524364</w:t>
      </w:r>
    </w:p>
    <w:p w14:paraId="147404A3">
      <w:pPr>
        <w:spacing w:beforeLines="0" w:after="0" w:afterLines="0" w:line="480" w:lineRule="auto"/>
        <w:ind w:left="480" w:hanging="480"/>
        <w:jc w:val="left"/>
        <w:rPr>
          <w:rFonts w:hint="default" w:ascii="Times New Roman" w:hAnsi="Times New Roman" w:cs="Times New Roman"/>
          <w:sz w:val="20"/>
          <w:szCs w:val="20"/>
        </w:rPr>
      </w:pPr>
      <w:r>
        <w:rPr>
          <w:rFonts w:hint="default" w:ascii="Times New Roman" w:hAnsi="Times New Roman" w:cs="Times New Roman"/>
          <w:sz w:val="20"/>
          <w:szCs w:val="20"/>
        </w:rPr>
        <w:t xml:space="preserve">BO, O., AS, E.-O., MI, O., AO, E., JC, A., TA, N., MU, A., L, E., UA, A., NN, O., HN, M., AI, O., I, O., M, O., E, E., GN, O., A, M., SO, O., M, O., … A, O. (2022). Assessment of Drug Use in a Tertiary Hospital in Southeast Nigeria Based on Who Core Drug Use Indicators. </w:t>
      </w:r>
      <w:r>
        <w:rPr>
          <w:rFonts w:hint="default" w:ascii="Times New Roman" w:hAnsi="Times New Roman" w:cs="Times New Roman"/>
          <w:i/>
          <w:sz w:val="20"/>
          <w:szCs w:val="20"/>
        </w:rPr>
        <w:t>Austin Journal of Nursing &amp; Health Care</w:t>
      </w:r>
      <w:r>
        <w:rPr>
          <w:rFonts w:hint="default" w:ascii="Times New Roman" w:hAnsi="Times New Roman" w:cs="Times New Roman"/>
          <w:sz w:val="20"/>
          <w:szCs w:val="20"/>
        </w:rPr>
        <w:t xml:space="preserve">, </w:t>
      </w:r>
      <w:r>
        <w:rPr>
          <w:rFonts w:hint="default" w:ascii="Times New Roman" w:hAnsi="Times New Roman" w:cs="Times New Roman"/>
          <w:i/>
          <w:sz w:val="20"/>
          <w:szCs w:val="20"/>
        </w:rPr>
        <w:t>16</w:t>
      </w:r>
      <w:r>
        <w:rPr>
          <w:rFonts w:hint="default" w:ascii="Times New Roman" w:hAnsi="Times New Roman" w:cs="Times New Roman"/>
          <w:sz w:val="20"/>
          <w:szCs w:val="20"/>
        </w:rPr>
        <w:t>(1), 1–8. https://doi.org/10.1186/S12913-016-1882-8</w:t>
      </w:r>
    </w:p>
    <w:p w14:paraId="5720B303">
      <w:pPr>
        <w:spacing w:beforeLines="0" w:after="0" w:afterLines="0" w:line="480" w:lineRule="auto"/>
        <w:ind w:left="480" w:hanging="480"/>
        <w:jc w:val="left"/>
        <w:rPr>
          <w:rFonts w:hint="default" w:ascii="Times New Roman" w:hAnsi="Times New Roman" w:cs="Times New Roman"/>
          <w:sz w:val="20"/>
          <w:szCs w:val="20"/>
        </w:rPr>
      </w:pPr>
      <w:r>
        <w:rPr>
          <w:rFonts w:hint="default" w:ascii="Times New Roman" w:hAnsi="Times New Roman" w:cs="Times New Roman"/>
          <w:sz w:val="20"/>
          <w:szCs w:val="20"/>
        </w:rPr>
        <w:t xml:space="preserve">Bukic, J., Rusic, D., Bozic, J., Zekan, L., Leskur, D., Seselja Perisin, A., &amp; Modun, D. (2018). Differences among health care students’ attitudes, knowledge and use of dietary supplements: a cross-sectional study. </w:t>
      </w:r>
      <w:r>
        <w:rPr>
          <w:rFonts w:hint="default" w:ascii="Times New Roman" w:hAnsi="Times New Roman" w:cs="Times New Roman"/>
          <w:i/>
          <w:sz w:val="20"/>
          <w:szCs w:val="20"/>
        </w:rPr>
        <w:t>Complementary Therapies in Medicine</w:t>
      </w:r>
      <w:r>
        <w:rPr>
          <w:rFonts w:hint="default" w:ascii="Times New Roman" w:hAnsi="Times New Roman" w:cs="Times New Roman"/>
          <w:sz w:val="20"/>
          <w:szCs w:val="20"/>
        </w:rPr>
        <w:t xml:space="preserve">, </w:t>
      </w:r>
      <w:r>
        <w:rPr>
          <w:rFonts w:hint="default" w:ascii="Times New Roman" w:hAnsi="Times New Roman" w:cs="Times New Roman"/>
          <w:i/>
          <w:sz w:val="20"/>
          <w:szCs w:val="20"/>
        </w:rPr>
        <w:t>41</w:t>
      </w:r>
      <w:r>
        <w:rPr>
          <w:rFonts w:hint="default" w:ascii="Times New Roman" w:hAnsi="Times New Roman" w:cs="Times New Roman"/>
          <w:sz w:val="20"/>
          <w:szCs w:val="20"/>
        </w:rPr>
        <w:t>, 35–40. https://doi.org/10.1016/J.CTIM.2018.09.005</w:t>
      </w:r>
    </w:p>
    <w:p w14:paraId="1C456754">
      <w:pPr>
        <w:spacing w:beforeLines="0" w:after="0" w:afterLines="0" w:line="480" w:lineRule="auto"/>
        <w:ind w:left="480" w:hanging="480"/>
        <w:jc w:val="left"/>
        <w:rPr>
          <w:rFonts w:hint="default" w:ascii="Times New Roman" w:hAnsi="Times New Roman" w:cs="Times New Roman"/>
          <w:sz w:val="20"/>
          <w:szCs w:val="20"/>
        </w:rPr>
      </w:pPr>
      <w:r>
        <w:rPr>
          <w:rFonts w:hint="default" w:ascii="Times New Roman" w:hAnsi="Times New Roman" w:cs="Times New Roman"/>
          <w:sz w:val="20"/>
          <w:szCs w:val="20"/>
        </w:rPr>
        <w:t xml:space="preserve">Chen, P., Alexander, S. M. K., &amp; Baute Penry, V. (2024). Nutrition Module: Addressing the Nutrition Education Gap in Undergraduate Medical Curricula via a Novel Approach. </w:t>
      </w:r>
      <w:r>
        <w:rPr>
          <w:rFonts w:hint="default" w:ascii="Times New Roman" w:hAnsi="Times New Roman" w:cs="Times New Roman"/>
          <w:i/>
          <w:sz w:val="20"/>
          <w:szCs w:val="20"/>
        </w:rPr>
        <w:t>Medical Science Educator</w:t>
      </w:r>
      <w:r>
        <w:rPr>
          <w:rFonts w:hint="default" w:ascii="Times New Roman" w:hAnsi="Times New Roman" w:cs="Times New Roman"/>
          <w:sz w:val="20"/>
          <w:szCs w:val="20"/>
        </w:rPr>
        <w:t xml:space="preserve">, </w:t>
      </w:r>
      <w:r>
        <w:rPr>
          <w:rFonts w:hint="default" w:ascii="Times New Roman" w:hAnsi="Times New Roman" w:cs="Times New Roman"/>
          <w:i/>
          <w:sz w:val="20"/>
          <w:szCs w:val="20"/>
        </w:rPr>
        <w:t>34</w:t>
      </w:r>
      <w:r>
        <w:rPr>
          <w:rFonts w:hint="default" w:ascii="Times New Roman" w:hAnsi="Times New Roman" w:cs="Times New Roman"/>
          <w:sz w:val="20"/>
          <w:szCs w:val="20"/>
        </w:rPr>
        <w:t>(6), 1361–1367. https://doi.org/10.1007/S40670-024-02114-9</w:t>
      </w:r>
    </w:p>
    <w:p w14:paraId="7D29A9E7">
      <w:pPr>
        <w:spacing w:beforeLines="0" w:after="0" w:afterLines="0" w:line="480" w:lineRule="auto"/>
        <w:ind w:left="480" w:hanging="480"/>
        <w:jc w:val="left"/>
        <w:rPr>
          <w:rFonts w:hint="default" w:ascii="Times New Roman" w:hAnsi="Times New Roman" w:cs="Times New Roman"/>
          <w:sz w:val="20"/>
          <w:szCs w:val="20"/>
        </w:rPr>
      </w:pPr>
      <w:r>
        <w:rPr>
          <w:rFonts w:hint="default" w:ascii="Times New Roman" w:hAnsi="Times New Roman" w:cs="Times New Roman"/>
          <w:sz w:val="20"/>
          <w:szCs w:val="20"/>
        </w:rPr>
        <w:t xml:space="preserve">Daliu, P., Santini, A., &amp; Novellino, E. (2019). From pharmaceuticals to nutraceuticals : bridging disease prevention and management. </w:t>
      </w:r>
      <w:r>
        <w:rPr>
          <w:rFonts w:hint="default" w:ascii="Times New Roman" w:hAnsi="Times New Roman" w:cs="Times New Roman"/>
          <w:i/>
          <w:sz w:val="20"/>
          <w:szCs w:val="20"/>
        </w:rPr>
        <w:t>Expert Review of Clinical Pharmacology</w:t>
      </w:r>
      <w:r>
        <w:rPr>
          <w:rFonts w:hint="default" w:ascii="Times New Roman" w:hAnsi="Times New Roman" w:cs="Times New Roman"/>
          <w:sz w:val="20"/>
          <w:szCs w:val="20"/>
        </w:rPr>
        <w:t xml:space="preserve">, </w:t>
      </w:r>
      <w:r>
        <w:rPr>
          <w:rFonts w:hint="default" w:ascii="Times New Roman" w:hAnsi="Times New Roman" w:cs="Times New Roman"/>
          <w:i/>
          <w:sz w:val="20"/>
          <w:szCs w:val="20"/>
        </w:rPr>
        <w:t>00</w:t>
      </w:r>
      <w:r>
        <w:rPr>
          <w:rFonts w:hint="default" w:ascii="Times New Roman" w:hAnsi="Times New Roman" w:cs="Times New Roman"/>
          <w:sz w:val="20"/>
          <w:szCs w:val="20"/>
        </w:rPr>
        <w:t>(00), 1–7. https://doi.org/10.1080/17512433.2019.1552135</w:t>
      </w:r>
    </w:p>
    <w:p w14:paraId="68C1AE48">
      <w:pPr>
        <w:spacing w:beforeLines="0" w:after="0" w:afterLines="0" w:line="480" w:lineRule="auto"/>
        <w:ind w:left="480" w:hanging="480"/>
        <w:jc w:val="left"/>
        <w:rPr>
          <w:rFonts w:hint="default" w:ascii="Times New Roman" w:hAnsi="Times New Roman" w:cs="Times New Roman"/>
          <w:sz w:val="20"/>
          <w:szCs w:val="20"/>
        </w:rPr>
      </w:pPr>
      <w:r>
        <w:rPr>
          <w:rFonts w:hint="default" w:ascii="Times New Roman" w:hAnsi="Times New Roman" w:cs="Times New Roman"/>
          <w:sz w:val="20"/>
          <w:szCs w:val="20"/>
        </w:rPr>
        <w:t xml:space="preserve">Dey, P., Jain, N., &amp; Nagaich, U. (2018). Nutraceuticals: An overview of regulations. </w:t>
      </w:r>
      <w:r>
        <w:rPr>
          <w:rFonts w:hint="default" w:ascii="Times New Roman" w:hAnsi="Times New Roman" w:cs="Times New Roman"/>
          <w:i/>
          <w:sz w:val="20"/>
          <w:szCs w:val="20"/>
        </w:rPr>
        <w:t>International Journal of Pharmacy and Life Sciences</w:t>
      </w:r>
      <w:r>
        <w:rPr>
          <w:rFonts w:hint="default" w:ascii="Times New Roman" w:hAnsi="Times New Roman" w:cs="Times New Roman"/>
          <w:sz w:val="20"/>
          <w:szCs w:val="20"/>
        </w:rPr>
        <w:t xml:space="preserve">, </w:t>
      </w:r>
      <w:r>
        <w:rPr>
          <w:rFonts w:hint="default" w:ascii="Times New Roman" w:hAnsi="Times New Roman" w:cs="Times New Roman"/>
          <w:i/>
          <w:sz w:val="20"/>
          <w:szCs w:val="20"/>
        </w:rPr>
        <w:t>9</w:t>
      </w:r>
      <w:r>
        <w:rPr>
          <w:rFonts w:hint="default" w:ascii="Times New Roman" w:hAnsi="Times New Roman" w:cs="Times New Roman"/>
          <w:sz w:val="20"/>
          <w:szCs w:val="20"/>
        </w:rPr>
        <w:t>(3), 5762–5766. https://ijplsjournal.com/index.php/ijpls/article/view/452</w:t>
      </w:r>
    </w:p>
    <w:p w14:paraId="39ED5941">
      <w:pPr>
        <w:spacing w:beforeLines="0" w:after="0" w:afterLines="0" w:line="480" w:lineRule="auto"/>
        <w:ind w:left="480" w:hanging="480"/>
        <w:jc w:val="left"/>
        <w:rPr>
          <w:rFonts w:hint="default" w:ascii="Times New Roman" w:hAnsi="Times New Roman" w:cs="Times New Roman"/>
          <w:sz w:val="20"/>
          <w:szCs w:val="20"/>
        </w:rPr>
      </w:pPr>
      <w:r>
        <w:rPr>
          <w:rFonts w:hint="default" w:ascii="Times New Roman" w:hAnsi="Times New Roman" w:cs="Times New Roman"/>
          <w:i/>
          <w:sz w:val="20"/>
          <w:szCs w:val="20"/>
        </w:rPr>
        <w:t>Dietary Supplement Health and Education Act of 1994</w:t>
      </w:r>
      <w:r>
        <w:rPr>
          <w:rFonts w:hint="default" w:ascii="Times New Roman" w:hAnsi="Times New Roman" w:cs="Times New Roman"/>
          <w:sz w:val="20"/>
          <w:szCs w:val="20"/>
        </w:rPr>
        <w:t>. (n.d.). Retrieved March 10, 2026, from https://ods.od.nih.gov/About/DSHEA_Wording.aspx</w:t>
      </w:r>
    </w:p>
    <w:p w14:paraId="1C4A8450">
      <w:pPr>
        <w:spacing w:beforeLines="0" w:after="0" w:afterLines="0" w:line="480" w:lineRule="auto"/>
        <w:ind w:left="480" w:hanging="480"/>
        <w:jc w:val="left"/>
        <w:rPr>
          <w:rFonts w:hint="default" w:ascii="Times New Roman" w:hAnsi="Times New Roman" w:cs="Times New Roman"/>
          <w:sz w:val="20"/>
          <w:szCs w:val="20"/>
        </w:rPr>
      </w:pPr>
      <w:r>
        <w:rPr>
          <w:rFonts w:hint="default" w:ascii="Times New Roman" w:hAnsi="Times New Roman" w:cs="Times New Roman"/>
          <w:sz w:val="20"/>
          <w:szCs w:val="20"/>
        </w:rPr>
        <w:t xml:space="preserve">Dlamini, N., Andago, A. A., Ngala, S., &amp; Junior, P. (2021). </w:t>
      </w:r>
      <w:r>
        <w:rPr>
          <w:rFonts w:hint="default" w:ascii="Times New Roman" w:hAnsi="Times New Roman" w:cs="Times New Roman"/>
          <w:i/>
          <w:sz w:val="20"/>
          <w:szCs w:val="20"/>
        </w:rPr>
        <w:t>Knowledge , Perception and Practices on Dietary Supplement Use among Adults in Westlands Constituency , Kenya</w:t>
      </w:r>
      <w:r>
        <w:rPr>
          <w:rFonts w:hint="default" w:ascii="Times New Roman" w:hAnsi="Times New Roman" w:cs="Times New Roman"/>
          <w:sz w:val="20"/>
          <w:szCs w:val="20"/>
        </w:rPr>
        <w:t xml:space="preserve">. </w:t>
      </w:r>
      <w:r>
        <w:rPr>
          <w:rFonts w:hint="default" w:ascii="Times New Roman" w:hAnsi="Times New Roman" w:cs="Times New Roman"/>
          <w:i/>
          <w:sz w:val="20"/>
          <w:szCs w:val="20"/>
        </w:rPr>
        <w:t>1873</w:t>
      </w:r>
      <w:r>
        <w:rPr>
          <w:rFonts w:hint="default" w:ascii="Times New Roman" w:hAnsi="Times New Roman" w:cs="Times New Roman"/>
          <w:sz w:val="20"/>
          <w:szCs w:val="20"/>
        </w:rPr>
        <w:t>(5), 110–124. https://doi.org/10.36349/easjnfs.2021.v03i05.004</w:t>
      </w:r>
    </w:p>
    <w:p w14:paraId="3DC7D7F4">
      <w:pPr>
        <w:spacing w:beforeLines="0" w:after="0" w:afterLines="0" w:line="480" w:lineRule="auto"/>
        <w:ind w:left="480" w:hanging="480"/>
        <w:jc w:val="left"/>
        <w:rPr>
          <w:rFonts w:hint="default" w:ascii="Times New Roman" w:hAnsi="Times New Roman" w:cs="Times New Roman"/>
          <w:sz w:val="20"/>
          <w:szCs w:val="20"/>
        </w:rPr>
      </w:pPr>
      <w:r>
        <w:rPr>
          <w:rFonts w:hint="default" w:ascii="Times New Roman" w:hAnsi="Times New Roman" w:cs="Times New Roman"/>
          <w:i/>
          <w:sz w:val="20"/>
          <w:szCs w:val="20"/>
        </w:rPr>
        <w:t>Federal Food, Drug, and Cosmetic Act (FD&amp;C Act) | FDA</w:t>
      </w:r>
      <w:r>
        <w:rPr>
          <w:rFonts w:hint="default" w:ascii="Times New Roman" w:hAnsi="Times New Roman" w:cs="Times New Roman"/>
          <w:sz w:val="20"/>
          <w:szCs w:val="20"/>
        </w:rPr>
        <w:t>. (n.d.). Retrieved March 10, 2026, from https://www.fda.gov/regulatory-information/laws-enforced-fda/federal-food-drug-and-cosmetic-act-fdc-act</w:t>
      </w:r>
    </w:p>
    <w:p w14:paraId="39467ECC">
      <w:pPr>
        <w:spacing w:beforeLines="0" w:after="0" w:afterLines="0" w:line="480" w:lineRule="auto"/>
        <w:ind w:left="480" w:hanging="480"/>
        <w:jc w:val="left"/>
        <w:rPr>
          <w:rFonts w:hint="default" w:ascii="Times New Roman" w:hAnsi="Times New Roman" w:cs="Times New Roman"/>
          <w:sz w:val="20"/>
          <w:szCs w:val="20"/>
        </w:rPr>
      </w:pPr>
      <w:r>
        <w:rPr>
          <w:rFonts w:hint="default" w:ascii="Times New Roman" w:hAnsi="Times New Roman" w:cs="Times New Roman"/>
          <w:sz w:val="20"/>
          <w:szCs w:val="20"/>
        </w:rPr>
        <w:t xml:space="preserve">Hussain, B., Sajid, M. A., Nabeel, M., &amp; ... (2020). Study of assessment of knowledge of patients and health care professionals about the use of nutraceuticals. </w:t>
      </w:r>
      <w:r>
        <w:rPr>
          <w:rFonts w:hint="default" w:ascii="Times New Roman" w:hAnsi="Times New Roman" w:cs="Times New Roman"/>
          <w:i/>
          <w:sz w:val="20"/>
          <w:szCs w:val="20"/>
        </w:rPr>
        <w:t>World Journal …</w:t>
      </w:r>
      <w:r>
        <w:rPr>
          <w:rFonts w:hint="default" w:ascii="Times New Roman" w:hAnsi="Times New Roman" w:cs="Times New Roman"/>
          <w:sz w:val="20"/>
          <w:szCs w:val="20"/>
        </w:rPr>
        <w:t xml:space="preserve">, </w:t>
      </w:r>
      <w:r>
        <w:rPr>
          <w:rFonts w:hint="default" w:ascii="Times New Roman" w:hAnsi="Times New Roman" w:cs="Times New Roman"/>
          <w:i/>
          <w:sz w:val="20"/>
          <w:szCs w:val="20"/>
        </w:rPr>
        <w:t>9</w:t>
      </w:r>
      <w:r>
        <w:rPr>
          <w:rFonts w:hint="default" w:ascii="Times New Roman" w:hAnsi="Times New Roman" w:cs="Times New Roman"/>
          <w:sz w:val="20"/>
          <w:szCs w:val="20"/>
        </w:rPr>
        <w:t>(6), 49–119. https://doi.org/10.20959/wjpr20206-17523</w:t>
      </w:r>
    </w:p>
    <w:p w14:paraId="7764B40D">
      <w:pPr>
        <w:spacing w:beforeLines="0" w:after="0" w:afterLines="0" w:line="480" w:lineRule="auto"/>
        <w:ind w:left="480" w:hanging="480"/>
        <w:jc w:val="left"/>
        <w:rPr>
          <w:rFonts w:hint="default" w:ascii="Times New Roman" w:hAnsi="Times New Roman" w:cs="Times New Roman"/>
          <w:sz w:val="20"/>
          <w:szCs w:val="20"/>
        </w:rPr>
      </w:pPr>
      <w:r>
        <w:rPr>
          <w:rFonts w:hint="default" w:ascii="Times New Roman" w:hAnsi="Times New Roman" w:cs="Times New Roman"/>
          <w:sz w:val="20"/>
          <w:szCs w:val="20"/>
        </w:rPr>
        <w:t xml:space="preserve">Johnston, T. P., Korolenko, T. A., Pirro, M., &amp; Sahebkar, A. (2017). Preventing cardiovascular heart disease: Promising nutraceutical and non-nutraceutical treatments for cholesterol management. </w:t>
      </w:r>
      <w:r>
        <w:rPr>
          <w:rFonts w:hint="default" w:ascii="Times New Roman" w:hAnsi="Times New Roman" w:cs="Times New Roman"/>
          <w:i/>
          <w:sz w:val="20"/>
          <w:szCs w:val="20"/>
        </w:rPr>
        <w:t>Pharmacological Research</w:t>
      </w:r>
      <w:r>
        <w:rPr>
          <w:rFonts w:hint="default" w:ascii="Times New Roman" w:hAnsi="Times New Roman" w:cs="Times New Roman"/>
          <w:sz w:val="20"/>
          <w:szCs w:val="20"/>
        </w:rPr>
        <w:t xml:space="preserve">, </w:t>
      </w:r>
      <w:r>
        <w:rPr>
          <w:rFonts w:hint="default" w:ascii="Times New Roman" w:hAnsi="Times New Roman" w:cs="Times New Roman"/>
          <w:i/>
          <w:sz w:val="20"/>
          <w:szCs w:val="20"/>
        </w:rPr>
        <w:t>120</w:t>
      </w:r>
      <w:r>
        <w:rPr>
          <w:rFonts w:hint="default" w:ascii="Times New Roman" w:hAnsi="Times New Roman" w:cs="Times New Roman"/>
          <w:sz w:val="20"/>
          <w:szCs w:val="20"/>
        </w:rPr>
        <w:t>, 219–225. https://doi.org/10.1016/j.phrs.2017.04.008</w:t>
      </w:r>
    </w:p>
    <w:p w14:paraId="38796327">
      <w:pPr>
        <w:spacing w:beforeLines="0" w:after="0" w:afterLines="0" w:line="480" w:lineRule="auto"/>
        <w:ind w:left="480" w:hanging="480"/>
        <w:jc w:val="left"/>
        <w:rPr>
          <w:rFonts w:hint="default" w:ascii="Times New Roman" w:hAnsi="Times New Roman" w:cs="Times New Roman"/>
          <w:sz w:val="20"/>
          <w:szCs w:val="20"/>
        </w:rPr>
      </w:pPr>
      <w:r>
        <w:rPr>
          <w:rFonts w:hint="default" w:ascii="Times New Roman" w:hAnsi="Times New Roman" w:cs="Times New Roman"/>
          <w:sz w:val="20"/>
          <w:szCs w:val="20"/>
        </w:rPr>
        <w:t xml:space="preserve">Menon, A., Sawant, M., Mishra, S., Bhatia, P., &amp; Rathod, S. (2021). Awareness, Perception and Usage of Nutraceuticals in Indian Society. </w:t>
      </w:r>
      <w:r>
        <w:rPr>
          <w:rFonts w:hint="default" w:ascii="Times New Roman" w:hAnsi="Times New Roman" w:cs="Times New Roman"/>
          <w:i/>
          <w:sz w:val="20"/>
          <w:szCs w:val="20"/>
        </w:rPr>
        <w:t>International Journal of Scientific Research in Science and Technology</w:t>
      </w:r>
      <w:r>
        <w:rPr>
          <w:rFonts w:hint="default" w:ascii="Times New Roman" w:hAnsi="Times New Roman" w:cs="Times New Roman"/>
          <w:sz w:val="20"/>
          <w:szCs w:val="20"/>
        </w:rPr>
        <w:t xml:space="preserve">, </w:t>
      </w:r>
      <w:r>
        <w:rPr>
          <w:rFonts w:hint="default" w:ascii="Times New Roman" w:hAnsi="Times New Roman" w:cs="Times New Roman"/>
          <w:i/>
          <w:sz w:val="20"/>
          <w:szCs w:val="20"/>
        </w:rPr>
        <w:t>8</w:t>
      </w:r>
      <w:r>
        <w:rPr>
          <w:rFonts w:hint="default" w:ascii="Times New Roman" w:hAnsi="Times New Roman" w:cs="Times New Roman"/>
          <w:sz w:val="20"/>
          <w:szCs w:val="20"/>
        </w:rPr>
        <w:t>(5), 399–414. https://doi.org/10.32628/IJSRST218559</w:t>
      </w:r>
    </w:p>
    <w:p w14:paraId="6F172246">
      <w:pPr>
        <w:spacing w:beforeLines="0" w:after="0" w:afterLines="0" w:line="480" w:lineRule="auto"/>
        <w:ind w:left="480" w:hanging="480"/>
        <w:jc w:val="left"/>
        <w:rPr>
          <w:rFonts w:hint="default" w:ascii="Times New Roman" w:hAnsi="Times New Roman" w:cs="Times New Roman"/>
          <w:sz w:val="20"/>
          <w:szCs w:val="20"/>
        </w:rPr>
      </w:pPr>
      <w:r>
        <w:rPr>
          <w:rFonts w:hint="default" w:ascii="Times New Roman" w:hAnsi="Times New Roman" w:cs="Times New Roman"/>
          <w:sz w:val="20"/>
          <w:szCs w:val="20"/>
        </w:rPr>
        <w:t xml:space="preserve">Metwally, A. S., Atallah, I. A., Almutairi, I. K., Alzand, M. S., &amp; Alqabli, M. S. (2023). </w:t>
      </w:r>
      <w:r>
        <w:rPr>
          <w:rFonts w:hint="default" w:ascii="Times New Roman" w:hAnsi="Times New Roman" w:cs="Times New Roman"/>
          <w:i/>
          <w:sz w:val="20"/>
          <w:szCs w:val="20"/>
        </w:rPr>
        <w:t>The Prevalent Use of Complementary and Alternative Medicine Among Patients With Chronic Disease in the Al-Madinah Population of Saudi Arabia</w:t>
      </w:r>
      <w:r>
        <w:rPr>
          <w:rFonts w:hint="default" w:ascii="Times New Roman" w:hAnsi="Times New Roman" w:cs="Times New Roman"/>
          <w:sz w:val="20"/>
          <w:szCs w:val="20"/>
        </w:rPr>
        <w:t>. https://doi.org/10.7759/cureus.51130</w:t>
      </w:r>
    </w:p>
    <w:p w14:paraId="51D095B4">
      <w:pPr>
        <w:spacing w:beforeLines="0" w:after="0" w:afterLines="0" w:line="480" w:lineRule="auto"/>
        <w:ind w:left="480" w:hanging="480"/>
        <w:jc w:val="left"/>
        <w:rPr>
          <w:rFonts w:hint="default" w:ascii="Times New Roman" w:hAnsi="Times New Roman" w:cs="Times New Roman"/>
          <w:sz w:val="20"/>
          <w:szCs w:val="20"/>
        </w:rPr>
      </w:pPr>
      <w:r>
        <w:rPr>
          <w:rFonts w:hint="default" w:ascii="Times New Roman" w:hAnsi="Times New Roman" w:cs="Times New Roman"/>
          <w:sz w:val="20"/>
          <w:szCs w:val="20"/>
        </w:rPr>
        <w:t xml:space="preserve">Nnenna Ajagu. (2025). Pharmacist Role in Monitoring Self Medication and Self-Care with Over-the-Counter Nutritional and Herbal Supplements in Nigeria: A Review. </w:t>
      </w:r>
      <w:r>
        <w:rPr>
          <w:rFonts w:hint="default" w:ascii="Times New Roman" w:hAnsi="Times New Roman" w:cs="Times New Roman"/>
          <w:i/>
          <w:sz w:val="20"/>
          <w:szCs w:val="20"/>
        </w:rPr>
        <w:t>International Journal of Pharmaceutical Sciences</w:t>
      </w:r>
      <w:r>
        <w:rPr>
          <w:rFonts w:hint="default" w:ascii="Times New Roman" w:hAnsi="Times New Roman" w:cs="Times New Roman"/>
          <w:sz w:val="20"/>
          <w:szCs w:val="20"/>
        </w:rPr>
        <w:t xml:space="preserve">, </w:t>
      </w:r>
      <w:r>
        <w:rPr>
          <w:rFonts w:hint="default" w:ascii="Times New Roman" w:hAnsi="Times New Roman" w:cs="Times New Roman"/>
          <w:i/>
          <w:sz w:val="20"/>
          <w:szCs w:val="20"/>
        </w:rPr>
        <w:t>03</w:t>
      </w:r>
      <w:r>
        <w:rPr>
          <w:rFonts w:hint="default" w:ascii="Times New Roman" w:hAnsi="Times New Roman" w:cs="Times New Roman"/>
          <w:sz w:val="20"/>
          <w:szCs w:val="20"/>
        </w:rPr>
        <w:t>(04), 90. https://doi.org/10.5281/ZENODO.15319310</w:t>
      </w:r>
    </w:p>
    <w:p w14:paraId="77F44038">
      <w:pPr>
        <w:spacing w:beforeLines="0" w:after="0" w:afterLines="0" w:line="480" w:lineRule="auto"/>
        <w:ind w:left="480" w:hanging="480"/>
        <w:jc w:val="left"/>
        <w:rPr>
          <w:rFonts w:hint="default" w:ascii="Times New Roman" w:hAnsi="Times New Roman" w:cs="Times New Roman"/>
          <w:sz w:val="20"/>
          <w:szCs w:val="20"/>
        </w:rPr>
      </w:pPr>
      <w:r>
        <w:rPr>
          <w:rFonts w:hint="default" w:ascii="Times New Roman" w:hAnsi="Times New Roman" w:cs="Times New Roman"/>
          <w:sz w:val="20"/>
          <w:szCs w:val="20"/>
        </w:rPr>
        <w:t xml:space="preserve">Oluwafemi, A. B., Onuwabhagbe, O. G., Abiodun, O. P., Adefunke, A. O., Oladimeji, A. O., &amp; Kola, O. J. (2022). Nutraceuticals: role in metabolic disease, prevention and treatment. </w:t>
      </w:r>
      <w:r>
        <w:rPr>
          <w:rFonts w:hint="default" w:ascii="Times New Roman" w:hAnsi="Times New Roman" w:cs="Times New Roman"/>
          <w:i/>
          <w:sz w:val="20"/>
          <w:szCs w:val="20"/>
        </w:rPr>
        <w:t>Noticias Mundiales de Ciencias Naturales</w:t>
      </w:r>
      <w:r>
        <w:rPr>
          <w:rFonts w:hint="default" w:ascii="Times New Roman" w:hAnsi="Times New Roman" w:cs="Times New Roman"/>
          <w:sz w:val="20"/>
          <w:szCs w:val="20"/>
        </w:rPr>
        <w:t xml:space="preserve">, </w:t>
      </w:r>
      <w:r>
        <w:rPr>
          <w:rFonts w:hint="default" w:ascii="Times New Roman" w:hAnsi="Times New Roman" w:cs="Times New Roman"/>
          <w:i/>
          <w:sz w:val="20"/>
          <w:szCs w:val="20"/>
        </w:rPr>
        <w:t>42</w:t>
      </w:r>
      <w:r>
        <w:rPr>
          <w:rFonts w:hint="default" w:ascii="Times New Roman" w:hAnsi="Times New Roman" w:cs="Times New Roman"/>
          <w:sz w:val="20"/>
          <w:szCs w:val="20"/>
        </w:rPr>
        <w:t>(January), 1–27. www.worldnewsnaturalsciences.com</w:t>
      </w:r>
    </w:p>
    <w:p w14:paraId="18AE4442">
      <w:pPr>
        <w:spacing w:beforeLines="0" w:after="0" w:afterLines="0" w:line="480" w:lineRule="auto"/>
        <w:ind w:left="480" w:hanging="480"/>
        <w:jc w:val="left"/>
        <w:rPr>
          <w:rFonts w:hint="default" w:ascii="Times New Roman" w:hAnsi="Times New Roman" w:cs="Times New Roman"/>
          <w:sz w:val="20"/>
          <w:szCs w:val="20"/>
        </w:rPr>
      </w:pPr>
      <w:r>
        <w:rPr>
          <w:rFonts w:hint="default" w:ascii="Times New Roman" w:hAnsi="Times New Roman" w:cs="Times New Roman"/>
          <w:sz w:val="20"/>
          <w:szCs w:val="20"/>
        </w:rPr>
        <w:t xml:space="preserve">Qureshi, J. A., Qureshi, M. A., Shah, Z., &amp; Ahmed, A. (2020). Direct-to-consumer advertising (DTCA) in pharmaceutical industry: An inquiry from public policy to practice and consumers’ perspective. </w:t>
      </w:r>
      <w:r>
        <w:rPr>
          <w:rFonts w:hint="default" w:ascii="Times New Roman" w:hAnsi="Times New Roman" w:cs="Times New Roman"/>
          <w:i/>
          <w:sz w:val="20"/>
          <w:szCs w:val="20"/>
        </w:rPr>
        <w:t>International Journal of Advanced Science and Technology</w:t>
      </w:r>
      <w:r>
        <w:rPr>
          <w:rFonts w:hint="default" w:ascii="Times New Roman" w:hAnsi="Times New Roman" w:cs="Times New Roman"/>
          <w:sz w:val="20"/>
          <w:szCs w:val="20"/>
        </w:rPr>
        <w:t xml:space="preserve">, </w:t>
      </w:r>
      <w:r>
        <w:rPr>
          <w:rFonts w:hint="default" w:ascii="Times New Roman" w:hAnsi="Times New Roman" w:cs="Times New Roman"/>
          <w:i/>
          <w:sz w:val="20"/>
          <w:szCs w:val="20"/>
        </w:rPr>
        <w:t>29</w:t>
      </w:r>
      <w:r>
        <w:rPr>
          <w:rFonts w:hint="default" w:ascii="Times New Roman" w:hAnsi="Times New Roman" w:cs="Times New Roman"/>
          <w:sz w:val="20"/>
          <w:szCs w:val="20"/>
        </w:rPr>
        <w:t>(7), 2604–2614.</w:t>
      </w:r>
    </w:p>
    <w:p w14:paraId="5FC54E0E">
      <w:pPr>
        <w:spacing w:beforeLines="0" w:after="0" w:afterLines="0" w:line="480" w:lineRule="auto"/>
        <w:ind w:left="480" w:hanging="480"/>
        <w:jc w:val="left"/>
        <w:rPr>
          <w:rFonts w:hint="default" w:ascii="Times New Roman" w:hAnsi="Times New Roman" w:cs="Times New Roman"/>
          <w:sz w:val="20"/>
          <w:szCs w:val="20"/>
        </w:rPr>
      </w:pPr>
      <w:r>
        <w:rPr>
          <w:rFonts w:hint="default" w:ascii="Times New Roman" w:hAnsi="Times New Roman" w:cs="Times New Roman"/>
          <w:sz w:val="20"/>
          <w:szCs w:val="20"/>
        </w:rPr>
        <w:t xml:space="preserve">R, A. N., &amp; Nnenna, A. (2022). Knowledge and perception of university students on drug Abuse in Delta State, South-South, Nigeria. </w:t>
      </w:r>
      <w:r>
        <w:rPr>
          <w:rFonts w:hint="default" w:ascii="Times New Roman" w:hAnsi="Times New Roman" w:cs="Times New Roman"/>
          <w:i/>
          <w:sz w:val="20"/>
          <w:szCs w:val="20"/>
        </w:rPr>
        <w:t>Open Journal of Clinical and Medical Images</w:t>
      </w:r>
      <w:r>
        <w:rPr>
          <w:rFonts w:hint="default" w:ascii="Times New Roman" w:hAnsi="Times New Roman" w:cs="Times New Roman"/>
          <w:sz w:val="20"/>
          <w:szCs w:val="20"/>
        </w:rPr>
        <w:t xml:space="preserve">, </w:t>
      </w:r>
      <w:r>
        <w:rPr>
          <w:rFonts w:hint="default" w:ascii="Times New Roman" w:hAnsi="Times New Roman" w:cs="Times New Roman"/>
          <w:i/>
          <w:sz w:val="20"/>
          <w:szCs w:val="20"/>
        </w:rPr>
        <w:t>2</w:t>
      </w:r>
      <w:r>
        <w:rPr>
          <w:rFonts w:hint="default" w:ascii="Times New Roman" w:hAnsi="Times New Roman" w:cs="Times New Roman"/>
          <w:sz w:val="20"/>
          <w:szCs w:val="20"/>
        </w:rPr>
        <w:t>(1). https://doi.org/10.52768/2833-2725/1049</w:t>
      </w:r>
    </w:p>
    <w:p w14:paraId="45E2EAC2">
      <w:pPr>
        <w:spacing w:beforeLines="0" w:after="0" w:afterLines="0" w:line="480" w:lineRule="auto"/>
        <w:ind w:left="480" w:hanging="480"/>
        <w:jc w:val="left"/>
        <w:rPr>
          <w:rFonts w:hint="default" w:ascii="Times New Roman" w:hAnsi="Times New Roman" w:cs="Times New Roman"/>
          <w:sz w:val="20"/>
          <w:szCs w:val="20"/>
        </w:rPr>
      </w:pPr>
      <w:r>
        <w:rPr>
          <w:rFonts w:hint="default" w:ascii="Times New Roman" w:hAnsi="Times New Roman" w:cs="Times New Roman"/>
          <w:sz w:val="20"/>
          <w:szCs w:val="20"/>
        </w:rPr>
        <w:t xml:space="preserve">Shrestha, R., Shrestha, S., Badri, K. C., &amp; Shrestha, S. (2021). Evaluation of nutritional supplements prescribed, its associated cost and patients knowledge, attitude and practice towards nutraceuticals: A hospital based crosssectional study in Kavrepalanchok, Nepal. </w:t>
      </w:r>
      <w:r>
        <w:rPr>
          <w:rFonts w:hint="default" w:ascii="Times New Roman" w:hAnsi="Times New Roman" w:cs="Times New Roman"/>
          <w:i/>
          <w:sz w:val="20"/>
          <w:szCs w:val="20"/>
        </w:rPr>
        <w:t>PLoS ONE</w:t>
      </w:r>
      <w:r>
        <w:rPr>
          <w:rFonts w:hint="default" w:ascii="Times New Roman" w:hAnsi="Times New Roman" w:cs="Times New Roman"/>
          <w:sz w:val="20"/>
          <w:szCs w:val="20"/>
        </w:rPr>
        <w:t xml:space="preserve">, </w:t>
      </w:r>
      <w:r>
        <w:rPr>
          <w:rFonts w:hint="default" w:ascii="Times New Roman" w:hAnsi="Times New Roman" w:cs="Times New Roman"/>
          <w:i/>
          <w:sz w:val="20"/>
          <w:szCs w:val="20"/>
        </w:rPr>
        <w:t>16</w:t>
      </w:r>
      <w:r>
        <w:rPr>
          <w:rFonts w:hint="default" w:ascii="Times New Roman" w:hAnsi="Times New Roman" w:cs="Times New Roman"/>
          <w:sz w:val="20"/>
          <w:szCs w:val="20"/>
        </w:rPr>
        <w:t>(6 June). https://doi.org/10.1371/JOURNAL.PONE.0252538</w:t>
      </w:r>
    </w:p>
    <w:p w14:paraId="7BBCC005">
      <w:pPr>
        <w:spacing w:beforeLines="0" w:after="0" w:afterLines="0" w:line="480" w:lineRule="auto"/>
        <w:ind w:left="480" w:hanging="480"/>
        <w:jc w:val="left"/>
        <w:rPr>
          <w:rFonts w:hint="default" w:ascii="Times New Roman" w:hAnsi="Times New Roman" w:cs="Times New Roman"/>
          <w:sz w:val="20"/>
          <w:szCs w:val="20"/>
        </w:rPr>
      </w:pPr>
      <w:r>
        <w:rPr>
          <w:rFonts w:hint="default" w:ascii="Times New Roman" w:hAnsi="Times New Roman" w:cs="Times New Roman"/>
          <w:sz w:val="20"/>
          <w:szCs w:val="20"/>
        </w:rPr>
        <w:t xml:space="preserve">Strocka, J., Religioni, U., Plagens-Rotman, K., Drab, A., Merks, P., Kaźmierczak, J., Blicharska, E., &amp; Pinkas, J. (2024). Knowledge and Practices Regarding Dietary Supplements Among Healthcare Professionals in Poland. </w:t>
      </w:r>
      <w:r>
        <w:rPr>
          <w:rFonts w:hint="default" w:ascii="Times New Roman" w:hAnsi="Times New Roman" w:cs="Times New Roman"/>
          <w:i/>
          <w:sz w:val="20"/>
          <w:szCs w:val="20"/>
        </w:rPr>
        <w:t>Nutrients 2024, Vol. 16, Page 3691</w:t>
      </w:r>
      <w:r>
        <w:rPr>
          <w:rFonts w:hint="default" w:ascii="Times New Roman" w:hAnsi="Times New Roman" w:cs="Times New Roman"/>
          <w:sz w:val="20"/>
          <w:szCs w:val="20"/>
        </w:rPr>
        <w:t xml:space="preserve">, </w:t>
      </w:r>
      <w:r>
        <w:rPr>
          <w:rFonts w:hint="default" w:ascii="Times New Roman" w:hAnsi="Times New Roman" w:cs="Times New Roman"/>
          <w:i/>
          <w:sz w:val="20"/>
          <w:szCs w:val="20"/>
        </w:rPr>
        <w:t>16</w:t>
      </w:r>
      <w:r>
        <w:rPr>
          <w:rFonts w:hint="default" w:ascii="Times New Roman" w:hAnsi="Times New Roman" w:cs="Times New Roman"/>
          <w:sz w:val="20"/>
          <w:szCs w:val="20"/>
        </w:rPr>
        <w:t>(21), 3691. https://doi.org/10.3390/NU16213691</w:t>
      </w:r>
    </w:p>
    <w:p w14:paraId="15A67227">
      <w:pPr>
        <w:spacing w:beforeLines="0" w:after="0" w:afterLines="0" w:line="480" w:lineRule="auto"/>
        <w:ind w:left="480" w:hanging="480"/>
        <w:jc w:val="left"/>
        <w:rPr>
          <w:rFonts w:hint="default" w:ascii="Times New Roman" w:hAnsi="Times New Roman" w:cs="Times New Roman"/>
          <w:sz w:val="20"/>
          <w:szCs w:val="20"/>
        </w:rPr>
      </w:pPr>
      <w:r>
        <w:rPr>
          <w:rFonts w:hint="default" w:ascii="Times New Roman" w:hAnsi="Times New Roman" w:cs="Times New Roman"/>
          <w:sz w:val="20"/>
          <w:szCs w:val="20"/>
        </w:rPr>
        <w:t xml:space="preserve">Wagner, S., Eickmann, S., Baurecht, H., &amp; Herrmann, A. (2024). A cross-sectional study exploring general practitioners’ views on dietary supplements. </w:t>
      </w:r>
      <w:r>
        <w:rPr>
          <w:rFonts w:hint="default" w:ascii="Times New Roman" w:hAnsi="Times New Roman" w:cs="Times New Roman"/>
          <w:i/>
          <w:sz w:val="20"/>
          <w:szCs w:val="20"/>
        </w:rPr>
        <w:t>BMC Primary Care</w:t>
      </w:r>
      <w:r>
        <w:rPr>
          <w:rFonts w:hint="default" w:ascii="Times New Roman" w:hAnsi="Times New Roman" w:cs="Times New Roman"/>
          <w:sz w:val="20"/>
          <w:szCs w:val="20"/>
        </w:rPr>
        <w:t xml:space="preserve">, </w:t>
      </w:r>
      <w:r>
        <w:rPr>
          <w:rFonts w:hint="default" w:ascii="Times New Roman" w:hAnsi="Times New Roman" w:cs="Times New Roman"/>
          <w:i/>
          <w:sz w:val="20"/>
          <w:szCs w:val="20"/>
        </w:rPr>
        <w:t>25</w:t>
      </w:r>
      <w:r>
        <w:rPr>
          <w:rFonts w:hint="default" w:ascii="Times New Roman" w:hAnsi="Times New Roman" w:cs="Times New Roman"/>
          <w:sz w:val="20"/>
          <w:szCs w:val="20"/>
        </w:rPr>
        <w:t>(1). https://doi.org/10.1186/S12875-024-02654-4</w:t>
      </w:r>
    </w:p>
    <w:p w14:paraId="0F1F164C">
      <w:pPr>
        <w:spacing w:beforeLines="0" w:after="0" w:afterLines="0" w:line="480" w:lineRule="auto"/>
        <w:ind w:left="480" w:hanging="480"/>
        <w:jc w:val="left"/>
        <w:rPr>
          <w:rFonts w:hint="default" w:ascii="Times New Roman" w:hAnsi="Times New Roman" w:cs="Times New Roman"/>
          <w:sz w:val="20"/>
          <w:szCs w:val="20"/>
        </w:rPr>
      </w:pPr>
      <w:r>
        <w:rPr>
          <w:rFonts w:hint="default" w:ascii="Times New Roman" w:hAnsi="Times New Roman" w:cs="Times New Roman"/>
          <w:sz w:val="20"/>
          <w:szCs w:val="20"/>
        </w:rPr>
        <w:t xml:space="preserve">Wierzejska, E., Krzysztoszek, J., &amp; Karasiewicz, M. (2018). Attitude of future healthcare professionals towards food supplements. </w:t>
      </w:r>
      <w:r>
        <w:rPr>
          <w:rFonts w:hint="default" w:ascii="Times New Roman" w:hAnsi="Times New Roman" w:cs="Times New Roman"/>
          <w:i/>
          <w:sz w:val="20"/>
          <w:szCs w:val="20"/>
        </w:rPr>
        <w:t>Herba Polonica</w:t>
      </w:r>
      <w:r>
        <w:rPr>
          <w:rFonts w:hint="default" w:ascii="Times New Roman" w:hAnsi="Times New Roman" w:cs="Times New Roman"/>
          <w:sz w:val="20"/>
          <w:szCs w:val="20"/>
        </w:rPr>
        <w:t xml:space="preserve">, </w:t>
      </w:r>
      <w:r>
        <w:rPr>
          <w:rFonts w:hint="default" w:ascii="Times New Roman" w:hAnsi="Times New Roman" w:cs="Times New Roman"/>
          <w:i/>
          <w:sz w:val="20"/>
          <w:szCs w:val="20"/>
        </w:rPr>
        <w:t>64</w:t>
      </w:r>
      <w:r>
        <w:rPr>
          <w:rFonts w:hint="default" w:ascii="Times New Roman" w:hAnsi="Times New Roman" w:cs="Times New Roman"/>
          <w:sz w:val="20"/>
          <w:szCs w:val="20"/>
        </w:rPr>
        <w:t>(1), 44–55. https://doi.org/10.2478/HEPO-2018-0004</w:t>
      </w:r>
    </w:p>
    <w:p w14:paraId="3E9B41A4">
      <w:pPr>
        <w:spacing w:beforeLines="0" w:after="0" w:afterLines="0" w:line="480" w:lineRule="auto"/>
        <w:ind w:left="480" w:hanging="480"/>
        <w:jc w:val="left"/>
        <w:rPr>
          <w:rFonts w:hint="default" w:ascii="Times New Roman" w:hAnsi="Times New Roman" w:cs="Times New Roman"/>
          <w:sz w:val="20"/>
          <w:szCs w:val="20"/>
        </w:rPr>
      </w:pPr>
    </w:p>
    <w:p w14:paraId="18AEF243">
      <w:pPr>
        <w:spacing w:after="0" w:line="480" w:lineRule="auto"/>
        <w:rPr>
          <w:rFonts w:hint="default" w:ascii="Times New Roman" w:hAnsi="Times New Roman" w:eastAsia="Times New Roman" w:cs="Times New Roman"/>
          <w:sz w:val="20"/>
          <w:szCs w:val="20"/>
          <w:shd w:val="clear" w:color="auto" w:fill="FFFFFF"/>
        </w:rPr>
      </w:pPr>
      <w:r>
        <w:rPr>
          <w:rFonts w:hint="default" w:ascii="Times New Roman" w:hAnsi="Times New Roman" w:eastAsia="Times New Roman" w:cs="Times New Roman"/>
          <w:sz w:val="20"/>
          <w:szCs w:val="20"/>
          <w:shd w:val="clear" w:color="auto" w:fill="FFFFFF"/>
        </w:rPr>
        <w:fldChar w:fldCharType="end"/>
      </w:r>
    </w:p>
    <w:p w14:paraId="7A5075ED">
      <w:pPr>
        <w:spacing w:after="0" w:line="480" w:lineRule="auto"/>
        <w:rPr>
          <w:rFonts w:hint="default" w:ascii="Times New Roman" w:hAnsi="Times New Roman" w:eastAsia="Times New Roman" w:cs="Times New Roman"/>
          <w:sz w:val="20"/>
          <w:szCs w:val="20"/>
          <w:shd w:val="clear" w:color="auto" w:fill="FFFFFF"/>
        </w:rPr>
      </w:pPr>
    </w:p>
    <w:p w14:paraId="016AD1FF">
      <w:pPr>
        <w:spacing w:after="0" w:line="480" w:lineRule="auto"/>
        <w:rPr>
          <w:rFonts w:hint="default" w:ascii="Times New Roman" w:hAnsi="Times New Roman" w:eastAsia="Times New Roman" w:cs="Times New Roman"/>
          <w:sz w:val="20"/>
          <w:szCs w:val="20"/>
          <w:shd w:val="clear" w:color="auto" w:fill="FFFFFF"/>
        </w:rPr>
      </w:pPr>
    </w:p>
    <w:p w14:paraId="2893B3BD">
      <w:pPr>
        <w:rPr>
          <w:rFonts w:hint="default" w:ascii="Times New Roman" w:hAnsi="Times New Roman" w:cs="Times New Roman"/>
          <w:sz w:val="20"/>
          <w:szCs w:val="20"/>
        </w:rPr>
      </w:pPr>
    </w:p>
    <w:bookmarkEnd w:id="0"/>
    <w:sectPr>
      <w:footerReference r:id="rId5" w:type="default"/>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auto"/>
    <w:pitch w:val="default"/>
    <w:sig w:usb0="00000000" w:usb1="00000000" w:usb2="00000000" w:usb3="00000000" w:csb0="0000019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5DE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0144F0">
                          <w:pPr>
                            <w:pStyle w:val="6"/>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qA7vqCACAABg&#10;BAAADgAAAAAAAAABACAAAAAfAQAAZHJzL2Uyb0RvYy54bWxQSwUGAAAAAAYABgBZAQAAsQUAAAAA&#10;">
              <v:fill on="f" focussize="0,0"/>
              <v:stroke on="f" weight="0.5pt"/>
              <v:imagedata o:title=""/>
              <o:lock v:ext="edit" aspectratio="f"/>
              <v:textbox inset="0mm,0mm,0mm,0mm" style="mso-fit-shape-to-text:t;">
                <w:txbxContent>
                  <w:p w14:paraId="5B0144F0">
                    <w:pPr>
                      <w:pStyle w:val="6"/>
                    </w:pPr>
                    <w:r>
                      <w:fldChar w:fldCharType="begin"/>
                    </w:r>
                    <w:r>
                      <w:instrText xml:space="preserve"> PAGE  \* MERGEFORMAT </w:instrText>
                    </w:r>
                    <w:r>
                      <w:fldChar w:fldCharType="separate"/>
                    </w:r>
                    <w:r>
                      <w:t>i</w:t>
                    </w:r>
                    <w:r>
                      <w:fldChar w:fldCharType="end"/>
                    </w:r>
                  </w:p>
                </w:txbxContent>
              </v:textbox>
            </v:shape>
          </w:pict>
        </mc:Fallback>
      </mc:AlternateContent>
    </w:r>
    <w:sdt>
      <w:sdtPr>
        <w:id w:val="147453479"/>
        <w:showingPlcHdr/>
        <w:docPartObj>
          <w:docPartGallery w:val="autotext"/>
        </w:docPartObj>
      </w:sdtPr>
      <w:sdtContent>
        <w:r>
          <w:rPr>
            <w:lang w:val="en-US"/>
          </w:rPr>
          <w:t xml:space="preserve">     </w:t>
        </w:r>
      </w:sdtContent>
    </w:sdt>
  </w:p>
  <w:p w14:paraId="39C5C064">
    <w:pPr>
      <w:pStyle w:val="6"/>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7071B6"/>
    <w:multiLevelType w:val="singleLevel"/>
    <w:tmpl w:val="897071B6"/>
    <w:lvl w:ilvl="0" w:tentative="0">
      <w:start w:val="1"/>
      <w:numFmt w:val="decimal"/>
      <w:suff w:val="space"/>
      <w:lvlText w:val="%1."/>
      <w:lvlJc w:val="left"/>
    </w:lvl>
  </w:abstractNum>
  <w:abstractNum w:abstractNumId="1">
    <w:nsid w:val="A3F59EFB"/>
    <w:multiLevelType w:val="singleLevel"/>
    <w:tmpl w:val="A3F59EFB"/>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6CC5DE4"/>
    <w:rsid w:val="28901C9C"/>
    <w:rsid w:val="2C8C3794"/>
    <w:rsid w:val="38F82A6C"/>
    <w:rsid w:val="46D94B59"/>
    <w:rsid w:val="63726E73"/>
    <w:rsid w:val="666E2599"/>
    <w:rsid w:val="69360BD8"/>
    <w:rsid w:val="780D6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annotation text"/>
    <w:basedOn w:val="1"/>
    <w:uiPriority w:val="0"/>
    <w:pPr>
      <w:jc w:val="left"/>
    </w:pPr>
  </w:style>
  <w:style w:type="paragraph" w:styleId="6">
    <w:name w:val="footer"/>
    <w:basedOn w:val="1"/>
    <w:qFormat/>
    <w:uiPriority w:val="99"/>
    <w:pPr>
      <w:tabs>
        <w:tab w:val="center" w:pos="4153"/>
        <w:tab w:val="right" w:pos="8306"/>
      </w:tabs>
      <w:snapToGrid w:val="0"/>
      <w:jc w:val="center"/>
    </w:pPr>
    <w:rPr>
      <w:sz w:val="18"/>
      <w:szCs w:val="18"/>
    </w:rPr>
  </w:style>
  <w:style w:type="character" w:styleId="7">
    <w:name w:val="Hyperlink"/>
    <w:basedOn w:val="3"/>
    <w:uiPriority w:val="0"/>
    <w:rPr>
      <w:color w:val="0000FF"/>
      <w:u w:val="single"/>
    </w:rPr>
  </w:style>
  <w:style w:type="paragraph" w:styleId="8">
    <w:name w:val="Normal (Web)"/>
    <w:basedOn w:val="1"/>
    <w:qFormat/>
    <w:uiPriority w:val="0"/>
    <w:rPr>
      <w:sz w:val="24"/>
    </w:rPr>
  </w:style>
  <w:style w:type="character" w:styleId="9">
    <w:name w:val="Strong"/>
    <w:basedOn w:val="3"/>
    <w:qFormat/>
    <w:uiPriority w:val="0"/>
    <w:rPr>
      <w:b/>
      <w:bCs/>
    </w:rPr>
  </w:style>
  <w:style w:type="table" w:styleId="10">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believeinGod\Desktop\EXCELLaura.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believeinGod\Desktop\EXCELLaura.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believeinGod\Desktop\EXCELLaur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x-none"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charset="0"/>
                <a:cs typeface="Times New Roman" panose="02020603050405020304" charset="0"/>
              </a:rPr>
              <a:t>Cate</a:t>
            </a:r>
            <a:r>
              <a:rPr lang="en-US" sz="1400" b="1" i="0" u="none" strike="noStrike" baseline="0">
                <a:effectLst/>
                <a:latin typeface="Times New Roman" panose="02020603050405020304" charset="0"/>
                <a:cs typeface="Times New Roman" panose="02020603050405020304" charset="0"/>
              </a:rPr>
              <a:t>g</a:t>
            </a:r>
            <a:r>
              <a:rPr lang="en-US" b="1">
                <a:latin typeface="Times New Roman" panose="02020603050405020304" charset="0"/>
                <a:cs typeface="Times New Roman" panose="02020603050405020304" charset="0"/>
              </a:rPr>
              <a:t>orization of Knowledge</a:t>
            </a:r>
            <a:endParaRPr lang="en-US" b="1">
              <a:latin typeface="Times New Roman" panose="02020603050405020304" charset="0"/>
              <a:cs typeface="Times New Roman" panose="02020603050405020304" charset="0"/>
            </a:endParaRPr>
          </a:p>
        </c:rich>
      </c:tx>
      <c:layout/>
      <c:overlay val="0"/>
      <c:spPr>
        <a:noFill/>
        <a:ln>
          <a:noFill/>
        </a:ln>
        <a:effectLst/>
      </c:spPr>
    </c:title>
    <c:autoTitleDeleted val="0"/>
    <c:plotArea>
      <c:layout/>
      <c:barChart>
        <c:barDir val="col"/>
        <c:grouping val="clustered"/>
        <c:varyColors val="0"/>
        <c:ser>
          <c:idx val="0"/>
          <c:order val="0"/>
          <c:tx>
            <c:strRef>
              <c:f>[EXCELLaura.xlsx]Sheet1!$C$16</c:f>
              <c:strCache>
                <c:ptCount val="1"/>
                <c:pt idx="0">
                  <c:v>Frequency</c:v>
                </c:pt>
              </c:strCache>
            </c:strRef>
          </c:tx>
          <c:spPr>
            <a:solidFill>
              <a:schemeClr val="tx2">
                <a:lumMod val="75000"/>
                <a:lumOff val="25000"/>
              </a:schemeClr>
            </a:solidFill>
            <a:ln>
              <a:noFill/>
            </a:ln>
            <a:effectLst/>
          </c:spPr>
          <c:invertIfNegative val="0"/>
          <c:dLbls>
            <c:dLbl>
              <c:idx val="1"/>
              <c:layout/>
              <c:numFmt formatCode="General" sourceLinked="1"/>
              <c:spPr>
                <a:noFill/>
                <a:ln>
                  <a:noFill/>
                </a:ln>
                <a:effectLst/>
              </c:spPr>
              <c:txPr>
                <a:bodyPr rot="0" spcFirstLastPara="1" vertOverflow="ellipsis" vert="horz" wrap="square" lIns="38100" tIns="19050" rIns="38100" bIns="19050" anchor="ctr" anchorCtr="1">
                  <a:spAutoFit/>
                </a:bodyPr>
                <a:lstStyle/>
                <a:p>
                  <a:pPr>
                    <a:defRPr lang="x-none" sz="900" b="1"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x-none" sz="9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[EXCELLaura.xlsx]Sheet1!$B$17:$B$18</c:f>
              <c:strCache>
                <c:ptCount val="2"/>
                <c:pt idx="0">
                  <c:v>Poor Knowledge         </c:v>
                </c:pt>
                <c:pt idx="1">
                  <c:v>Good Knowledge       </c:v>
                </c:pt>
              </c:strCache>
            </c:strRef>
          </c:cat>
          <c:val>
            <c:numRef>
              <c:f>[EXCELLaura.xlsx]Sheet1!$C$17:$C$18</c:f>
              <c:numCache>
                <c:formatCode>General</c:formatCode>
                <c:ptCount val="2"/>
                <c:pt idx="0">
                  <c:v>83</c:v>
                </c:pt>
                <c:pt idx="1">
                  <c:v>102</c:v>
                </c:pt>
              </c:numCache>
            </c:numRef>
          </c:val>
        </c:ser>
        <c:ser>
          <c:idx val="1"/>
          <c:order val="1"/>
          <c:tx>
            <c:strRef>
              <c:f>[EXCELLaura.xlsx]Sheet1!$D$16</c:f>
              <c:strCache>
                <c:ptCount val="1"/>
                <c:pt idx="0">
                  <c:v>Percentage</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x-none" sz="9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[EXCELLaura.xlsx]Sheet1!$B$17:$B$18</c:f>
              <c:strCache>
                <c:ptCount val="2"/>
                <c:pt idx="0">
                  <c:v>Poor Knowledge         </c:v>
                </c:pt>
                <c:pt idx="1">
                  <c:v>Good Knowledge       </c:v>
                </c:pt>
              </c:strCache>
            </c:strRef>
          </c:cat>
          <c:val>
            <c:numRef>
              <c:f>[EXCELLaura.xlsx]Sheet1!$D$17:$D$18</c:f>
              <c:numCache>
                <c:formatCode>General</c:formatCode>
                <c:ptCount val="2"/>
                <c:pt idx="0">
                  <c:v>44.9</c:v>
                </c:pt>
                <c:pt idx="1">
                  <c:v>55.1</c:v>
                </c:pt>
              </c:numCache>
            </c:numRef>
          </c:val>
        </c:ser>
        <c:dLbls>
          <c:showLegendKey val="0"/>
          <c:showVal val="1"/>
          <c:showCatName val="0"/>
          <c:showSerName val="0"/>
          <c:showPercent val="0"/>
          <c:showBubbleSize val="0"/>
        </c:dLbls>
        <c:gapWidth val="219"/>
        <c:overlap val="-27"/>
        <c:axId val="1899575279"/>
        <c:axId val="1899561359"/>
      </c:barChart>
      <c:catAx>
        <c:axId val="18995752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x-none" sz="12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1899561359"/>
        <c:crosses val="autoZero"/>
        <c:auto val="1"/>
        <c:lblAlgn val="ctr"/>
        <c:lblOffset val="100"/>
        <c:noMultiLvlLbl val="0"/>
      </c:catAx>
      <c:valAx>
        <c:axId val="1899561359"/>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p>
        </c:txPr>
        <c:crossAx val="1899575279"/>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x-none" sz="12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4286af5d-2a82-4c03-9246-f09d620e28fe}"/>
      </c:ext>
    </c:extLst>
  </c:chart>
  <c:spPr>
    <a:solidFill>
      <a:schemeClr val="bg1"/>
    </a:solidFill>
    <a:ln w="9525" cap="flat" cmpd="sng" algn="ctr">
      <a:solidFill>
        <a:schemeClr val="tx1">
          <a:lumMod val="15000"/>
          <a:lumOff val="85000"/>
        </a:schemeClr>
      </a:solidFill>
      <a:round/>
    </a:ln>
    <a:effectLst/>
  </c:spPr>
  <c:txPr>
    <a:bodyPr/>
    <a:lstStyle/>
    <a:p>
      <a:pPr>
        <a:defRPr lang="x-none"/>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x-none" sz="1200" b="1"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r>
              <a:rPr lang="en-US" sz="1200" b="1">
                <a:latin typeface="Times New Roman" panose="02020603050405020304" charset="0"/>
                <a:cs typeface="Times New Roman" panose="02020603050405020304" charset="0"/>
              </a:rPr>
              <a:t>Categorization of Attitude</a:t>
            </a:r>
            <a:endParaRPr lang="en-US" sz="1200" b="1">
              <a:latin typeface="Times New Roman" panose="02020603050405020304" charset="0"/>
              <a:cs typeface="Times New Roman" panose="02020603050405020304" charset="0"/>
            </a:endParaRPr>
          </a:p>
        </c:rich>
      </c:tx>
      <c:layout>
        <c:manualLayout>
          <c:xMode val="edge"/>
          <c:yMode val="edge"/>
          <c:x val="0.242423447069116"/>
          <c:y val="0.0416666666666667"/>
        </c:manualLayout>
      </c:layout>
      <c:overlay val="0"/>
      <c:spPr>
        <a:noFill/>
        <a:ln>
          <a:noFill/>
        </a:ln>
        <a:effectLst/>
      </c:spPr>
    </c:title>
    <c:autoTitleDeleted val="0"/>
    <c:plotArea>
      <c:layout/>
      <c:barChart>
        <c:barDir val="col"/>
        <c:grouping val="clustered"/>
        <c:varyColors val="0"/>
        <c:ser>
          <c:idx val="0"/>
          <c:order val="0"/>
          <c:tx>
            <c:strRef>
              <c:f>Sheet1!$C$32</c:f>
              <c:strCache>
                <c:ptCount val="1"/>
                <c:pt idx="0">
                  <c:v>Frequency</c:v>
                </c:pt>
              </c:strCache>
            </c:strRef>
          </c:tx>
          <c:spPr>
            <a:solidFill>
              <a:srgbClr val="002060"/>
            </a:solidFill>
            <a:ln>
              <a:noFill/>
            </a:ln>
            <a:effectLst/>
          </c:spPr>
          <c:invertIfNegative val="0"/>
          <c:dLbls>
            <c:dLbl>
              <c:idx val="0"/>
              <c:layout/>
              <c:numFmt formatCode="General" sourceLinked="1"/>
              <c:spPr>
                <a:noFill/>
                <a:ln>
                  <a:noFill/>
                </a:ln>
                <a:effectLst/>
              </c:spPr>
              <c:txPr>
                <a:bodyPr rot="0" spcFirstLastPara="1" vertOverflow="ellipsis" vert="horz" wrap="square" lIns="38100" tIns="19050" rIns="38100" bIns="19050" anchor="ctr" anchorCtr="1">
                  <a:spAutoFit/>
                </a:bodyPr>
                <a:lstStyle/>
                <a:p>
                  <a:pPr>
                    <a:defRPr lang="x-none" sz="12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x-none" sz="1200" b="1"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Sheet1!$B$33:$B$34</c:f>
              <c:strCache>
                <c:ptCount val="2"/>
                <c:pt idx="0">
                  <c:v>Negative Attitude</c:v>
                </c:pt>
                <c:pt idx="1">
                  <c:v>Positive Attitude</c:v>
                </c:pt>
              </c:strCache>
            </c:strRef>
          </c:cat>
          <c:val>
            <c:numRef>
              <c:f>Sheet1!$C$33:$C$34</c:f>
              <c:numCache>
                <c:formatCode>General</c:formatCode>
                <c:ptCount val="2"/>
                <c:pt idx="0">
                  <c:v>86</c:v>
                </c:pt>
                <c:pt idx="1">
                  <c:v>99</c:v>
                </c:pt>
              </c:numCache>
            </c:numRef>
          </c:val>
        </c:ser>
        <c:ser>
          <c:idx val="1"/>
          <c:order val="1"/>
          <c:tx>
            <c:strRef>
              <c:f>Sheet1!$D$32</c:f>
              <c:strCache>
                <c:ptCount val="1"/>
                <c:pt idx="0">
                  <c:v>Percentage</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x-none" sz="12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Sheet1!$B$33:$B$34</c:f>
              <c:strCache>
                <c:ptCount val="2"/>
                <c:pt idx="0">
                  <c:v>Negative Attitude</c:v>
                </c:pt>
                <c:pt idx="1">
                  <c:v>Positive Attitude</c:v>
                </c:pt>
              </c:strCache>
            </c:strRef>
          </c:cat>
          <c:val>
            <c:numRef>
              <c:f>Sheet1!$D$33:$D$34</c:f>
              <c:numCache>
                <c:formatCode>General</c:formatCode>
                <c:ptCount val="2"/>
                <c:pt idx="0">
                  <c:v>46.5</c:v>
                </c:pt>
                <c:pt idx="1">
                  <c:v>53.5</c:v>
                </c:pt>
              </c:numCache>
            </c:numRef>
          </c:val>
        </c:ser>
        <c:dLbls>
          <c:showLegendKey val="0"/>
          <c:showVal val="1"/>
          <c:showCatName val="0"/>
          <c:showSerName val="0"/>
          <c:showPercent val="0"/>
          <c:showBubbleSize val="0"/>
        </c:dLbls>
        <c:gapWidth val="219"/>
        <c:overlap val="-27"/>
        <c:axId val="1470471807"/>
        <c:axId val="1804536479"/>
      </c:barChart>
      <c:catAx>
        <c:axId val="14704718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x-none" sz="12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1804536479"/>
        <c:crosses val="autoZero"/>
        <c:auto val="1"/>
        <c:lblAlgn val="ctr"/>
        <c:lblOffset val="100"/>
        <c:noMultiLvlLbl val="0"/>
      </c:catAx>
      <c:valAx>
        <c:axId val="1804536479"/>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p>
        </c:txPr>
        <c:crossAx val="1470471807"/>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x-none" sz="12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45e1eb12-8916-46d5-8d0d-84c7622e93cc}"/>
      </c:ext>
    </c:extLst>
  </c:chart>
  <c:spPr>
    <a:solidFill>
      <a:schemeClr val="bg1"/>
    </a:solidFill>
    <a:ln w="9525" cap="flat" cmpd="sng" algn="ctr">
      <a:solidFill>
        <a:schemeClr val="tx1">
          <a:lumMod val="15000"/>
          <a:lumOff val="85000"/>
        </a:schemeClr>
      </a:solidFill>
      <a:round/>
    </a:ln>
    <a:effectLst/>
  </c:spPr>
  <c:txPr>
    <a:bodyPr/>
    <a:lstStyle/>
    <a:p>
      <a:pPr>
        <a:defRPr lang="x-none"/>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x-none"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charset="0"/>
                <a:cs typeface="Times New Roman" panose="02020603050405020304" charset="0"/>
              </a:rPr>
              <a:t>Cate</a:t>
            </a:r>
            <a:r>
              <a:rPr lang="en-US" sz="1400" b="1" i="0" u="none" strike="noStrike" baseline="0">
                <a:effectLst/>
                <a:latin typeface="Times New Roman" panose="02020603050405020304" charset="0"/>
                <a:cs typeface="Times New Roman" panose="02020603050405020304" charset="0"/>
              </a:rPr>
              <a:t>g</a:t>
            </a:r>
            <a:r>
              <a:rPr lang="en-US" b="1">
                <a:latin typeface="Times New Roman" panose="02020603050405020304" charset="0"/>
                <a:cs typeface="Times New Roman" panose="02020603050405020304" charset="0"/>
              </a:rPr>
              <a:t>orization of Perception</a:t>
            </a:r>
            <a:endParaRPr lang="en-US" b="1">
              <a:latin typeface="Times New Roman" panose="02020603050405020304" charset="0"/>
              <a:cs typeface="Times New Roman" panose="02020603050405020304" charset="0"/>
            </a:endParaRPr>
          </a:p>
        </c:rich>
      </c:tx>
      <c:layout/>
      <c:overlay val="0"/>
      <c:spPr>
        <a:noFill/>
        <a:ln>
          <a:noFill/>
        </a:ln>
        <a:effectLst/>
      </c:spPr>
    </c:title>
    <c:autoTitleDeleted val="0"/>
    <c:plotArea>
      <c:layout/>
      <c:barChart>
        <c:barDir val="col"/>
        <c:grouping val="clustered"/>
        <c:varyColors val="0"/>
        <c:ser>
          <c:idx val="0"/>
          <c:order val="0"/>
          <c:tx>
            <c:strRef>
              <c:f>Sheet1!$C$41</c:f>
              <c:strCache>
                <c:ptCount val="1"/>
                <c:pt idx="0">
                  <c:v>Frequency</c:v>
                </c:pt>
              </c:strCache>
            </c:strRef>
          </c:tx>
          <c:spPr>
            <a:solidFill>
              <a:schemeClr val="tx1">
                <a:lumMod val="85000"/>
                <a:lumOff val="15000"/>
              </a:schemeClr>
            </a:solidFill>
            <a:ln>
              <a:noFill/>
            </a:ln>
            <a:effectLst/>
          </c:spPr>
          <c:invertIfNegative val="0"/>
          <c:dLbls>
            <c:dLbl>
              <c:idx val="0"/>
              <c:layout/>
              <c:numFmt formatCode="General" sourceLinked="1"/>
              <c:spPr>
                <a:noFill/>
                <a:ln>
                  <a:noFill/>
                </a:ln>
                <a:effectLst/>
              </c:spPr>
              <c:txPr>
                <a:bodyPr rot="0" spcFirstLastPara="1" vertOverflow="ellipsis" vert="horz" wrap="square" lIns="38100" tIns="19050" rIns="38100" bIns="19050" anchor="ctr" anchorCtr="1">
                  <a:spAutoFit/>
                </a:bodyPr>
                <a:lstStyle/>
                <a:p>
                  <a:pPr>
                    <a:defRPr lang="x-none" sz="12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x-none" sz="1200" b="1"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Sheet1!$B$42:$B$43</c:f>
              <c:strCache>
                <c:ptCount val="2"/>
                <c:pt idx="0">
                  <c:v>Poor Perception      </c:v>
                </c:pt>
                <c:pt idx="1">
                  <c:v>Good Perception      </c:v>
                </c:pt>
              </c:strCache>
            </c:strRef>
          </c:cat>
          <c:val>
            <c:numRef>
              <c:f>Sheet1!$C$42:$C$43</c:f>
              <c:numCache>
                <c:formatCode>General</c:formatCode>
                <c:ptCount val="2"/>
                <c:pt idx="0">
                  <c:v>81</c:v>
                </c:pt>
                <c:pt idx="1">
                  <c:v>104</c:v>
                </c:pt>
              </c:numCache>
            </c:numRef>
          </c:val>
        </c:ser>
        <c:ser>
          <c:idx val="1"/>
          <c:order val="1"/>
          <c:tx>
            <c:strRef>
              <c:f>Sheet1!$D$41</c:f>
              <c:strCache>
                <c:ptCount val="1"/>
                <c:pt idx="0">
                  <c:v>Percentage</c:v>
                </c:pt>
              </c:strCache>
            </c:strRef>
          </c:tx>
          <c:spPr>
            <a:solidFill>
              <a:srgbClr val="EE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x-none" sz="12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Sheet1!$B$42:$B$43</c:f>
              <c:strCache>
                <c:ptCount val="2"/>
                <c:pt idx="0">
                  <c:v>Poor Perception      </c:v>
                </c:pt>
                <c:pt idx="1">
                  <c:v>Good Perception      </c:v>
                </c:pt>
              </c:strCache>
            </c:strRef>
          </c:cat>
          <c:val>
            <c:numRef>
              <c:f>Sheet1!$D$42:$D$43</c:f>
              <c:numCache>
                <c:formatCode>General</c:formatCode>
                <c:ptCount val="2"/>
                <c:pt idx="0">
                  <c:v>43.8</c:v>
                </c:pt>
                <c:pt idx="1">
                  <c:v>56.2</c:v>
                </c:pt>
              </c:numCache>
            </c:numRef>
          </c:val>
        </c:ser>
        <c:dLbls>
          <c:showLegendKey val="0"/>
          <c:showVal val="1"/>
          <c:showCatName val="0"/>
          <c:showSerName val="0"/>
          <c:showPercent val="0"/>
          <c:showBubbleSize val="0"/>
        </c:dLbls>
        <c:gapWidth val="219"/>
        <c:overlap val="-27"/>
        <c:axId val="1899559439"/>
        <c:axId val="1899560399"/>
      </c:barChart>
      <c:catAx>
        <c:axId val="18995594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x-none" sz="12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1899560399"/>
        <c:crosses val="autoZero"/>
        <c:auto val="1"/>
        <c:lblAlgn val="ctr"/>
        <c:lblOffset val="100"/>
        <c:noMultiLvlLbl val="0"/>
      </c:catAx>
      <c:valAx>
        <c:axId val="1899560399"/>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p>
        </c:txPr>
        <c:crossAx val="1899559439"/>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x-none" sz="12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2bf47c93-b875-4338-b818-2b830185c28a}"/>
      </c:ext>
    </c:extLst>
  </c:chart>
  <c:spPr>
    <a:solidFill>
      <a:schemeClr val="bg1"/>
    </a:solidFill>
    <a:ln w="9525" cap="flat" cmpd="sng" algn="ctr">
      <a:solidFill>
        <a:schemeClr val="tx1">
          <a:lumMod val="15000"/>
          <a:lumOff val="85000"/>
        </a:schemeClr>
      </a:solidFill>
      <a:round/>
    </a:ln>
    <a:effectLst/>
  </c:spPr>
  <c:txPr>
    <a:bodyPr/>
    <a:lstStyle/>
    <a:p>
      <a:pPr>
        <a:defRPr lang="x-none"/>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22</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2026-03-09T12:49:00Z</dcterms:created>
  <dc:creator>Nnenna Ajagu</dc:creator>
  <cp:lastModifiedBy>Nnenna Ajagu</cp:lastModifiedBy>
  <dcterms:modified xsi:type="dcterms:W3CDTF">2026-03-14T20:00:47Z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C5CB29C9F18B4A53A47EA2467EBD29DB_11</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6th/7th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http://www.zotero.org/styles/harvard1</vt:lpwstr>
  </property>
  <property fmtid="{D5CDD505-2E9C-101B-9397-08002B2CF9AE}" pid="17" name="Mendeley Recent Style Name 6_1">
    <vt:lpwstr>Harvard reference format 1 (deprecated)</vt:lpwstr>
  </property>
  <property fmtid="{D5CDD505-2E9C-101B-9397-08002B2CF9AE}" pid="18" name="Mendeley Recent Style Id 7_1">
    <vt:lpwstr>http://www.zotero.org/styles/ieee</vt:lpwstr>
  </property>
  <property fmtid="{D5CDD505-2E9C-101B-9397-08002B2CF9AE}" pid="19" name="Mendeley Recent Style Name 7_1">
    <vt:lpwstr>IEEE</vt:lpwstr>
  </property>
  <property fmtid="{D5CDD505-2E9C-101B-9397-08002B2CF9AE}" pid="20" name="Mendeley Recent Style Id 8_1">
    <vt:lpwstr>http://www.zotero.org/styles/modern-humanities-research-association</vt:lpwstr>
  </property>
  <property fmtid="{D5CDD505-2E9C-101B-9397-08002B2CF9AE}" pid="21" name="Mendeley Recent Style Name 8_1">
    <vt:lpwstr>Modern Humanities Research Association 4th edition (note with bibliography)</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Document_1">
    <vt:lpwstr>True</vt:lpwstr>
  </property>
  <property fmtid="{D5CDD505-2E9C-101B-9397-08002B2CF9AE}" pid="25" name="Mendeley Unique User Id_1">
    <vt:lpwstr>683aff95-e60a-3bcf-95e3-b3d8b927e434</vt:lpwstr>
  </property>
  <property fmtid="{D5CDD505-2E9C-101B-9397-08002B2CF9AE}" pid="26" name="Mendeley Citation Style_1">
    <vt:lpwstr>http://www.zotero.org/styles/apa</vt:lpwstr>
  </property>
</Properties>
</file>