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9A53D" w14:textId="77777777" w:rsidR="00CB26D7" w:rsidRPr="003B1AF1" w:rsidRDefault="00CB26D7" w:rsidP="00CB26D7">
      <w:pPr>
        <w:pStyle w:val="MDPI12title"/>
      </w:pPr>
      <w:r>
        <w:t>Post-pandemic Self-concept and Challenges of Mathematics in the Modern World Students in a Flexible Learning Modality</w:t>
      </w:r>
    </w:p>
    <w:p w14:paraId="7454DFA3" w14:textId="77777777" w:rsidR="00CB26D7" w:rsidRDefault="00CB26D7" w:rsidP="00CB26D7">
      <w:pPr>
        <w:pStyle w:val="MDPI13authornames"/>
      </w:pPr>
      <w:r>
        <w:t/>
      </w:r>
    </w:p>
    <w:tbl>
      <w:tblPr>
        <w:tblpPr w:leftFromText="198" w:rightFromText="198" w:vertAnchor="page" w:horzAnchor="margin" w:tblpY="11856"/>
        <w:tblW w:w="2410" w:type="dxa"/>
        <w:tblLayout w:type="fixed"/>
        <w:tblCellMar>
          <w:left w:w="0" w:type="dxa"/>
          <w:right w:w="0" w:type="dxa"/>
        </w:tblCellMar>
        <w:tblLook w:val="04A0" w:firstRow="1" w:lastRow="0" w:firstColumn="1" w:lastColumn="0" w:noHBand="0" w:noVBand="1"/>
      </w:tblPr>
      <w:tblGrid>
        <w:gridCol w:w="2410"/>
      </w:tblGrid>
      <w:tr w:rsidR="00CB26D7" w:rsidRPr="00AD6DF9" w14:paraId="2F9DA728" w14:textId="77777777" w:rsidTr="000E140E">
        <w:tc>
          <w:tcPr>
            <w:tcW w:w="2410" w:type="dxa"/>
          </w:tcPr>
          <w:p w14:paraId="59305E47" w14:textId="7D51A3DB" w:rsidR="00CB26D7" w:rsidRPr="00AD6DF9" w:rsidRDefault="00CB26D7" w:rsidP="000E140E">
            <w:pPr>
              <w:pStyle w:val="MDPI72Copyright"/>
              <w:rPr>
                <w:rFonts w:eastAsia="DengXian"/>
                <w:lang w:bidi="en-US"/>
              </w:rPr>
            </w:pPr>
          </w:p>
        </w:tc>
      </w:tr>
    </w:tbl>
    <w:p w14:paraId="4E226972" w14:textId="77777777" w:rsidR="00CB26D7" w:rsidRPr="00D945EC" w:rsidRDefault="00CB26D7" w:rsidP="00CB26D7">
      <w:pPr>
        <w:pStyle w:val="MDPI16affiliation"/>
        <w:spacing w:before="120"/>
      </w:pPr>
      <w:r w:rsidRPr="00BB09E6">
        <w:rPr>
          <w:vertAlign w:val="superscript"/>
        </w:rPr>
        <w:t/>
      </w:r>
      <w:r w:rsidRPr="00D945EC">
        <w:tab/>
      </w:r>
      <w:r>
        <w:t/>
      </w:r>
      <w:r w:rsidRPr="00D945EC">
        <w:t xml:space="preserve"/>
      </w:r>
      <w:r>
        <w:t/>
      </w:r>
    </w:p>
    <w:p w14:paraId="193411EF" w14:textId="77777777" w:rsidR="00CB26D7" w:rsidRPr="00D945EC" w:rsidRDefault="00CB26D7" w:rsidP="00CB26D7">
      <w:pPr>
        <w:pStyle w:val="MDPI16affiliation"/>
      </w:pPr>
      <w:r w:rsidRPr="00D945EC">
        <w:rPr>
          <w:vertAlign w:val="superscript"/>
        </w:rPr>
        <w:t/>
      </w:r>
      <w:r w:rsidRPr="00D945EC">
        <w:tab/>
      </w:r>
      <w:r>
        <w:t/>
      </w:r>
      <w:r w:rsidRPr="00D945EC">
        <w:t/>
      </w:r>
      <w:r>
        <w:t xml:space="preserve"/>
      </w:r>
    </w:p>
    <w:p w14:paraId="7DA0B74A" w14:textId="77777777" w:rsidR="00CB26D7" w:rsidRDefault="00CB26D7" w:rsidP="00CB26D7">
      <w:pPr>
        <w:pStyle w:val="MDPI16affiliation"/>
      </w:pPr>
    </w:p>
    <w:p w14:paraId="19A49E4D" w14:textId="77777777" w:rsidR="00CB26D7" w:rsidRPr="00C05DAB" w:rsidRDefault="00CB26D7" w:rsidP="00CB26D7">
      <w:pPr>
        <w:pStyle w:val="MDPI16affiliation"/>
        <w:rPr>
          <w:color w:val="FF0000"/>
        </w:rPr>
      </w:pPr>
      <w:r w:rsidRPr="00C05DAB">
        <w:rPr>
          <w:color w:val="FF0000"/>
        </w:rPr>
        <w:t/>
      </w:r>
      <w:r w:rsidRPr="00C05DAB">
        <w:rPr>
          <w:color w:val="FF0000"/>
        </w:rPr>
        <w:tab/>
      </w:r>
      <w:r w:rsidRPr="007159AA">
        <w:rPr>
          <w:color w:val="000000" w:themeColor="text1"/>
        </w:rPr>
        <w:t/>
      </w:r>
      <w:r w:rsidRPr="007159AA">
        <w:rPr>
          <w:color w:val="000000" w:themeColor="text1"/>
          <w:vertAlign w:val="superscript"/>
        </w:rPr>
        <w:t/>
      </w:r>
      <w:r w:rsidRPr="007159AA">
        <w:rPr>
          <w:color w:val="000000" w:themeColor="text1"/>
        </w:rPr>
        <w:t xml:space="preserve"/>
      </w:r>
    </w:p>
    <w:p w14:paraId="5B59B2BC" w14:textId="2CAFED4B" w:rsidR="00CB26D7" w:rsidRPr="00550626" w:rsidRDefault="00CB26D7" w:rsidP="00CB26D7">
      <w:pPr>
        <w:pStyle w:val="MDPI17abstract"/>
        <w:rPr>
          <w:szCs w:val="18"/>
        </w:rPr>
      </w:pPr>
      <w:r w:rsidRPr="00550626">
        <w:rPr>
          <w:b/>
          <w:szCs w:val="18"/>
        </w:rPr>
        <w:t/>
      </w:r>
      <w:r>
        <w:rPr>
          <w:b/>
          <w:szCs w:val="18"/>
        </w:rPr>
        <w:t xml:space="preserve"/>
      </w:r>
      <w:r>
        <w:rPr>
          <w:szCs w:val="18"/>
        </w:rPr>
        <w:t/>
      </w:r>
      <w:r w:rsidRPr="00550626">
        <w:rPr>
          <w:b/>
          <w:szCs w:val="18"/>
        </w:rPr>
        <w:t xml:space="preserve"/>
      </w:r>
      <w:r>
        <w:rPr>
          <w:szCs w:val="18"/>
        </w:rPr>
        <w:t/>
      </w:r>
      <w:r w:rsidR="006805F8">
        <w:rPr>
          <w:szCs w:val="18"/>
        </w:rPr>
        <w:t xml:space="preserve"/>
      </w:r>
      <w:r w:rsidR="00861307">
        <w:rPr>
          <w:szCs w:val="18"/>
        </w:rPr>
        <w:t xml:space="preserve"/>
      </w:r>
      <w:r>
        <w:rPr>
          <w:szCs w:val="18"/>
        </w:rPr>
        <w:t xml:space="preserve"/>
      </w:r>
      <w:r w:rsidR="0026510A">
        <w:rPr>
          <w:szCs w:val="18"/>
        </w:rPr>
        <w:t/>
      </w:r>
      <w:r>
        <w:rPr>
          <w:szCs w:val="18"/>
        </w:rPr>
        <w:t xml:space="preserve"/>
      </w:r>
      <w:r w:rsidR="000441AD">
        <w:rPr>
          <w:szCs w:val="18"/>
        </w:rPr>
        <w:t/>
      </w:r>
      <w:r>
        <w:rPr>
          <w:szCs w:val="18"/>
        </w:rPr>
        <w:t xml:space="preserve"/>
      </w:r>
      <w:r w:rsidR="000441AD">
        <w:rPr>
          <w:szCs w:val="18"/>
        </w:rPr>
        <w:t/>
      </w:r>
      <w:r>
        <w:rPr>
          <w:szCs w:val="18"/>
        </w:rPr>
        <w:t xml:space="preserve"/>
      </w:r>
      <w:r w:rsidR="000441AD">
        <w:rPr>
          <w:szCs w:val="18"/>
        </w:rPr>
        <w:t/>
      </w:r>
      <w:r>
        <w:rPr>
          <w:szCs w:val="18"/>
        </w:rPr>
        <w:t xml:space="preserve"/>
      </w:r>
    </w:p>
    <w:p w14:paraId="1B2AAA12" w14:textId="77777777" w:rsidR="00CB26D7" w:rsidRDefault="00CB26D7" w:rsidP="00CB26D7">
      <w:pPr>
        <w:pStyle w:val="MDPI18keywords"/>
        <w:rPr>
          <w:szCs w:val="18"/>
        </w:rPr>
      </w:pPr>
      <w:r w:rsidRPr="00550626">
        <w:rPr>
          <w:b/>
          <w:szCs w:val="18"/>
        </w:rPr>
        <w:t xml:space="preserve"/>
      </w:r>
      <w:r>
        <w:rPr>
          <w:szCs w:val="18"/>
        </w:rPr>
        <w:t/>
      </w:r>
    </w:p>
    <w:p w14:paraId="1001719D" w14:textId="77777777" w:rsidR="00CB26D7" w:rsidRDefault="00CB26D7" w:rsidP="00CB26D7">
      <w:pPr>
        <w:rPr>
          <w:lang w:eastAsia="de-DE" w:bidi="en-US"/>
        </w:rPr>
      </w:pPr>
    </w:p>
    <w:p w14:paraId="0F1E3FDB" w14:textId="77777777" w:rsidR="00CB26D7" w:rsidRDefault="00CB26D7" w:rsidP="00CB26D7">
      <w:pPr>
        <w:pStyle w:val="MDPI21heading1"/>
      </w:pPr>
      <w:r>
        <w:rPr>
          <w:lang w:eastAsia="zh-CN"/>
        </w:rPr>
        <w:t xml:space="preserve">1. </w:t>
      </w:r>
      <w:r>
        <w:t>Introduction</w:t>
      </w:r>
    </w:p>
    <w:p w14:paraId="16846DCF" w14:textId="77777777" w:rsidR="00CB26D7" w:rsidRDefault="00CB26D7" w:rsidP="00CB26D7">
      <w:pPr>
        <w:pStyle w:val="MDPI31text"/>
      </w:pPr>
      <w:bookmarkStart w:id="0" w:name="OLE_LINK2"/>
      <w:bookmarkStart w:id="1" w:name="OLE_LINK1"/>
    </w:p>
    <w:p w14:paraId="717548FB" w14:textId="77777777" w:rsidR="00CB26D7" w:rsidRPr="005B3A51" w:rsidRDefault="00CB26D7" w:rsidP="00CB26D7">
      <w:pPr>
        <w:pStyle w:val="NormalWeb"/>
        <w:ind w:left="2610" w:firstLine="720"/>
        <w:rPr>
          <w:szCs w:val="20"/>
        </w:rPr>
      </w:pPr>
      <w:r w:rsidRPr="00786948">
        <w:rPr>
          <w:rFonts w:cs="Linux Biolinum"/>
          <w:szCs w:val="20"/>
        </w:rPr>
        <w:t xml:space="preserve">In recent years, the landscape of education has undergone a dramatic transformation, driven by the worldwide crisis </w:t>
      </w:r>
      <w:r>
        <w:rPr>
          <w:rFonts w:cs="Linux Biolinum"/>
          <w:szCs w:val="20"/>
        </w:rPr>
        <w:t>which</w:t>
      </w:r>
      <w:r w:rsidRPr="00786948">
        <w:rPr>
          <w:rFonts w:cs="Linux Biolinum"/>
          <w:szCs w:val="20"/>
        </w:rPr>
        <w:t xml:space="preserve"> has led to significant changes in the educational system</w:t>
      </w:r>
      <w:r>
        <w:rPr>
          <w:rFonts w:cs="Linux Biolinum"/>
          <w:szCs w:val="20"/>
        </w:rPr>
        <w:t xml:space="preserve"> like to quickly adapt to new learning modalities.</w:t>
      </w:r>
      <w:r w:rsidRPr="00786948">
        <w:t xml:space="preserve"> </w:t>
      </w:r>
      <w:r w:rsidRPr="00B82FD5">
        <w:rPr>
          <w:szCs w:val="20"/>
        </w:rPr>
        <w:t>In particular, the shift to flexible learning environments which has posed unique challenges and opportunities for students, particularly in mathematics, where conceptual understanding and problem-solving skills are fundamental. In the post-pandemic context, students’ self-concept, how they perceive their abilities in mathematics, has emerged as a factor of their academic engagement and achievement.</w:t>
      </w:r>
      <w:r>
        <w:rPr>
          <w:szCs w:val="20"/>
        </w:rPr>
        <w:t xml:space="preserve"> </w:t>
      </w:r>
      <w:r w:rsidRPr="005B3A51">
        <w:rPr>
          <w:szCs w:val="20"/>
        </w:rPr>
        <w:t xml:space="preserve">Self-concept shapes the </w:t>
      </w:r>
      <w:r w:rsidRPr="005B3A51">
        <w:rPr>
          <w:szCs w:val="20"/>
        </w:rPr>
        <w:lastRenderedPageBreak/>
        <w:t>interpretation of life experiences and influences</w:t>
      </w:r>
      <w:r>
        <w:rPr>
          <w:szCs w:val="20"/>
        </w:rPr>
        <w:t xml:space="preserve"> of</w:t>
      </w:r>
      <w:r w:rsidRPr="005B3A51">
        <w:rPr>
          <w:szCs w:val="20"/>
        </w:rPr>
        <w:t xml:space="preserve"> the perception of the world. It plays a crucial role in guiding emotions, behaviors, values, and attitudes. A strong and positive self-concept fosters healthy and constructive thoughts, feelings, and actions </w:t>
      </w:r>
      <m:oMath>
        <m:d>
          <m:dPr>
            <m:begChr m:val="["/>
            <m:endChr m:val="]"/>
            <m:ctrlPr>
              <w:rPr>
                <w:rFonts w:ascii="Cambria Math" w:hAnsi="Cambria Math"/>
                <w:i/>
                <w:szCs w:val="20"/>
              </w:rPr>
            </m:ctrlPr>
          </m:dPr>
          <m:e>
            <m:r>
              <w:rPr>
                <w:rFonts w:ascii="Cambria Math" w:hAnsi="Cambria Math"/>
                <w:szCs w:val="20"/>
              </w:rPr>
              <m:t>10</m:t>
            </m:r>
          </m:e>
        </m:d>
      </m:oMath>
      <w:r w:rsidRPr="005B3A51">
        <w:rPr>
          <w:szCs w:val="20"/>
        </w:rPr>
        <w:t>.</w:t>
      </w:r>
    </w:p>
    <w:p w14:paraId="3B7DBA86" w14:textId="77777777" w:rsidR="00CB26D7" w:rsidRDefault="00CB26D7" w:rsidP="00CB26D7">
      <w:pPr>
        <w:pStyle w:val="NormalWeb"/>
        <w:ind w:left="2610" w:firstLine="720"/>
        <w:rPr>
          <w:szCs w:val="20"/>
        </w:rPr>
      </w:pPr>
      <w:r w:rsidRPr="00D96480">
        <w:rPr>
          <w:szCs w:val="20"/>
        </w:rPr>
        <w:t xml:space="preserve">Academic self-concept referred to students’ self-perceptions of their academic abilities in specific domains, such as mathematics </w:t>
      </w:r>
      <m:oMath>
        <m:d>
          <m:dPr>
            <m:begChr m:val="["/>
            <m:endChr m:val="]"/>
            <m:ctrlPr>
              <w:rPr>
                <w:rFonts w:ascii="Cambria Math" w:hAnsi="Cambria Math"/>
                <w:i/>
                <w:szCs w:val="20"/>
              </w:rPr>
            </m:ctrlPr>
          </m:dPr>
          <m:e>
            <m:r>
              <w:rPr>
                <w:rFonts w:ascii="Cambria Math" w:hAnsi="Cambria Math"/>
                <w:szCs w:val="20"/>
              </w:rPr>
              <m:t>9</m:t>
            </m:r>
          </m:e>
        </m:d>
      </m:oMath>
      <w:r w:rsidRPr="006842B8">
        <w:rPr>
          <w:szCs w:val="20"/>
        </w:rPr>
        <w:t xml:space="preserve">. According to </w:t>
      </w:r>
      <m:oMath>
        <m:d>
          <m:dPr>
            <m:begChr m:val="["/>
            <m:endChr m:val="]"/>
            <m:ctrlPr>
              <w:rPr>
                <w:rFonts w:ascii="Cambria Math" w:hAnsi="Cambria Math"/>
                <w:i/>
                <w:szCs w:val="20"/>
              </w:rPr>
            </m:ctrlPr>
          </m:dPr>
          <m:e>
            <m:r>
              <w:rPr>
                <w:rFonts w:ascii="Cambria Math" w:hAnsi="Cambria Math"/>
                <w:szCs w:val="20"/>
              </w:rPr>
              <m:t>7</m:t>
            </m:r>
          </m:e>
        </m:d>
      </m:oMath>
      <w:r w:rsidRPr="00D96480">
        <w:rPr>
          <w:szCs w:val="20"/>
        </w:rPr>
        <w:t xml:space="preserve">, a student's mathematics self-concept was influenced by their confidence in understanding new mathematical topics, achieving high performance, or solving problems successfully. </w:t>
      </w:r>
    </w:p>
    <w:p w14:paraId="61696B89" w14:textId="77777777" w:rsidR="00CB26D7" w:rsidRPr="00DD2E1D" w:rsidRDefault="00CB26D7" w:rsidP="00CB26D7">
      <w:pPr>
        <w:pStyle w:val="NoSpacing"/>
        <w:ind w:left="2610" w:firstLine="720"/>
        <w:jc w:val="both"/>
        <w:rPr>
          <w:rFonts w:ascii="Palatino Linotype" w:hAnsi="Palatino Linotype" w:cs="Tahoma"/>
          <w:sz w:val="20"/>
          <w:szCs w:val="20"/>
        </w:rPr>
      </w:pPr>
      <w:r w:rsidRPr="00DD2E1D">
        <w:rPr>
          <w:rFonts w:ascii="Palatino Linotype" w:hAnsi="Palatino Linotype" w:cs="Tahoma"/>
          <w:sz w:val="20"/>
          <w:szCs w:val="20"/>
        </w:rPr>
        <w:t xml:space="preserve">Also, </w:t>
      </w:r>
      <m:oMath>
        <m:d>
          <m:dPr>
            <m:begChr m:val="["/>
            <m:endChr m:val="]"/>
            <m:ctrlPr>
              <w:rPr>
                <w:rFonts w:ascii="Cambria Math" w:eastAsiaTheme="minorEastAsia" w:hAnsi="Cambria Math" w:cs="Times New Roman"/>
                <w:i/>
                <w:noProof/>
                <w:color w:val="000000"/>
                <w:sz w:val="20"/>
                <w:szCs w:val="20"/>
                <w:lang w:eastAsia="zh-CN"/>
              </w:rPr>
            </m:ctrlPr>
          </m:dPr>
          <m:e>
            <m:r>
              <w:rPr>
                <w:rFonts w:ascii="Cambria Math" w:hAnsi="Cambria Math"/>
                <w:sz w:val="20"/>
                <w:szCs w:val="20"/>
              </w:rPr>
              <m:t>6</m:t>
            </m:r>
          </m:e>
        </m:d>
      </m:oMath>
      <w:r w:rsidRPr="00DD2E1D">
        <w:rPr>
          <w:rFonts w:ascii="Palatino Linotype" w:hAnsi="Palatino Linotype" w:cs="Tahoma"/>
          <w:sz w:val="20"/>
          <w:szCs w:val="20"/>
        </w:rPr>
        <w:t xml:space="preserve"> posited that there is a relationship between mathematics achievement and academic self-concept. They found evidence of bidirectional effects, with higher math achievement predicting higher academic self-concept predicting higher math achievement over time.</w:t>
      </w:r>
      <m:oMath>
        <m:d>
          <m:dPr>
            <m:begChr m:val="["/>
            <m:endChr m:val="]"/>
            <m:ctrlPr>
              <w:rPr>
                <w:rFonts w:ascii="Cambria Math" w:eastAsiaTheme="minorEastAsia" w:hAnsi="Cambria Math" w:cs="Times New Roman"/>
                <w:i/>
                <w:noProof/>
                <w:color w:val="000000"/>
                <w:sz w:val="20"/>
                <w:szCs w:val="20"/>
                <w:lang w:eastAsia="zh-CN"/>
              </w:rPr>
            </m:ctrlPr>
          </m:dPr>
          <m:e>
            <m:r>
              <w:rPr>
                <w:rFonts w:ascii="Cambria Math" w:hAnsi="Cambria Math"/>
                <w:sz w:val="20"/>
                <w:szCs w:val="20"/>
              </w:rPr>
              <m:t>8</m:t>
            </m:r>
          </m:e>
        </m:d>
      </m:oMath>
      <w:r w:rsidRPr="00DD2E1D">
        <w:rPr>
          <w:rFonts w:ascii="Palatino Linotype" w:hAnsi="Palatino Linotype" w:cs="Tahoma"/>
          <w:sz w:val="20"/>
          <w:szCs w:val="20"/>
        </w:rPr>
        <w:t xml:space="preserve">, understanding students’ academic self-concept in online learning environments is crucial for designing effective instructional strategies and support mechanisms, hence, the </w:t>
      </w:r>
      <w:proofErr w:type="gramStart"/>
      <w:r w:rsidRPr="00DD2E1D">
        <w:rPr>
          <w:rFonts w:ascii="Palatino Linotype" w:hAnsi="Palatino Linotype" w:cs="Tahoma"/>
          <w:sz w:val="20"/>
          <w:szCs w:val="20"/>
        </w:rPr>
        <w:t>importance</w:t>
      </w:r>
      <w:proofErr w:type="gramEnd"/>
      <w:r w:rsidRPr="00DD2E1D">
        <w:rPr>
          <w:rFonts w:ascii="Palatino Linotype" w:hAnsi="Palatino Linotype" w:cs="Tahoma"/>
          <w:sz w:val="20"/>
          <w:szCs w:val="20"/>
        </w:rPr>
        <w:t xml:space="preserve"> how students perceive their math learning abilities and interests is important. While prior works like the study of </w:t>
      </w:r>
      <m:oMath>
        <m:d>
          <m:dPr>
            <m:begChr m:val="["/>
            <m:endChr m:val="]"/>
            <m:ctrlPr>
              <w:rPr>
                <w:rFonts w:ascii="Cambria Math" w:eastAsiaTheme="minorEastAsia" w:hAnsi="Cambria Math" w:cs="Times New Roman"/>
                <w:i/>
                <w:noProof/>
                <w:color w:val="000000"/>
                <w:sz w:val="20"/>
                <w:szCs w:val="20"/>
                <w:lang w:eastAsia="zh-CN"/>
              </w:rPr>
            </m:ctrlPr>
          </m:dPr>
          <m:e>
            <m:r>
              <w:rPr>
                <w:rFonts w:ascii="Cambria Math" w:eastAsiaTheme="minorEastAsia" w:hAnsi="Cambria Math" w:cs="Times New Roman"/>
                <w:noProof/>
                <w:color w:val="000000"/>
                <w:sz w:val="20"/>
                <w:szCs w:val="20"/>
                <w:lang w:eastAsia="zh-CN"/>
              </w:rPr>
              <m:t>2</m:t>
            </m:r>
          </m:e>
        </m:d>
      </m:oMath>
      <w:r w:rsidRPr="00DD2E1D">
        <w:rPr>
          <w:rFonts w:ascii="Palatino Linotype" w:hAnsi="Palatino Linotype" w:cs="Tahoma"/>
          <w:sz w:val="20"/>
          <w:szCs w:val="20"/>
        </w:rPr>
        <w:t xml:space="preserve">, </w:t>
      </w:r>
      <m:oMath>
        <m:d>
          <m:dPr>
            <m:begChr m:val="["/>
            <m:endChr m:val="]"/>
            <m:ctrlPr>
              <w:rPr>
                <w:rFonts w:ascii="Cambria Math" w:eastAsiaTheme="minorEastAsia" w:hAnsi="Cambria Math" w:cs="Times New Roman"/>
                <w:i/>
                <w:noProof/>
                <w:color w:val="000000"/>
                <w:sz w:val="20"/>
                <w:szCs w:val="20"/>
                <w:lang w:eastAsia="zh-CN"/>
              </w:rPr>
            </m:ctrlPr>
          </m:dPr>
          <m:e>
            <m:r>
              <w:rPr>
                <w:rFonts w:ascii="Cambria Math" w:hAnsi="Cambria Math"/>
                <w:sz w:val="20"/>
                <w:szCs w:val="20"/>
              </w:rPr>
              <m:t>5</m:t>
            </m:r>
          </m:e>
        </m:d>
      </m:oMath>
      <w:r w:rsidRPr="00DD2E1D">
        <w:rPr>
          <w:rFonts w:ascii="Palatino Linotype" w:hAnsi="Palatino Linotype" w:cs="Tahoma"/>
          <w:sz w:val="20"/>
          <w:szCs w:val="20"/>
        </w:rPr>
        <w:t>deal with barriers to online learning, mathematics, self-concept in the context of online learning is not that widely investigated, hence this study.</w:t>
      </w:r>
    </w:p>
    <w:p w14:paraId="244F6434" w14:textId="77777777" w:rsidR="00CB26D7" w:rsidRPr="00DD2E1D" w:rsidRDefault="00CB26D7" w:rsidP="00CB26D7">
      <w:pPr>
        <w:pStyle w:val="NoSpacing"/>
        <w:ind w:left="2610" w:firstLine="720"/>
        <w:jc w:val="both"/>
        <w:rPr>
          <w:rFonts w:ascii="Palatino Linotype" w:hAnsi="Palatino Linotype" w:cs="Tahoma"/>
          <w:sz w:val="20"/>
          <w:szCs w:val="20"/>
        </w:rPr>
      </w:pPr>
      <w:r w:rsidRPr="00DD2E1D">
        <w:rPr>
          <w:rFonts w:ascii="Palatino Linotype" w:hAnsi="Palatino Linotype" w:cs="Tahoma"/>
          <w:sz w:val="20"/>
          <w:szCs w:val="20"/>
        </w:rPr>
        <w:t xml:space="preserve">This study aimed to provide insights into the students’ mathematics self-concept as well as their challenges in online learning.  </w:t>
      </w:r>
    </w:p>
    <w:bookmarkEnd w:id="0"/>
    <w:bookmarkEnd w:id="1"/>
    <w:p w14:paraId="14C3D4EB" w14:textId="77777777" w:rsidR="00CB26D7" w:rsidRPr="004C096D" w:rsidRDefault="00CB26D7" w:rsidP="00CB26D7">
      <w:pPr>
        <w:pStyle w:val="MDPI21heading1"/>
        <w:ind w:left="2610"/>
        <w:rPr>
          <w:rFonts w:eastAsia="SimSun"/>
          <w:lang w:eastAsia="zh-CN"/>
        </w:rPr>
      </w:pPr>
      <w:r>
        <w:rPr>
          <w:lang w:eastAsia="zh-CN"/>
        </w:rPr>
        <w:t xml:space="preserve">2. </w:t>
      </w:r>
      <w:r>
        <w:t>Methods</w:t>
      </w:r>
    </w:p>
    <w:p w14:paraId="37CBED6D" w14:textId="77777777" w:rsidR="00CB26D7" w:rsidRPr="00CD38EA" w:rsidRDefault="00CB26D7" w:rsidP="00CB26D7">
      <w:pPr>
        <w:pStyle w:val="NoSpacing"/>
        <w:ind w:left="2610" w:firstLine="720"/>
        <w:jc w:val="both"/>
        <w:rPr>
          <w:rFonts w:ascii="Palatino Linotype" w:hAnsi="Palatino Linotype" w:cs="Tahoma"/>
          <w:sz w:val="20"/>
          <w:szCs w:val="20"/>
        </w:rPr>
      </w:pPr>
      <w:r w:rsidRPr="00CD38EA">
        <w:rPr>
          <w:rFonts w:ascii="Palatino Linotype" w:hAnsi="Palatino Linotype" w:cs="Tahoma"/>
          <w:sz w:val="20"/>
          <w:szCs w:val="20"/>
        </w:rPr>
        <w:t>This study utilized descriptive design to assess the academic online learning self-concept in Mathematics in the Modern World of the 409 freshmen students. It is exploratory (by nature) as it only serves as a baseline study to have a better understanding of the problem</w:t>
      </w:r>
      <w:bookmarkStart w:id="2" w:name="_Hlk52564651"/>
      <w:r w:rsidRPr="00CD38EA">
        <w:rPr>
          <w:rFonts w:ascii="Palatino Linotype" w:hAnsi="Palatino Linotype" w:cs="Tahoma"/>
          <w:sz w:val="20"/>
          <w:szCs w:val="20"/>
        </w:rPr>
        <w:t>. Purposive sampling technique</w:t>
      </w:r>
      <w:r>
        <w:rPr>
          <w:rFonts w:ascii="Palatino Linotype" w:hAnsi="Palatino Linotype" w:cs="Tahoma"/>
          <w:sz w:val="20"/>
          <w:szCs w:val="20"/>
        </w:rPr>
        <w:t xml:space="preserve"> and simple random sampling techniques were</w:t>
      </w:r>
      <w:r w:rsidRPr="00CD38EA">
        <w:rPr>
          <w:rFonts w:ascii="Palatino Linotype" w:hAnsi="Palatino Linotype" w:cs="Tahoma"/>
          <w:sz w:val="20"/>
          <w:szCs w:val="20"/>
        </w:rPr>
        <w:t xml:space="preserve"> used in identifying the respondents in the study</w:t>
      </w:r>
      <w:bookmarkStart w:id="3" w:name="_Hlk52564678"/>
      <w:bookmarkEnd w:id="2"/>
      <w:r>
        <w:rPr>
          <w:rFonts w:ascii="Palatino Linotype" w:hAnsi="Palatino Linotype" w:cs="Tahoma"/>
          <w:sz w:val="20"/>
          <w:szCs w:val="20"/>
        </w:rPr>
        <w:t>.</w:t>
      </w:r>
      <w:bookmarkStart w:id="4" w:name="_Hlk52564700"/>
      <w:bookmarkEnd w:id="3"/>
      <w:r w:rsidRPr="00CD38EA">
        <w:rPr>
          <w:rFonts w:ascii="Palatino Linotype" w:hAnsi="Palatino Linotype" w:cs="Tahoma"/>
          <w:sz w:val="20"/>
          <w:szCs w:val="20"/>
        </w:rPr>
        <w:t xml:space="preserve"> </w:t>
      </w:r>
      <w:bookmarkEnd w:id="4"/>
      <w:r w:rsidRPr="00CD38EA">
        <w:rPr>
          <w:rFonts w:ascii="Palatino Linotype" w:hAnsi="Palatino Linotype" w:cs="Tahoma"/>
          <w:sz w:val="20"/>
          <w:szCs w:val="20"/>
        </w:rPr>
        <w:t>An adapted questionnaire was used. It was validated by experts and was administered via Microsoft Forms.</w:t>
      </w:r>
    </w:p>
    <w:p w14:paraId="25602EF7" w14:textId="77777777" w:rsidR="00CB26D7" w:rsidRDefault="00CB26D7" w:rsidP="00CB26D7">
      <w:pPr>
        <w:pStyle w:val="NoSpacing"/>
        <w:ind w:left="2610" w:firstLine="720"/>
        <w:jc w:val="both"/>
        <w:rPr>
          <w:rFonts w:ascii="Palatino Linotype" w:hAnsi="Palatino Linotype" w:cs="Tahoma"/>
          <w:b/>
          <w:sz w:val="20"/>
          <w:szCs w:val="20"/>
        </w:rPr>
      </w:pPr>
      <w:r w:rsidRPr="00CD38EA">
        <w:rPr>
          <w:rFonts w:ascii="Palatino Linotype" w:hAnsi="Palatino Linotype" w:cs="Tahoma"/>
          <w:sz w:val="20"/>
          <w:szCs w:val="20"/>
        </w:rPr>
        <w:t xml:space="preserve"> </w:t>
      </w:r>
      <w:r w:rsidRPr="00CD38EA">
        <w:rPr>
          <w:rFonts w:ascii="Palatino Linotype" w:hAnsi="Palatino Linotype" w:cs="Tahoma"/>
          <w:sz w:val="20"/>
          <w:szCs w:val="20"/>
        </w:rPr>
        <w:cr/>
        <w:t xml:space="preserve">       The questionnaire has two parts. Part 1 was intended to gather information about profile of respondents while Part 2 solicited data on mathematics self-concept. Frequency counts, means, and standard deviations were used to describe the data.</w:t>
      </w:r>
      <w:r w:rsidRPr="00CD38EA">
        <w:rPr>
          <w:rFonts w:ascii="Palatino Linotype" w:hAnsi="Palatino Linotype" w:cs="Tahoma"/>
          <w:sz w:val="20"/>
          <w:szCs w:val="20"/>
        </w:rPr>
        <w:cr/>
      </w:r>
      <w:r w:rsidRPr="00B359ED">
        <w:rPr>
          <w:rFonts w:ascii="Palatino Linotype" w:hAnsi="Palatino Linotype" w:cs="Tahoma"/>
          <w:b/>
          <w:sz w:val="20"/>
          <w:szCs w:val="20"/>
        </w:rPr>
        <w:t>3. Results and Discussion</w:t>
      </w:r>
    </w:p>
    <w:p w14:paraId="75F66E54" w14:textId="77777777" w:rsidR="00CB26D7" w:rsidRDefault="00CB26D7" w:rsidP="00CB26D7">
      <w:pPr>
        <w:pStyle w:val="NoSpacing"/>
        <w:spacing w:line="228" w:lineRule="auto"/>
        <w:ind w:left="2606"/>
        <w:contextualSpacing/>
        <w:jc w:val="both"/>
        <w:rPr>
          <w:rFonts w:ascii="Palatino Linotype" w:hAnsi="Palatino Linotype" w:cs="Tahoma"/>
          <w:b/>
          <w:sz w:val="20"/>
          <w:szCs w:val="20"/>
        </w:rPr>
      </w:pPr>
    </w:p>
    <w:p w14:paraId="09F379FD" w14:textId="77777777" w:rsidR="00CB26D7" w:rsidRPr="000713C2" w:rsidRDefault="00CB26D7" w:rsidP="00CB26D7">
      <w:pPr>
        <w:pStyle w:val="NoSpacing"/>
        <w:spacing w:line="228" w:lineRule="auto"/>
        <w:ind w:left="2606"/>
        <w:contextualSpacing/>
        <w:jc w:val="both"/>
        <w:rPr>
          <w:rFonts w:ascii="Palatino Linotype" w:hAnsi="Palatino Linotype" w:cs="Tahoma"/>
          <w:b/>
          <w:sz w:val="20"/>
          <w:szCs w:val="20"/>
        </w:rPr>
      </w:pPr>
      <w:r w:rsidRPr="000713C2">
        <w:rPr>
          <w:rFonts w:ascii="Palatino Linotype" w:hAnsi="Palatino Linotype" w:cs="Tahoma"/>
          <w:b/>
          <w:sz w:val="20"/>
          <w:szCs w:val="20"/>
        </w:rPr>
        <w:t>Profile of the respondents in terms of age, gender, year level, gross monthly family income, use of LMS through MS Teams, number of siblings, and device-sharing during online class</w:t>
      </w:r>
    </w:p>
    <w:p w14:paraId="5C9BA0EC" w14:textId="77777777" w:rsidR="00CB26D7" w:rsidRDefault="00CB26D7" w:rsidP="00CB26D7">
      <w:pPr>
        <w:pStyle w:val="NoSpacing"/>
        <w:ind w:left="2610" w:firstLine="450"/>
        <w:jc w:val="both"/>
        <w:rPr>
          <w:rFonts w:ascii="Palatino Linotype" w:hAnsi="Palatino Linotype" w:cs="Tahoma"/>
          <w:sz w:val="20"/>
          <w:szCs w:val="20"/>
        </w:rPr>
      </w:pPr>
      <w:r w:rsidRPr="00CD38EA">
        <w:rPr>
          <w:rFonts w:ascii="Palatino Linotype" w:hAnsi="Palatino Linotype" w:cs="Tahoma"/>
          <w:sz w:val="20"/>
          <w:szCs w:val="20"/>
        </w:rPr>
        <w:t xml:space="preserve">The average age of </w:t>
      </w:r>
      <w:proofErr w:type="gramStart"/>
      <w:r w:rsidRPr="00CD38EA">
        <w:rPr>
          <w:rFonts w:ascii="Palatino Linotype" w:hAnsi="Palatino Linotype" w:cs="Tahoma"/>
          <w:sz w:val="20"/>
          <w:szCs w:val="20"/>
        </w:rPr>
        <w:t>the 409</w:t>
      </w:r>
      <w:proofErr w:type="gramEnd"/>
      <w:r w:rsidRPr="00CD38EA">
        <w:rPr>
          <w:rFonts w:ascii="Palatino Linotype" w:hAnsi="Palatino Linotype" w:cs="Tahoma"/>
          <w:sz w:val="20"/>
          <w:szCs w:val="20"/>
        </w:rPr>
        <w:t xml:space="preserve"> respondents is 19.53 with a standard deviation of 1.51. Most of them are in the age </w:t>
      </w:r>
      <w:proofErr w:type="gramStart"/>
      <w:r w:rsidRPr="00CD38EA">
        <w:rPr>
          <w:rFonts w:ascii="Palatino Linotype" w:hAnsi="Palatino Linotype" w:cs="Tahoma"/>
          <w:sz w:val="20"/>
          <w:szCs w:val="20"/>
        </w:rPr>
        <w:t>bracket</w:t>
      </w:r>
      <w:proofErr w:type="gramEnd"/>
      <w:r w:rsidRPr="00CD38EA">
        <w:rPr>
          <w:rFonts w:ascii="Palatino Linotype" w:hAnsi="Palatino Linotype" w:cs="Tahoma"/>
          <w:sz w:val="20"/>
          <w:szCs w:val="20"/>
        </w:rPr>
        <w:t xml:space="preserve"> of 18 to 36. Majority </w:t>
      </w:r>
      <w:r>
        <w:rPr>
          <w:rFonts w:ascii="Palatino Linotype" w:hAnsi="Palatino Linotype" w:cs="Tahoma"/>
          <w:sz w:val="20"/>
          <w:szCs w:val="20"/>
        </w:rPr>
        <w:t xml:space="preserve">of the participants </w:t>
      </w:r>
      <w:r w:rsidRPr="00CD38EA">
        <w:rPr>
          <w:rFonts w:ascii="Palatino Linotype" w:hAnsi="Palatino Linotype" w:cs="Tahoma"/>
          <w:sz w:val="20"/>
          <w:szCs w:val="20"/>
        </w:rPr>
        <w:t>are female</w:t>
      </w:r>
      <w:r>
        <w:rPr>
          <w:rFonts w:ascii="Palatino Linotype" w:hAnsi="Palatino Linotype" w:cs="Tahoma"/>
          <w:sz w:val="20"/>
          <w:szCs w:val="20"/>
        </w:rPr>
        <w:t xml:space="preserve"> and enrolled in the </w:t>
      </w:r>
      <w:r w:rsidRPr="002240B3">
        <w:rPr>
          <w:rFonts w:ascii="Palatino Linotype" w:hAnsi="Palatino Linotype" w:cs="Tahoma"/>
          <w:color w:val="000000" w:themeColor="text1"/>
          <w:sz w:val="20"/>
          <w:szCs w:val="20"/>
        </w:rPr>
        <w:t xml:space="preserve">College of International Tourism and Hospitality Management </w:t>
      </w:r>
      <w:r>
        <w:rPr>
          <w:rFonts w:ascii="Palatino Linotype" w:hAnsi="Palatino Linotype" w:cs="Tahoma"/>
          <w:sz w:val="20"/>
          <w:szCs w:val="20"/>
        </w:rPr>
        <w:t>(</w:t>
      </w:r>
      <w:r w:rsidRPr="00CD38EA">
        <w:rPr>
          <w:rFonts w:ascii="Palatino Linotype" w:hAnsi="Palatino Linotype" w:cs="Tahoma"/>
          <w:sz w:val="20"/>
          <w:szCs w:val="20"/>
        </w:rPr>
        <w:t>CITHM</w:t>
      </w:r>
      <w:r>
        <w:rPr>
          <w:rFonts w:ascii="Palatino Linotype" w:hAnsi="Palatino Linotype" w:cs="Tahoma"/>
          <w:sz w:val="20"/>
          <w:szCs w:val="20"/>
        </w:rPr>
        <w:t>)</w:t>
      </w:r>
      <w:r w:rsidRPr="00CD38EA">
        <w:rPr>
          <w:rFonts w:ascii="Palatino Linotype" w:hAnsi="Palatino Linotype" w:cs="Tahoma"/>
          <w:sz w:val="20"/>
          <w:szCs w:val="20"/>
        </w:rPr>
        <w:t xml:space="preserve"> and are freshmen. Their </w:t>
      </w:r>
      <w:r>
        <w:rPr>
          <w:rFonts w:ascii="Palatino Linotype" w:hAnsi="Palatino Linotype" w:cs="Tahoma"/>
          <w:sz w:val="20"/>
          <w:szCs w:val="20"/>
        </w:rPr>
        <w:t>Gross Monthly Family Income (</w:t>
      </w:r>
      <w:r w:rsidRPr="00CD38EA">
        <w:rPr>
          <w:rFonts w:ascii="Palatino Linotype" w:hAnsi="Palatino Linotype" w:cs="Tahoma"/>
          <w:sz w:val="20"/>
          <w:szCs w:val="20"/>
        </w:rPr>
        <w:t>GMFI</w:t>
      </w:r>
      <w:r>
        <w:rPr>
          <w:rFonts w:ascii="Palatino Linotype" w:hAnsi="Palatino Linotype" w:cs="Tahoma"/>
          <w:sz w:val="20"/>
          <w:szCs w:val="20"/>
        </w:rPr>
        <w:t>) ranged from</w:t>
      </w:r>
      <w:r w:rsidRPr="00CD38EA">
        <w:rPr>
          <w:rFonts w:ascii="Palatino Linotype" w:hAnsi="Palatino Linotype" w:cs="Tahoma"/>
          <w:sz w:val="20"/>
          <w:szCs w:val="20"/>
        </w:rPr>
        <w:t xml:space="preserve"> </w:t>
      </w:r>
      <w:proofErr w:type="spellStart"/>
      <w:r w:rsidRPr="00CD38EA">
        <w:rPr>
          <w:rFonts w:ascii="Palatino Linotype" w:hAnsi="Palatino Linotype" w:cs="Tahoma"/>
          <w:sz w:val="20"/>
          <w:szCs w:val="20"/>
        </w:rPr>
        <w:t>PhP</w:t>
      </w:r>
      <w:proofErr w:type="spellEnd"/>
      <w:r w:rsidRPr="00CD38EA">
        <w:rPr>
          <w:rFonts w:ascii="Palatino Linotype" w:hAnsi="Palatino Linotype" w:cs="Tahoma"/>
          <w:sz w:val="20"/>
          <w:szCs w:val="20"/>
        </w:rPr>
        <w:t xml:space="preserve"> 10,500 to </w:t>
      </w:r>
      <w:proofErr w:type="spellStart"/>
      <w:r w:rsidRPr="00CD38EA">
        <w:rPr>
          <w:rFonts w:ascii="Palatino Linotype" w:hAnsi="Palatino Linotype" w:cs="Tahoma"/>
          <w:sz w:val="20"/>
          <w:szCs w:val="20"/>
        </w:rPr>
        <w:t>PhP</w:t>
      </w:r>
      <w:proofErr w:type="spellEnd"/>
      <w:r w:rsidRPr="00CD38EA">
        <w:rPr>
          <w:rFonts w:ascii="Palatino Linotype" w:hAnsi="Palatino Linotype" w:cs="Tahoma"/>
          <w:sz w:val="20"/>
          <w:szCs w:val="20"/>
        </w:rPr>
        <w:t xml:space="preserve"> 42,000.00. </w:t>
      </w:r>
      <w:r>
        <w:rPr>
          <w:rFonts w:ascii="Palatino Linotype" w:hAnsi="Palatino Linotype" w:cs="Tahoma"/>
          <w:sz w:val="20"/>
          <w:szCs w:val="20"/>
        </w:rPr>
        <w:t>The</w:t>
      </w:r>
      <w:r w:rsidRPr="00CD38EA">
        <w:rPr>
          <w:rFonts w:ascii="Palatino Linotype" w:hAnsi="Palatino Linotype" w:cs="Tahoma"/>
          <w:sz w:val="20"/>
          <w:szCs w:val="20"/>
        </w:rPr>
        <w:t xml:space="preserve"> respondents</w:t>
      </w:r>
      <w:r>
        <w:rPr>
          <w:rFonts w:ascii="Palatino Linotype" w:hAnsi="Palatino Linotype" w:cs="Tahoma"/>
          <w:sz w:val="20"/>
          <w:szCs w:val="20"/>
        </w:rPr>
        <w:t xml:space="preserve"> predominantly began using </w:t>
      </w:r>
      <w:r w:rsidRPr="00CD38EA">
        <w:rPr>
          <w:rFonts w:ascii="Palatino Linotype" w:hAnsi="Palatino Linotype" w:cs="Tahoma"/>
          <w:sz w:val="20"/>
          <w:szCs w:val="20"/>
        </w:rPr>
        <w:t xml:space="preserve">MS Teams during the first semester of the academic year 2021-2022. </w:t>
      </w:r>
      <w:r>
        <w:rPr>
          <w:rFonts w:ascii="Palatino Linotype" w:hAnsi="Palatino Linotype" w:cs="Tahoma"/>
          <w:sz w:val="20"/>
          <w:szCs w:val="20"/>
        </w:rPr>
        <w:t xml:space="preserve">Most of the respondents </w:t>
      </w:r>
      <w:r>
        <w:rPr>
          <w:rFonts w:ascii="Palatino Linotype" w:hAnsi="Palatino Linotype" w:cs="Tahoma"/>
          <w:sz w:val="20"/>
          <w:szCs w:val="20"/>
        </w:rPr>
        <w:lastRenderedPageBreak/>
        <w:t xml:space="preserve">reported having </w:t>
      </w:r>
      <w:r w:rsidRPr="00CD38EA">
        <w:rPr>
          <w:rFonts w:ascii="Palatino Linotype" w:hAnsi="Palatino Linotype" w:cs="Tahoma"/>
          <w:sz w:val="20"/>
          <w:szCs w:val="20"/>
        </w:rPr>
        <w:t xml:space="preserve">no siblings and </w:t>
      </w:r>
      <w:r>
        <w:rPr>
          <w:rFonts w:ascii="Palatino Linotype" w:hAnsi="Palatino Linotype" w:cs="Tahoma"/>
          <w:sz w:val="20"/>
          <w:szCs w:val="20"/>
        </w:rPr>
        <w:t>were</w:t>
      </w:r>
      <w:r w:rsidRPr="00CD38EA">
        <w:rPr>
          <w:rFonts w:ascii="Palatino Linotype" w:hAnsi="Palatino Linotype" w:cs="Tahoma"/>
          <w:sz w:val="20"/>
          <w:szCs w:val="20"/>
        </w:rPr>
        <w:t xml:space="preserve"> currently enrolled in online classes. </w:t>
      </w:r>
      <w:r>
        <w:rPr>
          <w:rFonts w:ascii="Palatino Linotype" w:hAnsi="Palatino Linotype" w:cs="Tahoma"/>
          <w:sz w:val="20"/>
          <w:szCs w:val="20"/>
        </w:rPr>
        <w:t>Among t</w:t>
      </w:r>
      <w:r w:rsidRPr="00CD38EA">
        <w:rPr>
          <w:rFonts w:ascii="Palatino Linotype" w:hAnsi="Palatino Linotype" w:cs="Tahoma"/>
          <w:sz w:val="20"/>
          <w:szCs w:val="20"/>
        </w:rPr>
        <w:t xml:space="preserve">hose who </w:t>
      </w:r>
      <w:proofErr w:type="gramStart"/>
      <w:r w:rsidRPr="00CD38EA">
        <w:rPr>
          <w:rFonts w:ascii="Palatino Linotype" w:hAnsi="Palatino Linotype" w:cs="Tahoma"/>
          <w:sz w:val="20"/>
          <w:szCs w:val="20"/>
        </w:rPr>
        <w:t>ha</w:t>
      </w:r>
      <w:r>
        <w:rPr>
          <w:rFonts w:ascii="Palatino Linotype" w:hAnsi="Palatino Linotype" w:cs="Tahoma"/>
          <w:sz w:val="20"/>
          <w:szCs w:val="20"/>
        </w:rPr>
        <w:t>d</w:t>
      </w:r>
      <w:proofErr w:type="gramEnd"/>
      <w:r w:rsidRPr="00CD38EA">
        <w:rPr>
          <w:rFonts w:ascii="Palatino Linotype" w:hAnsi="Palatino Linotype" w:cs="Tahoma"/>
          <w:sz w:val="20"/>
          <w:szCs w:val="20"/>
        </w:rPr>
        <w:t xml:space="preserve"> siblings</w:t>
      </w:r>
      <w:r>
        <w:rPr>
          <w:rFonts w:ascii="Palatino Linotype" w:hAnsi="Palatino Linotype" w:cs="Tahoma"/>
          <w:sz w:val="20"/>
          <w:szCs w:val="20"/>
        </w:rPr>
        <w:t xml:space="preserve">, </w:t>
      </w:r>
      <w:proofErr w:type="gramStart"/>
      <w:r>
        <w:rPr>
          <w:rFonts w:ascii="Palatino Linotype" w:hAnsi="Palatino Linotype" w:cs="Tahoma"/>
          <w:sz w:val="20"/>
          <w:szCs w:val="20"/>
        </w:rPr>
        <w:t>have</w:t>
      </w:r>
      <w:proofErr w:type="gramEnd"/>
      <w:r>
        <w:rPr>
          <w:rFonts w:ascii="Palatino Linotype" w:hAnsi="Palatino Linotype" w:cs="Tahoma"/>
          <w:sz w:val="20"/>
          <w:szCs w:val="20"/>
        </w:rPr>
        <w:t xml:space="preserve"> their</w:t>
      </w:r>
      <w:r w:rsidRPr="00CD38EA">
        <w:rPr>
          <w:rFonts w:ascii="Palatino Linotype" w:hAnsi="Palatino Linotype" w:cs="Tahoma"/>
          <w:sz w:val="20"/>
          <w:szCs w:val="20"/>
        </w:rPr>
        <w:t xml:space="preserve"> own devices for use during online class.</w:t>
      </w:r>
      <w:r>
        <w:rPr>
          <w:rFonts w:ascii="Palatino Linotype" w:hAnsi="Palatino Linotype" w:cs="Tahoma"/>
          <w:sz w:val="20"/>
          <w:szCs w:val="20"/>
        </w:rPr>
        <w:t xml:space="preserve"> </w:t>
      </w:r>
      <w:r w:rsidRPr="00CD38EA">
        <w:rPr>
          <w:rFonts w:ascii="Palatino Linotype" w:hAnsi="Palatino Linotype" w:cs="Tahoma"/>
          <w:sz w:val="20"/>
          <w:szCs w:val="20"/>
        </w:rPr>
        <w:t>Nonetheless, it was found out that there are some who just borrow devices or some do not have any device to use.</w:t>
      </w:r>
      <w:r w:rsidRPr="00CD38EA">
        <w:rPr>
          <w:rFonts w:ascii="Palatino Linotype" w:hAnsi="Palatino Linotype" w:cs="Tahoma"/>
          <w:sz w:val="20"/>
          <w:szCs w:val="20"/>
        </w:rPr>
        <w:cr/>
      </w:r>
    </w:p>
    <w:p w14:paraId="5979588C" w14:textId="77777777" w:rsidR="00CB26D7" w:rsidRDefault="00CB26D7" w:rsidP="00CB26D7">
      <w:pPr>
        <w:pStyle w:val="NoSpacing"/>
        <w:ind w:left="2610" w:firstLine="450"/>
        <w:jc w:val="both"/>
        <w:rPr>
          <w:rFonts w:ascii="Palatino Linotype" w:hAnsi="Palatino Linotype" w:cs="Tahoma"/>
          <w:sz w:val="20"/>
          <w:szCs w:val="20"/>
        </w:rPr>
      </w:pPr>
    </w:p>
    <w:p w14:paraId="1F46D265" w14:textId="77777777" w:rsidR="00CB26D7" w:rsidRDefault="00CB26D7" w:rsidP="00CB26D7">
      <w:pPr>
        <w:pStyle w:val="NoSpacing"/>
        <w:ind w:left="2610" w:firstLine="450"/>
        <w:jc w:val="both"/>
        <w:rPr>
          <w:rFonts w:ascii="Palatino Linotype" w:hAnsi="Palatino Linotype" w:cs="Tahoma"/>
          <w:sz w:val="20"/>
          <w:szCs w:val="20"/>
        </w:rPr>
      </w:pPr>
    </w:p>
    <w:p w14:paraId="7B0236DE" w14:textId="77777777" w:rsidR="00CB26D7" w:rsidRPr="00CD38EA" w:rsidRDefault="00CB26D7" w:rsidP="00CB26D7">
      <w:pPr>
        <w:pStyle w:val="NoSpacing"/>
        <w:ind w:left="2610"/>
        <w:jc w:val="both"/>
        <w:rPr>
          <w:rFonts w:ascii="Palatino Linotype" w:hAnsi="Palatino Linotype" w:cs="Tahoma"/>
          <w:sz w:val="20"/>
          <w:szCs w:val="20"/>
        </w:rPr>
      </w:pPr>
      <w:r w:rsidRPr="00CD38EA">
        <w:rPr>
          <w:rFonts w:ascii="Palatino Linotype" w:hAnsi="Palatino Linotype" w:cs="Tahoma"/>
          <w:sz w:val="20"/>
          <w:szCs w:val="20"/>
        </w:rPr>
        <w:t>Table 1. Student-related factors in terms of device ownership, personal physical learning space access, internet speed, and over-all perception of mathematics online learning</w:t>
      </w:r>
      <w:r>
        <w:rPr>
          <w:rFonts w:ascii="Palatino Linotype" w:hAnsi="Palatino Linotype" w:cs="Tahoma"/>
          <w:sz w:val="20"/>
          <w:szCs w:val="20"/>
        </w:rPr>
        <w:t>.</w:t>
      </w:r>
    </w:p>
    <w:tbl>
      <w:tblPr>
        <w:tblW w:w="7830" w:type="dxa"/>
        <w:tblCellSpacing w:w="0" w:type="dxa"/>
        <w:tblInd w:w="2607" w:type="dxa"/>
        <w:tblBorders>
          <w:top w:val="single" w:sz="2" w:space="0" w:color="auto"/>
          <w:bottom w:val="single" w:sz="2" w:space="0" w:color="auto"/>
          <w:insideH w:val="single" w:sz="2" w:space="0" w:color="auto"/>
        </w:tblBorders>
        <w:tblCellMar>
          <w:left w:w="0" w:type="dxa"/>
          <w:right w:w="0" w:type="dxa"/>
        </w:tblCellMar>
        <w:tblLook w:val="04A0" w:firstRow="1" w:lastRow="0" w:firstColumn="1" w:lastColumn="0" w:noHBand="0" w:noVBand="1"/>
      </w:tblPr>
      <w:tblGrid>
        <w:gridCol w:w="5403"/>
        <w:gridCol w:w="1080"/>
        <w:gridCol w:w="1347"/>
      </w:tblGrid>
      <w:tr w:rsidR="00CB26D7" w:rsidRPr="00CD38EA" w14:paraId="51873180" w14:textId="77777777" w:rsidTr="000E140E">
        <w:trPr>
          <w:trHeight w:val="324"/>
          <w:tblCellSpacing w:w="0" w:type="dxa"/>
        </w:trPr>
        <w:tc>
          <w:tcPr>
            <w:tcW w:w="5403" w:type="dxa"/>
            <w:hideMark/>
          </w:tcPr>
          <w:p w14:paraId="1EFFDC1C" w14:textId="77777777" w:rsidR="00CB26D7" w:rsidRPr="00CD38EA" w:rsidRDefault="00CB26D7" w:rsidP="000E140E">
            <w:pPr>
              <w:spacing w:before="100" w:beforeAutospacing="1" w:after="100" w:afterAutospacing="1" w:line="240" w:lineRule="auto"/>
              <w:jc w:val="center"/>
              <w:rPr>
                <w:rFonts w:eastAsia="Times New Roman" w:cs="Tahoma"/>
                <w:lang w:val="en-PH" w:eastAsia="en-PH"/>
              </w:rPr>
            </w:pPr>
            <w:r w:rsidRPr="00CD38EA">
              <w:rPr>
                <w:rFonts w:eastAsia="Times New Roman" w:cs="Tahoma"/>
                <w:lang w:val="en-PH" w:eastAsia="en-PH"/>
              </w:rPr>
              <w:t>Student-related factors</w:t>
            </w:r>
          </w:p>
        </w:tc>
        <w:tc>
          <w:tcPr>
            <w:tcW w:w="1080" w:type="dxa"/>
            <w:hideMark/>
          </w:tcPr>
          <w:p w14:paraId="58ABE295" w14:textId="77777777" w:rsidR="00CB26D7" w:rsidRPr="00CD38EA" w:rsidRDefault="00CB26D7" w:rsidP="000E140E">
            <w:pPr>
              <w:spacing w:before="100" w:beforeAutospacing="1" w:after="100" w:afterAutospacing="1" w:line="240" w:lineRule="auto"/>
              <w:jc w:val="center"/>
              <w:rPr>
                <w:rFonts w:eastAsia="Times New Roman" w:cs="Tahoma"/>
                <w:lang w:val="en-PH" w:eastAsia="en-PH"/>
              </w:rPr>
            </w:pPr>
            <w:r w:rsidRPr="00CD38EA">
              <w:rPr>
                <w:rFonts w:eastAsia="Times New Roman" w:cs="Tahoma"/>
                <w:lang w:val="en-PH" w:eastAsia="en-PH"/>
              </w:rPr>
              <w:t>f</w:t>
            </w:r>
          </w:p>
        </w:tc>
        <w:tc>
          <w:tcPr>
            <w:tcW w:w="1347" w:type="dxa"/>
            <w:hideMark/>
          </w:tcPr>
          <w:p w14:paraId="552041BF" w14:textId="77777777" w:rsidR="00CB26D7" w:rsidRPr="00CD38EA" w:rsidRDefault="00CB26D7" w:rsidP="000E140E">
            <w:pPr>
              <w:spacing w:before="100" w:beforeAutospacing="1" w:after="100" w:afterAutospacing="1" w:line="240" w:lineRule="auto"/>
              <w:jc w:val="center"/>
              <w:rPr>
                <w:rFonts w:eastAsia="Times New Roman" w:cs="Tahoma"/>
                <w:lang w:val="en-PH" w:eastAsia="en-PH"/>
              </w:rPr>
            </w:pPr>
            <w:r w:rsidRPr="00CD38EA">
              <w:rPr>
                <w:rFonts w:eastAsia="Times New Roman" w:cs="Tahoma"/>
                <w:lang w:val="en-PH" w:eastAsia="en-PH"/>
              </w:rPr>
              <w:t>%</w:t>
            </w:r>
          </w:p>
        </w:tc>
      </w:tr>
      <w:tr w:rsidR="00CB26D7" w:rsidRPr="00CD38EA" w14:paraId="17B2629E" w14:textId="77777777" w:rsidTr="000E140E">
        <w:trPr>
          <w:trHeight w:val="324"/>
          <w:tblCellSpacing w:w="0" w:type="dxa"/>
        </w:trPr>
        <w:tc>
          <w:tcPr>
            <w:tcW w:w="7830" w:type="dxa"/>
            <w:gridSpan w:val="3"/>
            <w:hideMark/>
          </w:tcPr>
          <w:p w14:paraId="4A82D1AB" w14:textId="77777777" w:rsidR="00CB26D7" w:rsidRPr="00CD38EA" w:rsidRDefault="00CB26D7" w:rsidP="000E140E">
            <w:pPr>
              <w:spacing w:before="100" w:beforeAutospacing="1" w:after="100" w:afterAutospacing="1" w:line="240" w:lineRule="auto"/>
              <w:rPr>
                <w:rFonts w:eastAsia="Times New Roman" w:cs="Tahoma"/>
                <w:lang w:val="en-PH" w:eastAsia="en-PH"/>
              </w:rPr>
            </w:pPr>
            <w:r w:rsidRPr="00CD38EA">
              <w:rPr>
                <w:rFonts w:eastAsia="Times New Roman" w:cs="Tahoma"/>
                <w:lang w:val="en-PH" w:eastAsia="en-PH"/>
              </w:rPr>
              <w:t>Device ownership</w:t>
            </w:r>
          </w:p>
        </w:tc>
      </w:tr>
      <w:tr w:rsidR="00CB26D7" w:rsidRPr="00CD38EA" w14:paraId="29B68C22" w14:textId="77777777" w:rsidTr="000E140E">
        <w:trPr>
          <w:trHeight w:val="324"/>
          <w:tblCellSpacing w:w="0" w:type="dxa"/>
        </w:trPr>
        <w:tc>
          <w:tcPr>
            <w:tcW w:w="5403" w:type="dxa"/>
            <w:hideMark/>
          </w:tcPr>
          <w:p w14:paraId="317E048B" w14:textId="77777777" w:rsidR="00CB26D7" w:rsidRPr="00CD38EA" w:rsidRDefault="00CB26D7" w:rsidP="000E140E">
            <w:pPr>
              <w:spacing w:before="100" w:beforeAutospacing="1" w:after="100" w:afterAutospacing="1" w:line="240" w:lineRule="auto"/>
              <w:ind w:firstLine="439"/>
              <w:rPr>
                <w:rFonts w:eastAsia="Times New Roman" w:cs="Tahoma"/>
                <w:lang w:val="en-PH" w:eastAsia="en-PH"/>
              </w:rPr>
            </w:pPr>
            <w:r w:rsidRPr="00CD38EA">
              <w:rPr>
                <w:rFonts w:eastAsia="Times New Roman" w:cs="Tahoma"/>
                <w:lang w:val="en-PH" w:eastAsia="en-PH"/>
              </w:rPr>
              <w:t>One device</w:t>
            </w:r>
          </w:p>
        </w:tc>
        <w:tc>
          <w:tcPr>
            <w:tcW w:w="1080" w:type="dxa"/>
            <w:hideMark/>
          </w:tcPr>
          <w:p w14:paraId="4A81045D" w14:textId="77777777" w:rsidR="00CB26D7" w:rsidRPr="00CD38EA" w:rsidRDefault="00CB26D7" w:rsidP="000E140E">
            <w:pPr>
              <w:spacing w:before="100" w:beforeAutospacing="1" w:after="100" w:afterAutospacing="1" w:line="240" w:lineRule="auto"/>
              <w:jc w:val="center"/>
              <w:rPr>
                <w:rFonts w:eastAsia="Times New Roman" w:cs="Tahoma"/>
                <w:lang w:val="en-PH" w:eastAsia="en-PH"/>
              </w:rPr>
            </w:pPr>
            <w:r w:rsidRPr="00CD38EA">
              <w:rPr>
                <w:rFonts w:eastAsia="Times New Roman" w:cs="Tahoma"/>
                <w:lang w:val="en-PH" w:eastAsia="en-PH"/>
              </w:rPr>
              <w:t>111</w:t>
            </w:r>
          </w:p>
        </w:tc>
        <w:tc>
          <w:tcPr>
            <w:tcW w:w="1347" w:type="dxa"/>
            <w:hideMark/>
          </w:tcPr>
          <w:p w14:paraId="529142A5" w14:textId="77777777" w:rsidR="00CB26D7" w:rsidRPr="00CD38EA" w:rsidRDefault="00CB26D7" w:rsidP="000E140E">
            <w:pPr>
              <w:spacing w:before="100" w:beforeAutospacing="1" w:after="100" w:afterAutospacing="1" w:line="240" w:lineRule="auto"/>
              <w:jc w:val="center"/>
              <w:rPr>
                <w:rFonts w:eastAsia="Times New Roman" w:cs="Tahoma"/>
                <w:lang w:val="en-PH" w:eastAsia="en-PH"/>
              </w:rPr>
            </w:pPr>
            <w:r w:rsidRPr="00CD38EA">
              <w:rPr>
                <w:rFonts w:eastAsia="Times New Roman" w:cs="Tahoma"/>
                <w:lang w:val="en-PH" w:eastAsia="en-PH"/>
              </w:rPr>
              <w:t>27.1</w:t>
            </w:r>
          </w:p>
        </w:tc>
      </w:tr>
      <w:tr w:rsidR="00CB26D7" w:rsidRPr="00CD38EA" w14:paraId="6C9704DC" w14:textId="77777777" w:rsidTr="000E140E">
        <w:trPr>
          <w:trHeight w:val="324"/>
          <w:tblCellSpacing w:w="0" w:type="dxa"/>
        </w:trPr>
        <w:tc>
          <w:tcPr>
            <w:tcW w:w="5403" w:type="dxa"/>
            <w:hideMark/>
          </w:tcPr>
          <w:p w14:paraId="5B2AC62C" w14:textId="77777777" w:rsidR="00CB26D7" w:rsidRPr="00CD38EA" w:rsidRDefault="00CB26D7" w:rsidP="000E140E">
            <w:pPr>
              <w:spacing w:before="100" w:beforeAutospacing="1" w:after="100" w:afterAutospacing="1" w:line="240" w:lineRule="auto"/>
              <w:ind w:firstLine="439"/>
              <w:rPr>
                <w:rFonts w:eastAsia="Times New Roman" w:cs="Tahoma"/>
                <w:lang w:val="en-PH" w:eastAsia="en-PH"/>
              </w:rPr>
            </w:pPr>
            <w:r w:rsidRPr="00CD38EA">
              <w:rPr>
                <w:rFonts w:eastAsia="Times New Roman" w:cs="Tahoma"/>
                <w:lang w:val="en-PH" w:eastAsia="en-PH"/>
              </w:rPr>
              <w:t>Two devices</w:t>
            </w:r>
          </w:p>
        </w:tc>
        <w:tc>
          <w:tcPr>
            <w:tcW w:w="1080" w:type="dxa"/>
            <w:hideMark/>
          </w:tcPr>
          <w:p w14:paraId="13016D50" w14:textId="77777777" w:rsidR="00CB26D7" w:rsidRPr="00CD38EA" w:rsidRDefault="00CB26D7" w:rsidP="000E140E">
            <w:pPr>
              <w:spacing w:before="100" w:beforeAutospacing="1" w:after="100" w:afterAutospacing="1" w:line="240" w:lineRule="auto"/>
              <w:jc w:val="center"/>
              <w:rPr>
                <w:rFonts w:eastAsia="Times New Roman" w:cs="Tahoma"/>
                <w:lang w:val="en-PH" w:eastAsia="en-PH"/>
              </w:rPr>
            </w:pPr>
            <w:r w:rsidRPr="00CD38EA">
              <w:rPr>
                <w:rFonts w:eastAsia="Times New Roman" w:cs="Tahoma"/>
                <w:lang w:val="en-PH" w:eastAsia="en-PH"/>
              </w:rPr>
              <w:t>260</w:t>
            </w:r>
          </w:p>
        </w:tc>
        <w:tc>
          <w:tcPr>
            <w:tcW w:w="1347" w:type="dxa"/>
            <w:hideMark/>
          </w:tcPr>
          <w:p w14:paraId="38CB5C0C" w14:textId="77777777" w:rsidR="00CB26D7" w:rsidRPr="00CD38EA" w:rsidRDefault="00CB26D7" w:rsidP="000E140E">
            <w:pPr>
              <w:spacing w:before="100" w:beforeAutospacing="1" w:after="100" w:afterAutospacing="1" w:line="240" w:lineRule="auto"/>
              <w:jc w:val="center"/>
              <w:rPr>
                <w:rFonts w:eastAsia="Times New Roman" w:cs="Tahoma"/>
                <w:lang w:val="en-PH" w:eastAsia="en-PH"/>
              </w:rPr>
            </w:pPr>
            <w:r w:rsidRPr="00CD38EA">
              <w:rPr>
                <w:rFonts w:eastAsia="Times New Roman" w:cs="Tahoma"/>
                <w:lang w:val="en-PH" w:eastAsia="en-PH"/>
              </w:rPr>
              <w:t>63.6 </w:t>
            </w:r>
          </w:p>
        </w:tc>
      </w:tr>
      <w:tr w:rsidR="00CB26D7" w:rsidRPr="00CD38EA" w14:paraId="1C09CF87" w14:textId="77777777" w:rsidTr="000E140E">
        <w:trPr>
          <w:trHeight w:val="324"/>
          <w:tblCellSpacing w:w="0" w:type="dxa"/>
        </w:trPr>
        <w:tc>
          <w:tcPr>
            <w:tcW w:w="5403" w:type="dxa"/>
            <w:hideMark/>
          </w:tcPr>
          <w:p w14:paraId="78A25737" w14:textId="77777777" w:rsidR="00CB26D7" w:rsidRPr="00CD38EA" w:rsidRDefault="00CB26D7" w:rsidP="000E140E">
            <w:pPr>
              <w:spacing w:before="100" w:beforeAutospacing="1" w:after="100" w:afterAutospacing="1" w:line="240" w:lineRule="auto"/>
              <w:ind w:firstLine="439"/>
              <w:rPr>
                <w:rFonts w:eastAsia="Times New Roman" w:cs="Tahoma"/>
                <w:lang w:val="en-PH" w:eastAsia="en-PH"/>
              </w:rPr>
            </w:pPr>
            <w:r w:rsidRPr="00CD38EA">
              <w:rPr>
                <w:rFonts w:eastAsia="Times New Roman" w:cs="Tahoma"/>
                <w:lang w:val="en-PH" w:eastAsia="en-PH"/>
              </w:rPr>
              <w:t>Three or more devices</w:t>
            </w:r>
          </w:p>
        </w:tc>
        <w:tc>
          <w:tcPr>
            <w:tcW w:w="1080" w:type="dxa"/>
            <w:hideMark/>
          </w:tcPr>
          <w:p w14:paraId="06F8DD62" w14:textId="77777777" w:rsidR="00CB26D7" w:rsidRPr="00CD38EA" w:rsidRDefault="00CB26D7" w:rsidP="000E140E">
            <w:pPr>
              <w:spacing w:before="100" w:beforeAutospacing="1" w:after="100" w:afterAutospacing="1" w:line="240" w:lineRule="auto"/>
              <w:jc w:val="center"/>
              <w:rPr>
                <w:rFonts w:eastAsia="Times New Roman" w:cs="Tahoma"/>
                <w:lang w:val="en-PH" w:eastAsia="en-PH"/>
              </w:rPr>
            </w:pPr>
            <w:r w:rsidRPr="00CD38EA">
              <w:rPr>
                <w:rFonts w:eastAsia="Times New Roman" w:cs="Tahoma"/>
                <w:lang w:val="en-PH" w:eastAsia="en-PH"/>
              </w:rPr>
              <w:t>38</w:t>
            </w:r>
          </w:p>
        </w:tc>
        <w:tc>
          <w:tcPr>
            <w:tcW w:w="1347" w:type="dxa"/>
            <w:hideMark/>
          </w:tcPr>
          <w:p w14:paraId="1451AA95" w14:textId="77777777" w:rsidR="00CB26D7" w:rsidRPr="00CD38EA" w:rsidRDefault="00CB26D7" w:rsidP="000E140E">
            <w:pPr>
              <w:spacing w:before="100" w:beforeAutospacing="1" w:after="100" w:afterAutospacing="1" w:line="240" w:lineRule="auto"/>
              <w:jc w:val="center"/>
              <w:rPr>
                <w:rFonts w:eastAsia="Times New Roman" w:cs="Tahoma"/>
                <w:lang w:val="en-PH" w:eastAsia="en-PH"/>
              </w:rPr>
            </w:pPr>
            <w:r w:rsidRPr="00CD38EA">
              <w:rPr>
                <w:rFonts w:eastAsia="Times New Roman" w:cs="Tahoma"/>
                <w:lang w:val="en-PH" w:eastAsia="en-PH"/>
              </w:rPr>
              <w:t>9.3 </w:t>
            </w:r>
          </w:p>
        </w:tc>
      </w:tr>
      <w:tr w:rsidR="00CB26D7" w:rsidRPr="00CD38EA" w14:paraId="08F1B965" w14:textId="77777777" w:rsidTr="000E140E">
        <w:trPr>
          <w:trHeight w:val="324"/>
          <w:tblCellSpacing w:w="0" w:type="dxa"/>
        </w:trPr>
        <w:tc>
          <w:tcPr>
            <w:tcW w:w="5403" w:type="dxa"/>
            <w:hideMark/>
          </w:tcPr>
          <w:p w14:paraId="3F6B26C4" w14:textId="77777777" w:rsidR="00CB26D7" w:rsidRPr="00CD38EA" w:rsidRDefault="00CB26D7" w:rsidP="000E140E">
            <w:pPr>
              <w:spacing w:before="100" w:beforeAutospacing="1" w:after="100" w:afterAutospacing="1" w:line="240" w:lineRule="auto"/>
              <w:rPr>
                <w:rFonts w:eastAsia="Times New Roman" w:cs="Tahoma"/>
                <w:lang w:val="en-PH" w:eastAsia="en-PH"/>
              </w:rPr>
            </w:pPr>
            <w:r w:rsidRPr="00CD38EA">
              <w:rPr>
                <w:rFonts w:eastAsia="Times New Roman" w:cs="Tahoma"/>
                <w:lang w:val="en-PH" w:eastAsia="en-PH"/>
              </w:rPr>
              <w:t>Personal space for online learning</w:t>
            </w:r>
          </w:p>
        </w:tc>
        <w:tc>
          <w:tcPr>
            <w:tcW w:w="1080" w:type="dxa"/>
            <w:hideMark/>
          </w:tcPr>
          <w:p w14:paraId="0CBAF3F0" w14:textId="77777777" w:rsidR="00CB26D7" w:rsidRPr="00CD38EA" w:rsidRDefault="00CB26D7" w:rsidP="000E140E">
            <w:pPr>
              <w:spacing w:before="100" w:beforeAutospacing="1" w:after="100" w:afterAutospacing="1" w:line="240" w:lineRule="auto"/>
              <w:jc w:val="center"/>
              <w:rPr>
                <w:rFonts w:eastAsia="Times New Roman" w:cs="Tahoma"/>
                <w:lang w:val="en-PH" w:eastAsia="en-PH"/>
              </w:rPr>
            </w:pPr>
          </w:p>
        </w:tc>
        <w:tc>
          <w:tcPr>
            <w:tcW w:w="1347" w:type="dxa"/>
            <w:hideMark/>
          </w:tcPr>
          <w:p w14:paraId="7B2D03A5" w14:textId="77777777" w:rsidR="00CB26D7" w:rsidRPr="00CD38EA" w:rsidRDefault="00CB26D7" w:rsidP="000E140E">
            <w:pPr>
              <w:spacing w:before="100" w:beforeAutospacing="1" w:after="100" w:afterAutospacing="1" w:line="240" w:lineRule="auto"/>
              <w:jc w:val="center"/>
              <w:rPr>
                <w:rFonts w:eastAsia="Times New Roman" w:cs="Tahoma"/>
                <w:lang w:val="en-PH" w:eastAsia="en-PH"/>
              </w:rPr>
            </w:pPr>
          </w:p>
        </w:tc>
      </w:tr>
      <w:tr w:rsidR="00CB26D7" w:rsidRPr="00CD38EA" w14:paraId="3973E157" w14:textId="77777777" w:rsidTr="000E140E">
        <w:trPr>
          <w:trHeight w:val="324"/>
          <w:tblCellSpacing w:w="0" w:type="dxa"/>
        </w:trPr>
        <w:tc>
          <w:tcPr>
            <w:tcW w:w="5403" w:type="dxa"/>
            <w:hideMark/>
          </w:tcPr>
          <w:p w14:paraId="3C621343" w14:textId="77777777" w:rsidR="00CB26D7" w:rsidRPr="00CD38EA" w:rsidRDefault="00CB26D7" w:rsidP="000E140E">
            <w:pPr>
              <w:spacing w:before="100" w:beforeAutospacing="1" w:after="100" w:afterAutospacing="1" w:line="240" w:lineRule="auto"/>
              <w:ind w:firstLine="439"/>
              <w:rPr>
                <w:rFonts w:eastAsia="Times New Roman" w:cs="Tahoma"/>
                <w:lang w:val="en-PH" w:eastAsia="en-PH"/>
              </w:rPr>
            </w:pPr>
            <w:r w:rsidRPr="00CD38EA">
              <w:rPr>
                <w:rFonts w:eastAsia="Times New Roman" w:cs="Tahoma"/>
                <w:lang w:val="en-PH" w:eastAsia="en-PH"/>
              </w:rPr>
              <w:t>With personal space</w:t>
            </w:r>
          </w:p>
        </w:tc>
        <w:tc>
          <w:tcPr>
            <w:tcW w:w="1080" w:type="dxa"/>
            <w:hideMark/>
          </w:tcPr>
          <w:p w14:paraId="1989B454" w14:textId="77777777" w:rsidR="00CB26D7" w:rsidRPr="00CD38EA" w:rsidRDefault="00CB26D7" w:rsidP="000E140E">
            <w:pPr>
              <w:spacing w:before="100" w:beforeAutospacing="1" w:after="100" w:afterAutospacing="1" w:line="240" w:lineRule="auto"/>
              <w:jc w:val="center"/>
              <w:rPr>
                <w:rFonts w:eastAsia="Times New Roman" w:cs="Tahoma"/>
                <w:lang w:val="en-PH" w:eastAsia="en-PH"/>
              </w:rPr>
            </w:pPr>
            <w:r w:rsidRPr="00CD38EA">
              <w:rPr>
                <w:rFonts w:eastAsia="Times New Roman" w:cs="Tahoma"/>
                <w:lang w:val="en-PH" w:eastAsia="en-PH"/>
              </w:rPr>
              <w:t>305</w:t>
            </w:r>
          </w:p>
        </w:tc>
        <w:tc>
          <w:tcPr>
            <w:tcW w:w="1347" w:type="dxa"/>
            <w:hideMark/>
          </w:tcPr>
          <w:p w14:paraId="52D7BCD4" w14:textId="77777777" w:rsidR="00CB26D7" w:rsidRPr="00CD38EA" w:rsidRDefault="00CB26D7" w:rsidP="000E140E">
            <w:pPr>
              <w:spacing w:before="100" w:beforeAutospacing="1" w:after="100" w:afterAutospacing="1" w:line="240" w:lineRule="auto"/>
              <w:jc w:val="center"/>
              <w:rPr>
                <w:rFonts w:eastAsia="Times New Roman" w:cs="Tahoma"/>
                <w:lang w:val="en-PH" w:eastAsia="en-PH"/>
              </w:rPr>
            </w:pPr>
            <w:r w:rsidRPr="00CD38EA">
              <w:rPr>
                <w:rFonts w:eastAsia="Times New Roman" w:cs="Tahoma"/>
                <w:lang w:val="en-PH" w:eastAsia="en-PH"/>
              </w:rPr>
              <w:t>74.6 </w:t>
            </w:r>
          </w:p>
        </w:tc>
      </w:tr>
      <w:tr w:rsidR="00CB26D7" w:rsidRPr="00CD38EA" w14:paraId="328A50A1" w14:textId="77777777" w:rsidTr="000E140E">
        <w:trPr>
          <w:trHeight w:val="324"/>
          <w:tblCellSpacing w:w="0" w:type="dxa"/>
        </w:trPr>
        <w:tc>
          <w:tcPr>
            <w:tcW w:w="5403" w:type="dxa"/>
            <w:hideMark/>
          </w:tcPr>
          <w:p w14:paraId="2D9895A8" w14:textId="77777777" w:rsidR="00CB26D7" w:rsidRPr="00CD38EA" w:rsidRDefault="00CB26D7" w:rsidP="000E140E">
            <w:pPr>
              <w:spacing w:before="100" w:beforeAutospacing="1" w:after="100" w:afterAutospacing="1" w:line="240" w:lineRule="auto"/>
              <w:ind w:firstLine="439"/>
              <w:rPr>
                <w:rFonts w:eastAsia="Times New Roman" w:cs="Tahoma"/>
                <w:lang w:val="en-PH" w:eastAsia="en-PH"/>
              </w:rPr>
            </w:pPr>
            <w:r w:rsidRPr="00CD38EA">
              <w:rPr>
                <w:rFonts w:eastAsia="Times New Roman" w:cs="Tahoma"/>
                <w:lang w:val="en-PH" w:eastAsia="en-PH"/>
              </w:rPr>
              <w:t>Without personal space</w:t>
            </w:r>
          </w:p>
        </w:tc>
        <w:tc>
          <w:tcPr>
            <w:tcW w:w="1080" w:type="dxa"/>
            <w:hideMark/>
          </w:tcPr>
          <w:p w14:paraId="51B219B5" w14:textId="77777777" w:rsidR="00CB26D7" w:rsidRPr="00CD38EA" w:rsidRDefault="00CB26D7" w:rsidP="000E140E">
            <w:pPr>
              <w:spacing w:before="100" w:beforeAutospacing="1" w:after="100" w:afterAutospacing="1" w:line="240" w:lineRule="auto"/>
              <w:jc w:val="center"/>
              <w:rPr>
                <w:rFonts w:eastAsia="Times New Roman" w:cs="Tahoma"/>
                <w:lang w:val="en-PH" w:eastAsia="en-PH"/>
              </w:rPr>
            </w:pPr>
            <w:r w:rsidRPr="00CD38EA">
              <w:rPr>
                <w:rFonts w:eastAsia="Times New Roman" w:cs="Tahoma"/>
                <w:lang w:val="en-PH" w:eastAsia="en-PH"/>
              </w:rPr>
              <w:t>104</w:t>
            </w:r>
          </w:p>
        </w:tc>
        <w:tc>
          <w:tcPr>
            <w:tcW w:w="1347" w:type="dxa"/>
            <w:hideMark/>
          </w:tcPr>
          <w:p w14:paraId="38912020" w14:textId="77777777" w:rsidR="00CB26D7" w:rsidRPr="00CD38EA" w:rsidRDefault="00CB26D7" w:rsidP="000E140E">
            <w:pPr>
              <w:spacing w:before="100" w:beforeAutospacing="1" w:after="100" w:afterAutospacing="1" w:line="240" w:lineRule="auto"/>
              <w:jc w:val="center"/>
              <w:rPr>
                <w:rFonts w:eastAsia="Times New Roman" w:cs="Tahoma"/>
                <w:lang w:val="en-PH" w:eastAsia="en-PH"/>
              </w:rPr>
            </w:pPr>
            <w:r w:rsidRPr="00CD38EA">
              <w:rPr>
                <w:rFonts w:eastAsia="Times New Roman" w:cs="Tahoma"/>
                <w:lang w:val="en-PH" w:eastAsia="en-PH"/>
              </w:rPr>
              <w:t>25.4 </w:t>
            </w:r>
          </w:p>
        </w:tc>
      </w:tr>
      <w:tr w:rsidR="00CB26D7" w:rsidRPr="00CD38EA" w14:paraId="6F729404" w14:textId="77777777" w:rsidTr="000E140E">
        <w:trPr>
          <w:trHeight w:val="324"/>
          <w:tblCellSpacing w:w="0" w:type="dxa"/>
        </w:trPr>
        <w:tc>
          <w:tcPr>
            <w:tcW w:w="7830" w:type="dxa"/>
            <w:gridSpan w:val="3"/>
            <w:hideMark/>
          </w:tcPr>
          <w:p w14:paraId="7F4404A1" w14:textId="77777777" w:rsidR="00CB26D7" w:rsidRPr="00CD38EA" w:rsidRDefault="00CB26D7" w:rsidP="000E140E">
            <w:pPr>
              <w:spacing w:before="100" w:beforeAutospacing="1" w:after="100" w:afterAutospacing="1" w:line="240" w:lineRule="auto"/>
              <w:rPr>
                <w:rFonts w:eastAsia="Times New Roman" w:cs="Tahoma"/>
                <w:lang w:val="en-PH" w:eastAsia="en-PH"/>
              </w:rPr>
            </w:pPr>
            <w:r w:rsidRPr="00CD38EA">
              <w:rPr>
                <w:rFonts w:eastAsia="Times New Roman" w:cs="Tahoma"/>
                <w:lang w:val="en-PH" w:eastAsia="en-PH"/>
              </w:rPr>
              <w:t>Internet connection</w:t>
            </w:r>
          </w:p>
        </w:tc>
      </w:tr>
      <w:tr w:rsidR="00CB26D7" w:rsidRPr="00CD38EA" w14:paraId="768A6253" w14:textId="77777777" w:rsidTr="000E140E">
        <w:trPr>
          <w:trHeight w:val="324"/>
          <w:tblCellSpacing w:w="0" w:type="dxa"/>
        </w:trPr>
        <w:tc>
          <w:tcPr>
            <w:tcW w:w="5403" w:type="dxa"/>
            <w:hideMark/>
          </w:tcPr>
          <w:p w14:paraId="19A53D4A" w14:textId="77777777" w:rsidR="00CB26D7" w:rsidRPr="00CD38EA" w:rsidRDefault="00CB26D7" w:rsidP="000E140E">
            <w:pPr>
              <w:spacing w:before="100" w:beforeAutospacing="1" w:after="100" w:afterAutospacing="1" w:line="240" w:lineRule="auto"/>
              <w:ind w:firstLine="439"/>
              <w:rPr>
                <w:rFonts w:eastAsia="Times New Roman" w:cs="Tahoma"/>
                <w:lang w:val="en-PH" w:eastAsia="en-PH"/>
              </w:rPr>
            </w:pPr>
            <w:r w:rsidRPr="00CD38EA">
              <w:rPr>
                <w:rFonts w:eastAsia="Times New Roman" w:cs="Tahoma"/>
                <w:lang w:val="en-PH" w:eastAsia="en-PH"/>
              </w:rPr>
              <w:t>Very slow</w:t>
            </w:r>
          </w:p>
        </w:tc>
        <w:tc>
          <w:tcPr>
            <w:tcW w:w="1080" w:type="dxa"/>
            <w:hideMark/>
          </w:tcPr>
          <w:p w14:paraId="732CFFA5" w14:textId="77777777" w:rsidR="00CB26D7" w:rsidRPr="00CD38EA" w:rsidRDefault="00CB26D7" w:rsidP="000E140E">
            <w:pPr>
              <w:spacing w:before="100" w:beforeAutospacing="1" w:after="100" w:afterAutospacing="1" w:line="240" w:lineRule="auto"/>
              <w:jc w:val="center"/>
              <w:rPr>
                <w:rFonts w:eastAsia="Times New Roman" w:cs="Tahoma"/>
                <w:lang w:val="en-PH" w:eastAsia="en-PH"/>
              </w:rPr>
            </w:pPr>
            <w:r w:rsidRPr="00CD38EA">
              <w:rPr>
                <w:rFonts w:eastAsia="Times New Roman" w:cs="Tahoma"/>
                <w:lang w:val="en-PH" w:eastAsia="en-PH"/>
              </w:rPr>
              <w:t>7</w:t>
            </w:r>
          </w:p>
        </w:tc>
        <w:tc>
          <w:tcPr>
            <w:tcW w:w="1347" w:type="dxa"/>
            <w:hideMark/>
          </w:tcPr>
          <w:p w14:paraId="20584CE3" w14:textId="77777777" w:rsidR="00CB26D7" w:rsidRPr="00CD38EA" w:rsidRDefault="00CB26D7" w:rsidP="000E140E">
            <w:pPr>
              <w:spacing w:before="100" w:beforeAutospacing="1" w:after="100" w:afterAutospacing="1" w:line="240" w:lineRule="auto"/>
              <w:jc w:val="center"/>
              <w:rPr>
                <w:rFonts w:eastAsia="Times New Roman" w:cs="Tahoma"/>
                <w:lang w:val="en-PH" w:eastAsia="en-PH"/>
              </w:rPr>
            </w:pPr>
            <w:r w:rsidRPr="00CD38EA">
              <w:rPr>
                <w:rFonts w:eastAsia="Times New Roman" w:cs="Tahoma"/>
                <w:lang w:val="en-PH" w:eastAsia="en-PH"/>
              </w:rPr>
              <w:t>1.7 </w:t>
            </w:r>
          </w:p>
        </w:tc>
      </w:tr>
      <w:tr w:rsidR="00CB26D7" w:rsidRPr="00CD38EA" w14:paraId="72D72814" w14:textId="77777777" w:rsidTr="000E140E">
        <w:trPr>
          <w:trHeight w:val="324"/>
          <w:tblCellSpacing w:w="0" w:type="dxa"/>
        </w:trPr>
        <w:tc>
          <w:tcPr>
            <w:tcW w:w="5403" w:type="dxa"/>
            <w:hideMark/>
          </w:tcPr>
          <w:p w14:paraId="35EAFD65" w14:textId="77777777" w:rsidR="00CB26D7" w:rsidRPr="00CD38EA" w:rsidRDefault="00CB26D7" w:rsidP="000E140E">
            <w:pPr>
              <w:spacing w:before="100" w:beforeAutospacing="1" w:after="100" w:afterAutospacing="1" w:line="240" w:lineRule="auto"/>
              <w:ind w:firstLine="439"/>
              <w:rPr>
                <w:rFonts w:eastAsia="Times New Roman" w:cs="Tahoma"/>
                <w:lang w:val="en-PH" w:eastAsia="en-PH"/>
              </w:rPr>
            </w:pPr>
            <w:r w:rsidRPr="00CD38EA">
              <w:rPr>
                <w:rFonts w:eastAsia="Times New Roman" w:cs="Tahoma"/>
                <w:lang w:val="en-PH" w:eastAsia="en-PH"/>
              </w:rPr>
              <w:t>Slow</w:t>
            </w:r>
          </w:p>
        </w:tc>
        <w:tc>
          <w:tcPr>
            <w:tcW w:w="1080" w:type="dxa"/>
            <w:hideMark/>
          </w:tcPr>
          <w:p w14:paraId="1307CD42" w14:textId="77777777" w:rsidR="00CB26D7" w:rsidRPr="00CD38EA" w:rsidRDefault="00CB26D7" w:rsidP="000E140E">
            <w:pPr>
              <w:spacing w:before="100" w:beforeAutospacing="1" w:after="100" w:afterAutospacing="1" w:line="240" w:lineRule="auto"/>
              <w:jc w:val="center"/>
              <w:rPr>
                <w:rFonts w:eastAsia="Times New Roman" w:cs="Tahoma"/>
                <w:lang w:val="en-PH" w:eastAsia="en-PH"/>
              </w:rPr>
            </w:pPr>
            <w:r w:rsidRPr="00CD38EA">
              <w:rPr>
                <w:rFonts w:eastAsia="Times New Roman" w:cs="Tahoma"/>
                <w:lang w:val="en-PH" w:eastAsia="en-PH"/>
              </w:rPr>
              <w:t>22</w:t>
            </w:r>
          </w:p>
        </w:tc>
        <w:tc>
          <w:tcPr>
            <w:tcW w:w="1347" w:type="dxa"/>
            <w:hideMark/>
          </w:tcPr>
          <w:p w14:paraId="2D5A0DFB" w14:textId="77777777" w:rsidR="00CB26D7" w:rsidRPr="00CD38EA" w:rsidRDefault="00CB26D7" w:rsidP="000E140E">
            <w:pPr>
              <w:spacing w:before="100" w:beforeAutospacing="1" w:after="100" w:afterAutospacing="1" w:line="240" w:lineRule="auto"/>
              <w:jc w:val="center"/>
              <w:rPr>
                <w:rFonts w:eastAsia="Times New Roman" w:cs="Tahoma"/>
                <w:lang w:val="en-PH" w:eastAsia="en-PH"/>
              </w:rPr>
            </w:pPr>
            <w:r w:rsidRPr="00CD38EA">
              <w:rPr>
                <w:rFonts w:eastAsia="Times New Roman" w:cs="Tahoma"/>
                <w:lang w:val="en-PH" w:eastAsia="en-PH"/>
              </w:rPr>
              <w:t>5.4 </w:t>
            </w:r>
          </w:p>
        </w:tc>
      </w:tr>
      <w:tr w:rsidR="00CB26D7" w:rsidRPr="00CD38EA" w14:paraId="4B7BC07B" w14:textId="77777777" w:rsidTr="000E140E">
        <w:trPr>
          <w:trHeight w:val="324"/>
          <w:tblCellSpacing w:w="0" w:type="dxa"/>
        </w:trPr>
        <w:tc>
          <w:tcPr>
            <w:tcW w:w="5403" w:type="dxa"/>
            <w:hideMark/>
          </w:tcPr>
          <w:p w14:paraId="4329758F" w14:textId="77777777" w:rsidR="00CB26D7" w:rsidRPr="00CD38EA" w:rsidRDefault="00CB26D7" w:rsidP="000E140E">
            <w:pPr>
              <w:spacing w:before="100" w:beforeAutospacing="1" w:after="100" w:afterAutospacing="1" w:line="240" w:lineRule="auto"/>
              <w:ind w:firstLine="439"/>
              <w:rPr>
                <w:rFonts w:eastAsia="Times New Roman" w:cs="Tahoma"/>
                <w:lang w:val="en-PH" w:eastAsia="en-PH"/>
              </w:rPr>
            </w:pPr>
            <w:r w:rsidRPr="00CD38EA">
              <w:rPr>
                <w:rFonts w:eastAsia="Times New Roman" w:cs="Tahoma"/>
                <w:lang w:val="en-PH" w:eastAsia="en-PH"/>
              </w:rPr>
              <w:t>Sometimes fast, sometimes slow</w:t>
            </w:r>
          </w:p>
        </w:tc>
        <w:tc>
          <w:tcPr>
            <w:tcW w:w="1080" w:type="dxa"/>
            <w:hideMark/>
          </w:tcPr>
          <w:p w14:paraId="288FD72D" w14:textId="77777777" w:rsidR="00CB26D7" w:rsidRPr="00CD38EA" w:rsidRDefault="00CB26D7" w:rsidP="000E140E">
            <w:pPr>
              <w:spacing w:before="100" w:beforeAutospacing="1" w:after="100" w:afterAutospacing="1" w:line="240" w:lineRule="auto"/>
              <w:jc w:val="center"/>
              <w:rPr>
                <w:rFonts w:eastAsia="Times New Roman" w:cs="Tahoma"/>
                <w:lang w:val="en-PH" w:eastAsia="en-PH"/>
              </w:rPr>
            </w:pPr>
            <w:r w:rsidRPr="00CD38EA">
              <w:rPr>
                <w:rFonts w:eastAsia="Times New Roman" w:cs="Tahoma"/>
                <w:lang w:val="en-PH" w:eastAsia="en-PH"/>
              </w:rPr>
              <w:t>334</w:t>
            </w:r>
          </w:p>
        </w:tc>
        <w:tc>
          <w:tcPr>
            <w:tcW w:w="1347" w:type="dxa"/>
            <w:hideMark/>
          </w:tcPr>
          <w:p w14:paraId="313EA63A" w14:textId="77777777" w:rsidR="00CB26D7" w:rsidRPr="00CD38EA" w:rsidRDefault="00CB26D7" w:rsidP="000E140E">
            <w:pPr>
              <w:spacing w:before="100" w:beforeAutospacing="1" w:after="100" w:afterAutospacing="1" w:line="240" w:lineRule="auto"/>
              <w:jc w:val="center"/>
              <w:rPr>
                <w:rFonts w:eastAsia="Times New Roman" w:cs="Tahoma"/>
                <w:lang w:val="en-PH" w:eastAsia="en-PH"/>
              </w:rPr>
            </w:pPr>
            <w:r w:rsidRPr="00CD38EA">
              <w:rPr>
                <w:rFonts w:eastAsia="Times New Roman" w:cs="Tahoma"/>
                <w:lang w:val="en-PH" w:eastAsia="en-PH"/>
              </w:rPr>
              <w:t>81.7 </w:t>
            </w:r>
          </w:p>
        </w:tc>
      </w:tr>
      <w:tr w:rsidR="00CB26D7" w:rsidRPr="00CD38EA" w14:paraId="0D83E1C8" w14:textId="77777777" w:rsidTr="000E140E">
        <w:trPr>
          <w:trHeight w:val="324"/>
          <w:tblCellSpacing w:w="0" w:type="dxa"/>
        </w:trPr>
        <w:tc>
          <w:tcPr>
            <w:tcW w:w="5403" w:type="dxa"/>
            <w:hideMark/>
          </w:tcPr>
          <w:p w14:paraId="65941E7A" w14:textId="77777777" w:rsidR="00CB26D7" w:rsidRPr="00CD38EA" w:rsidRDefault="00CB26D7" w:rsidP="000E140E">
            <w:pPr>
              <w:spacing w:before="100" w:beforeAutospacing="1" w:after="100" w:afterAutospacing="1" w:line="240" w:lineRule="auto"/>
              <w:ind w:firstLine="439"/>
              <w:rPr>
                <w:rFonts w:eastAsia="Times New Roman" w:cs="Tahoma"/>
                <w:lang w:val="en-PH" w:eastAsia="en-PH"/>
              </w:rPr>
            </w:pPr>
            <w:r w:rsidRPr="00CD38EA">
              <w:rPr>
                <w:rFonts w:eastAsia="Times New Roman" w:cs="Tahoma"/>
                <w:lang w:val="en-PH" w:eastAsia="en-PH"/>
              </w:rPr>
              <w:t>Fast</w:t>
            </w:r>
          </w:p>
        </w:tc>
        <w:tc>
          <w:tcPr>
            <w:tcW w:w="1080" w:type="dxa"/>
            <w:hideMark/>
          </w:tcPr>
          <w:p w14:paraId="7E620875" w14:textId="77777777" w:rsidR="00CB26D7" w:rsidRPr="00CD38EA" w:rsidRDefault="00CB26D7" w:rsidP="000E140E">
            <w:pPr>
              <w:spacing w:before="100" w:beforeAutospacing="1" w:after="100" w:afterAutospacing="1" w:line="240" w:lineRule="auto"/>
              <w:jc w:val="center"/>
              <w:rPr>
                <w:rFonts w:eastAsia="Times New Roman" w:cs="Tahoma"/>
                <w:lang w:val="en-PH" w:eastAsia="en-PH"/>
              </w:rPr>
            </w:pPr>
            <w:r w:rsidRPr="00CD38EA">
              <w:rPr>
                <w:rFonts w:eastAsia="Times New Roman" w:cs="Tahoma"/>
                <w:lang w:val="en-PH" w:eastAsia="en-PH"/>
              </w:rPr>
              <w:t>40</w:t>
            </w:r>
          </w:p>
        </w:tc>
        <w:tc>
          <w:tcPr>
            <w:tcW w:w="1347" w:type="dxa"/>
            <w:hideMark/>
          </w:tcPr>
          <w:p w14:paraId="11EB5E0D" w14:textId="77777777" w:rsidR="00CB26D7" w:rsidRPr="00CD38EA" w:rsidRDefault="00CB26D7" w:rsidP="000E140E">
            <w:pPr>
              <w:spacing w:before="100" w:beforeAutospacing="1" w:after="100" w:afterAutospacing="1" w:line="240" w:lineRule="auto"/>
              <w:jc w:val="center"/>
              <w:rPr>
                <w:rFonts w:eastAsia="Times New Roman" w:cs="Tahoma"/>
                <w:lang w:val="en-PH" w:eastAsia="en-PH"/>
              </w:rPr>
            </w:pPr>
            <w:r w:rsidRPr="00CD38EA">
              <w:rPr>
                <w:rFonts w:eastAsia="Times New Roman" w:cs="Tahoma"/>
                <w:lang w:val="en-PH" w:eastAsia="en-PH"/>
              </w:rPr>
              <w:t>9.8 </w:t>
            </w:r>
          </w:p>
        </w:tc>
      </w:tr>
      <w:tr w:rsidR="00CB26D7" w:rsidRPr="00CD38EA" w14:paraId="0CE8D39C" w14:textId="77777777" w:rsidTr="000E140E">
        <w:trPr>
          <w:trHeight w:val="324"/>
          <w:tblCellSpacing w:w="0" w:type="dxa"/>
        </w:trPr>
        <w:tc>
          <w:tcPr>
            <w:tcW w:w="5403" w:type="dxa"/>
            <w:hideMark/>
          </w:tcPr>
          <w:p w14:paraId="17796CF5" w14:textId="77777777" w:rsidR="00CB26D7" w:rsidRPr="00CD38EA" w:rsidRDefault="00CB26D7" w:rsidP="000E140E">
            <w:pPr>
              <w:spacing w:before="100" w:beforeAutospacing="1" w:after="100" w:afterAutospacing="1" w:line="240" w:lineRule="auto"/>
              <w:ind w:firstLine="439"/>
              <w:rPr>
                <w:rFonts w:eastAsia="Times New Roman" w:cs="Tahoma"/>
                <w:lang w:val="en-PH" w:eastAsia="en-PH"/>
              </w:rPr>
            </w:pPr>
            <w:r w:rsidRPr="00CD38EA">
              <w:rPr>
                <w:rFonts w:eastAsia="Times New Roman" w:cs="Tahoma"/>
                <w:lang w:val="en-PH" w:eastAsia="en-PH"/>
              </w:rPr>
              <w:t>Very fast</w:t>
            </w:r>
          </w:p>
        </w:tc>
        <w:tc>
          <w:tcPr>
            <w:tcW w:w="1080" w:type="dxa"/>
            <w:hideMark/>
          </w:tcPr>
          <w:p w14:paraId="2855A86E" w14:textId="77777777" w:rsidR="00CB26D7" w:rsidRPr="00CD38EA" w:rsidRDefault="00CB26D7" w:rsidP="000E140E">
            <w:pPr>
              <w:spacing w:before="100" w:beforeAutospacing="1" w:after="100" w:afterAutospacing="1" w:line="240" w:lineRule="auto"/>
              <w:jc w:val="center"/>
              <w:rPr>
                <w:rFonts w:eastAsia="Times New Roman" w:cs="Tahoma"/>
                <w:lang w:val="en-PH" w:eastAsia="en-PH"/>
              </w:rPr>
            </w:pPr>
            <w:r w:rsidRPr="00CD38EA">
              <w:rPr>
                <w:rFonts w:eastAsia="Times New Roman" w:cs="Tahoma"/>
                <w:lang w:val="en-PH" w:eastAsia="en-PH"/>
              </w:rPr>
              <w:t>6</w:t>
            </w:r>
          </w:p>
        </w:tc>
        <w:tc>
          <w:tcPr>
            <w:tcW w:w="1347" w:type="dxa"/>
            <w:hideMark/>
          </w:tcPr>
          <w:p w14:paraId="792B4AFD" w14:textId="77777777" w:rsidR="00CB26D7" w:rsidRPr="00CD38EA" w:rsidRDefault="00CB26D7" w:rsidP="000E140E">
            <w:pPr>
              <w:spacing w:before="100" w:beforeAutospacing="1" w:after="100" w:afterAutospacing="1" w:line="240" w:lineRule="auto"/>
              <w:jc w:val="center"/>
              <w:rPr>
                <w:rFonts w:eastAsia="Times New Roman" w:cs="Tahoma"/>
                <w:lang w:val="en-PH" w:eastAsia="en-PH"/>
              </w:rPr>
            </w:pPr>
            <w:r w:rsidRPr="00CD38EA">
              <w:rPr>
                <w:rFonts w:eastAsia="Times New Roman" w:cs="Tahoma"/>
                <w:lang w:val="en-PH" w:eastAsia="en-PH"/>
              </w:rPr>
              <w:t>1.5 </w:t>
            </w:r>
          </w:p>
        </w:tc>
      </w:tr>
      <w:tr w:rsidR="00CB26D7" w:rsidRPr="00CD38EA" w14:paraId="45757595" w14:textId="77777777" w:rsidTr="000E140E">
        <w:trPr>
          <w:trHeight w:val="324"/>
          <w:tblCellSpacing w:w="0" w:type="dxa"/>
        </w:trPr>
        <w:tc>
          <w:tcPr>
            <w:tcW w:w="7830" w:type="dxa"/>
            <w:gridSpan w:val="3"/>
            <w:hideMark/>
          </w:tcPr>
          <w:p w14:paraId="5B0AB959" w14:textId="77777777" w:rsidR="00CB26D7" w:rsidRPr="00CD38EA" w:rsidRDefault="00CB26D7" w:rsidP="000E140E">
            <w:pPr>
              <w:spacing w:before="100" w:beforeAutospacing="1" w:after="100" w:afterAutospacing="1" w:line="240" w:lineRule="auto"/>
              <w:rPr>
                <w:rFonts w:eastAsia="Times New Roman" w:cs="Tahoma"/>
                <w:lang w:val="en-PH" w:eastAsia="en-PH"/>
              </w:rPr>
            </w:pPr>
            <w:r w:rsidRPr="00CD38EA">
              <w:rPr>
                <w:rFonts w:eastAsia="Times New Roman" w:cs="Tahoma"/>
                <w:lang w:val="en-PH" w:eastAsia="en-PH"/>
              </w:rPr>
              <w:t>Perception of mathematics online learning</w:t>
            </w:r>
          </w:p>
        </w:tc>
      </w:tr>
      <w:tr w:rsidR="00CB26D7" w:rsidRPr="00CD38EA" w14:paraId="17F8D96F" w14:textId="77777777" w:rsidTr="000E140E">
        <w:trPr>
          <w:trHeight w:val="324"/>
          <w:tblCellSpacing w:w="0" w:type="dxa"/>
        </w:trPr>
        <w:tc>
          <w:tcPr>
            <w:tcW w:w="5403" w:type="dxa"/>
            <w:hideMark/>
          </w:tcPr>
          <w:p w14:paraId="462C9E55" w14:textId="77777777" w:rsidR="00CB26D7" w:rsidRPr="00CD38EA" w:rsidRDefault="00CB26D7" w:rsidP="000E140E">
            <w:pPr>
              <w:spacing w:before="100" w:beforeAutospacing="1" w:after="100" w:afterAutospacing="1" w:line="240" w:lineRule="auto"/>
              <w:ind w:firstLine="439"/>
              <w:rPr>
                <w:rFonts w:eastAsia="Times New Roman" w:cs="Tahoma"/>
                <w:lang w:val="en-PH" w:eastAsia="en-PH"/>
              </w:rPr>
            </w:pPr>
            <w:r w:rsidRPr="00CD38EA">
              <w:rPr>
                <w:rFonts w:eastAsia="Times New Roman" w:cs="Tahoma"/>
                <w:lang w:val="en-PH" w:eastAsia="en-PH"/>
              </w:rPr>
              <w:t>Harder than face-to-face</w:t>
            </w:r>
          </w:p>
        </w:tc>
        <w:tc>
          <w:tcPr>
            <w:tcW w:w="1080" w:type="dxa"/>
            <w:hideMark/>
          </w:tcPr>
          <w:p w14:paraId="38C30E7A" w14:textId="77777777" w:rsidR="00CB26D7" w:rsidRPr="00CD38EA" w:rsidRDefault="00CB26D7" w:rsidP="000E140E">
            <w:pPr>
              <w:spacing w:before="100" w:beforeAutospacing="1" w:after="100" w:afterAutospacing="1" w:line="240" w:lineRule="auto"/>
              <w:jc w:val="center"/>
              <w:rPr>
                <w:rFonts w:eastAsia="Times New Roman" w:cs="Tahoma"/>
                <w:lang w:val="en-PH" w:eastAsia="en-PH"/>
              </w:rPr>
            </w:pPr>
            <w:r w:rsidRPr="00CD38EA">
              <w:rPr>
                <w:rFonts w:eastAsia="Times New Roman" w:cs="Tahoma"/>
                <w:lang w:val="en-PH" w:eastAsia="en-PH"/>
              </w:rPr>
              <w:t>66</w:t>
            </w:r>
          </w:p>
        </w:tc>
        <w:tc>
          <w:tcPr>
            <w:tcW w:w="1347" w:type="dxa"/>
            <w:hideMark/>
          </w:tcPr>
          <w:p w14:paraId="2E0F31DE" w14:textId="77777777" w:rsidR="00CB26D7" w:rsidRPr="00CD38EA" w:rsidRDefault="00CB26D7" w:rsidP="000E140E">
            <w:pPr>
              <w:spacing w:before="100" w:beforeAutospacing="1" w:after="100" w:afterAutospacing="1" w:line="240" w:lineRule="auto"/>
              <w:jc w:val="center"/>
              <w:rPr>
                <w:rFonts w:eastAsia="Times New Roman" w:cs="Tahoma"/>
                <w:lang w:val="en-PH" w:eastAsia="en-PH"/>
              </w:rPr>
            </w:pPr>
            <w:r w:rsidRPr="00CD38EA">
              <w:rPr>
                <w:rFonts w:eastAsia="Times New Roman" w:cs="Tahoma"/>
                <w:lang w:val="en-PH" w:eastAsia="en-PH"/>
              </w:rPr>
              <w:t>16.1 </w:t>
            </w:r>
          </w:p>
        </w:tc>
      </w:tr>
      <w:tr w:rsidR="00CB26D7" w:rsidRPr="00CD38EA" w14:paraId="02011AD3" w14:textId="77777777" w:rsidTr="000E140E">
        <w:trPr>
          <w:trHeight w:val="324"/>
          <w:tblCellSpacing w:w="0" w:type="dxa"/>
        </w:trPr>
        <w:tc>
          <w:tcPr>
            <w:tcW w:w="5403" w:type="dxa"/>
            <w:hideMark/>
          </w:tcPr>
          <w:p w14:paraId="40BA2B40" w14:textId="77777777" w:rsidR="00CB26D7" w:rsidRPr="00CD38EA" w:rsidRDefault="00CB26D7" w:rsidP="000E140E">
            <w:pPr>
              <w:spacing w:before="100" w:beforeAutospacing="1" w:after="100" w:afterAutospacing="1" w:line="240" w:lineRule="auto"/>
              <w:ind w:firstLine="439"/>
              <w:rPr>
                <w:rFonts w:eastAsia="Times New Roman" w:cs="Tahoma"/>
                <w:lang w:val="en-PH" w:eastAsia="en-PH"/>
              </w:rPr>
            </w:pPr>
            <w:r w:rsidRPr="00CD38EA">
              <w:rPr>
                <w:rFonts w:eastAsia="Times New Roman" w:cs="Tahoma"/>
                <w:lang w:val="en-PH" w:eastAsia="en-PH"/>
              </w:rPr>
              <w:t>Easier than face-to-face</w:t>
            </w:r>
          </w:p>
        </w:tc>
        <w:tc>
          <w:tcPr>
            <w:tcW w:w="1080" w:type="dxa"/>
            <w:hideMark/>
          </w:tcPr>
          <w:p w14:paraId="411A0B5E" w14:textId="77777777" w:rsidR="00CB26D7" w:rsidRPr="00CD38EA" w:rsidRDefault="00CB26D7" w:rsidP="000E140E">
            <w:pPr>
              <w:spacing w:before="100" w:beforeAutospacing="1" w:after="100" w:afterAutospacing="1" w:line="240" w:lineRule="auto"/>
              <w:jc w:val="center"/>
              <w:rPr>
                <w:rFonts w:eastAsia="Times New Roman" w:cs="Tahoma"/>
                <w:lang w:val="en-PH" w:eastAsia="en-PH"/>
              </w:rPr>
            </w:pPr>
            <w:r w:rsidRPr="00CD38EA">
              <w:rPr>
                <w:rFonts w:eastAsia="Times New Roman" w:cs="Tahoma"/>
                <w:lang w:val="en-PH" w:eastAsia="en-PH"/>
              </w:rPr>
              <w:t>79</w:t>
            </w:r>
          </w:p>
        </w:tc>
        <w:tc>
          <w:tcPr>
            <w:tcW w:w="1347" w:type="dxa"/>
            <w:hideMark/>
          </w:tcPr>
          <w:p w14:paraId="1F32FC2D" w14:textId="77777777" w:rsidR="00CB26D7" w:rsidRPr="00CD38EA" w:rsidRDefault="00CB26D7" w:rsidP="000E140E">
            <w:pPr>
              <w:spacing w:before="100" w:beforeAutospacing="1" w:after="100" w:afterAutospacing="1" w:line="240" w:lineRule="auto"/>
              <w:jc w:val="center"/>
              <w:rPr>
                <w:rFonts w:eastAsia="Times New Roman" w:cs="Tahoma"/>
                <w:lang w:val="en-PH" w:eastAsia="en-PH"/>
              </w:rPr>
            </w:pPr>
            <w:r w:rsidRPr="00CD38EA">
              <w:rPr>
                <w:rFonts w:eastAsia="Times New Roman" w:cs="Tahoma"/>
                <w:lang w:val="en-PH" w:eastAsia="en-PH"/>
              </w:rPr>
              <w:t>19.3 </w:t>
            </w:r>
          </w:p>
        </w:tc>
      </w:tr>
      <w:tr w:rsidR="00CB26D7" w:rsidRPr="00CD38EA" w14:paraId="1DBE58EE" w14:textId="77777777" w:rsidTr="000E140E">
        <w:trPr>
          <w:trHeight w:val="351"/>
          <w:tblCellSpacing w:w="0" w:type="dxa"/>
        </w:trPr>
        <w:tc>
          <w:tcPr>
            <w:tcW w:w="5403" w:type="dxa"/>
            <w:hideMark/>
          </w:tcPr>
          <w:p w14:paraId="7F6EC746" w14:textId="77777777" w:rsidR="00CB26D7" w:rsidRPr="00CD38EA" w:rsidRDefault="00CB26D7" w:rsidP="000E140E">
            <w:pPr>
              <w:pStyle w:val="NoSpacing"/>
              <w:ind w:firstLine="439"/>
              <w:rPr>
                <w:rFonts w:ascii="Palatino Linotype" w:hAnsi="Palatino Linotype" w:cs="Tahoma"/>
                <w:sz w:val="20"/>
                <w:szCs w:val="20"/>
              </w:rPr>
            </w:pPr>
            <w:r w:rsidRPr="00CD38EA">
              <w:rPr>
                <w:rFonts w:ascii="Palatino Linotype" w:hAnsi="Palatino Linotype" w:cs="Tahoma"/>
                <w:sz w:val="20"/>
                <w:szCs w:val="20"/>
              </w:rPr>
              <w:t>About the same level of difficulty with face-to-face</w:t>
            </w:r>
          </w:p>
        </w:tc>
        <w:tc>
          <w:tcPr>
            <w:tcW w:w="1080" w:type="dxa"/>
            <w:hideMark/>
          </w:tcPr>
          <w:p w14:paraId="57DFB23B" w14:textId="77777777" w:rsidR="00CB26D7" w:rsidRPr="00CD38EA" w:rsidRDefault="00CB26D7" w:rsidP="000E140E">
            <w:pPr>
              <w:pStyle w:val="NoSpacing"/>
              <w:jc w:val="center"/>
              <w:rPr>
                <w:rFonts w:ascii="Palatino Linotype" w:hAnsi="Palatino Linotype" w:cs="Tahoma"/>
                <w:sz w:val="20"/>
                <w:szCs w:val="20"/>
              </w:rPr>
            </w:pPr>
            <w:r w:rsidRPr="00CD38EA">
              <w:rPr>
                <w:rFonts w:ascii="Palatino Linotype" w:hAnsi="Palatino Linotype" w:cs="Tahoma"/>
                <w:sz w:val="20"/>
                <w:szCs w:val="20"/>
              </w:rPr>
              <w:t>111</w:t>
            </w:r>
          </w:p>
        </w:tc>
        <w:tc>
          <w:tcPr>
            <w:tcW w:w="1347" w:type="dxa"/>
            <w:hideMark/>
          </w:tcPr>
          <w:p w14:paraId="3BC55E45" w14:textId="77777777" w:rsidR="00CB26D7" w:rsidRPr="00CD38EA" w:rsidRDefault="00CB26D7" w:rsidP="000E140E">
            <w:pPr>
              <w:pStyle w:val="NoSpacing"/>
              <w:jc w:val="center"/>
              <w:rPr>
                <w:rFonts w:ascii="Palatino Linotype" w:hAnsi="Palatino Linotype" w:cs="Tahoma"/>
                <w:sz w:val="20"/>
                <w:szCs w:val="20"/>
              </w:rPr>
            </w:pPr>
            <w:r w:rsidRPr="00CD38EA">
              <w:rPr>
                <w:rFonts w:ascii="Palatino Linotype" w:hAnsi="Palatino Linotype" w:cs="Tahoma"/>
                <w:sz w:val="20"/>
                <w:szCs w:val="20"/>
              </w:rPr>
              <w:t>27.1</w:t>
            </w:r>
          </w:p>
        </w:tc>
      </w:tr>
      <w:tr w:rsidR="00CB26D7" w:rsidRPr="00CD38EA" w14:paraId="41A75111" w14:textId="77777777" w:rsidTr="000E140E">
        <w:trPr>
          <w:trHeight w:val="324"/>
          <w:tblCellSpacing w:w="0" w:type="dxa"/>
        </w:trPr>
        <w:tc>
          <w:tcPr>
            <w:tcW w:w="5403" w:type="dxa"/>
            <w:hideMark/>
          </w:tcPr>
          <w:p w14:paraId="2A667077" w14:textId="77777777" w:rsidR="00CB26D7" w:rsidRPr="00CD38EA" w:rsidRDefault="00CB26D7" w:rsidP="000E140E">
            <w:pPr>
              <w:pStyle w:val="NoSpacing"/>
              <w:ind w:firstLine="439"/>
              <w:rPr>
                <w:rFonts w:ascii="Palatino Linotype" w:hAnsi="Palatino Linotype" w:cs="Tahoma"/>
                <w:sz w:val="20"/>
                <w:szCs w:val="20"/>
              </w:rPr>
            </w:pPr>
            <w:r w:rsidRPr="00CD38EA">
              <w:rPr>
                <w:rFonts w:ascii="Palatino Linotype" w:hAnsi="Palatino Linotype" w:cs="Tahoma"/>
                <w:sz w:val="20"/>
                <w:szCs w:val="20"/>
              </w:rPr>
              <w:t>About the same level of ease with face-to-face</w:t>
            </w:r>
          </w:p>
        </w:tc>
        <w:tc>
          <w:tcPr>
            <w:tcW w:w="1080" w:type="dxa"/>
            <w:hideMark/>
          </w:tcPr>
          <w:p w14:paraId="36F53C14" w14:textId="77777777" w:rsidR="00CB26D7" w:rsidRPr="00CD38EA" w:rsidRDefault="00CB26D7" w:rsidP="000E140E">
            <w:pPr>
              <w:pStyle w:val="NoSpacing"/>
              <w:jc w:val="center"/>
              <w:rPr>
                <w:rFonts w:ascii="Palatino Linotype" w:hAnsi="Palatino Linotype" w:cs="Tahoma"/>
                <w:sz w:val="20"/>
                <w:szCs w:val="20"/>
              </w:rPr>
            </w:pPr>
            <w:r w:rsidRPr="00CD38EA">
              <w:rPr>
                <w:rFonts w:ascii="Palatino Linotype" w:hAnsi="Palatino Linotype" w:cs="Tahoma"/>
                <w:sz w:val="20"/>
                <w:szCs w:val="20"/>
              </w:rPr>
              <w:t>85</w:t>
            </w:r>
          </w:p>
        </w:tc>
        <w:tc>
          <w:tcPr>
            <w:tcW w:w="1347" w:type="dxa"/>
            <w:hideMark/>
          </w:tcPr>
          <w:p w14:paraId="790EA39A" w14:textId="77777777" w:rsidR="00CB26D7" w:rsidRPr="00CD38EA" w:rsidRDefault="00CB26D7" w:rsidP="000E140E">
            <w:pPr>
              <w:pStyle w:val="NoSpacing"/>
              <w:jc w:val="center"/>
              <w:rPr>
                <w:rFonts w:ascii="Palatino Linotype" w:hAnsi="Palatino Linotype" w:cs="Tahoma"/>
                <w:sz w:val="20"/>
                <w:szCs w:val="20"/>
              </w:rPr>
            </w:pPr>
            <w:r w:rsidRPr="00CD38EA">
              <w:rPr>
                <w:rFonts w:ascii="Palatino Linotype" w:hAnsi="Palatino Linotype" w:cs="Tahoma"/>
                <w:sz w:val="20"/>
                <w:szCs w:val="20"/>
              </w:rPr>
              <w:t>20.8</w:t>
            </w:r>
          </w:p>
        </w:tc>
      </w:tr>
      <w:tr w:rsidR="00CB26D7" w:rsidRPr="00CD38EA" w14:paraId="23200948" w14:textId="77777777" w:rsidTr="000E140E">
        <w:trPr>
          <w:trHeight w:val="324"/>
          <w:tblCellSpacing w:w="0" w:type="dxa"/>
        </w:trPr>
        <w:tc>
          <w:tcPr>
            <w:tcW w:w="5403" w:type="dxa"/>
            <w:hideMark/>
          </w:tcPr>
          <w:p w14:paraId="4ADDD869" w14:textId="77777777" w:rsidR="00CB26D7" w:rsidRPr="00CD38EA" w:rsidRDefault="00CB26D7" w:rsidP="000E140E">
            <w:pPr>
              <w:pStyle w:val="NoSpacing"/>
              <w:ind w:firstLine="439"/>
              <w:rPr>
                <w:rFonts w:ascii="Palatino Linotype" w:hAnsi="Palatino Linotype" w:cs="Tahoma"/>
                <w:sz w:val="20"/>
                <w:szCs w:val="20"/>
              </w:rPr>
            </w:pPr>
            <w:r w:rsidRPr="00CD38EA">
              <w:rPr>
                <w:rFonts w:ascii="Palatino Linotype" w:hAnsi="Palatino Linotype" w:cs="Tahoma"/>
                <w:sz w:val="20"/>
                <w:szCs w:val="20"/>
              </w:rPr>
              <w:t>Unsure/I cannot tell</w:t>
            </w:r>
          </w:p>
        </w:tc>
        <w:tc>
          <w:tcPr>
            <w:tcW w:w="1080" w:type="dxa"/>
            <w:hideMark/>
          </w:tcPr>
          <w:p w14:paraId="3BC408D0" w14:textId="77777777" w:rsidR="00CB26D7" w:rsidRPr="00CD38EA" w:rsidRDefault="00CB26D7" w:rsidP="000E140E">
            <w:pPr>
              <w:pStyle w:val="NoSpacing"/>
              <w:jc w:val="center"/>
              <w:rPr>
                <w:rFonts w:ascii="Palatino Linotype" w:hAnsi="Palatino Linotype" w:cs="Tahoma"/>
                <w:sz w:val="20"/>
                <w:szCs w:val="20"/>
              </w:rPr>
            </w:pPr>
            <w:r w:rsidRPr="00CD38EA">
              <w:rPr>
                <w:rFonts w:ascii="Palatino Linotype" w:hAnsi="Palatino Linotype" w:cs="Tahoma"/>
                <w:sz w:val="20"/>
                <w:szCs w:val="20"/>
              </w:rPr>
              <w:t>68</w:t>
            </w:r>
          </w:p>
        </w:tc>
        <w:tc>
          <w:tcPr>
            <w:tcW w:w="1347" w:type="dxa"/>
            <w:hideMark/>
          </w:tcPr>
          <w:p w14:paraId="6A92F724" w14:textId="77777777" w:rsidR="00CB26D7" w:rsidRPr="00CD38EA" w:rsidRDefault="00CB26D7" w:rsidP="000E140E">
            <w:pPr>
              <w:pStyle w:val="NoSpacing"/>
              <w:jc w:val="center"/>
              <w:rPr>
                <w:rFonts w:ascii="Palatino Linotype" w:hAnsi="Palatino Linotype" w:cs="Tahoma"/>
                <w:sz w:val="20"/>
                <w:szCs w:val="20"/>
              </w:rPr>
            </w:pPr>
            <w:r w:rsidRPr="00CD38EA">
              <w:rPr>
                <w:rFonts w:ascii="Palatino Linotype" w:hAnsi="Palatino Linotype" w:cs="Tahoma"/>
                <w:sz w:val="20"/>
                <w:szCs w:val="20"/>
              </w:rPr>
              <w:t>16.6</w:t>
            </w:r>
          </w:p>
        </w:tc>
      </w:tr>
    </w:tbl>
    <w:p w14:paraId="1F10C389" w14:textId="77777777" w:rsidR="00CB26D7" w:rsidRPr="00CD38EA" w:rsidRDefault="00CB26D7" w:rsidP="00CB26D7">
      <w:pPr>
        <w:pStyle w:val="NoSpacing"/>
        <w:ind w:left="2610"/>
        <w:jc w:val="both"/>
        <w:rPr>
          <w:rFonts w:ascii="Palatino Linotype" w:hAnsi="Palatino Linotype" w:cs="Tahoma"/>
          <w:sz w:val="20"/>
          <w:szCs w:val="20"/>
        </w:rPr>
      </w:pPr>
    </w:p>
    <w:p w14:paraId="612A10F8" w14:textId="77777777" w:rsidR="00CB26D7" w:rsidRPr="00CD38EA" w:rsidRDefault="00CB26D7" w:rsidP="00CB26D7">
      <w:pPr>
        <w:pStyle w:val="NoSpacing"/>
        <w:ind w:left="2610" w:firstLine="450"/>
        <w:jc w:val="both"/>
        <w:rPr>
          <w:rFonts w:ascii="Palatino Linotype" w:hAnsi="Palatino Linotype" w:cs="Tahoma"/>
          <w:sz w:val="20"/>
          <w:szCs w:val="20"/>
        </w:rPr>
      </w:pPr>
      <w:r w:rsidRPr="00CD38EA">
        <w:rPr>
          <w:rFonts w:ascii="Palatino Linotype" w:hAnsi="Palatino Linotype" w:cs="Tahoma"/>
          <w:sz w:val="20"/>
          <w:szCs w:val="20"/>
        </w:rPr>
        <w:t xml:space="preserve">From the table, results show that </w:t>
      </w:r>
      <w:r>
        <w:rPr>
          <w:rFonts w:ascii="Palatino Linotype" w:hAnsi="Palatino Linotype" w:cs="Tahoma"/>
          <w:sz w:val="20"/>
          <w:szCs w:val="20"/>
        </w:rPr>
        <w:t>371 (</w:t>
      </w:r>
      <w:r w:rsidRPr="00CD38EA">
        <w:rPr>
          <w:rFonts w:ascii="Palatino Linotype" w:hAnsi="Palatino Linotype" w:cs="Tahoma"/>
          <w:sz w:val="20"/>
          <w:szCs w:val="20"/>
        </w:rPr>
        <w:t>90.7 %</w:t>
      </w:r>
      <w:r>
        <w:rPr>
          <w:rFonts w:ascii="Palatino Linotype" w:hAnsi="Palatino Linotype" w:cs="Tahoma"/>
          <w:sz w:val="20"/>
          <w:szCs w:val="20"/>
        </w:rPr>
        <w:t>)</w:t>
      </w:r>
      <w:r w:rsidRPr="00CD38EA">
        <w:rPr>
          <w:rFonts w:ascii="Palatino Linotype" w:hAnsi="Palatino Linotype" w:cs="Tahoma"/>
          <w:sz w:val="20"/>
          <w:szCs w:val="20"/>
        </w:rPr>
        <w:t xml:space="preserve"> of the student-respondents own 1 or 2 devices. </w:t>
      </w:r>
      <w:r>
        <w:rPr>
          <w:rFonts w:ascii="Palatino Linotype" w:hAnsi="Palatino Linotype" w:cs="Tahoma"/>
          <w:sz w:val="20"/>
          <w:szCs w:val="20"/>
        </w:rPr>
        <w:t>Three hundred five (305) or a</w:t>
      </w:r>
      <w:r w:rsidRPr="00CD38EA">
        <w:rPr>
          <w:rFonts w:ascii="Palatino Linotype" w:hAnsi="Palatino Linotype" w:cs="Tahoma"/>
          <w:sz w:val="20"/>
          <w:szCs w:val="20"/>
        </w:rPr>
        <w:t xml:space="preserve">lmost </w:t>
      </w:r>
      <w:proofErr w:type="gramStart"/>
      <w:r w:rsidRPr="00CD38EA">
        <w:rPr>
          <w:rFonts w:ascii="Palatino Linotype" w:hAnsi="Palatino Linotype" w:cs="Tahoma"/>
          <w:sz w:val="20"/>
          <w:szCs w:val="20"/>
        </w:rPr>
        <w:t>75 %</w:t>
      </w:r>
      <w:proofErr w:type="gramEnd"/>
      <w:r w:rsidRPr="00CD38EA">
        <w:rPr>
          <w:rFonts w:ascii="Palatino Linotype" w:hAnsi="Palatino Linotype" w:cs="Tahoma"/>
          <w:sz w:val="20"/>
          <w:szCs w:val="20"/>
        </w:rPr>
        <w:t xml:space="preserve"> have personal space during online sessions. About 7 % have slow or very slow internet connection while 82 % experience intermittent internet connection during online class. </w:t>
      </w:r>
      <w:r>
        <w:rPr>
          <w:rFonts w:ascii="Palatino Linotype" w:hAnsi="Palatino Linotype" w:cs="Tahoma"/>
          <w:sz w:val="20"/>
          <w:szCs w:val="20"/>
        </w:rPr>
        <w:t xml:space="preserve">Majority of the respondents </w:t>
      </w:r>
      <w:r w:rsidRPr="00CD38EA">
        <w:rPr>
          <w:rFonts w:ascii="Palatino Linotype" w:hAnsi="Palatino Linotype" w:cs="Tahoma"/>
          <w:sz w:val="20"/>
          <w:szCs w:val="20"/>
        </w:rPr>
        <w:t>perceived that online learning in math</w:t>
      </w:r>
      <w:r>
        <w:rPr>
          <w:rFonts w:ascii="Palatino Linotype" w:hAnsi="Palatino Linotype" w:cs="Tahoma"/>
          <w:sz w:val="20"/>
          <w:szCs w:val="20"/>
        </w:rPr>
        <w:t xml:space="preserve">ematics differs in terms of </w:t>
      </w:r>
      <w:r w:rsidRPr="00CD38EA">
        <w:rPr>
          <w:rFonts w:ascii="Palatino Linotype" w:hAnsi="Palatino Linotype" w:cs="Tahoma"/>
          <w:sz w:val="20"/>
          <w:szCs w:val="20"/>
        </w:rPr>
        <w:t xml:space="preserve">difficulty or ease </w:t>
      </w:r>
      <w:r>
        <w:rPr>
          <w:rFonts w:ascii="Palatino Linotype" w:hAnsi="Palatino Linotype" w:cs="Tahoma"/>
          <w:sz w:val="20"/>
          <w:szCs w:val="20"/>
        </w:rPr>
        <w:t>compared to</w:t>
      </w:r>
      <w:r w:rsidRPr="00CD38EA">
        <w:rPr>
          <w:rFonts w:ascii="Palatino Linotype" w:hAnsi="Palatino Linotype" w:cs="Tahoma"/>
          <w:sz w:val="20"/>
          <w:szCs w:val="20"/>
        </w:rPr>
        <w:t xml:space="preserve"> face-to-face</w:t>
      </w:r>
      <w:r>
        <w:rPr>
          <w:rFonts w:ascii="Palatino Linotype" w:hAnsi="Palatino Linotype" w:cs="Tahoma"/>
          <w:sz w:val="20"/>
          <w:szCs w:val="20"/>
        </w:rPr>
        <w:t xml:space="preserve"> learning</w:t>
      </w:r>
      <w:r w:rsidRPr="00CD38EA">
        <w:rPr>
          <w:rFonts w:ascii="Palatino Linotype" w:hAnsi="Palatino Linotype" w:cs="Tahoma"/>
          <w:sz w:val="20"/>
          <w:szCs w:val="20"/>
        </w:rPr>
        <w:t xml:space="preserve">, </w:t>
      </w:r>
      <w:r>
        <w:rPr>
          <w:rFonts w:ascii="Palatino Linotype" w:hAnsi="Palatino Linotype" w:cs="Tahoma"/>
          <w:sz w:val="20"/>
          <w:szCs w:val="20"/>
        </w:rPr>
        <w:t xml:space="preserve">aligning with </w:t>
      </w:r>
      <w:r w:rsidRPr="00CD38EA">
        <w:rPr>
          <w:rFonts w:ascii="Palatino Linotype" w:hAnsi="Palatino Linotype" w:cs="Tahoma"/>
          <w:sz w:val="20"/>
          <w:szCs w:val="20"/>
        </w:rPr>
        <w:t xml:space="preserve">the findings of </w:t>
      </w:r>
      <m:oMath>
        <m:d>
          <m:dPr>
            <m:begChr m:val="["/>
            <m:endChr m:val="]"/>
            <m:ctrlPr>
              <w:rPr>
                <w:rFonts w:ascii="Cambria Math" w:eastAsiaTheme="minorEastAsia" w:hAnsi="Cambria Math" w:cs="Times New Roman"/>
                <w:i/>
                <w:noProof/>
                <w:color w:val="000000"/>
                <w:sz w:val="20"/>
                <w:szCs w:val="20"/>
                <w:lang w:eastAsia="zh-CN"/>
              </w:rPr>
            </m:ctrlPr>
          </m:dPr>
          <m:e>
            <m:r>
              <w:rPr>
                <w:rFonts w:ascii="Cambria Math" w:hAnsi="Cambria Math"/>
                <w:sz w:val="20"/>
                <w:szCs w:val="20"/>
              </w:rPr>
              <m:t>4</m:t>
            </m:r>
          </m:e>
        </m:d>
      </m:oMath>
      <w:r>
        <w:rPr>
          <w:rFonts w:ascii="Palatino Linotype" w:hAnsi="Palatino Linotype" w:cs="Tahoma"/>
          <w:sz w:val="20"/>
          <w:szCs w:val="20"/>
        </w:rPr>
        <w:t>. T</w:t>
      </w:r>
      <w:r w:rsidRPr="00CD38EA">
        <w:rPr>
          <w:rFonts w:ascii="Palatino Linotype" w:hAnsi="Palatino Linotype" w:cs="Tahoma"/>
          <w:sz w:val="20"/>
          <w:szCs w:val="20"/>
        </w:rPr>
        <w:t xml:space="preserve">heir study </w:t>
      </w:r>
      <w:r>
        <w:rPr>
          <w:rFonts w:ascii="Palatino Linotype" w:hAnsi="Palatino Linotype" w:cs="Tahoma"/>
          <w:sz w:val="20"/>
          <w:szCs w:val="20"/>
        </w:rPr>
        <w:t>on</w:t>
      </w:r>
      <w:r w:rsidRPr="00CD38EA">
        <w:rPr>
          <w:rFonts w:ascii="Palatino Linotype" w:hAnsi="Palatino Linotype" w:cs="Tahoma"/>
          <w:sz w:val="20"/>
          <w:szCs w:val="20"/>
        </w:rPr>
        <w:t xml:space="preserve"> mathematics self-concept and</w:t>
      </w:r>
      <w:r>
        <w:rPr>
          <w:rFonts w:ascii="Palatino Linotype" w:hAnsi="Palatino Linotype" w:cs="Tahoma"/>
          <w:sz w:val="20"/>
          <w:szCs w:val="20"/>
        </w:rPr>
        <w:t xml:space="preserve"> the</w:t>
      </w:r>
      <w:r w:rsidRPr="00CD38EA">
        <w:rPr>
          <w:rFonts w:ascii="Palatino Linotype" w:hAnsi="Palatino Linotype" w:cs="Tahoma"/>
          <w:sz w:val="20"/>
          <w:szCs w:val="20"/>
        </w:rPr>
        <w:t xml:space="preserve"> challenges </w:t>
      </w:r>
      <w:r>
        <w:rPr>
          <w:rFonts w:ascii="Palatino Linotype" w:hAnsi="Palatino Linotype" w:cs="Tahoma"/>
          <w:sz w:val="20"/>
          <w:szCs w:val="20"/>
        </w:rPr>
        <w:t>faced by</w:t>
      </w:r>
      <w:r w:rsidRPr="00CD38EA">
        <w:rPr>
          <w:rFonts w:ascii="Palatino Linotype" w:hAnsi="Palatino Linotype" w:cs="Tahoma"/>
          <w:sz w:val="20"/>
          <w:szCs w:val="20"/>
        </w:rPr>
        <w:t xml:space="preserve"> learners in an online learning environment during</w:t>
      </w:r>
      <w:r>
        <w:rPr>
          <w:rFonts w:ascii="Palatino Linotype" w:hAnsi="Palatino Linotype" w:cs="Tahoma"/>
          <w:sz w:val="20"/>
          <w:szCs w:val="20"/>
        </w:rPr>
        <w:t xml:space="preserve"> the</w:t>
      </w:r>
      <w:r w:rsidRPr="00CD38EA">
        <w:rPr>
          <w:rFonts w:ascii="Palatino Linotype" w:hAnsi="Palatino Linotype" w:cs="Tahoma"/>
          <w:sz w:val="20"/>
          <w:szCs w:val="20"/>
        </w:rPr>
        <w:t xml:space="preserve"> COVID-19 pandemic </w:t>
      </w:r>
      <w:r>
        <w:rPr>
          <w:rFonts w:ascii="Palatino Linotype" w:hAnsi="Palatino Linotype" w:cs="Tahoma"/>
          <w:sz w:val="20"/>
          <w:szCs w:val="20"/>
        </w:rPr>
        <w:t xml:space="preserve">revealed </w:t>
      </w:r>
      <w:r w:rsidRPr="00CD38EA">
        <w:rPr>
          <w:rFonts w:ascii="Palatino Linotype" w:hAnsi="Palatino Linotype" w:cs="Tahoma"/>
          <w:sz w:val="20"/>
          <w:szCs w:val="20"/>
        </w:rPr>
        <w:t xml:space="preserve">that most students perceive that mathematics delivered </w:t>
      </w:r>
      <w:proofErr w:type="gramStart"/>
      <w:r w:rsidRPr="00CD38EA">
        <w:rPr>
          <w:rFonts w:ascii="Palatino Linotype" w:hAnsi="Palatino Linotype" w:cs="Tahoma"/>
          <w:sz w:val="20"/>
          <w:szCs w:val="20"/>
        </w:rPr>
        <w:t>in</w:t>
      </w:r>
      <w:proofErr w:type="gramEnd"/>
      <w:r w:rsidRPr="00CD38EA">
        <w:rPr>
          <w:rFonts w:ascii="Palatino Linotype" w:hAnsi="Palatino Linotype" w:cs="Tahoma"/>
          <w:sz w:val="20"/>
          <w:szCs w:val="20"/>
        </w:rPr>
        <w:t xml:space="preserve"> an online platform is harder to learn than in a face-to-face setup.   </w:t>
      </w:r>
    </w:p>
    <w:p w14:paraId="25D9EEC2" w14:textId="77777777" w:rsidR="00CB26D7" w:rsidRPr="00CD38EA" w:rsidRDefault="00CB26D7" w:rsidP="00CB26D7">
      <w:pPr>
        <w:pStyle w:val="NoSpacing"/>
        <w:ind w:left="2610"/>
        <w:jc w:val="both"/>
        <w:rPr>
          <w:rFonts w:ascii="Palatino Linotype" w:hAnsi="Palatino Linotype" w:cs="Tahoma"/>
          <w:sz w:val="20"/>
          <w:szCs w:val="20"/>
        </w:rPr>
      </w:pPr>
    </w:p>
    <w:p w14:paraId="34A95B33" w14:textId="77777777" w:rsidR="00CB26D7" w:rsidRPr="00D83D32" w:rsidRDefault="00CB26D7" w:rsidP="00CB26D7">
      <w:pPr>
        <w:pStyle w:val="NoSpacing"/>
        <w:ind w:left="2610"/>
        <w:jc w:val="both"/>
        <w:rPr>
          <w:rFonts w:ascii="Palatino Linotype" w:hAnsi="Palatino Linotype" w:cs="Tahoma"/>
          <w:sz w:val="20"/>
          <w:szCs w:val="20"/>
        </w:rPr>
      </w:pPr>
      <w:r w:rsidRPr="00D83D32">
        <w:rPr>
          <w:rFonts w:ascii="Palatino Linotype" w:hAnsi="Palatino Linotype" w:cs="Tahoma"/>
          <w:sz w:val="20"/>
          <w:szCs w:val="20"/>
        </w:rPr>
        <w:lastRenderedPageBreak/>
        <w:t xml:space="preserve">Table 2. Mathematics self-concept of students in terms of mathematical ability </w:t>
      </w:r>
    </w:p>
    <w:tbl>
      <w:tblPr>
        <w:tblW w:w="7951" w:type="dxa"/>
        <w:tblInd w:w="2515" w:type="dxa"/>
        <w:tblBorders>
          <w:top w:val="single" w:sz="4" w:space="0" w:color="auto"/>
          <w:bottom w:val="single" w:sz="4" w:space="0" w:color="auto"/>
          <w:insideH w:val="single" w:sz="4" w:space="0" w:color="auto"/>
        </w:tblBorders>
        <w:tblLook w:val="04A0" w:firstRow="1" w:lastRow="0" w:firstColumn="1" w:lastColumn="0" w:noHBand="0" w:noVBand="1"/>
      </w:tblPr>
      <w:tblGrid>
        <w:gridCol w:w="5738"/>
        <w:gridCol w:w="657"/>
        <w:gridCol w:w="638"/>
        <w:gridCol w:w="918"/>
      </w:tblGrid>
      <w:tr w:rsidR="00CB26D7" w:rsidRPr="00545DB0" w14:paraId="087AA1E2" w14:textId="77777777" w:rsidTr="000E140E">
        <w:trPr>
          <w:trHeight w:val="364"/>
        </w:trPr>
        <w:tc>
          <w:tcPr>
            <w:tcW w:w="5738" w:type="dxa"/>
            <w:noWrap/>
            <w:hideMark/>
          </w:tcPr>
          <w:p w14:paraId="601C7B62" w14:textId="77777777" w:rsidR="00CB26D7" w:rsidRPr="00545DB0" w:rsidRDefault="00CB26D7" w:rsidP="000E140E">
            <w:pPr>
              <w:spacing w:line="240" w:lineRule="auto"/>
              <w:jc w:val="center"/>
              <w:rPr>
                <w:rFonts w:eastAsia="Times New Roman" w:cs="Tahoma"/>
                <w:b/>
                <w:bCs/>
                <w:noProof w:val="0"/>
                <w:lang w:eastAsia="en-US"/>
              </w:rPr>
            </w:pPr>
            <w:r w:rsidRPr="00545DB0">
              <w:rPr>
                <w:rFonts w:eastAsia="Times New Roman" w:cs="Tahoma"/>
                <w:b/>
                <w:bCs/>
                <w:noProof w:val="0"/>
                <w:lang w:eastAsia="en-US"/>
              </w:rPr>
              <w:t>STATEMENTS</w:t>
            </w:r>
          </w:p>
        </w:tc>
        <w:tc>
          <w:tcPr>
            <w:tcW w:w="657" w:type="dxa"/>
            <w:noWrap/>
          </w:tcPr>
          <w:p w14:paraId="3FB63FDC" w14:textId="77777777" w:rsidR="00CB26D7" w:rsidRPr="00545DB0" w:rsidRDefault="00000000" w:rsidP="000E140E">
            <w:pPr>
              <w:spacing w:line="240" w:lineRule="auto"/>
              <w:jc w:val="center"/>
              <w:rPr>
                <w:rFonts w:eastAsia="Times New Roman" w:cs="Tahoma"/>
                <w:b/>
                <w:bCs/>
                <w:noProof w:val="0"/>
                <w:lang w:eastAsia="en-US"/>
              </w:rPr>
            </w:pPr>
            <m:oMathPara>
              <m:oMath>
                <m:bar>
                  <m:barPr>
                    <m:pos m:val="top"/>
                    <m:ctrlPr>
                      <w:rPr>
                        <w:rFonts w:ascii="Cambria Math" w:eastAsia="Times New Roman" w:hAnsi="Cambria Math" w:cs="Tahoma"/>
                        <w:b/>
                        <w:bCs/>
                        <w:i/>
                        <w:noProof w:val="0"/>
                        <w:lang w:eastAsia="en-US"/>
                      </w:rPr>
                    </m:ctrlPr>
                  </m:barPr>
                  <m:e>
                    <m:r>
                      <m:rPr>
                        <m:sty m:val="bi"/>
                      </m:rPr>
                      <w:rPr>
                        <w:rFonts w:ascii="Cambria Math" w:eastAsia="Times New Roman" w:hAnsi="Cambria Math" w:cs="Tahoma"/>
                        <w:noProof w:val="0"/>
                        <w:lang w:eastAsia="en-US"/>
                      </w:rPr>
                      <m:t>x</m:t>
                    </m:r>
                  </m:e>
                </m:bar>
              </m:oMath>
            </m:oMathPara>
          </w:p>
        </w:tc>
        <w:tc>
          <w:tcPr>
            <w:tcW w:w="638" w:type="dxa"/>
            <w:noWrap/>
            <w:hideMark/>
          </w:tcPr>
          <w:p w14:paraId="4DBCABEB" w14:textId="77777777" w:rsidR="00CB26D7" w:rsidRPr="00545DB0" w:rsidRDefault="00CB26D7" w:rsidP="000E140E">
            <w:pPr>
              <w:spacing w:line="240" w:lineRule="auto"/>
              <w:jc w:val="center"/>
              <w:rPr>
                <w:rFonts w:eastAsia="Times New Roman" w:cs="Tahoma"/>
                <w:b/>
                <w:bCs/>
                <w:noProof w:val="0"/>
                <w:lang w:eastAsia="en-US"/>
              </w:rPr>
            </w:pPr>
            <w:r w:rsidRPr="00545DB0">
              <w:rPr>
                <w:rFonts w:eastAsia="Times New Roman" w:cs="Tahoma"/>
                <w:b/>
                <w:bCs/>
                <w:noProof w:val="0"/>
                <w:lang w:eastAsia="en-US"/>
              </w:rPr>
              <w:t>SD</w:t>
            </w:r>
          </w:p>
        </w:tc>
        <w:tc>
          <w:tcPr>
            <w:tcW w:w="918" w:type="dxa"/>
            <w:hideMark/>
          </w:tcPr>
          <w:p w14:paraId="5A1C3DC5" w14:textId="77777777" w:rsidR="00CB26D7" w:rsidRPr="00545DB0" w:rsidRDefault="00CB26D7" w:rsidP="000E140E">
            <w:pPr>
              <w:spacing w:line="240" w:lineRule="auto"/>
              <w:jc w:val="center"/>
              <w:rPr>
                <w:rFonts w:eastAsia="Times New Roman" w:cs="Tahoma"/>
                <w:b/>
                <w:bCs/>
                <w:noProof w:val="0"/>
                <w:lang w:eastAsia="en-US"/>
              </w:rPr>
            </w:pPr>
            <w:r w:rsidRPr="00545DB0">
              <w:rPr>
                <w:rFonts w:eastAsia="Times New Roman" w:cs="Tahoma"/>
                <w:b/>
                <w:bCs/>
                <w:noProof w:val="0"/>
                <w:lang w:eastAsia="en-US"/>
              </w:rPr>
              <w:t>Q</w:t>
            </w:r>
            <w:r>
              <w:rPr>
                <w:rFonts w:eastAsia="Times New Roman" w:cs="Tahoma"/>
                <w:b/>
                <w:bCs/>
                <w:noProof w:val="0"/>
                <w:lang w:eastAsia="en-US"/>
              </w:rPr>
              <w:t>D</w:t>
            </w:r>
          </w:p>
        </w:tc>
      </w:tr>
      <w:tr w:rsidR="00CB26D7" w:rsidRPr="00545DB0" w14:paraId="79797979" w14:textId="77777777" w:rsidTr="000E140E">
        <w:trPr>
          <w:trHeight w:val="290"/>
        </w:trPr>
        <w:tc>
          <w:tcPr>
            <w:tcW w:w="5738" w:type="dxa"/>
            <w:noWrap/>
            <w:vAlign w:val="center"/>
            <w:hideMark/>
          </w:tcPr>
          <w:p w14:paraId="63A1237B" w14:textId="77777777" w:rsidR="00CB26D7" w:rsidRPr="00545DB0" w:rsidRDefault="00CB26D7" w:rsidP="000E140E">
            <w:pPr>
              <w:spacing w:line="240" w:lineRule="auto"/>
              <w:jc w:val="left"/>
              <w:rPr>
                <w:rFonts w:eastAsia="Times New Roman" w:cs="Tahoma"/>
                <w:noProof w:val="0"/>
                <w:lang w:eastAsia="en-US"/>
              </w:rPr>
            </w:pPr>
            <w:r w:rsidRPr="00545DB0">
              <w:rPr>
                <w:rFonts w:eastAsia="Times New Roman" w:cs="Tahoma"/>
                <w:noProof w:val="0"/>
                <w:lang w:eastAsia="en-US"/>
              </w:rPr>
              <w:t>I can get good grades on my tests in online learning.</w:t>
            </w:r>
          </w:p>
        </w:tc>
        <w:tc>
          <w:tcPr>
            <w:tcW w:w="657" w:type="dxa"/>
            <w:noWrap/>
            <w:vAlign w:val="bottom"/>
            <w:hideMark/>
          </w:tcPr>
          <w:p w14:paraId="37DB115B"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3.76</w:t>
            </w:r>
          </w:p>
        </w:tc>
        <w:tc>
          <w:tcPr>
            <w:tcW w:w="638" w:type="dxa"/>
            <w:noWrap/>
            <w:vAlign w:val="bottom"/>
            <w:hideMark/>
          </w:tcPr>
          <w:p w14:paraId="6A35AA92"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0.80</w:t>
            </w:r>
          </w:p>
        </w:tc>
        <w:tc>
          <w:tcPr>
            <w:tcW w:w="918" w:type="dxa"/>
            <w:noWrap/>
            <w:vAlign w:val="bottom"/>
            <w:hideMark/>
          </w:tcPr>
          <w:p w14:paraId="27DD8D10"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True</w:t>
            </w:r>
          </w:p>
        </w:tc>
      </w:tr>
      <w:tr w:rsidR="00CB26D7" w:rsidRPr="00545DB0" w14:paraId="0F9E7BC9" w14:textId="77777777" w:rsidTr="000E140E">
        <w:trPr>
          <w:trHeight w:val="290"/>
        </w:trPr>
        <w:tc>
          <w:tcPr>
            <w:tcW w:w="5738" w:type="dxa"/>
            <w:noWrap/>
            <w:vAlign w:val="center"/>
            <w:hideMark/>
          </w:tcPr>
          <w:p w14:paraId="44360EEB" w14:textId="77777777" w:rsidR="00CB26D7" w:rsidRPr="00545DB0" w:rsidRDefault="00CB26D7" w:rsidP="000E140E">
            <w:pPr>
              <w:spacing w:line="240" w:lineRule="auto"/>
              <w:jc w:val="left"/>
              <w:rPr>
                <w:rFonts w:eastAsia="Times New Roman" w:cs="Tahoma"/>
                <w:noProof w:val="0"/>
                <w:lang w:eastAsia="en-US"/>
              </w:rPr>
            </w:pPr>
            <w:r w:rsidRPr="00545DB0">
              <w:rPr>
                <w:rFonts w:eastAsia="Times New Roman" w:cs="Tahoma"/>
                <w:noProof w:val="0"/>
                <w:lang w:eastAsia="en-US"/>
              </w:rPr>
              <w:t>I can understand the lessons easily.</w:t>
            </w:r>
          </w:p>
        </w:tc>
        <w:tc>
          <w:tcPr>
            <w:tcW w:w="657" w:type="dxa"/>
            <w:noWrap/>
            <w:vAlign w:val="bottom"/>
            <w:hideMark/>
          </w:tcPr>
          <w:p w14:paraId="68E71FDD"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3.23</w:t>
            </w:r>
          </w:p>
        </w:tc>
        <w:tc>
          <w:tcPr>
            <w:tcW w:w="638" w:type="dxa"/>
            <w:noWrap/>
            <w:vAlign w:val="bottom"/>
            <w:hideMark/>
          </w:tcPr>
          <w:p w14:paraId="05BE60F8"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0.87</w:t>
            </w:r>
          </w:p>
        </w:tc>
        <w:tc>
          <w:tcPr>
            <w:tcW w:w="918" w:type="dxa"/>
            <w:noWrap/>
            <w:vAlign w:val="bottom"/>
            <w:hideMark/>
          </w:tcPr>
          <w:p w14:paraId="739AAAFC"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Unsure</w:t>
            </w:r>
          </w:p>
        </w:tc>
      </w:tr>
      <w:tr w:rsidR="00CB26D7" w:rsidRPr="00545DB0" w14:paraId="55F7B3EF" w14:textId="77777777" w:rsidTr="000E140E">
        <w:trPr>
          <w:trHeight w:val="290"/>
        </w:trPr>
        <w:tc>
          <w:tcPr>
            <w:tcW w:w="5738" w:type="dxa"/>
            <w:noWrap/>
            <w:vAlign w:val="center"/>
            <w:hideMark/>
          </w:tcPr>
          <w:p w14:paraId="4DFF99C6" w14:textId="77777777" w:rsidR="00CB26D7" w:rsidRPr="00545DB0" w:rsidRDefault="00CB26D7" w:rsidP="000E140E">
            <w:pPr>
              <w:spacing w:line="240" w:lineRule="auto"/>
              <w:jc w:val="left"/>
              <w:rPr>
                <w:rFonts w:eastAsia="Times New Roman" w:cs="Tahoma"/>
                <w:noProof w:val="0"/>
                <w:lang w:eastAsia="en-US"/>
              </w:rPr>
            </w:pPr>
            <w:r w:rsidRPr="00545DB0">
              <w:rPr>
                <w:rFonts w:eastAsia="Times New Roman" w:cs="Tahoma"/>
                <w:noProof w:val="0"/>
                <w:lang w:eastAsia="en-US"/>
              </w:rPr>
              <w:t>I can submit the activities easily.</w:t>
            </w:r>
          </w:p>
        </w:tc>
        <w:tc>
          <w:tcPr>
            <w:tcW w:w="657" w:type="dxa"/>
            <w:noWrap/>
            <w:vAlign w:val="bottom"/>
            <w:hideMark/>
          </w:tcPr>
          <w:p w14:paraId="61BB0CE8"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3.66</w:t>
            </w:r>
          </w:p>
        </w:tc>
        <w:tc>
          <w:tcPr>
            <w:tcW w:w="638" w:type="dxa"/>
            <w:noWrap/>
            <w:vAlign w:val="bottom"/>
            <w:hideMark/>
          </w:tcPr>
          <w:p w14:paraId="5FEB0129"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0.92</w:t>
            </w:r>
          </w:p>
        </w:tc>
        <w:tc>
          <w:tcPr>
            <w:tcW w:w="918" w:type="dxa"/>
            <w:noWrap/>
            <w:vAlign w:val="bottom"/>
            <w:hideMark/>
          </w:tcPr>
          <w:p w14:paraId="55987CC7"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True</w:t>
            </w:r>
          </w:p>
        </w:tc>
      </w:tr>
      <w:tr w:rsidR="00CB26D7" w:rsidRPr="00545DB0" w14:paraId="51A7C1B8" w14:textId="77777777" w:rsidTr="000E140E">
        <w:trPr>
          <w:trHeight w:val="290"/>
        </w:trPr>
        <w:tc>
          <w:tcPr>
            <w:tcW w:w="5738" w:type="dxa"/>
            <w:noWrap/>
            <w:vAlign w:val="center"/>
            <w:hideMark/>
          </w:tcPr>
          <w:p w14:paraId="1ABEC945" w14:textId="77777777" w:rsidR="00CB26D7" w:rsidRPr="00545DB0" w:rsidRDefault="00CB26D7" w:rsidP="000E140E">
            <w:pPr>
              <w:spacing w:line="240" w:lineRule="auto"/>
              <w:jc w:val="left"/>
              <w:rPr>
                <w:rFonts w:eastAsia="Times New Roman" w:cs="Tahoma"/>
                <w:noProof w:val="0"/>
                <w:lang w:eastAsia="en-US"/>
              </w:rPr>
            </w:pPr>
            <w:r w:rsidRPr="00545DB0">
              <w:rPr>
                <w:rFonts w:eastAsia="Times New Roman" w:cs="Tahoma"/>
                <w:noProof w:val="0"/>
                <w:lang w:eastAsia="en-US"/>
              </w:rPr>
              <w:t>I can do well overall in my subjects.</w:t>
            </w:r>
          </w:p>
        </w:tc>
        <w:tc>
          <w:tcPr>
            <w:tcW w:w="657" w:type="dxa"/>
            <w:noWrap/>
            <w:vAlign w:val="bottom"/>
            <w:hideMark/>
          </w:tcPr>
          <w:p w14:paraId="243C0FB2"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3.42</w:t>
            </w:r>
          </w:p>
        </w:tc>
        <w:tc>
          <w:tcPr>
            <w:tcW w:w="638" w:type="dxa"/>
            <w:noWrap/>
            <w:vAlign w:val="bottom"/>
            <w:hideMark/>
          </w:tcPr>
          <w:p w14:paraId="2F32D8E9"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0.85</w:t>
            </w:r>
          </w:p>
        </w:tc>
        <w:tc>
          <w:tcPr>
            <w:tcW w:w="918" w:type="dxa"/>
            <w:noWrap/>
            <w:vAlign w:val="bottom"/>
            <w:hideMark/>
          </w:tcPr>
          <w:p w14:paraId="4CB833CB"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Unsure</w:t>
            </w:r>
          </w:p>
        </w:tc>
      </w:tr>
      <w:tr w:rsidR="00CB26D7" w:rsidRPr="00545DB0" w14:paraId="51FD7E4F" w14:textId="77777777" w:rsidTr="000E140E">
        <w:trPr>
          <w:trHeight w:val="290"/>
        </w:trPr>
        <w:tc>
          <w:tcPr>
            <w:tcW w:w="5738" w:type="dxa"/>
            <w:noWrap/>
            <w:vAlign w:val="center"/>
            <w:hideMark/>
          </w:tcPr>
          <w:p w14:paraId="2BBF9AEB" w14:textId="77777777" w:rsidR="00CB26D7" w:rsidRPr="00545DB0" w:rsidRDefault="00CB26D7" w:rsidP="000E140E">
            <w:pPr>
              <w:spacing w:line="240" w:lineRule="auto"/>
              <w:jc w:val="left"/>
              <w:rPr>
                <w:rFonts w:eastAsia="Times New Roman" w:cs="Tahoma"/>
                <w:noProof w:val="0"/>
                <w:lang w:eastAsia="en-US"/>
              </w:rPr>
            </w:pPr>
            <w:r w:rsidRPr="00545DB0">
              <w:rPr>
                <w:rFonts w:eastAsia="Times New Roman" w:cs="Tahoma"/>
                <w:noProof w:val="0"/>
                <w:lang w:eastAsia="en-US"/>
              </w:rPr>
              <w:t>I can attend the classes easily.</w:t>
            </w:r>
          </w:p>
        </w:tc>
        <w:tc>
          <w:tcPr>
            <w:tcW w:w="657" w:type="dxa"/>
            <w:noWrap/>
            <w:vAlign w:val="bottom"/>
            <w:hideMark/>
          </w:tcPr>
          <w:p w14:paraId="70A6F280"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3.70</w:t>
            </w:r>
          </w:p>
        </w:tc>
        <w:tc>
          <w:tcPr>
            <w:tcW w:w="638" w:type="dxa"/>
            <w:noWrap/>
            <w:vAlign w:val="bottom"/>
            <w:hideMark/>
          </w:tcPr>
          <w:p w14:paraId="4FB1FD21"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0.97</w:t>
            </w:r>
          </w:p>
        </w:tc>
        <w:tc>
          <w:tcPr>
            <w:tcW w:w="918" w:type="dxa"/>
            <w:noWrap/>
            <w:vAlign w:val="bottom"/>
            <w:hideMark/>
          </w:tcPr>
          <w:p w14:paraId="7A48B2BA"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True</w:t>
            </w:r>
          </w:p>
        </w:tc>
      </w:tr>
      <w:tr w:rsidR="00CB26D7" w:rsidRPr="00545DB0" w14:paraId="28F99B5D" w14:textId="77777777" w:rsidTr="000E140E">
        <w:trPr>
          <w:trHeight w:val="290"/>
        </w:trPr>
        <w:tc>
          <w:tcPr>
            <w:tcW w:w="5738" w:type="dxa"/>
            <w:noWrap/>
            <w:vAlign w:val="center"/>
            <w:hideMark/>
          </w:tcPr>
          <w:p w14:paraId="04E3768B" w14:textId="77777777" w:rsidR="00CB26D7" w:rsidRPr="00545DB0" w:rsidRDefault="00CB26D7" w:rsidP="000E140E">
            <w:pPr>
              <w:spacing w:line="240" w:lineRule="auto"/>
              <w:jc w:val="left"/>
              <w:rPr>
                <w:rFonts w:eastAsia="Times New Roman" w:cs="Tahoma"/>
                <w:noProof w:val="0"/>
                <w:lang w:eastAsia="en-US"/>
              </w:rPr>
            </w:pPr>
            <w:r w:rsidRPr="00545DB0">
              <w:rPr>
                <w:rFonts w:eastAsia="Times New Roman" w:cs="Tahoma"/>
                <w:noProof w:val="0"/>
                <w:lang w:eastAsia="en-US"/>
              </w:rPr>
              <w:t>I can do the assignments easily.</w:t>
            </w:r>
          </w:p>
        </w:tc>
        <w:tc>
          <w:tcPr>
            <w:tcW w:w="657" w:type="dxa"/>
            <w:noWrap/>
            <w:vAlign w:val="bottom"/>
            <w:hideMark/>
          </w:tcPr>
          <w:p w14:paraId="25475DCE"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3.53</w:t>
            </w:r>
          </w:p>
        </w:tc>
        <w:tc>
          <w:tcPr>
            <w:tcW w:w="638" w:type="dxa"/>
            <w:noWrap/>
            <w:vAlign w:val="bottom"/>
            <w:hideMark/>
          </w:tcPr>
          <w:p w14:paraId="3DE6813A"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0.84</w:t>
            </w:r>
          </w:p>
        </w:tc>
        <w:tc>
          <w:tcPr>
            <w:tcW w:w="918" w:type="dxa"/>
            <w:noWrap/>
            <w:vAlign w:val="bottom"/>
            <w:hideMark/>
          </w:tcPr>
          <w:p w14:paraId="4EF85C4B"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True</w:t>
            </w:r>
          </w:p>
        </w:tc>
      </w:tr>
      <w:tr w:rsidR="00CB26D7" w:rsidRPr="00545DB0" w14:paraId="58FF260F" w14:textId="77777777" w:rsidTr="000E140E">
        <w:trPr>
          <w:trHeight w:val="290"/>
        </w:trPr>
        <w:tc>
          <w:tcPr>
            <w:tcW w:w="5738" w:type="dxa"/>
            <w:noWrap/>
            <w:vAlign w:val="center"/>
            <w:hideMark/>
          </w:tcPr>
          <w:p w14:paraId="0ACA0AC4" w14:textId="77777777" w:rsidR="00CB26D7" w:rsidRPr="00545DB0" w:rsidRDefault="00CB26D7" w:rsidP="000E140E">
            <w:pPr>
              <w:spacing w:line="240" w:lineRule="auto"/>
              <w:jc w:val="left"/>
              <w:rPr>
                <w:rFonts w:eastAsia="Times New Roman" w:cs="Tahoma"/>
                <w:noProof w:val="0"/>
                <w:lang w:eastAsia="en-US"/>
              </w:rPr>
            </w:pPr>
            <w:r w:rsidRPr="00545DB0">
              <w:rPr>
                <w:rFonts w:eastAsia="Times New Roman" w:cs="Tahoma"/>
                <w:noProof w:val="0"/>
                <w:lang w:eastAsia="en-US"/>
              </w:rPr>
              <w:t xml:space="preserve">I can help my classmates </w:t>
            </w:r>
            <w:proofErr w:type="gramStart"/>
            <w:r w:rsidRPr="00545DB0">
              <w:rPr>
                <w:rFonts w:eastAsia="Times New Roman" w:cs="Tahoma"/>
                <w:noProof w:val="0"/>
                <w:lang w:eastAsia="en-US"/>
              </w:rPr>
              <w:t>in</w:t>
            </w:r>
            <w:proofErr w:type="gramEnd"/>
            <w:r w:rsidRPr="00545DB0">
              <w:rPr>
                <w:rFonts w:eastAsia="Times New Roman" w:cs="Tahoma"/>
                <w:noProof w:val="0"/>
                <w:lang w:eastAsia="en-US"/>
              </w:rPr>
              <w:t xml:space="preserve"> our assignments.</w:t>
            </w:r>
          </w:p>
        </w:tc>
        <w:tc>
          <w:tcPr>
            <w:tcW w:w="657" w:type="dxa"/>
            <w:noWrap/>
            <w:vAlign w:val="bottom"/>
            <w:hideMark/>
          </w:tcPr>
          <w:p w14:paraId="040BBBBA"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3.40</w:t>
            </w:r>
          </w:p>
        </w:tc>
        <w:tc>
          <w:tcPr>
            <w:tcW w:w="638" w:type="dxa"/>
            <w:noWrap/>
            <w:vAlign w:val="bottom"/>
            <w:hideMark/>
          </w:tcPr>
          <w:p w14:paraId="512D7CBA"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0.97</w:t>
            </w:r>
          </w:p>
        </w:tc>
        <w:tc>
          <w:tcPr>
            <w:tcW w:w="918" w:type="dxa"/>
            <w:noWrap/>
            <w:vAlign w:val="bottom"/>
            <w:hideMark/>
          </w:tcPr>
          <w:p w14:paraId="5916C136"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Unsure</w:t>
            </w:r>
          </w:p>
        </w:tc>
      </w:tr>
      <w:tr w:rsidR="00CB26D7" w:rsidRPr="00545DB0" w14:paraId="2E7496DA" w14:textId="77777777" w:rsidTr="000E140E">
        <w:trPr>
          <w:trHeight w:val="290"/>
        </w:trPr>
        <w:tc>
          <w:tcPr>
            <w:tcW w:w="5738" w:type="dxa"/>
            <w:noWrap/>
            <w:vAlign w:val="center"/>
            <w:hideMark/>
          </w:tcPr>
          <w:p w14:paraId="4F63E770" w14:textId="77777777" w:rsidR="00CB26D7" w:rsidRPr="00545DB0" w:rsidRDefault="00CB26D7" w:rsidP="000E140E">
            <w:pPr>
              <w:spacing w:line="240" w:lineRule="auto"/>
              <w:jc w:val="left"/>
              <w:rPr>
                <w:rFonts w:eastAsia="Times New Roman" w:cs="Tahoma"/>
                <w:noProof w:val="0"/>
                <w:lang w:eastAsia="en-US"/>
              </w:rPr>
            </w:pPr>
            <w:r w:rsidRPr="00545DB0">
              <w:rPr>
                <w:rFonts w:eastAsia="Times New Roman" w:cs="Tahoma"/>
                <w:noProof w:val="0"/>
                <w:lang w:eastAsia="en-US"/>
              </w:rPr>
              <w:t>I can easily recall what I have learnt.</w:t>
            </w:r>
          </w:p>
        </w:tc>
        <w:tc>
          <w:tcPr>
            <w:tcW w:w="657" w:type="dxa"/>
            <w:noWrap/>
            <w:vAlign w:val="bottom"/>
            <w:hideMark/>
          </w:tcPr>
          <w:p w14:paraId="46B2934C"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3.36</w:t>
            </w:r>
          </w:p>
        </w:tc>
        <w:tc>
          <w:tcPr>
            <w:tcW w:w="638" w:type="dxa"/>
            <w:noWrap/>
            <w:vAlign w:val="bottom"/>
            <w:hideMark/>
          </w:tcPr>
          <w:p w14:paraId="4BC99BC2"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0.97</w:t>
            </w:r>
          </w:p>
        </w:tc>
        <w:tc>
          <w:tcPr>
            <w:tcW w:w="918" w:type="dxa"/>
            <w:noWrap/>
            <w:vAlign w:val="bottom"/>
            <w:hideMark/>
          </w:tcPr>
          <w:p w14:paraId="10693074"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Unsure</w:t>
            </w:r>
          </w:p>
        </w:tc>
      </w:tr>
      <w:tr w:rsidR="00CB26D7" w:rsidRPr="00545DB0" w14:paraId="6C9FCCC2" w14:textId="77777777" w:rsidTr="000E140E">
        <w:trPr>
          <w:trHeight w:val="290"/>
        </w:trPr>
        <w:tc>
          <w:tcPr>
            <w:tcW w:w="5738" w:type="dxa"/>
            <w:noWrap/>
            <w:vAlign w:val="center"/>
            <w:hideMark/>
          </w:tcPr>
          <w:p w14:paraId="49CBF253" w14:textId="77777777" w:rsidR="00CB26D7" w:rsidRPr="00545DB0" w:rsidRDefault="00CB26D7" w:rsidP="000E140E">
            <w:pPr>
              <w:spacing w:line="240" w:lineRule="auto"/>
              <w:jc w:val="left"/>
              <w:rPr>
                <w:rFonts w:eastAsia="Times New Roman" w:cs="Tahoma"/>
                <w:noProof w:val="0"/>
                <w:lang w:eastAsia="en-US"/>
              </w:rPr>
            </w:pPr>
            <w:r w:rsidRPr="00545DB0">
              <w:rPr>
                <w:rFonts w:eastAsia="Times New Roman" w:cs="Tahoma"/>
                <w:noProof w:val="0"/>
                <w:lang w:eastAsia="en-US"/>
              </w:rPr>
              <w:t xml:space="preserve">I can easily finish my </w:t>
            </w:r>
            <w:proofErr w:type="gramStart"/>
            <w:r w:rsidRPr="00545DB0">
              <w:rPr>
                <w:rFonts w:eastAsia="Times New Roman" w:cs="Tahoma"/>
                <w:noProof w:val="0"/>
                <w:lang w:eastAsia="en-US"/>
              </w:rPr>
              <w:t>subjects in online</w:t>
            </w:r>
            <w:r>
              <w:rPr>
                <w:rFonts w:eastAsia="Times New Roman" w:cs="Tahoma"/>
                <w:noProof w:val="0"/>
                <w:lang w:eastAsia="en-US"/>
              </w:rPr>
              <w:t xml:space="preserve"> learning</w:t>
            </w:r>
            <w:proofErr w:type="gramEnd"/>
            <w:r w:rsidRPr="00545DB0">
              <w:rPr>
                <w:rFonts w:eastAsia="Times New Roman" w:cs="Tahoma"/>
                <w:noProof w:val="0"/>
                <w:lang w:eastAsia="en-US"/>
              </w:rPr>
              <w:t xml:space="preserve"> than face-to- face.</w:t>
            </w:r>
          </w:p>
        </w:tc>
        <w:tc>
          <w:tcPr>
            <w:tcW w:w="657" w:type="dxa"/>
            <w:noWrap/>
            <w:vAlign w:val="bottom"/>
            <w:hideMark/>
          </w:tcPr>
          <w:p w14:paraId="301C3EC8"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3.34</w:t>
            </w:r>
          </w:p>
        </w:tc>
        <w:tc>
          <w:tcPr>
            <w:tcW w:w="638" w:type="dxa"/>
            <w:noWrap/>
            <w:vAlign w:val="bottom"/>
            <w:hideMark/>
          </w:tcPr>
          <w:p w14:paraId="46A15653"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1.05</w:t>
            </w:r>
          </w:p>
        </w:tc>
        <w:tc>
          <w:tcPr>
            <w:tcW w:w="918" w:type="dxa"/>
            <w:noWrap/>
            <w:vAlign w:val="bottom"/>
            <w:hideMark/>
          </w:tcPr>
          <w:p w14:paraId="3679758F"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Unsure</w:t>
            </w:r>
          </w:p>
        </w:tc>
      </w:tr>
      <w:tr w:rsidR="00CB26D7" w:rsidRPr="00545DB0" w14:paraId="08815A56" w14:textId="77777777" w:rsidTr="000E140E">
        <w:trPr>
          <w:trHeight w:val="290"/>
        </w:trPr>
        <w:tc>
          <w:tcPr>
            <w:tcW w:w="5738" w:type="dxa"/>
            <w:noWrap/>
            <w:vAlign w:val="center"/>
            <w:hideMark/>
          </w:tcPr>
          <w:p w14:paraId="497F1833" w14:textId="77777777" w:rsidR="00CB26D7" w:rsidRPr="00545DB0" w:rsidRDefault="00CB26D7" w:rsidP="000E140E">
            <w:pPr>
              <w:spacing w:line="240" w:lineRule="auto"/>
              <w:jc w:val="left"/>
              <w:rPr>
                <w:rFonts w:eastAsia="Times New Roman" w:cs="Tahoma"/>
                <w:noProof w:val="0"/>
                <w:lang w:eastAsia="en-US"/>
              </w:rPr>
            </w:pPr>
            <w:r w:rsidRPr="00545DB0">
              <w:rPr>
                <w:rFonts w:eastAsia="Times New Roman" w:cs="Tahoma"/>
                <w:noProof w:val="0"/>
                <w:lang w:eastAsia="en-US"/>
              </w:rPr>
              <w:t>I can perform better than my classmates.</w:t>
            </w:r>
          </w:p>
        </w:tc>
        <w:tc>
          <w:tcPr>
            <w:tcW w:w="657" w:type="dxa"/>
            <w:noWrap/>
            <w:vAlign w:val="bottom"/>
            <w:hideMark/>
          </w:tcPr>
          <w:p w14:paraId="2BD041C2"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2.81</w:t>
            </w:r>
          </w:p>
        </w:tc>
        <w:tc>
          <w:tcPr>
            <w:tcW w:w="638" w:type="dxa"/>
            <w:noWrap/>
            <w:vAlign w:val="bottom"/>
            <w:hideMark/>
          </w:tcPr>
          <w:p w14:paraId="6F777229"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0.91</w:t>
            </w:r>
          </w:p>
        </w:tc>
        <w:tc>
          <w:tcPr>
            <w:tcW w:w="918" w:type="dxa"/>
            <w:noWrap/>
            <w:vAlign w:val="bottom"/>
            <w:hideMark/>
          </w:tcPr>
          <w:p w14:paraId="5463820F"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Unsure</w:t>
            </w:r>
          </w:p>
        </w:tc>
      </w:tr>
      <w:tr w:rsidR="00CB26D7" w:rsidRPr="00545DB0" w14:paraId="3218F9B8" w14:textId="77777777" w:rsidTr="000E140E">
        <w:trPr>
          <w:trHeight w:val="290"/>
        </w:trPr>
        <w:tc>
          <w:tcPr>
            <w:tcW w:w="5738" w:type="dxa"/>
            <w:noWrap/>
            <w:vAlign w:val="center"/>
            <w:hideMark/>
          </w:tcPr>
          <w:p w14:paraId="65734365" w14:textId="77777777" w:rsidR="00CB26D7" w:rsidRPr="00545DB0" w:rsidRDefault="00CB26D7" w:rsidP="000E140E">
            <w:pPr>
              <w:spacing w:line="240" w:lineRule="auto"/>
              <w:jc w:val="left"/>
              <w:rPr>
                <w:rFonts w:eastAsia="Times New Roman" w:cs="Tahoma"/>
                <w:noProof w:val="0"/>
                <w:lang w:eastAsia="en-US"/>
              </w:rPr>
            </w:pPr>
            <w:r w:rsidRPr="00545DB0">
              <w:rPr>
                <w:rFonts w:eastAsia="Times New Roman" w:cs="Tahoma"/>
                <w:noProof w:val="0"/>
                <w:lang w:eastAsia="en-US"/>
              </w:rPr>
              <w:t>I can perform better than my schoolmates.</w:t>
            </w:r>
          </w:p>
        </w:tc>
        <w:tc>
          <w:tcPr>
            <w:tcW w:w="657" w:type="dxa"/>
            <w:noWrap/>
            <w:vAlign w:val="bottom"/>
            <w:hideMark/>
          </w:tcPr>
          <w:p w14:paraId="11ED75B3"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2.80</w:t>
            </w:r>
          </w:p>
        </w:tc>
        <w:tc>
          <w:tcPr>
            <w:tcW w:w="638" w:type="dxa"/>
            <w:noWrap/>
            <w:vAlign w:val="bottom"/>
            <w:hideMark/>
          </w:tcPr>
          <w:p w14:paraId="5DC91F1B"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0.91</w:t>
            </w:r>
          </w:p>
        </w:tc>
        <w:tc>
          <w:tcPr>
            <w:tcW w:w="918" w:type="dxa"/>
            <w:noWrap/>
            <w:vAlign w:val="bottom"/>
            <w:hideMark/>
          </w:tcPr>
          <w:p w14:paraId="07BB28CD"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Unsure</w:t>
            </w:r>
          </w:p>
        </w:tc>
      </w:tr>
      <w:tr w:rsidR="00CB26D7" w:rsidRPr="00545DB0" w14:paraId="5DFA7D0D" w14:textId="77777777" w:rsidTr="000E140E">
        <w:trPr>
          <w:trHeight w:val="290"/>
        </w:trPr>
        <w:tc>
          <w:tcPr>
            <w:tcW w:w="5738" w:type="dxa"/>
            <w:noWrap/>
            <w:vAlign w:val="center"/>
            <w:hideMark/>
          </w:tcPr>
          <w:p w14:paraId="0330D8FF" w14:textId="77777777" w:rsidR="00CB26D7" w:rsidRPr="00545DB0" w:rsidRDefault="00CB26D7" w:rsidP="000E140E">
            <w:pPr>
              <w:spacing w:line="240" w:lineRule="auto"/>
              <w:jc w:val="left"/>
              <w:rPr>
                <w:rFonts w:eastAsia="Times New Roman" w:cs="Tahoma"/>
                <w:noProof w:val="0"/>
                <w:lang w:eastAsia="en-US"/>
              </w:rPr>
            </w:pPr>
            <w:r w:rsidRPr="00545DB0">
              <w:rPr>
                <w:rFonts w:eastAsia="Times New Roman" w:cs="Tahoma"/>
                <w:noProof w:val="0"/>
                <w:lang w:eastAsia="en-US"/>
              </w:rPr>
              <w:t>I can pass my subjects.</w:t>
            </w:r>
          </w:p>
        </w:tc>
        <w:tc>
          <w:tcPr>
            <w:tcW w:w="657" w:type="dxa"/>
            <w:noWrap/>
            <w:vAlign w:val="bottom"/>
            <w:hideMark/>
          </w:tcPr>
          <w:p w14:paraId="04015740"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3.91</w:t>
            </w:r>
          </w:p>
        </w:tc>
        <w:tc>
          <w:tcPr>
            <w:tcW w:w="638" w:type="dxa"/>
            <w:noWrap/>
            <w:vAlign w:val="bottom"/>
            <w:hideMark/>
          </w:tcPr>
          <w:p w14:paraId="427CF6F6"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0.71</w:t>
            </w:r>
          </w:p>
        </w:tc>
        <w:tc>
          <w:tcPr>
            <w:tcW w:w="918" w:type="dxa"/>
            <w:noWrap/>
            <w:vAlign w:val="bottom"/>
            <w:hideMark/>
          </w:tcPr>
          <w:p w14:paraId="4F1B1B7D"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True</w:t>
            </w:r>
          </w:p>
        </w:tc>
      </w:tr>
      <w:tr w:rsidR="00CB26D7" w:rsidRPr="00545DB0" w14:paraId="3F824649" w14:textId="77777777" w:rsidTr="000E140E">
        <w:trPr>
          <w:trHeight w:val="290"/>
        </w:trPr>
        <w:tc>
          <w:tcPr>
            <w:tcW w:w="5738" w:type="dxa"/>
            <w:noWrap/>
            <w:vAlign w:val="center"/>
            <w:hideMark/>
          </w:tcPr>
          <w:p w14:paraId="6D9C321D" w14:textId="77777777" w:rsidR="00CB26D7" w:rsidRPr="00545DB0" w:rsidRDefault="00CB26D7" w:rsidP="000E140E">
            <w:pPr>
              <w:spacing w:line="240" w:lineRule="auto"/>
              <w:jc w:val="left"/>
              <w:rPr>
                <w:rFonts w:eastAsia="Times New Roman" w:cs="Tahoma"/>
                <w:noProof w:val="0"/>
                <w:lang w:eastAsia="en-US"/>
              </w:rPr>
            </w:pPr>
            <w:r w:rsidRPr="00545DB0">
              <w:rPr>
                <w:rFonts w:eastAsia="Times New Roman" w:cs="Tahoma"/>
                <w:noProof w:val="0"/>
                <w:lang w:eastAsia="en-US"/>
              </w:rPr>
              <w:t>It takes lesser effort to study for the exam/quizzes online.</w:t>
            </w:r>
          </w:p>
        </w:tc>
        <w:tc>
          <w:tcPr>
            <w:tcW w:w="657" w:type="dxa"/>
            <w:noWrap/>
            <w:vAlign w:val="bottom"/>
            <w:hideMark/>
          </w:tcPr>
          <w:p w14:paraId="1C3B6CF0"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3.00</w:t>
            </w:r>
          </w:p>
        </w:tc>
        <w:tc>
          <w:tcPr>
            <w:tcW w:w="638" w:type="dxa"/>
            <w:noWrap/>
            <w:vAlign w:val="bottom"/>
            <w:hideMark/>
          </w:tcPr>
          <w:p w14:paraId="2ECEE3F8"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0.99</w:t>
            </w:r>
          </w:p>
        </w:tc>
        <w:tc>
          <w:tcPr>
            <w:tcW w:w="918" w:type="dxa"/>
            <w:noWrap/>
            <w:vAlign w:val="bottom"/>
            <w:hideMark/>
          </w:tcPr>
          <w:p w14:paraId="520C5E16"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Unsure</w:t>
            </w:r>
          </w:p>
        </w:tc>
      </w:tr>
      <w:tr w:rsidR="00CB26D7" w:rsidRPr="00545DB0" w14:paraId="0AE33E1F" w14:textId="77777777" w:rsidTr="000E140E">
        <w:trPr>
          <w:trHeight w:val="290"/>
        </w:trPr>
        <w:tc>
          <w:tcPr>
            <w:tcW w:w="5738" w:type="dxa"/>
            <w:noWrap/>
            <w:vAlign w:val="center"/>
            <w:hideMark/>
          </w:tcPr>
          <w:p w14:paraId="03CF45A0" w14:textId="77777777" w:rsidR="00CB26D7" w:rsidRPr="00545DB0" w:rsidRDefault="00CB26D7" w:rsidP="000E140E">
            <w:pPr>
              <w:spacing w:line="240" w:lineRule="auto"/>
              <w:jc w:val="left"/>
              <w:rPr>
                <w:rFonts w:eastAsia="Times New Roman" w:cs="Tahoma"/>
                <w:noProof w:val="0"/>
                <w:lang w:eastAsia="en-US"/>
              </w:rPr>
            </w:pPr>
            <w:r w:rsidRPr="00545DB0">
              <w:rPr>
                <w:rFonts w:eastAsia="Times New Roman" w:cs="Tahoma"/>
                <w:noProof w:val="0"/>
                <w:lang w:eastAsia="en-US"/>
              </w:rPr>
              <w:t xml:space="preserve">It takes </w:t>
            </w:r>
            <w:proofErr w:type="gramStart"/>
            <w:r w:rsidRPr="00545DB0">
              <w:rPr>
                <w:rFonts w:eastAsia="Times New Roman" w:cs="Tahoma"/>
                <w:noProof w:val="0"/>
                <w:lang w:eastAsia="en-US"/>
              </w:rPr>
              <w:t>lesser</w:t>
            </w:r>
            <w:proofErr w:type="gramEnd"/>
            <w:r w:rsidRPr="00545DB0">
              <w:rPr>
                <w:rFonts w:eastAsia="Times New Roman" w:cs="Tahoma"/>
                <w:noProof w:val="0"/>
                <w:lang w:eastAsia="en-US"/>
              </w:rPr>
              <w:t xml:space="preserve"> effort to understand the topics in an online class.</w:t>
            </w:r>
          </w:p>
        </w:tc>
        <w:tc>
          <w:tcPr>
            <w:tcW w:w="657" w:type="dxa"/>
            <w:noWrap/>
            <w:vAlign w:val="bottom"/>
            <w:hideMark/>
          </w:tcPr>
          <w:p w14:paraId="41AEBC34"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2.89</w:t>
            </w:r>
          </w:p>
        </w:tc>
        <w:tc>
          <w:tcPr>
            <w:tcW w:w="638" w:type="dxa"/>
            <w:noWrap/>
            <w:vAlign w:val="bottom"/>
            <w:hideMark/>
          </w:tcPr>
          <w:p w14:paraId="6776EFC1"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0.95</w:t>
            </w:r>
          </w:p>
        </w:tc>
        <w:tc>
          <w:tcPr>
            <w:tcW w:w="918" w:type="dxa"/>
            <w:noWrap/>
            <w:vAlign w:val="bottom"/>
            <w:hideMark/>
          </w:tcPr>
          <w:p w14:paraId="58D8A949"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Unsure</w:t>
            </w:r>
          </w:p>
        </w:tc>
      </w:tr>
      <w:tr w:rsidR="00CB26D7" w:rsidRPr="00545DB0" w14:paraId="0BAFD9C0" w14:textId="77777777" w:rsidTr="000E140E">
        <w:trPr>
          <w:trHeight w:val="290"/>
        </w:trPr>
        <w:tc>
          <w:tcPr>
            <w:tcW w:w="5738" w:type="dxa"/>
            <w:noWrap/>
            <w:vAlign w:val="center"/>
            <w:hideMark/>
          </w:tcPr>
          <w:p w14:paraId="4AD2F49E" w14:textId="77777777" w:rsidR="00CB26D7" w:rsidRPr="00545DB0" w:rsidRDefault="00CB26D7" w:rsidP="000E140E">
            <w:pPr>
              <w:spacing w:line="240" w:lineRule="auto"/>
              <w:jc w:val="left"/>
              <w:rPr>
                <w:rFonts w:eastAsia="Times New Roman" w:cs="Tahoma"/>
                <w:noProof w:val="0"/>
                <w:lang w:eastAsia="en-US"/>
              </w:rPr>
            </w:pPr>
            <w:r w:rsidRPr="00545DB0">
              <w:rPr>
                <w:rFonts w:eastAsia="Times New Roman" w:cs="Tahoma"/>
                <w:noProof w:val="0"/>
                <w:lang w:eastAsia="en-US"/>
              </w:rPr>
              <w:t xml:space="preserve">It takes </w:t>
            </w:r>
            <w:proofErr w:type="gramStart"/>
            <w:r w:rsidRPr="00545DB0">
              <w:rPr>
                <w:rFonts w:eastAsia="Times New Roman" w:cs="Tahoma"/>
                <w:noProof w:val="0"/>
                <w:lang w:eastAsia="en-US"/>
              </w:rPr>
              <w:t>lesser</w:t>
            </w:r>
            <w:proofErr w:type="gramEnd"/>
            <w:r w:rsidRPr="00545DB0">
              <w:rPr>
                <w:rFonts w:eastAsia="Times New Roman" w:cs="Tahoma"/>
                <w:noProof w:val="0"/>
                <w:lang w:eastAsia="en-US"/>
              </w:rPr>
              <w:t xml:space="preserve"> effort to do assignments in online learning.</w:t>
            </w:r>
          </w:p>
        </w:tc>
        <w:tc>
          <w:tcPr>
            <w:tcW w:w="657" w:type="dxa"/>
            <w:noWrap/>
            <w:vAlign w:val="bottom"/>
            <w:hideMark/>
          </w:tcPr>
          <w:p w14:paraId="19FF2492"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3.15</w:t>
            </w:r>
          </w:p>
        </w:tc>
        <w:tc>
          <w:tcPr>
            <w:tcW w:w="638" w:type="dxa"/>
            <w:noWrap/>
            <w:vAlign w:val="bottom"/>
            <w:hideMark/>
          </w:tcPr>
          <w:p w14:paraId="6C2AC057"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0.95</w:t>
            </w:r>
          </w:p>
        </w:tc>
        <w:tc>
          <w:tcPr>
            <w:tcW w:w="918" w:type="dxa"/>
            <w:noWrap/>
            <w:vAlign w:val="bottom"/>
            <w:hideMark/>
          </w:tcPr>
          <w:p w14:paraId="3F21B880"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Unsure</w:t>
            </w:r>
          </w:p>
        </w:tc>
      </w:tr>
      <w:tr w:rsidR="00CB26D7" w:rsidRPr="00545DB0" w14:paraId="752FF3AB" w14:textId="77777777" w:rsidTr="000E140E">
        <w:trPr>
          <w:trHeight w:val="290"/>
        </w:trPr>
        <w:tc>
          <w:tcPr>
            <w:tcW w:w="5738" w:type="dxa"/>
            <w:noWrap/>
            <w:vAlign w:val="center"/>
            <w:hideMark/>
          </w:tcPr>
          <w:p w14:paraId="744146A8" w14:textId="77777777" w:rsidR="00CB26D7" w:rsidRPr="00545DB0" w:rsidRDefault="00CB26D7" w:rsidP="000E140E">
            <w:pPr>
              <w:spacing w:line="240" w:lineRule="auto"/>
              <w:jc w:val="left"/>
              <w:rPr>
                <w:rFonts w:eastAsia="Times New Roman" w:cs="Tahoma"/>
                <w:noProof w:val="0"/>
                <w:lang w:eastAsia="en-US"/>
              </w:rPr>
            </w:pPr>
            <w:r w:rsidRPr="00545DB0">
              <w:rPr>
                <w:rFonts w:eastAsia="Times New Roman" w:cs="Tahoma"/>
                <w:noProof w:val="0"/>
                <w:lang w:eastAsia="en-US"/>
              </w:rPr>
              <w:t xml:space="preserve">Overall, it takes </w:t>
            </w:r>
            <w:proofErr w:type="gramStart"/>
            <w:r w:rsidRPr="00545DB0">
              <w:rPr>
                <w:rFonts w:eastAsia="Times New Roman" w:cs="Tahoma"/>
                <w:noProof w:val="0"/>
                <w:lang w:eastAsia="en-US"/>
              </w:rPr>
              <w:t>lesser</w:t>
            </w:r>
            <w:proofErr w:type="gramEnd"/>
            <w:r w:rsidRPr="00545DB0">
              <w:rPr>
                <w:rFonts w:eastAsia="Times New Roman" w:cs="Tahoma"/>
                <w:noProof w:val="0"/>
                <w:lang w:eastAsia="en-US"/>
              </w:rPr>
              <w:t xml:space="preserve"> effort to </w:t>
            </w:r>
            <w:proofErr w:type="gramStart"/>
            <w:r w:rsidRPr="00545DB0">
              <w:rPr>
                <w:rFonts w:eastAsia="Times New Roman" w:cs="Tahoma"/>
                <w:noProof w:val="0"/>
                <w:lang w:eastAsia="en-US"/>
              </w:rPr>
              <w:t>study in</w:t>
            </w:r>
            <w:proofErr w:type="gramEnd"/>
            <w:r w:rsidRPr="00545DB0">
              <w:rPr>
                <w:rFonts w:eastAsia="Times New Roman" w:cs="Tahoma"/>
                <w:noProof w:val="0"/>
                <w:lang w:eastAsia="en-US"/>
              </w:rPr>
              <w:t xml:space="preserve"> online learning.</w:t>
            </w:r>
          </w:p>
        </w:tc>
        <w:tc>
          <w:tcPr>
            <w:tcW w:w="657" w:type="dxa"/>
            <w:noWrap/>
            <w:vAlign w:val="bottom"/>
            <w:hideMark/>
          </w:tcPr>
          <w:p w14:paraId="074085CF"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2.97</w:t>
            </w:r>
          </w:p>
        </w:tc>
        <w:tc>
          <w:tcPr>
            <w:tcW w:w="638" w:type="dxa"/>
            <w:noWrap/>
            <w:vAlign w:val="bottom"/>
            <w:hideMark/>
          </w:tcPr>
          <w:p w14:paraId="515A0388"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1.00</w:t>
            </w:r>
          </w:p>
        </w:tc>
        <w:tc>
          <w:tcPr>
            <w:tcW w:w="918" w:type="dxa"/>
            <w:noWrap/>
            <w:vAlign w:val="bottom"/>
            <w:hideMark/>
          </w:tcPr>
          <w:p w14:paraId="05464E21" w14:textId="77777777" w:rsidR="00CB26D7" w:rsidRPr="00545DB0" w:rsidRDefault="00CB26D7" w:rsidP="000E140E">
            <w:pPr>
              <w:spacing w:line="240" w:lineRule="auto"/>
              <w:jc w:val="center"/>
              <w:rPr>
                <w:rFonts w:eastAsia="Times New Roman" w:cs="Tahoma"/>
                <w:noProof w:val="0"/>
                <w:lang w:eastAsia="en-US"/>
              </w:rPr>
            </w:pPr>
            <w:r w:rsidRPr="00545DB0">
              <w:rPr>
                <w:rFonts w:eastAsia="Times New Roman" w:cs="Tahoma"/>
                <w:noProof w:val="0"/>
                <w:lang w:eastAsia="en-US"/>
              </w:rPr>
              <w:t>Unsure</w:t>
            </w:r>
          </w:p>
        </w:tc>
      </w:tr>
      <w:tr w:rsidR="00CB26D7" w:rsidRPr="00545DB0" w14:paraId="5662984F" w14:textId="77777777" w:rsidTr="000E140E">
        <w:trPr>
          <w:trHeight w:val="290"/>
        </w:trPr>
        <w:tc>
          <w:tcPr>
            <w:tcW w:w="5738" w:type="dxa"/>
            <w:noWrap/>
            <w:vAlign w:val="center"/>
            <w:hideMark/>
          </w:tcPr>
          <w:p w14:paraId="4BA3E35A" w14:textId="77777777" w:rsidR="00CB26D7" w:rsidRPr="00545DB0" w:rsidRDefault="00CB26D7" w:rsidP="000E140E">
            <w:pPr>
              <w:spacing w:line="240" w:lineRule="auto"/>
              <w:jc w:val="left"/>
              <w:rPr>
                <w:rFonts w:eastAsia="Times New Roman" w:cs="Tahoma"/>
                <w:b/>
                <w:bCs/>
                <w:noProof w:val="0"/>
                <w:lang w:eastAsia="en-US"/>
              </w:rPr>
            </w:pPr>
            <w:r w:rsidRPr="00545DB0">
              <w:rPr>
                <w:rFonts w:eastAsia="Times New Roman" w:cs="Tahoma"/>
                <w:b/>
                <w:bCs/>
                <w:noProof w:val="0"/>
                <w:lang w:eastAsia="en-US"/>
              </w:rPr>
              <w:t>Overall</w:t>
            </w:r>
          </w:p>
        </w:tc>
        <w:tc>
          <w:tcPr>
            <w:tcW w:w="657" w:type="dxa"/>
            <w:noWrap/>
            <w:vAlign w:val="bottom"/>
            <w:hideMark/>
          </w:tcPr>
          <w:p w14:paraId="6955D3D3" w14:textId="77777777" w:rsidR="00CB26D7" w:rsidRPr="00545DB0" w:rsidRDefault="00CB26D7" w:rsidP="000E140E">
            <w:pPr>
              <w:spacing w:line="240" w:lineRule="auto"/>
              <w:jc w:val="center"/>
              <w:rPr>
                <w:rFonts w:eastAsia="Times New Roman" w:cs="Tahoma"/>
                <w:b/>
                <w:bCs/>
                <w:noProof w:val="0"/>
                <w:lang w:eastAsia="en-US"/>
              </w:rPr>
            </w:pPr>
            <w:r w:rsidRPr="00545DB0">
              <w:rPr>
                <w:rFonts w:eastAsia="Times New Roman" w:cs="Tahoma"/>
                <w:b/>
                <w:bCs/>
                <w:noProof w:val="0"/>
                <w:lang w:eastAsia="en-US"/>
              </w:rPr>
              <w:t>3.31</w:t>
            </w:r>
          </w:p>
        </w:tc>
        <w:tc>
          <w:tcPr>
            <w:tcW w:w="638" w:type="dxa"/>
            <w:noWrap/>
            <w:vAlign w:val="bottom"/>
            <w:hideMark/>
          </w:tcPr>
          <w:p w14:paraId="1CAC4795" w14:textId="77777777" w:rsidR="00CB26D7" w:rsidRPr="00545DB0" w:rsidRDefault="00CB26D7" w:rsidP="000E140E">
            <w:pPr>
              <w:spacing w:line="240" w:lineRule="auto"/>
              <w:jc w:val="center"/>
              <w:rPr>
                <w:rFonts w:eastAsia="Times New Roman" w:cs="Tahoma"/>
                <w:b/>
                <w:bCs/>
                <w:noProof w:val="0"/>
                <w:lang w:eastAsia="en-US"/>
              </w:rPr>
            </w:pPr>
            <w:r w:rsidRPr="00545DB0">
              <w:rPr>
                <w:rFonts w:eastAsia="Times New Roman" w:cs="Tahoma"/>
                <w:b/>
                <w:bCs/>
                <w:noProof w:val="0"/>
                <w:lang w:eastAsia="en-US"/>
              </w:rPr>
              <w:t>0.92</w:t>
            </w:r>
          </w:p>
        </w:tc>
        <w:tc>
          <w:tcPr>
            <w:tcW w:w="918" w:type="dxa"/>
            <w:noWrap/>
            <w:vAlign w:val="bottom"/>
            <w:hideMark/>
          </w:tcPr>
          <w:p w14:paraId="1842D142" w14:textId="77777777" w:rsidR="00CB26D7" w:rsidRPr="00545DB0" w:rsidRDefault="00CB26D7" w:rsidP="000E140E">
            <w:pPr>
              <w:spacing w:line="240" w:lineRule="auto"/>
              <w:jc w:val="center"/>
              <w:rPr>
                <w:rFonts w:eastAsia="Times New Roman" w:cs="Tahoma"/>
                <w:b/>
                <w:bCs/>
                <w:noProof w:val="0"/>
                <w:lang w:eastAsia="en-US"/>
              </w:rPr>
            </w:pPr>
            <w:r w:rsidRPr="00545DB0">
              <w:rPr>
                <w:rFonts w:eastAsia="Times New Roman" w:cs="Tahoma"/>
                <w:b/>
                <w:bCs/>
                <w:noProof w:val="0"/>
                <w:lang w:eastAsia="en-US"/>
              </w:rPr>
              <w:t>unsure</w:t>
            </w:r>
          </w:p>
        </w:tc>
      </w:tr>
    </w:tbl>
    <w:p w14:paraId="1F79E58B" w14:textId="77777777" w:rsidR="00CB26D7" w:rsidRDefault="00CB26D7" w:rsidP="00CB26D7">
      <w:pPr>
        <w:pStyle w:val="MDPI21heading1"/>
        <w:ind w:firstLine="452"/>
        <w:jc w:val="both"/>
        <w:rPr>
          <w:b w:val="0"/>
        </w:rPr>
      </w:pPr>
      <w:r w:rsidRPr="00D41234">
        <w:rPr>
          <w:rFonts w:eastAsiaTheme="minorHAnsi" w:cs="Tahoma"/>
          <w:b w:val="0"/>
          <w:color w:val="auto"/>
          <w:lang w:eastAsia="en-US"/>
        </w:rPr>
        <w:t xml:space="preserve">The results revealed that students' self-concept in terms of </w:t>
      </w:r>
      <w:r w:rsidRPr="00D41234">
        <w:rPr>
          <w:rFonts w:eastAsiaTheme="minorHAnsi" w:cs="Tahoma"/>
          <w:b w:val="0"/>
          <w:bCs/>
          <w:color w:val="auto"/>
          <w:lang w:eastAsia="en-US"/>
        </w:rPr>
        <w:t>Mathematical Ability</w:t>
      </w:r>
      <w:r w:rsidRPr="00D41234">
        <w:rPr>
          <w:rFonts w:eastAsiaTheme="minorHAnsi" w:cs="Tahoma"/>
          <w:b w:val="0"/>
          <w:color w:val="auto"/>
          <w:lang w:eastAsia="en-US"/>
        </w:rPr>
        <w:t xml:space="preserve"> shows </w:t>
      </w:r>
      <w:r>
        <w:rPr>
          <w:rFonts w:eastAsiaTheme="minorHAnsi" w:cs="Tahoma"/>
          <w:b w:val="0"/>
          <w:color w:val="auto"/>
          <w:lang w:eastAsia="en-US"/>
        </w:rPr>
        <w:t>different</w:t>
      </w:r>
      <w:r w:rsidRPr="00D41234">
        <w:rPr>
          <w:rFonts w:eastAsiaTheme="minorHAnsi" w:cs="Tahoma"/>
          <w:b w:val="0"/>
          <w:color w:val="auto"/>
          <w:lang w:eastAsia="en-US"/>
        </w:rPr>
        <w:t xml:space="preserve"> outcomes regarding their experiences with online learning. Students agree that they can get good grades with a </w:t>
      </w:r>
      <w:r w:rsidRPr="00D41234">
        <w:rPr>
          <w:rFonts w:eastAsiaTheme="minorHAnsi" w:cs="Tahoma"/>
          <w:b w:val="0"/>
          <w:bCs/>
          <w:color w:val="auto"/>
          <w:lang w:eastAsia="en-US"/>
        </w:rPr>
        <w:t>mean of 3.76 with standard deviation of 0.80</w:t>
      </w:r>
      <w:r w:rsidRPr="00D41234">
        <w:rPr>
          <w:rFonts w:eastAsiaTheme="minorHAnsi" w:cs="Tahoma"/>
          <w:b w:val="0"/>
          <w:color w:val="auto"/>
          <w:lang w:eastAsia="en-US"/>
        </w:rPr>
        <w:t xml:space="preserve">, submit activities easily </w:t>
      </w:r>
      <w:r>
        <w:rPr>
          <w:rFonts w:eastAsiaTheme="minorHAnsi" w:cs="Tahoma"/>
          <w:b w:val="0"/>
          <w:color w:val="auto"/>
          <w:lang w:eastAsia="en-US"/>
        </w:rPr>
        <w:t>with a m</w:t>
      </w:r>
      <w:r w:rsidRPr="00D41234">
        <w:rPr>
          <w:rFonts w:eastAsiaTheme="minorHAnsi" w:cs="Tahoma"/>
          <w:b w:val="0"/>
          <w:bCs/>
          <w:color w:val="auto"/>
          <w:lang w:eastAsia="en-US"/>
        </w:rPr>
        <w:t>ean</w:t>
      </w:r>
      <w:r>
        <w:rPr>
          <w:rFonts w:eastAsiaTheme="minorHAnsi" w:cs="Tahoma"/>
          <w:b w:val="0"/>
          <w:bCs/>
          <w:color w:val="auto"/>
          <w:lang w:eastAsia="en-US"/>
        </w:rPr>
        <w:t xml:space="preserve"> of </w:t>
      </w:r>
      <w:r w:rsidRPr="00D41234">
        <w:rPr>
          <w:rFonts w:eastAsiaTheme="minorHAnsi" w:cs="Tahoma"/>
          <w:b w:val="0"/>
          <w:bCs/>
          <w:color w:val="auto"/>
          <w:lang w:eastAsia="en-US"/>
        </w:rPr>
        <w:t>3.66</w:t>
      </w:r>
      <w:r>
        <w:rPr>
          <w:rFonts w:eastAsiaTheme="minorHAnsi" w:cs="Tahoma"/>
          <w:b w:val="0"/>
          <w:bCs/>
          <w:color w:val="auto"/>
          <w:lang w:eastAsia="en-US"/>
        </w:rPr>
        <w:t xml:space="preserve"> and a standard deviation of </w:t>
      </w:r>
      <w:r w:rsidRPr="00D41234">
        <w:rPr>
          <w:rFonts w:eastAsiaTheme="minorHAnsi" w:cs="Tahoma"/>
          <w:b w:val="0"/>
          <w:bCs/>
          <w:color w:val="auto"/>
          <w:lang w:eastAsia="en-US"/>
        </w:rPr>
        <w:t>0.92</w:t>
      </w:r>
      <w:r w:rsidRPr="00D41234">
        <w:rPr>
          <w:rFonts w:eastAsiaTheme="minorHAnsi" w:cs="Tahoma"/>
          <w:b w:val="0"/>
          <w:color w:val="auto"/>
          <w:lang w:eastAsia="en-US"/>
        </w:rPr>
        <w:t>, attend classes (</w:t>
      </w:r>
      <w:r w:rsidRPr="00D41234">
        <w:rPr>
          <w:rFonts w:eastAsiaTheme="minorHAnsi" w:cs="Tahoma"/>
          <w:b w:val="0"/>
          <w:bCs/>
          <w:color w:val="auto"/>
          <w:lang w:eastAsia="en-US"/>
        </w:rPr>
        <w:t>Mean: 3.70, SD: 0.97</w:t>
      </w:r>
      <w:r w:rsidRPr="00D41234">
        <w:rPr>
          <w:rFonts w:eastAsiaTheme="minorHAnsi" w:cs="Tahoma"/>
          <w:b w:val="0"/>
          <w:color w:val="auto"/>
          <w:lang w:eastAsia="en-US"/>
        </w:rPr>
        <w:t>), and pass subjects (</w:t>
      </w:r>
      <w:r w:rsidRPr="00D41234">
        <w:rPr>
          <w:rFonts w:eastAsiaTheme="minorHAnsi" w:cs="Tahoma"/>
          <w:b w:val="0"/>
          <w:bCs/>
          <w:color w:val="auto"/>
          <w:lang w:eastAsia="en-US"/>
        </w:rPr>
        <w:t>Mean: 3.91, SD: 0.71</w:t>
      </w:r>
      <w:r w:rsidRPr="00D41234">
        <w:rPr>
          <w:rFonts w:eastAsiaTheme="minorHAnsi" w:cs="Tahoma"/>
          <w:b w:val="0"/>
          <w:color w:val="auto"/>
          <w:lang w:eastAsia="en-US"/>
        </w:rPr>
        <w:t>). However, they are uncertain about understanding lessons (</w:t>
      </w:r>
      <w:r w:rsidRPr="00D41234">
        <w:rPr>
          <w:rFonts w:eastAsiaTheme="minorHAnsi" w:cs="Tahoma"/>
          <w:b w:val="0"/>
          <w:bCs/>
          <w:color w:val="auto"/>
          <w:lang w:eastAsia="en-US"/>
        </w:rPr>
        <w:t>Mean: 3.23, SD: 0.87</w:t>
      </w:r>
      <w:r w:rsidRPr="00D41234">
        <w:rPr>
          <w:rFonts w:eastAsiaTheme="minorHAnsi" w:cs="Tahoma"/>
          <w:b w:val="0"/>
          <w:color w:val="auto"/>
          <w:lang w:eastAsia="en-US"/>
        </w:rPr>
        <w:t>), recalling what they have learned (</w:t>
      </w:r>
      <w:r w:rsidRPr="00D41234">
        <w:rPr>
          <w:rFonts w:eastAsiaTheme="minorHAnsi" w:cs="Tahoma"/>
          <w:b w:val="0"/>
          <w:bCs/>
          <w:color w:val="auto"/>
          <w:lang w:eastAsia="en-US"/>
        </w:rPr>
        <w:t>Mean: 3.36, SD: 0.97</w:t>
      </w:r>
      <w:r w:rsidRPr="00D41234">
        <w:rPr>
          <w:rFonts w:eastAsiaTheme="minorHAnsi" w:cs="Tahoma"/>
          <w:b w:val="0"/>
          <w:color w:val="auto"/>
          <w:lang w:eastAsia="en-US"/>
        </w:rPr>
        <w:t>), and performing better than peers (</w:t>
      </w:r>
      <w:r w:rsidRPr="00D41234">
        <w:rPr>
          <w:rFonts w:eastAsiaTheme="minorHAnsi" w:cs="Tahoma"/>
          <w:b w:val="0"/>
          <w:bCs/>
          <w:color w:val="auto"/>
          <w:lang w:eastAsia="en-US"/>
        </w:rPr>
        <w:t>Mean: 2.80–2.81</w:t>
      </w:r>
      <w:r w:rsidRPr="00D41234">
        <w:rPr>
          <w:rFonts w:eastAsiaTheme="minorHAnsi" w:cs="Tahoma"/>
          <w:b w:val="0"/>
          <w:color w:val="auto"/>
          <w:lang w:eastAsia="en-US"/>
        </w:rPr>
        <w:t>). Efforts to study and understand topics also remain unclear (</w:t>
      </w:r>
      <w:r w:rsidRPr="00D41234">
        <w:rPr>
          <w:rFonts w:eastAsiaTheme="minorHAnsi" w:cs="Tahoma"/>
          <w:b w:val="0"/>
          <w:bCs/>
          <w:color w:val="auto"/>
          <w:lang w:eastAsia="en-US"/>
        </w:rPr>
        <w:t>Mean: 2.89–3.15</w:t>
      </w:r>
      <w:r w:rsidRPr="00D41234">
        <w:rPr>
          <w:rFonts w:eastAsiaTheme="minorHAnsi" w:cs="Tahoma"/>
          <w:b w:val="0"/>
          <w:color w:val="auto"/>
          <w:lang w:eastAsia="en-US"/>
        </w:rPr>
        <w:t xml:space="preserve">). </w:t>
      </w:r>
      <w:r w:rsidRPr="00D83D32">
        <w:rPr>
          <w:b w:val="0"/>
        </w:rPr>
        <w:t xml:space="preserve">Overall, with a mean of 3.31 and a standard deviation of 0.92, students find online learning beneficial for accessibility and task completion but struggle with comprehension and relative performance. The shift toward flexible learning modalities has redefined how students engage with education, particularly in mathematics. These changes have brought both opportunities and challenges, especially in a subject that demands strong problem-solving skills and conceptual understanding </w:t>
      </w:r>
      <m:oMath>
        <m:d>
          <m:dPr>
            <m:begChr m:val="["/>
            <m:endChr m:val="]"/>
            <m:ctrlPr>
              <w:rPr>
                <w:rFonts w:ascii="Cambria Math" w:eastAsiaTheme="minorEastAsia" w:hAnsi="Cambria Math"/>
                <w:b w:val="0"/>
                <w:i/>
                <w:noProof/>
                <w:snapToGrid/>
                <w:szCs w:val="20"/>
                <w:lang w:eastAsia="zh-CN" w:bidi="ar-SA"/>
              </w:rPr>
            </m:ctrlPr>
          </m:dPr>
          <m:e>
            <m:r>
              <m:rPr>
                <m:sty m:val="bi"/>
              </m:rPr>
              <w:rPr>
                <w:rFonts w:ascii="Cambria Math" w:hAnsi="Cambria Math"/>
                <w:szCs w:val="20"/>
              </w:rPr>
              <m:t>3</m:t>
            </m:r>
          </m:e>
        </m:d>
      </m:oMath>
      <w:r w:rsidRPr="00D83D32">
        <w:rPr>
          <w:b w:val="0"/>
        </w:rPr>
        <w:t xml:space="preserve">. </w:t>
      </w:r>
    </w:p>
    <w:p w14:paraId="2267CCFB" w14:textId="77777777" w:rsidR="00CB26D7" w:rsidRDefault="00CB26D7" w:rsidP="00CB26D7">
      <w:pPr>
        <w:pStyle w:val="NoSpacing"/>
        <w:ind w:left="2610"/>
        <w:jc w:val="both"/>
        <w:rPr>
          <w:rFonts w:cs="Tahoma"/>
          <w:b/>
        </w:rPr>
      </w:pPr>
      <w:r w:rsidRPr="00D83D32">
        <w:rPr>
          <w:rFonts w:ascii="Palatino Linotype" w:hAnsi="Palatino Linotype" w:cs="Tahoma"/>
          <w:sz w:val="20"/>
          <w:szCs w:val="20"/>
        </w:rPr>
        <w:t>Table 2. Mathematics self-concept of students in terms of mathematics interest</w:t>
      </w:r>
    </w:p>
    <w:tbl>
      <w:tblPr>
        <w:tblW w:w="7920" w:type="dxa"/>
        <w:tblInd w:w="2515" w:type="dxa"/>
        <w:tblBorders>
          <w:top w:val="single" w:sz="4" w:space="0" w:color="auto"/>
          <w:bottom w:val="single" w:sz="4" w:space="0" w:color="auto"/>
          <w:insideH w:val="single" w:sz="4" w:space="0" w:color="auto"/>
        </w:tblBorders>
        <w:tblLook w:val="04A0" w:firstRow="1" w:lastRow="0" w:firstColumn="1" w:lastColumn="0" w:noHBand="0" w:noVBand="1"/>
      </w:tblPr>
      <w:tblGrid>
        <w:gridCol w:w="5675"/>
        <w:gridCol w:w="765"/>
        <w:gridCol w:w="566"/>
        <w:gridCol w:w="914"/>
      </w:tblGrid>
      <w:tr w:rsidR="00CB26D7" w:rsidRPr="00D41234" w14:paraId="5B914FD7" w14:textId="77777777" w:rsidTr="000E140E">
        <w:trPr>
          <w:trHeight w:val="301"/>
        </w:trPr>
        <w:tc>
          <w:tcPr>
            <w:tcW w:w="5675" w:type="dxa"/>
            <w:noWrap/>
            <w:vAlign w:val="bottom"/>
            <w:hideMark/>
          </w:tcPr>
          <w:p w14:paraId="032F779A" w14:textId="77777777" w:rsidR="00CB26D7" w:rsidRPr="00D41234" w:rsidRDefault="00CB26D7" w:rsidP="000E140E">
            <w:pPr>
              <w:spacing w:line="240" w:lineRule="auto"/>
              <w:jc w:val="center"/>
              <w:rPr>
                <w:rFonts w:eastAsia="Times New Roman" w:cs="Calibri"/>
                <w:b/>
                <w:bCs/>
                <w:noProof w:val="0"/>
                <w:lang w:eastAsia="en-US"/>
              </w:rPr>
            </w:pPr>
            <w:r w:rsidRPr="00D41234">
              <w:rPr>
                <w:rFonts w:eastAsia="Times New Roman" w:cs="Calibri"/>
                <w:b/>
                <w:bCs/>
                <w:noProof w:val="0"/>
                <w:lang w:eastAsia="en-US"/>
              </w:rPr>
              <w:t>STATEMENTS</w:t>
            </w:r>
          </w:p>
        </w:tc>
        <w:tc>
          <w:tcPr>
            <w:tcW w:w="765" w:type="dxa"/>
            <w:noWrap/>
            <w:vAlign w:val="bottom"/>
            <w:hideMark/>
          </w:tcPr>
          <w:p w14:paraId="4F0C0E2F" w14:textId="77777777" w:rsidR="00CB26D7" w:rsidRPr="00D41234" w:rsidRDefault="00000000" w:rsidP="000E140E">
            <w:pPr>
              <w:spacing w:line="240" w:lineRule="auto"/>
              <w:jc w:val="center"/>
              <w:rPr>
                <w:rFonts w:eastAsia="Times New Roman" w:cs="Calibri"/>
                <w:b/>
                <w:bCs/>
                <w:noProof w:val="0"/>
                <w:lang w:eastAsia="en-US"/>
              </w:rPr>
            </w:pPr>
            <m:oMathPara>
              <m:oMath>
                <m:bar>
                  <m:barPr>
                    <m:pos m:val="top"/>
                    <m:ctrlPr>
                      <w:rPr>
                        <w:rFonts w:ascii="Cambria Math" w:eastAsia="Times New Roman" w:hAnsi="Cambria Math" w:cs="Tahoma"/>
                        <w:b/>
                        <w:bCs/>
                        <w:i/>
                        <w:noProof w:val="0"/>
                        <w:lang w:eastAsia="en-US"/>
                      </w:rPr>
                    </m:ctrlPr>
                  </m:barPr>
                  <m:e>
                    <m:r>
                      <m:rPr>
                        <m:sty m:val="bi"/>
                      </m:rPr>
                      <w:rPr>
                        <w:rFonts w:ascii="Cambria Math" w:eastAsia="Times New Roman" w:hAnsi="Cambria Math" w:cs="Tahoma"/>
                        <w:noProof w:val="0"/>
                        <w:lang w:eastAsia="en-US"/>
                      </w:rPr>
                      <m:t>x</m:t>
                    </m:r>
                  </m:e>
                </m:bar>
              </m:oMath>
            </m:oMathPara>
          </w:p>
        </w:tc>
        <w:tc>
          <w:tcPr>
            <w:tcW w:w="566" w:type="dxa"/>
            <w:noWrap/>
            <w:vAlign w:val="bottom"/>
            <w:hideMark/>
          </w:tcPr>
          <w:p w14:paraId="1C89069B" w14:textId="77777777" w:rsidR="00CB26D7" w:rsidRPr="00D41234" w:rsidRDefault="00CB26D7" w:rsidP="000E140E">
            <w:pPr>
              <w:spacing w:line="240" w:lineRule="auto"/>
              <w:jc w:val="center"/>
              <w:rPr>
                <w:rFonts w:eastAsia="Times New Roman" w:cs="Calibri"/>
                <w:b/>
                <w:bCs/>
                <w:noProof w:val="0"/>
                <w:lang w:eastAsia="en-US"/>
              </w:rPr>
            </w:pPr>
            <w:r w:rsidRPr="00D41234">
              <w:rPr>
                <w:rFonts w:eastAsia="Times New Roman" w:cs="Calibri"/>
                <w:b/>
                <w:bCs/>
                <w:noProof w:val="0"/>
                <w:lang w:eastAsia="en-US"/>
              </w:rPr>
              <w:t>SD</w:t>
            </w:r>
          </w:p>
        </w:tc>
        <w:tc>
          <w:tcPr>
            <w:tcW w:w="914" w:type="dxa"/>
            <w:vAlign w:val="center"/>
            <w:hideMark/>
          </w:tcPr>
          <w:p w14:paraId="4FCF3782" w14:textId="77777777" w:rsidR="00CB26D7" w:rsidRPr="00D41234" w:rsidRDefault="00CB26D7" w:rsidP="000E140E">
            <w:pPr>
              <w:spacing w:line="240" w:lineRule="auto"/>
              <w:jc w:val="center"/>
              <w:rPr>
                <w:rFonts w:eastAsia="Times New Roman" w:cs="Calibri"/>
                <w:b/>
                <w:bCs/>
                <w:noProof w:val="0"/>
                <w:lang w:eastAsia="en-US"/>
              </w:rPr>
            </w:pPr>
            <w:r w:rsidRPr="00D41234">
              <w:rPr>
                <w:rFonts w:eastAsia="Times New Roman" w:cs="Calibri"/>
                <w:b/>
                <w:bCs/>
                <w:noProof w:val="0"/>
                <w:lang w:eastAsia="en-US"/>
              </w:rPr>
              <w:t>Q</w:t>
            </w:r>
            <w:r>
              <w:rPr>
                <w:rFonts w:eastAsia="Times New Roman" w:cs="Calibri"/>
                <w:b/>
                <w:bCs/>
                <w:noProof w:val="0"/>
                <w:lang w:eastAsia="en-US"/>
              </w:rPr>
              <w:t>D</w:t>
            </w:r>
          </w:p>
        </w:tc>
      </w:tr>
      <w:tr w:rsidR="00CB26D7" w:rsidRPr="00D41234" w14:paraId="19979BCF" w14:textId="77777777" w:rsidTr="000E140E">
        <w:trPr>
          <w:trHeight w:val="290"/>
        </w:trPr>
        <w:tc>
          <w:tcPr>
            <w:tcW w:w="5675" w:type="dxa"/>
            <w:noWrap/>
            <w:vAlign w:val="center"/>
            <w:hideMark/>
          </w:tcPr>
          <w:p w14:paraId="70B0CE3C" w14:textId="77777777" w:rsidR="00CB26D7" w:rsidRPr="00D41234" w:rsidRDefault="00CB26D7" w:rsidP="000E140E">
            <w:pPr>
              <w:spacing w:line="240" w:lineRule="auto"/>
              <w:jc w:val="left"/>
              <w:rPr>
                <w:rFonts w:eastAsia="Times New Roman" w:cs="Calibri"/>
                <w:noProof w:val="0"/>
                <w:lang w:eastAsia="en-US"/>
              </w:rPr>
            </w:pPr>
            <w:r w:rsidRPr="00D41234">
              <w:rPr>
                <w:rFonts w:eastAsia="Times New Roman" w:cs="Calibri"/>
                <w:noProof w:val="0"/>
                <w:lang w:eastAsia="en-US"/>
              </w:rPr>
              <w:t xml:space="preserve">It takes </w:t>
            </w:r>
            <w:proofErr w:type="gramStart"/>
            <w:r w:rsidRPr="00D41234">
              <w:rPr>
                <w:rFonts w:eastAsia="Times New Roman" w:cs="Calibri"/>
                <w:noProof w:val="0"/>
                <w:lang w:eastAsia="en-US"/>
              </w:rPr>
              <w:t>lesser</w:t>
            </w:r>
            <w:proofErr w:type="gramEnd"/>
            <w:r w:rsidRPr="00D41234">
              <w:rPr>
                <w:rFonts w:eastAsia="Times New Roman" w:cs="Calibri"/>
                <w:noProof w:val="0"/>
                <w:lang w:eastAsia="en-US"/>
              </w:rPr>
              <w:t xml:space="preserve"> effort to be on time to attend online classes.</w:t>
            </w:r>
          </w:p>
        </w:tc>
        <w:tc>
          <w:tcPr>
            <w:tcW w:w="765" w:type="dxa"/>
            <w:noWrap/>
            <w:vAlign w:val="bottom"/>
            <w:hideMark/>
          </w:tcPr>
          <w:p w14:paraId="49E4B98D" w14:textId="77777777" w:rsidR="00CB26D7" w:rsidRPr="00D41234" w:rsidRDefault="00CB26D7" w:rsidP="000E140E">
            <w:pPr>
              <w:spacing w:line="240" w:lineRule="auto"/>
              <w:jc w:val="center"/>
              <w:rPr>
                <w:rFonts w:eastAsia="Times New Roman" w:cs="Calibri"/>
                <w:noProof w:val="0"/>
                <w:lang w:eastAsia="en-US"/>
              </w:rPr>
            </w:pPr>
            <w:r w:rsidRPr="00D41234">
              <w:rPr>
                <w:rFonts w:eastAsia="Times New Roman" w:cs="Calibri"/>
                <w:noProof w:val="0"/>
                <w:lang w:eastAsia="en-US"/>
              </w:rPr>
              <w:t>3.53</w:t>
            </w:r>
          </w:p>
        </w:tc>
        <w:tc>
          <w:tcPr>
            <w:tcW w:w="566" w:type="dxa"/>
            <w:noWrap/>
            <w:vAlign w:val="bottom"/>
            <w:hideMark/>
          </w:tcPr>
          <w:p w14:paraId="66AF2379" w14:textId="77777777" w:rsidR="00CB26D7" w:rsidRPr="00D41234" w:rsidRDefault="00CB26D7" w:rsidP="000E140E">
            <w:pPr>
              <w:spacing w:line="240" w:lineRule="auto"/>
              <w:jc w:val="center"/>
              <w:rPr>
                <w:rFonts w:eastAsia="Times New Roman" w:cs="Calibri"/>
                <w:noProof w:val="0"/>
                <w:lang w:eastAsia="en-US"/>
              </w:rPr>
            </w:pPr>
            <w:r w:rsidRPr="00D41234">
              <w:rPr>
                <w:rFonts w:eastAsia="Times New Roman" w:cs="Calibri"/>
                <w:noProof w:val="0"/>
                <w:lang w:eastAsia="en-US"/>
              </w:rPr>
              <w:t>0.99</w:t>
            </w:r>
          </w:p>
        </w:tc>
        <w:tc>
          <w:tcPr>
            <w:tcW w:w="914" w:type="dxa"/>
            <w:noWrap/>
            <w:vAlign w:val="bottom"/>
            <w:hideMark/>
          </w:tcPr>
          <w:p w14:paraId="67F0BD35" w14:textId="77777777" w:rsidR="00CB26D7" w:rsidRPr="00D41234" w:rsidRDefault="00CB26D7" w:rsidP="000E140E">
            <w:pPr>
              <w:spacing w:line="240" w:lineRule="auto"/>
              <w:jc w:val="center"/>
              <w:rPr>
                <w:rFonts w:eastAsia="Times New Roman" w:cs="Calibri"/>
                <w:noProof w:val="0"/>
                <w:lang w:eastAsia="en-US"/>
              </w:rPr>
            </w:pPr>
            <w:r w:rsidRPr="00D41234">
              <w:rPr>
                <w:rFonts w:eastAsia="Times New Roman" w:cs="Calibri"/>
                <w:noProof w:val="0"/>
                <w:lang w:eastAsia="en-US"/>
              </w:rPr>
              <w:t>True</w:t>
            </w:r>
          </w:p>
        </w:tc>
      </w:tr>
      <w:tr w:rsidR="00CB26D7" w:rsidRPr="00D41234" w14:paraId="2BDA93A3" w14:textId="77777777" w:rsidTr="000E140E">
        <w:trPr>
          <w:trHeight w:val="290"/>
        </w:trPr>
        <w:tc>
          <w:tcPr>
            <w:tcW w:w="5675" w:type="dxa"/>
            <w:noWrap/>
            <w:vAlign w:val="center"/>
            <w:hideMark/>
          </w:tcPr>
          <w:p w14:paraId="684109D9" w14:textId="77777777" w:rsidR="00CB26D7" w:rsidRPr="00D41234" w:rsidRDefault="00CB26D7" w:rsidP="000E140E">
            <w:pPr>
              <w:spacing w:line="240" w:lineRule="auto"/>
              <w:jc w:val="left"/>
              <w:rPr>
                <w:rFonts w:eastAsia="Times New Roman" w:cs="Calibri"/>
                <w:noProof w:val="0"/>
                <w:lang w:eastAsia="en-US"/>
              </w:rPr>
            </w:pPr>
            <w:r w:rsidRPr="00D41234">
              <w:rPr>
                <w:rFonts w:eastAsia="Times New Roman" w:cs="Calibri"/>
                <w:noProof w:val="0"/>
                <w:lang w:eastAsia="en-US"/>
              </w:rPr>
              <w:t xml:space="preserve">It takes </w:t>
            </w:r>
            <w:proofErr w:type="gramStart"/>
            <w:r w:rsidRPr="00D41234">
              <w:rPr>
                <w:rFonts w:eastAsia="Times New Roman" w:cs="Calibri"/>
                <w:noProof w:val="0"/>
                <w:lang w:eastAsia="en-US"/>
              </w:rPr>
              <w:t>lesser</w:t>
            </w:r>
            <w:proofErr w:type="gramEnd"/>
            <w:r w:rsidRPr="00D41234">
              <w:rPr>
                <w:rFonts w:eastAsia="Times New Roman" w:cs="Calibri"/>
                <w:noProof w:val="0"/>
                <w:lang w:eastAsia="en-US"/>
              </w:rPr>
              <w:t xml:space="preserve"> effort to ask </w:t>
            </w:r>
            <w:proofErr w:type="gramStart"/>
            <w:r w:rsidRPr="00D41234">
              <w:rPr>
                <w:rFonts w:eastAsia="Times New Roman" w:cs="Calibri"/>
                <w:noProof w:val="0"/>
                <w:lang w:eastAsia="en-US"/>
              </w:rPr>
              <w:t>questions to teachers</w:t>
            </w:r>
            <w:proofErr w:type="gramEnd"/>
            <w:r w:rsidRPr="00D41234">
              <w:rPr>
                <w:rFonts w:eastAsia="Times New Roman" w:cs="Calibri"/>
                <w:noProof w:val="0"/>
                <w:lang w:eastAsia="en-US"/>
              </w:rPr>
              <w:t xml:space="preserve"> in </w:t>
            </w:r>
            <w:proofErr w:type="gramStart"/>
            <w:r w:rsidRPr="00D41234">
              <w:rPr>
                <w:rFonts w:eastAsia="Times New Roman" w:cs="Calibri"/>
                <w:noProof w:val="0"/>
                <w:lang w:eastAsia="en-US"/>
              </w:rPr>
              <w:t>an online</w:t>
            </w:r>
            <w:proofErr w:type="gramEnd"/>
            <w:r w:rsidRPr="00D41234">
              <w:rPr>
                <w:rFonts w:eastAsia="Times New Roman" w:cs="Calibri"/>
                <w:noProof w:val="0"/>
                <w:lang w:eastAsia="en-US"/>
              </w:rPr>
              <w:t xml:space="preserve"> learning.</w:t>
            </w:r>
          </w:p>
        </w:tc>
        <w:tc>
          <w:tcPr>
            <w:tcW w:w="765" w:type="dxa"/>
            <w:noWrap/>
            <w:vAlign w:val="bottom"/>
            <w:hideMark/>
          </w:tcPr>
          <w:p w14:paraId="2223A5C5" w14:textId="77777777" w:rsidR="00CB26D7" w:rsidRPr="00D41234" w:rsidRDefault="00CB26D7" w:rsidP="000E140E">
            <w:pPr>
              <w:spacing w:line="240" w:lineRule="auto"/>
              <w:jc w:val="center"/>
              <w:rPr>
                <w:rFonts w:eastAsia="Times New Roman" w:cs="Calibri"/>
                <w:noProof w:val="0"/>
                <w:lang w:eastAsia="en-US"/>
              </w:rPr>
            </w:pPr>
            <w:r w:rsidRPr="00D41234">
              <w:rPr>
                <w:rFonts w:eastAsia="Times New Roman" w:cs="Calibri"/>
                <w:noProof w:val="0"/>
                <w:lang w:eastAsia="en-US"/>
              </w:rPr>
              <w:t>3.18</w:t>
            </w:r>
          </w:p>
        </w:tc>
        <w:tc>
          <w:tcPr>
            <w:tcW w:w="566" w:type="dxa"/>
            <w:noWrap/>
            <w:vAlign w:val="bottom"/>
            <w:hideMark/>
          </w:tcPr>
          <w:p w14:paraId="4C9B4B89" w14:textId="77777777" w:rsidR="00CB26D7" w:rsidRPr="00D41234" w:rsidRDefault="00CB26D7" w:rsidP="000E140E">
            <w:pPr>
              <w:spacing w:line="240" w:lineRule="auto"/>
              <w:jc w:val="center"/>
              <w:rPr>
                <w:rFonts w:eastAsia="Times New Roman" w:cs="Calibri"/>
                <w:noProof w:val="0"/>
                <w:lang w:eastAsia="en-US"/>
              </w:rPr>
            </w:pPr>
            <w:r w:rsidRPr="00D41234">
              <w:rPr>
                <w:rFonts w:eastAsia="Times New Roman" w:cs="Calibri"/>
                <w:noProof w:val="0"/>
                <w:lang w:eastAsia="en-US"/>
              </w:rPr>
              <w:t>0.96</w:t>
            </w:r>
          </w:p>
        </w:tc>
        <w:tc>
          <w:tcPr>
            <w:tcW w:w="914" w:type="dxa"/>
            <w:noWrap/>
            <w:vAlign w:val="bottom"/>
            <w:hideMark/>
          </w:tcPr>
          <w:p w14:paraId="7CAD9FDB" w14:textId="77777777" w:rsidR="00CB26D7" w:rsidRPr="00D41234" w:rsidRDefault="00CB26D7" w:rsidP="000E140E">
            <w:pPr>
              <w:spacing w:line="240" w:lineRule="auto"/>
              <w:jc w:val="center"/>
              <w:rPr>
                <w:rFonts w:eastAsia="Times New Roman" w:cs="Calibri"/>
                <w:noProof w:val="0"/>
                <w:lang w:eastAsia="en-US"/>
              </w:rPr>
            </w:pPr>
            <w:r w:rsidRPr="00D41234">
              <w:rPr>
                <w:rFonts w:eastAsia="Times New Roman" w:cs="Calibri"/>
                <w:noProof w:val="0"/>
                <w:lang w:eastAsia="en-US"/>
              </w:rPr>
              <w:t>Unsure</w:t>
            </w:r>
          </w:p>
        </w:tc>
      </w:tr>
      <w:tr w:rsidR="00CB26D7" w:rsidRPr="00D41234" w14:paraId="3A12A997" w14:textId="77777777" w:rsidTr="000E140E">
        <w:trPr>
          <w:trHeight w:val="290"/>
        </w:trPr>
        <w:tc>
          <w:tcPr>
            <w:tcW w:w="5675" w:type="dxa"/>
            <w:noWrap/>
            <w:vAlign w:val="center"/>
            <w:hideMark/>
          </w:tcPr>
          <w:p w14:paraId="7B5EB073" w14:textId="77777777" w:rsidR="00CB26D7" w:rsidRPr="00D41234" w:rsidRDefault="00CB26D7" w:rsidP="000E140E">
            <w:pPr>
              <w:spacing w:line="240" w:lineRule="auto"/>
              <w:jc w:val="left"/>
              <w:rPr>
                <w:rFonts w:eastAsia="Times New Roman" w:cs="Calibri"/>
                <w:noProof w:val="0"/>
                <w:lang w:eastAsia="en-US"/>
              </w:rPr>
            </w:pPr>
            <w:r w:rsidRPr="00D41234">
              <w:rPr>
                <w:rFonts w:eastAsia="Times New Roman" w:cs="Calibri"/>
                <w:noProof w:val="0"/>
                <w:lang w:eastAsia="en-US"/>
              </w:rPr>
              <w:t xml:space="preserve">It takes </w:t>
            </w:r>
            <w:proofErr w:type="gramStart"/>
            <w:r w:rsidRPr="00D41234">
              <w:rPr>
                <w:rFonts w:eastAsia="Times New Roman" w:cs="Calibri"/>
                <w:noProof w:val="0"/>
                <w:lang w:eastAsia="en-US"/>
              </w:rPr>
              <w:t>lesser</w:t>
            </w:r>
            <w:proofErr w:type="gramEnd"/>
            <w:r w:rsidRPr="00D41234">
              <w:rPr>
                <w:rFonts w:eastAsia="Times New Roman" w:cs="Calibri"/>
                <w:noProof w:val="0"/>
                <w:lang w:eastAsia="en-US"/>
              </w:rPr>
              <w:t xml:space="preserve"> effort to collaborate with my classmates online.</w:t>
            </w:r>
          </w:p>
        </w:tc>
        <w:tc>
          <w:tcPr>
            <w:tcW w:w="765" w:type="dxa"/>
            <w:noWrap/>
            <w:vAlign w:val="bottom"/>
            <w:hideMark/>
          </w:tcPr>
          <w:p w14:paraId="7AA41C9E" w14:textId="77777777" w:rsidR="00CB26D7" w:rsidRPr="00D41234" w:rsidRDefault="00CB26D7" w:rsidP="000E140E">
            <w:pPr>
              <w:spacing w:line="240" w:lineRule="auto"/>
              <w:jc w:val="center"/>
              <w:rPr>
                <w:rFonts w:eastAsia="Times New Roman" w:cs="Calibri"/>
                <w:noProof w:val="0"/>
                <w:lang w:eastAsia="en-US"/>
              </w:rPr>
            </w:pPr>
            <w:r w:rsidRPr="00D41234">
              <w:rPr>
                <w:rFonts w:eastAsia="Times New Roman" w:cs="Calibri"/>
                <w:noProof w:val="0"/>
                <w:lang w:eastAsia="en-US"/>
              </w:rPr>
              <w:t>2.93</w:t>
            </w:r>
          </w:p>
        </w:tc>
        <w:tc>
          <w:tcPr>
            <w:tcW w:w="566" w:type="dxa"/>
            <w:noWrap/>
            <w:vAlign w:val="bottom"/>
            <w:hideMark/>
          </w:tcPr>
          <w:p w14:paraId="04EAC885" w14:textId="77777777" w:rsidR="00CB26D7" w:rsidRPr="00D41234" w:rsidRDefault="00CB26D7" w:rsidP="000E140E">
            <w:pPr>
              <w:spacing w:line="240" w:lineRule="auto"/>
              <w:jc w:val="center"/>
              <w:rPr>
                <w:rFonts w:eastAsia="Times New Roman" w:cs="Calibri"/>
                <w:noProof w:val="0"/>
                <w:lang w:eastAsia="en-US"/>
              </w:rPr>
            </w:pPr>
            <w:r w:rsidRPr="00D41234">
              <w:rPr>
                <w:rFonts w:eastAsia="Times New Roman" w:cs="Calibri"/>
                <w:noProof w:val="0"/>
                <w:lang w:eastAsia="en-US"/>
              </w:rPr>
              <w:t>1.04</w:t>
            </w:r>
          </w:p>
        </w:tc>
        <w:tc>
          <w:tcPr>
            <w:tcW w:w="914" w:type="dxa"/>
            <w:noWrap/>
            <w:vAlign w:val="bottom"/>
            <w:hideMark/>
          </w:tcPr>
          <w:p w14:paraId="3E1B582E" w14:textId="77777777" w:rsidR="00CB26D7" w:rsidRPr="00D41234" w:rsidRDefault="00CB26D7" w:rsidP="000E140E">
            <w:pPr>
              <w:spacing w:line="240" w:lineRule="auto"/>
              <w:jc w:val="center"/>
              <w:rPr>
                <w:rFonts w:eastAsia="Times New Roman" w:cs="Calibri"/>
                <w:noProof w:val="0"/>
                <w:lang w:eastAsia="en-US"/>
              </w:rPr>
            </w:pPr>
            <w:r w:rsidRPr="00D41234">
              <w:rPr>
                <w:rFonts w:eastAsia="Times New Roman" w:cs="Calibri"/>
                <w:noProof w:val="0"/>
                <w:lang w:eastAsia="en-US"/>
              </w:rPr>
              <w:t>Unsure</w:t>
            </w:r>
          </w:p>
        </w:tc>
      </w:tr>
      <w:tr w:rsidR="00CB26D7" w:rsidRPr="00D41234" w14:paraId="52794AE0" w14:textId="77777777" w:rsidTr="000E140E">
        <w:trPr>
          <w:trHeight w:val="290"/>
        </w:trPr>
        <w:tc>
          <w:tcPr>
            <w:tcW w:w="5675" w:type="dxa"/>
            <w:noWrap/>
            <w:vAlign w:val="center"/>
            <w:hideMark/>
          </w:tcPr>
          <w:p w14:paraId="7900C744" w14:textId="77777777" w:rsidR="00CB26D7" w:rsidRPr="00D41234" w:rsidRDefault="00CB26D7" w:rsidP="000E140E">
            <w:pPr>
              <w:spacing w:line="240" w:lineRule="auto"/>
              <w:jc w:val="left"/>
              <w:rPr>
                <w:rFonts w:eastAsia="Times New Roman" w:cs="Calibri"/>
                <w:noProof w:val="0"/>
                <w:lang w:eastAsia="en-US"/>
              </w:rPr>
            </w:pPr>
            <w:r w:rsidRPr="00D41234">
              <w:rPr>
                <w:rFonts w:eastAsia="Times New Roman" w:cs="Calibri"/>
                <w:noProof w:val="0"/>
                <w:lang w:eastAsia="en-US"/>
              </w:rPr>
              <w:lastRenderedPageBreak/>
              <w:t>I will be more interested to learn.</w:t>
            </w:r>
          </w:p>
        </w:tc>
        <w:tc>
          <w:tcPr>
            <w:tcW w:w="765" w:type="dxa"/>
            <w:noWrap/>
            <w:vAlign w:val="bottom"/>
            <w:hideMark/>
          </w:tcPr>
          <w:p w14:paraId="2DE96B7F" w14:textId="77777777" w:rsidR="00CB26D7" w:rsidRPr="00D41234" w:rsidRDefault="00CB26D7" w:rsidP="000E140E">
            <w:pPr>
              <w:spacing w:line="240" w:lineRule="auto"/>
              <w:jc w:val="center"/>
              <w:rPr>
                <w:rFonts w:eastAsia="Times New Roman" w:cs="Calibri"/>
                <w:noProof w:val="0"/>
                <w:lang w:eastAsia="en-US"/>
              </w:rPr>
            </w:pPr>
            <w:r w:rsidRPr="00D41234">
              <w:rPr>
                <w:rFonts w:eastAsia="Times New Roman" w:cs="Calibri"/>
                <w:noProof w:val="0"/>
                <w:lang w:eastAsia="en-US"/>
              </w:rPr>
              <w:t>3.52</w:t>
            </w:r>
          </w:p>
        </w:tc>
        <w:tc>
          <w:tcPr>
            <w:tcW w:w="566" w:type="dxa"/>
            <w:noWrap/>
            <w:vAlign w:val="bottom"/>
            <w:hideMark/>
          </w:tcPr>
          <w:p w14:paraId="6ECDC146" w14:textId="77777777" w:rsidR="00CB26D7" w:rsidRPr="00D41234" w:rsidRDefault="00CB26D7" w:rsidP="000E140E">
            <w:pPr>
              <w:spacing w:line="240" w:lineRule="auto"/>
              <w:jc w:val="center"/>
              <w:rPr>
                <w:rFonts w:eastAsia="Times New Roman" w:cs="Calibri"/>
                <w:noProof w:val="0"/>
                <w:lang w:eastAsia="en-US"/>
              </w:rPr>
            </w:pPr>
            <w:r w:rsidRPr="00D41234">
              <w:rPr>
                <w:rFonts w:eastAsia="Times New Roman" w:cs="Calibri"/>
                <w:noProof w:val="0"/>
                <w:lang w:eastAsia="en-US"/>
              </w:rPr>
              <w:t>0.97</w:t>
            </w:r>
          </w:p>
        </w:tc>
        <w:tc>
          <w:tcPr>
            <w:tcW w:w="914" w:type="dxa"/>
            <w:noWrap/>
            <w:vAlign w:val="bottom"/>
            <w:hideMark/>
          </w:tcPr>
          <w:p w14:paraId="667C87F9" w14:textId="77777777" w:rsidR="00CB26D7" w:rsidRPr="00D41234" w:rsidRDefault="00CB26D7" w:rsidP="000E140E">
            <w:pPr>
              <w:spacing w:line="240" w:lineRule="auto"/>
              <w:jc w:val="center"/>
              <w:rPr>
                <w:rFonts w:eastAsia="Times New Roman" w:cs="Calibri"/>
                <w:noProof w:val="0"/>
                <w:lang w:eastAsia="en-US"/>
              </w:rPr>
            </w:pPr>
            <w:r w:rsidRPr="00D41234">
              <w:rPr>
                <w:rFonts w:eastAsia="Times New Roman" w:cs="Calibri"/>
                <w:noProof w:val="0"/>
                <w:lang w:eastAsia="en-US"/>
              </w:rPr>
              <w:t>True</w:t>
            </w:r>
          </w:p>
        </w:tc>
      </w:tr>
      <w:tr w:rsidR="00CB26D7" w:rsidRPr="00D41234" w14:paraId="3369616C" w14:textId="77777777" w:rsidTr="000E140E">
        <w:trPr>
          <w:trHeight w:val="290"/>
        </w:trPr>
        <w:tc>
          <w:tcPr>
            <w:tcW w:w="5675" w:type="dxa"/>
            <w:noWrap/>
            <w:vAlign w:val="center"/>
            <w:hideMark/>
          </w:tcPr>
          <w:p w14:paraId="123A510A" w14:textId="77777777" w:rsidR="00CB26D7" w:rsidRPr="00D41234" w:rsidRDefault="00CB26D7" w:rsidP="000E140E">
            <w:pPr>
              <w:spacing w:line="240" w:lineRule="auto"/>
              <w:jc w:val="left"/>
              <w:rPr>
                <w:rFonts w:eastAsia="Times New Roman" w:cs="Calibri"/>
                <w:noProof w:val="0"/>
                <w:lang w:eastAsia="en-US"/>
              </w:rPr>
            </w:pPr>
            <w:r w:rsidRPr="00D41234">
              <w:rPr>
                <w:rFonts w:eastAsia="Times New Roman" w:cs="Calibri"/>
                <w:noProof w:val="0"/>
                <w:lang w:eastAsia="en-US"/>
              </w:rPr>
              <w:t>Online learning is more enjoyable than face-to-face.</w:t>
            </w:r>
          </w:p>
        </w:tc>
        <w:tc>
          <w:tcPr>
            <w:tcW w:w="765" w:type="dxa"/>
            <w:noWrap/>
            <w:vAlign w:val="bottom"/>
            <w:hideMark/>
          </w:tcPr>
          <w:p w14:paraId="6243A20E" w14:textId="77777777" w:rsidR="00CB26D7" w:rsidRPr="00D41234" w:rsidRDefault="00CB26D7" w:rsidP="000E140E">
            <w:pPr>
              <w:spacing w:line="240" w:lineRule="auto"/>
              <w:jc w:val="center"/>
              <w:rPr>
                <w:rFonts w:eastAsia="Times New Roman" w:cs="Calibri"/>
                <w:noProof w:val="0"/>
                <w:lang w:eastAsia="en-US"/>
              </w:rPr>
            </w:pPr>
            <w:r w:rsidRPr="00D41234">
              <w:rPr>
                <w:rFonts w:eastAsia="Times New Roman" w:cs="Calibri"/>
                <w:noProof w:val="0"/>
                <w:lang w:eastAsia="en-US"/>
              </w:rPr>
              <w:t>2.57</w:t>
            </w:r>
          </w:p>
        </w:tc>
        <w:tc>
          <w:tcPr>
            <w:tcW w:w="566" w:type="dxa"/>
            <w:noWrap/>
            <w:vAlign w:val="bottom"/>
            <w:hideMark/>
          </w:tcPr>
          <w:p w14:paraId="57ACE07B" w14:textId="77777777" w:rsidR="00CB26D7" w:rsidRPr="00D41234" w:rsidRDefault="00CB26D7" w:rsidP="000E140E">
            <w:pPr>
              <w:spacing w:line="240" w:lineRule="auto"/>
              <w:jc w:val="center"/>
              <w:rPr>
                <w:rFonts w:eastAsia="Times New Roman" w:cs="Calibri"/>
                <w:noProof w:val="0"/>
                <w:lang w:eastAsia="en-US"/>
              </w:rPr>
            </w:pPr>
            <w:r w:rsidRPr="00D41234">
              <w:rPr>
                <w:rFonts w:eastAsia="Times New Roman" w:cs="Calibri"/>
                <w:noProof w:val="0"/>
                <w:lang w:eastAsia="en-US"/>
              </w:rPr>
              <w:t>1.14</w:t>
            </w:r>
          </w:p>
        </w:tc>
        <w:tc>
          <w:tcPr>
            <w:tcW w:w="914" w:type="dxa"/>
            <w:noWrap/>
            <w:vAlign w:val="bottom"/>
            <w:hideMark/>
          </w:tcPr>
          <w:p w14:paraId="1E2CB005" w14:textId="77777777" w:rsidR="00CB26D7" w:rsidRPr="00D41234" w:rsidRDefault="00CB26D7" w:rsidP="000E140E">
            <w:pPr>
              <w:spacing w:line="240" w:lineRule="auto"/>
              <w:jc w:val="center"/>
              <w:rPr>
                <w:rFonts w:eastAsia="Times New Roman" w:cs="Calibri"/>
                <w:noProof w:val="0"/>
                <w:lang w:eastAsia="en-US"/>
              </w:rPr>
            </w:pPr>
            <w:r w:rsidRPr="00D41234">
              <w:rPr>
                <w:rFonts w:eastAsia="Times New Roman" w:cs="Calibri"/>
                <w:noProof w:val="0"/>
                <w:lang w:eastAsia="en-US"/>
              </w:rPr>
              <w:t>Unsure</w:t>
            </w:r>
          </w:p>
        </w:tc>
      </w:tr>
      <w:tr w:rsidR="00CB26D7" w:rsidRPr="00D41234" w14:paraId="50D56CC7" w14:textId="77777777" w:rsidTr="000E140E">
        <w:trPr>
          <w:trHeight w:val="290"/>
        </w:trPr>
        <w:tc>
          <w:tcPr>
            <w:tcW w:w="5675" w:type="dxa"/>
            <w:noWrap/>
            <w:vAlign w:val="center"/>
            <w:hideMark/>
          </w:tcPr>
          <w:p w14:paraId="6CCB2926" w14:textId="77777777" w:rsidR="00CB26D7" w:rsidRPr="00D41234" w:rsidRDefault="00CB26D7" w:rsidP="000E140E">
            <w:pPr>
              <w:spacing w:line="240" w:lineRule="auto"/>
              <w:jc w:val="left"/>
              <w:rPr>
                <w:rFonts w:eastAsia="Times New Roman" w:cs="Calibri"/>
                <w:noProof w:val="0"/>
                <w:lang w:eastAsia="en-US"/>
              </w:rPr>
            </w:pPr>
            <w:r w:rsidRPr="00D41234">
              <w:rPr>
                <w:rFonts w:eastAsia="Times New Roman" w:cs="Calibri"/>
                <w:noProof w:val="0"/>
                <w:lang w:eastAsia="en-US"/>
              </w:rPr>
              <w:t>Online materials are interesting to learn.</w:t>
            </w:r>
          </w:p>
        </w:tc>
        <w:tc>
          <w:tcPr>
            <w:tcW w:w="765" w:type="dxa"/>
            <w:noWrap/>
            <w:vAlign w:val="bottom"/>
            <w:hideMark/>
          </w:tcPr>
          <w:p w14:paraId="48F68A7E" w14:textId="77777777" w:rsidR="00CB26D7" w:rsidRPr="00D41234" w:rsidRDefault="00CB26D7" w:rsidP="000E140E">
            <w:pPr>
              <w:spacing w:line="240" w:lineRule="auto"/>
              <w:jc w:val="center"/>
              <w:rPr>
                <w:rFonts w:eastAsia="Times New Roman" w:cs="Calibri"/>
                <w:noProof w:val="0"/>
                <w:lang w:eastAsia="en-US"/>
              </w:rPr>
            </w:pPr>
            <w:r w:rsidRPr="00D41234">
              <w:rPr>
                <w:rFonts w:eastAsia="Times New Roman" w:cs="Calibri"/>
                <w:noProof w:val="0"/>
                <w:lang w:eastAsia="en-US"/>
              </w:rPr>
              <w:t>3.34</w:t>
            </w:r>
          </w:p>
        </w:tc>
        <w:tc>
          <w:tcPr>
            <w:tcW w:w="566" w:type="dxa"/>
            <w:noWrap/>
            <w:vAlign w:val="bottom"/>
            <w:hideMark/>
          </w:tcPr>
          <w:p w14:paraId="352BEEFF" w14:textId="77777777" w:rsidR="00CB26D7" w:rsidRPr="00D41234" w:rsidRDefault="00CB26D7" w:rsidP="000E140E">
            <w:pPr>
              <w:spacing w:line="240" w:lineRule="auto"/>
              <w:jc w:val="center"/>
              <w:rPr>
                <w:rFonts w:eastAsia="Times New Roman" w:cs="Calibri"/>
                <w:noProof w:val="0"/>
                <w:lang w:eastAsia="en-US"/>
              </w:rPr>
            </w:pPr>
            <w:r w:rsidRPr="00D41234">
              <w:rPr>
                <w:rFonts w:eastAsia="Times New Roman" w:cs="Calibri"/>
                <w:noProof w:val="0"/>
                <w:lang w:eastAsia="en-US"/>
              </w:rPr>
              <w:t>0.92</w:t>
            </w:r>
          </w:p>
        </w:tc>
        <w:tc>
          <w:tcPr>
            <w:tcW w:w="914" w:type="dxa"/>
            <w:noWrap/>
            <w:vAlign w:val="bottom"/>
            <w:hideMark/>
          </w:tcPr>
          <w:p w14:paraId="717C83B3" w14:textId="77777777" w:rsidR="00CB26D7" w:rsidRPr="00D41234" w:rsidRDefault="00CB26D7" w:rsidP="000E140E">
            <w:pPr>
              <w:spacing w:line="240" w:lineRule="auto"/>
              <w:jc w:val="center"/>
              <w:rPr>
                <w:rFonts w:eastAsia="Times New Roman" w:cs="Calibri"/>
                <w:noProof w:val="0"/>
                <w:lang w:eastAsia="en-US"/>
              </w:rPr>
            </w:pPr>
            <w:r w:rsidRPr="00D41234">
              <w:rPr>
                <w:rFonts w:eastAsia="Times New Roman" w:cs="Calibri"/>
                <w:noProof w:val="0"/>
                <w:lang w:eastAsia="en-US"/>
              </w:rPr>
              <w:t>Unsure</w:t>
            </w:r>
          </w:p>
        </w:tc>
      </w:tr>
      <w:tr w:rsidR="00CB26D7" w:rsidRPr="00D41234" w14:paraId="40453BAF" w14:textId="77777777" w:rsidTr="000E140E">
        <w:trPr>
          <w:trHeight w:val="290"/>
        </w:trPr>
        <w:tc>
          <w:tcPr>
            <w:tcW w:w="5675" w:type="dxa"/>
            <w:noWrap/>
            <w:vAlign w:val="center"/>
            <w:hideMark/>
          </w:tcPr>
          <w:p w14:paraId="26BAE6C9" w14:textId="77777777" w:rsidR="00CB26D7" w:rsidRPr="00D41234" w:rsidRDefault="00CB26D7" w:rsidP="000E140E">
            <w:pPr>
              <w:spacing w:line="240" w:lineRule="auto"/>
              <w:jc w:val="left"/>
              <w:rPr>
                <w:rFonts w:eastAsia="Times New Roman" w:cs="Calibri"/>
                <w:noProof w:val="0"/>
                <w:lang w:eastAsia="en-US"/>
              </w:rPr>
            </w:pPr>
            <w:r w:rsidRPr="00D41234">
              <w:rPr>
                <w:rFonts w:eastAsia="Times New Roman" w:cs="Calibri"/>
                <w:noProof w:val="0"/>
                <w:lang w:eastAsia="en-US"/>
              </w:rPr>
              <w:t>There is no dull moment when I am in an online class.</w:t>
            </w:r>
          </w:p>
        </w:tc>
        <w:tc>
          <w:tcPr>
            <w:tcW w:w="765" w:type="dxa"/>
            <w:noWrap/>
            <w:vAlign w:val="bottom"/>
            <w:hideMark/>
          </w:tcPr>
          <w:p w14:paraId="6B347459" w14:textId="77777777" w:rsidR="00CB26D7" w:rsidRPr="00D41234" w:rsidRDefault="00CB26D7" w:rsidP="000E140E">
            <w:pPr>
              <w:spacing w:line="240" w:lineRule="auto"/>
              <w:jc w:val="center"/>
              <w:rPr>
                <w:rFonts w:eastAsia="Times New Roman" w:cs="Calibri"/>
                <w:noProof w:val="0"/>
                <w:lang w:eastAsia="en-US"/>
              </w:rPr>
            </w:pPr>
            <w:r w:rsidRPr="00D41234">
              <w:rPr>
                <w:rFonts w:eastAsia="Times New Roman" w:cs="Calibri"/>
                <w:noProof w:val="0"/>
                <w:lang w:eastAsia="en-US"/>
              </w:rPr>
              <w:t>2.69</w:t>
            </w:r>
          </w:p>
        </w:tc>
        <w:tc>
          <w:tcPr>
            <w:tcW w:w="566" w:type="dxa"/>
            <w:noWrap/>
            <w:vAlign w:val="bottom"/>
            <w:hideMark/>
          </w:tcPr>
          <w:p w14:paraId="56607789" w14:textId="77777777" w:rsidR="00CB26D7" w:rsidRPr="00D41234" w:rsidRDefault="00CB26D7" w:rsidP="000E140E">
            <w:pPr>
              <w:spacing w:line="240" w:lineRule="auto"/>
              <w:jc w:val="center"/>
              <w:rPr>
                <w:rFonts w:eastAsia="Times New Roman" w:cs="Calibri"/>
                <w:noProof w:val="0"/>
                <w:lang w:eastAsia="en-US"/>
              </w:rPr>
            </w:pPr>
            <w:r w:rsidRPr="00D41234">
              <w:rPr>
                <w:rFonts w:eastAsia="Times New Roman" w:cs="Calibri"/>
                <w:noProof w:val="0"/>
                <w:lang w:eastAsia="en-US"/>
              </w:rPr>
              <w:t>1.08</w:t>
            </w:r>
          </w:p>
        </w:tc>
        <w:tc>
          <w:tcPr>
            <w:tcW w:w="914" w:type="dxa"/>
            <w:noWrap/>
            <w:vAlign w:val="bottom"/>
            <w:hideMark/>
          </w:tcPr>
          <w:p w14:paraId="4DD6B0B0" w14:textId="77777777" w:rsidR="00CB26D7" w:rsidRPr="00D41234" w:rsidRDefault="00CB26D7" w:rsidP="000E140E">
            <w:pPr>
              <w:spacing w:line="240" w:lineRule="auto"/>
              <w:jc w:val="center"/>
              <w:rPr>
                <w:rFonts w:eastAsia="Times New Roman" w:cs="Calibri"/>
                <w:noProof w:val="0"/>
                <w:lang w:eastAsia="en-US"/>
              </w:rPr>
            </w:pPr>
            <w:r w:rsidRPr="00D41234">
              <w:rPr>
                <w:rFonts w:eastAsia="Times New Roman" w:cs="Calibri"/>
                <w:noProof w:val="0"/>
                <w:lang w:eastAsia="en-US"/>
              </w:rPr>
              <w:t>Unsure</w:t>
            </w:r>
          </w:p>
        </w:tc>
      </w:tr>
      <w:tr w:rsidR="00CB26D7" w:rsidRPr="00D41234" w14:paraId="2BCC3D07" w14:textId="77777777" w:rsidTr="000E140E">
        <w:trPr>
          <w:trHeight w:val="290"/>
        </w:trPr>
        <w:tc>
          <w:tcPr>
            <w:tcW w:w="5675" w:type="dxa"/>
            <w:noWrap/>
            <w:vAlign w:val="center"/>
            <w:hideMark/>
          </w:tcPr>
          <w:p w14:paraId="3B0F8A0E" w14:textId="77777777" w:rsidR="00CB26D7" w:rsidRPr="00D41234" w:rsidRDefault="00CB26D7" w:rsidP="000E140E">
            <w:pPr>
              <w:spacing w:line="240" w:lineRule="auto"/>
              <w:jc w:val="left"/>
              <w:rPr>
                <w:rFonts w:eastAsia="Times New Roman" w:cs="Calibri"/>
                <w:noProof w:val="0"/>
                <w:lang w:eastAsia="en-US"/>
              </w:rPr>
            </w:pPr>
            <w:r w:rsidRPr="00D41234">
              <w:rPr>
                <w:rFonts w:eastAsia="Times New Roman" w:cs="Calibri"/>
                <w:noProof w:val="0"/>
                <w:lang w:eastAsia="en-US"/>
              </w:rPr>
              <w:t>I feel excited when attending online lectures.</w:t>
            </w:r>
          </w:p>
        </w:tc>
        <w:tc>
          <w:tcPr>
            <w:tcW w:w="765" w:type="dxa"/>
            <w:noWrap/>
            <w:vAlign w:val="bottom"/>
            <w:hideMark/>
          </w:tcPr>
          <w:p w14:paraId="5E3020FD" w14:textId="77777777" w:rsidR="00CB26D7" w:rsidRPr="00D41234" w:rsidRDefault="00CB26D7" w:rsidP="000E140E">
            <w:pPr>
              <w:spacing w:line="240" w:lineRule="auto"/>
              <w:jc w:val="center"/>
              <w:rPr>
                <w:rFonts w:eastAsia="Times New Roman" w:cs="Calibri"/>
                <w:noProof w:val="0"/>
                <w:lang w:eastAsia="en-US"/>
              </w:rPr>
            </w:pPr>
            <w:r w:rsidRPr="00D41234">
              <w:rPr>
                <w:rFonts w:eastAsia="Times New Roman" w:cs="Calibri"/>
                <w:noProof w:val="0"/>
                <w:lang w:eastAsia="en-US"/>
              </w:rPr>
              <w:t>3.05</w:t>
            </w:r>
          </w:p>
        </w:tc>
        <w:tc>
          <w:tcPr>
            <w:tcW w:w="566" w:type="dxa"/>
            <w:noWrap/>
            <w:vAlign w:val="bottom"/>
            <w:hideMark/>
          </w:tcPr>
          <w:p w14:paraId="776E64F2" w14:textId="77777777" w:rsidR="00CB26D7" w:rsidRPr="00D41234" w:rsidRDefault="00CB26D7" w:rsidP="000E140E">
            <w:pPr>
              <w:spacing w:line="240" w:lineRule="auto"/>
              <w:jc w:val="center"/>
              <w:rPr>
                <w:rFonts w:eastAsia="Times New Roman" w:cs="Calibri"/>
                <w:noProof w:val="0"/>
                <w:lang w:eastAsia="en-US"/>
              </w:rPr>
            </w:pPr>
            <w:r w:rsidRPr="00D41234">
              <w:rPr>
                <w:rFonts w:eastAsia="Times New Roman" w:cs="Calibri"/>
                <w:noProof w:val="0"/>
                <w:lang w:eastAsia="en-US"/>
              </w:rPr>
              <w:t>0.99</w:t>
            </w:r>
          </w:p>
        </w:tc>
        <w:tc>
          <w:tcPr>
            <w:tcW w:w="914" w:type="dxa"/>
            <w:noWrap/>
            <w:vAlign w:val="bottom"/>
            <w:hideMark/>
          </w:tcPr>
          <w:p w14:paraId="61238C5A" w14:textId="77777777" w:rsidR="00CB26D7" w:rsidRPr="00D41234" w:rsidRDefault="00CB26D7" w:rsidP="000E140E">
            <w:pPr>
              <w:spacing w:line="240" w:lineRule="auto"/>
              <w:jc w:val="center"/>
              <w:rPr>
                <w:rFonts w:eastAsia="Times New Roman" w:cs="Calibri"/>
                <w:noProof w:val="0"/>
                <w:lang w:eastAsia="en-US"/>
              </w:rPr>
            </w:pPr>
            <w:r w:rsidRPr="00D41234">
              <w:rPr>
                <w:rFonts w:eastAsia="Times New Roman" w:cs="Calibri"/>
                <w:noProof w:val="0"/>
                <w:lang w:eastAsia="en-US"/>
              </w:rPr>
              <w:t>Unsure</w:t>
            </w:r>
          </w:p>
        </w:tc>
      </w:tr>
      <w:tr w:rsidR="00CB26D7" w:rsidRPr="00D41234" w14:paraId="188DF0BE" w14:textId="77777777" w:rsidTr="000E140E">
        <w:trPr>
          <w:trHeight w:val="290"/>
        </w:trPr>
        <w:tc>
          <w:tcPr>
            <w:tcW w:w="5675" w:type="dxa"/>
            <w:noWrap/>
            <w:vAlign w:val="center"/>
            <w:hideMark/>
          </w:tcPr>
          <w:p w14:paraId="554DF156" w14:textId="77777777" w:rsidR="00CB26D7" w:rsidRPr="00D41234" w:rsidRDefault="00CB26D7" w:rsidP="000E140E">
            <w:pPr>
              <w:spacing w:line="240" w:lineRule="auto"/>
              <w:jc w:val="left"/>
              <w:rPr>
                <w:rFonts w:eastAsia="Times New Roman" w:cs="Calibri"/>
                <w:b/>
                <w:bCs/>
                <w:noProof w:val="0"/>
                <w:lang w:eastAsia="en-US"/>
              </w:rPr>
            </w:pPr>
            <w:r w:rsidRPr="00D41234">
              <w:rPr>
                <w:rFonts w:eastAsia="Times New Roman" w:cs="Calibri"/>
                <w:b/>
                <w:bCs/>
                <w:noProof w:val="0"/>
                <w:lang w:eastAsia="en-US"/>
              </w:rPr>
              <w:t>Overall</w:t>
            </w:r>
          </w:p>
        </w:tc>
        <w:tc>
          <w:tcPr>
            <w:tcW w:w="765" w:type="dxa"/>
            <w:noWrap/>
            <w:vAlign w:val="bottom"/>
            <w:hideMark/>
          </w:tcPr>
          <w:p w14:paraId="2A304822" w14:textId="77777777" w:rsidR="00CB26D7" w:rsidRPr="00D41234" w:rsidRDefault="00CB26D7" w:rsidP="000E140E">
            <w:pPr>
              <w:spacing w:line="240" w:lineRule="auto"/>
              <w:jc w:val="center"/>
              <w:rPr>
                <w:rFonts w:eastAsia="Times New Roman" w:cs="Calibri"/>
                <w:b/>
                <w:noProof w:val="0"/>
                <w:lang w:eastAsia="en-US"/>
              </w:rPr>
            </w:pPr>
            <w:r w:rsidRPr="00D41234">
              <w:rPr>
                <w:rFonts w:eastAsia="Times New Roman" w:cs="Calibri"/>
                <w:b/>
                <w:noProof w:val="0"/>
                <w:lang w:eastAsia="en-US"/>
              </w:rPr>
              <w:t>3.10</w:t>
            </w:r>
          </w:p>
        </w:tc>
        <w:tc>
          <w:tcPr>
            <w:tcW w:w="566" w:type="dxa"/>
            <w:noWrap/>
            <w:vAlign w:val="bottom"/>
            <w:hideMark/>
          </w:tcPr>
          <w:p w14:paraId="194C1CAA" w14:textId="77777777" w:rsidR="00CB26D7" w:rsidRPr="00D41234" w:rsidRDefault="00CB26D7" w:rsidP="000E140E">
            <w:pPr>
              <w:spacing w:line="240" w:lineRule="auto"/>
              <w:jc w:val="center"/>
              <w:rPr>
                <w:rFonts w:eastAsia="Times New Roman" w:cs="Calibri"/>
                <w:b/>
                <w:noProof w:val="0"/>
                <w:lang w:eastAsia="en-US"/>
              </w:rPr>
            </w:pPr>
            <w:r w:rsidRPr="00D41234">
              <w:rPr>
                <w:rFonts w:eastAsia="Times New Roman" w:cs="Calibri"/>
                <w:b/>
                <w:noProof w:val="0"/>
                <w:lang w:eastAsia="en-US"/>
              </w:rPr>
              <w:t>1.01</w:t>
            </w:r>
          </w:p>
        </w:tc>
        <w:tc>
          <w:tcPr>
            <w:tcW w:w="914" w:type="dxa"/>
            <w:noWrap/>
            <w:vAlign w:val="bottom"/>
            <w:hideMark/>
          </w:tcPr>
          <w:p w14:paraId="17F47735" w14:textId="77777777" w:rsidR="00CB26D7" w:rsidRPr="00D41234" w:rsidRDefault="00CB26D7" w:rsidP="000E140E">
            <w:pPr>
              <w:spacing w:line="240" w:lineRule="auto"/>
              <w:jc w:val="center"/>
              <w:rPr>
                <w:rFonts w:eastAsia="Times New Roman" w:cs="Calibri"/>
                <w:b/>
                <w:noProof w:val="0"/>
                <w:lang w:eastAsia="en-US"/>
              </w:rPr>
            </w:pPr>
            <w:r w:rsidRPr="00D41234">
              <w:rPr>
                <w:rFonts w:eastAsia="Times New Roman" w:cs="Calibri"/>
                <w:b/>
                <w:noProof w:val="0"/>
                <w:lang w:eastAsia="en-US"/>
              </w:rPr>
              <w:t>Unsure</w:t>
            </w:r>
          </w:p>
        </w:tc>
      </w:tr>
    </w:tbl>
    <w:p w14:paraId="18595D40" w14:textId="77777777" w:rsidR="00CB26D7" w:rsidRPr="0032430F" w:rsidRDefault="00CB26D7" w:rsidP="00CB26D7">
      <w:pPr>
        <w:pStyle w:val="MDPI21heading1"/>
        <w:ind w:left="2430" w:firstLine="180"/>
        <w:jc w:val="both"/>
        <w:rPr>
          <w:b w:val="0"/>
          <w:szCs w:val="20"/>
        </w:rPr>
      </w:pPr>
      <w:r>
        <w:rPr>
          <w:rFonts w:eastAsiaTheme="minorHAnsi" w:cs="Tahoma"/>
          <w:b w:val="0"/>
          <w:bCs/>
          <w:color w:val="auto"/>
          <w:lang w:eastAsia="en-US"/>
        </w:rPr>
        <w:t xml:space="preserve">  </w:t>
      </w:r>
      <w:r w:rsidRPr="00D41234">
        <w:rPr>
          <w:rFonts w:eastAsiaTheme="minorHAnsi" w:cs="Tahoma"/>
          <w:b w:val="0"/>
          <w:bCs/>
          <w:color w:val="auto"/>
          <w:lang w:eastAsia="en-US"/>
        </w:rPr>
        <w:t>Results on Mathematical Interest</w:t>
      </w:r>
      <w:r w:rsidRPr="00D41234">
        <w:rPr>
          <w:rFonts w:eastAsiaTheme="minorHAnsi" w:cs="Tahoma"/>
          <w:b w:val="0"/>
          <w:color w:val="auto"/>
          <w:lang w:eastAsia="en-US"/>
        </w:rPr>
        <w:t xml:space="preserve"> </w:t>
      </w:r>
      <w:proofErr w:type="gramStart"/>
      <w:r w:rsidRPr="00D41234">
        <w:rPr>
          <w:rFonts w:eastAsiaTheme="minorHAnsi" w:cs="Tahoma"/>
          <w:b w:val="0"/>
          <w:color w:val="auto"/>
          <w:lang w:eastAsia="en-US"/>
        </w:rPr>
        <w:t>reflects</w:t>
      </w:r>
      <w:proofErr w:type="gramEnd"/>
      <w:r w:rsidRPr="00D41234">
        <w:rPr>
          <w:rFonts w:eastAsiaTheme="minorHAnsi" w:cs="Tahoma"/>
          <w:b w:val="0"/>
          <w:color w:val="auto"/>
          <w:lang w:eastAsia="en-US"/>
        </w:rPr>
        <w:t xml:space="preserve"> mixed perceptions of students' engagement with online learning. While students agree that attending online classes on time is easier (</w:t>
      </w:r>
      <w:r w:rsidRPr="00D41234">
        <w:rPr>
          <w:rFonts w:eastAsiaTheme="minorHAnsi" w:cs="Tahoma"/>
          <w:b w:val="0"/>
          <w:bCs/>
          <w:color w:val="auto"/>
          <w:lang w:eastAsia="en-US"/>
        </w:rPr>
        <w:t>Mean: 3.53, SD: 0.99</w:t>
      </w:r>
      <w:r w:rsidRPr="00D41234">
        <w:rPr>
          <w:rFonts w:eastAsiaTheme="minorHAnsi" w:cs="Tahoma"/>
          <w:b w:val="0"/>
          <w:color w:val="auto"/>
          <w:lang w:eastAsia="en-US"/>
        </w:rPr>
        <w:t xml:space="preserve">) and they are generally interested </w:t>
      </w:r>
      <w:proofErr w:type="gramStart"/>
      <w:r w:rsidRPr="00D41234">
        <w:rPr>
          <w:rFonts w:eastAsiaTheme="minorHAnsi" w:cs="Tahoma"/>
          <w:b w:val="0"/>
          <w:color w:val="auto"/>
          <w:lang w:eastAsia="en-US"/>
        </w:rPr>
        <w:t>to learn</w:t>
      </w:r>
      <w:proofErr w:type="gramEnd"/>
      <w:r w:rsidRPr="00D41234">
        <w:rPr>
          <w:rFonts w:eastAsiaTheme="minorHAnsi" w:cs="Tahoma"/>
          <w:b w:val="0"/>
          <w:color w:val="auto"/>
          <w:lang w:eastAsia="en-US"/>
        </w:rPr>
        <w:t xml:space="preserve"> (</w:t>
      </w:r>
      <w:r w:rsidRPr="00D41234">
        <w:rPr>
          <w:rFonts w:eastAsiaTheme="minorHAnsi" w:cs="Tahoma"/>
          <w:b w:val="0"/>
          <w:bCs/>
          <w:color w:val="auto"/>
          <w:lang w:eastAsia="en-US"/>
        </w:rPr>
        <w:t>Mean: 3.52, SD: 0.97</w:t>
      </w:r>
      <w:r w:rsidRPr="00D41234">
        <w:rPr>
          <w:rFonts w:eastAsiaTheme="minorHAnsi" w:cs="Tahoma"/>
          <w:b w:val="0"/>
          <w:color w:val="auto"/>
          <w:lang w:eastAsia="en-US"/>
        </w:rPr>
        <w:t>), they remain uncertain about other aspects. Asking questions (</w:t>
      </w:r>
      <w:r w:rsidRPr="00D41234">
        <w:rPr>
          <w:rFonts w:eastAsiaTheme="minorHAnsi" w:cs="Tahoma"/>
          <w:b w:val="0"/>
          <w:bCs/>
          <w:color w:val="auto"/>
          <w:lang w:eastAsia="en-US"/>
        </w:rPr>
        <w:t>Mean: 3.18, SD: 0.96</w:t>
      </w:r>
      <w:r w:rsidRPr="00D41234">
        <w:rPr>
          <w:rFonts w:eastAsiaTheme="minorHAnsi" w:cs="Tahoma"/>
          <w:b w:val="0"/>
          <w:color w:val="auto"/>
          <w:lang w:eastAsia="en-US"/>
        </w:rPr>
        <w:t>), collaborating with classmates (</w:t>
      </w:r>
      <w:r w:rsidRPr="00D41234">
        <w:rPr>
          <w:rFonts w:eastAsiaTheme="minorHAnsi" w:cs="Tahoma"/>
          <w:b w:val="0"/>
          <w:bCs/>
          <w:color w:val="auto"/>
          <w:lang w:eastAsia="en-US"/>
        </w:rPr>
        <w:t>Mean: 2.93, SD: 1.04</w:t>
      </w:r>
      <w:r w:rsidRPr="00D41234">
        <w:rPr>
          <w:rFonts w:eastAsiaTheme="minorHAnsi" w:cs="Tahoma"/>
          <w:b w:val="0"/>
          <w:color w:val="auto"/>
          <w:lang w:eastAsia="en-US"/>
        </w:rPr>
        <w:t>), and finding online materials interesting (</w:t>
      </w:r>
      <w:r w:rsidRPr="00D41234">
        <w:rPr>
          <w:rFonts w:eastAsiaTheme="minorHAnsi" w:cs="Tahoma"/>
          <w:b w:val="0"/>
          <w:bCs/>
          <w:color w:val="auto"/>
          <w:lang w:eastAsia="en-US"/>
        </w:rPr>
        <w:t>Mean: 3.34, SD: 0.92</w:t>
      </w:r>
      <w:r w:rsidRPr="00D41234">
        <w:rPr>
          <w:rFonts w:eastAsiaTheme="minorHAnsi" w:cs="Tahoma"/>
          <w:b w:val="0"/>
          <w:color w:val="auto"/>
          <w:lang w:eastAsia="en-US"/>
        </w:rPr>
        <w:t>) show inconsistent responses. Students also feel unsure about enjoying online learning compared to face-to-face (</w:t>
      </w:r>
      <w:r w:rsidRPr="00D41234">
        <w:rPr>
          <w:rFonts w:eastAsiaTheme="minorHAnsi" w:cs="Tahoma"/>
          <w:b w:val="0"/>
          <w:bCs/>
          <w:color w:val="auto"/>
          <w:lang w:eastAsia="en-US"/>
        </w:rPr>
        <w:t>Mean: 2.57, SD: 1.14</w:t>
      </w:r>
      <w:r w:rsidRPr="00D41234">
        <w:rPr>
          <w:rFonts w:eastAsiaTheme="minorHAnsi" w:cs="Tahoma"/>
          <w:b w:val="0"/>
          <w:color w:val="auto"/>
          <w:lang w:eastAsia="en-US"/>
        </w:rPr>
        <w:t>) and maintaining excitement during lectures (</w:t>
      </w:r>
      <w:r w:rsidRPr="00D41234">
        <w:rPr>
          <w:rFonts w:eastAsiaTheme="minorHAnsi" w:cs="Tahoma"/>
          <w:b w:val="0"/>
          <w:bCs/>
          <w:color w:val="auto"/>
          <w:lang w:eastAsia="en-US"/>
        </w:rPr>
        <w:t>Mean: 3.05, SD: 0.99</w:t>
      </w:r>
      <w:r w:rsidRPr="00D41234">
        <w:rPr>
          <w:rFonts w:eastAsiaTheme="minorHAnsi" w:cs="Tahoma"/>
          <w:b w:val="0"/>
          <w:color w:val="auto"/>
          <w:lang w:eastAsia="en-US"/>
        </w:rPr>
        <w:t xml:space="preserve">). The overall mean of </w:t>
      </w:r>
      <w:r w:rsidRPr="00D41234">
        <w:rPr>
          <w:rFonts w:eastAsiaTheme="minorHAnsi" w:cs="Tahoma"/>
          <w:b w:val="0"/>
          <w:bCs/>
          <w:color w:val="auto"/>
          <w:lang w:eastAsia="en-US"/>
        </w:rPr>
        <w:t>3.10</w:t>
      </w:r>
      <w:r w:rsidRPr="00D41234">
        <w:rPr>
          <w:rFonts w:eastAsiaTheme="minorHAnsi" w:cs="Tahoma"/>
          <w:b w:val="0"/>
          <w:color w:val="auto"/>
          <w:lang w:eastAsia="en-US"/>
        </w:rPr>
        <w:t xml:space="preserve"> with a standard deviation of </w:t>
      </w:r>
      <w:r w:rsidRPr="00D41234">
        <w:rPr>
          <w:rFonts w:eastAsiaTheme="minorHAnsi" w:cs="Tahoma"/>
          <w:b w:val="0"/>
          <w:bCs/>
          <w:color w:val="auto"/>
          <w:lang w:eastAsia="en-US"/>
        </w:rPr>
        <w:t>1.01</w:t>
      </w:r>
      <w:r w:rsidRPr="00D41234">
        <w:rPr>
          <w:rFonts w:eastAsiaTheme="minorHAnsi" w:cs="Tahoma"/>
          <w:b w:val="0"/>
          <w:color w:val="auto"/>
          <w:lang w:eastAsia="en-US"/>
        </w:rPr>
        <w:t xml:space="preserve"> indicates moderate interest, but the high variability suggests diverse experiences, highlighting that while some students find online learning engaging, others struggle with motivation and enjoyment</w:t>
      </w:r>
      <w:r>
        <w:rPr>
          <w:rFonts w:eastAsiaTheme="minorHAnsi" w:cs="Tahoma"/>
          <w:b w:val="0"/>
          <w:color w:val="auto"/>
          <w:lang w:eastAsia="en-US"/>
        </w:rPr>
        <w:t xml:space="preserve">. </w:t>
      </w:r>
      <w:r w:rsidRPr="0032430F">
        <w:rPr>
          <w:b w:val="0"/>
          <w:szCs w:val="20"/>
        </w:rPr>
        <w:t>These findings align with the research by</w:t>
      </w:r>
      <m:oMath>
        <m:d>
          <m:dPr>
            <m:begChr m:val="["/>
            <m:endChr m:val="]"/>
            <m:ctrlPr>
              <w:rPr>
                <w:rFonts w:ascii="Cambria Math" w:eastAsiaTheme="minorEastAsia" w:hAnsi="Cambria Math"/>
                <w:b w:val="0"/>
                <w:noProof/>
                <w:snapToGrid/>
                <w:szCs w:val="20"/>
                <w:lang w:eastAsia="zh-CN" w:bidi="ar-SA"/>
              </w:rPr>
            </m:ctrlPr>
          </m:dPr>
          <m:e>
            <m:r>
              <m:rPr>
                <m:sty m:val="b"/>
              </m:rPr>
              <w:rPr>
                <w:rFonts w:ascii="Cambria Math" w:hAnsi="Cambria Math"/>
                <w:szCs w:val="20"/>
              </w:rPr>
              <m:t>1</m:t>
            </m:r>
          </m:e>
        </m:d>
      </m:oMath>
      <w:r w:rsidRPr="006842B8">
        <w:rPr>
          <w:b w:val="0"/>
          <w:szCs w:val="20"/>
        </w:rPr>
        <w:t>,</w:t>
      </w:r>
      <w:r w:rsidRPr="0032430F">
        <w:rPr>
          <w:b w:val="0"/>
          <w:szCs w:val="20"/>
        </w:rPr>
        <w:t xml:space="preserve"> which highlighted the variation in students’ learning experiences during online learning. It noted that while some students thrived due to the flexibility of online platforms, others faced challenges such as decreased motivation, distractions, and difficulties in staying engaged. Similarly, Yang et al. (2021) revealed that while online platforms enhance accessibility and allow for personalized pacing, students' levels of engagement and motivation vary widely. Factors such as technological proficiency, interaction with peers, and the clarity of materials contribute to these differences.</w:t>
      </w:r>
    </w:p>
    <w:p w14:paraId="375B2AE1" w14:textId="77777777" w:rsidR="00CB26D7" w:rsidRDefault="00CB26D7" w:rsidP="00CB26D7">
      <w:pPr>
        <w:pStyle w:val="MDPI21heading1"/>
      </w:pPr>
      <w:r>
        <w:t>4. Conclusions</w:t>
      </w:r>
    </w:p>
    <w:p w14:paraId="3F88D048" w14:textId="77777777" w:rsidR="00CB26D7" w:rsidRPr="006842B8" w:rsidRDefault="00CB26D7" w:rsidP="00CB26D7">
      <w:pPr>
        <w:pStyle w:val="MDPI21heading1"/>
        <w:jc w:val="both"/>
        <w:rPr>
          <w:rFonts w:cs="Tahoma"/>
          <w:b w:val="0"/>
        </w:rPr>
      </w:pPr>
      <w:r w:rsidRPr="006842B8">
        <w:rPr>
          <w:rFonts w:cs="Tahoma"/>
          <w:b w:val="0"/>
        </w:rPr>
        <w:t>Based on the findings, the following conclusions were formulated:</w:t>
      </w:r>
    </w:p>
    <w:p w14:paraId="7EAB2C20" w14:textId="77777777" w:rsidR="00CB26D7" w:rsidRDefault="00CB26D7" w:rsidP="00CB26D7">
      <w:pPr>
        <w:pStyle w:val="MDPI21heading1"/>
        <w:jc w:val="both"/>
        <w:rPr>
          <w:rFonts w:cs="Tahoma"/>
          <w:b w:val="0"/>
          <w:szCs w:val="20"/>
        </w:rPr>
      </w:pPr>
      <w:r w:rsidRPr="006842B8">
        <w:rPr>
          <w:rFonts w:cs="Tahoma"/>
          <w:b w:val="0"/>
          <w:szCs w:val="20"/>
        </w:rPr>
        <w:t xml:space="preserve">1. Majority of the students are young, with ages ranging from 18 to 36 years, and an average age of 19.53 years. The respondents are predominantly female, mostly from the College of International Tourism and Hospitality Management (CITHM), and mostly freshmen. Their families' monthly income ranges between </w:t>
      </w:r>
      <w:proofErr w:type="spellStart"/>
      <w:r w:rsidRPr="006842B8">
        <w:rPr>
          <w:rFonts w:cs="Tahoma"/>
          <w:b w:val="0"/>
          <w:szCs w:val="20"/>
        </w:rPr>
        <w:t>PhP</w:t>
      </w:r>
      <w:proofErr w:type="spellEnd"/>
      <w:r w:rsidRPr="006842B8">
        <w:rPr>
          <w:rFonts w:cs="Tahoma"/>
          <w:b w:val="0"/>
          <w:szCs w:val="20"/>
        </w:rPr>
        <w:t xml:space="preserve"> 10,500 to </w:t>
      </w:r>
      <w:proofErr w:type="spellStart"/>
      <w:r w:rsidRPr="006842B8">
        <w:rPr>
          <w:rFonts w:cs="Tahoma"/>
          <w:b w:val="0"/>
          <w:szCs w:val="20"/>
        </w:rPr>
        <w:t>PhP</w:t>
      </w:r>
      <w:proofErr w:type="spellEnd"/>
      <w:r w:rsidRPr="006842B8">
        <w:rPr>
          <w:rFonts w:cs="Tahoma"/>
          <w:b w:val="0"/>
          <w:szCs w:val="20"/>
        </w:rPr>
        <w:t xml:space="preserve"> 42,000. Most of the respondents used MS </w:t>
      </w:r>
      <w:proofErr w:type="gramStart"/>
      <w:r w:rsidRPr="006842B8">
        <w:rPr>
          <w:rFonts w:cs="Tahoma"/>
          <w:b w:val="0"/>
          <w:szCs w:val="20"/>
        </w:rPr>
        <w:t>Teams during</w:t>
      </w:r>
      <w:proofErr w:type="gramEnd"/>
      <w:r w:rsidRPr="006842B8">
        <w:rPr>
          <w:rFonts w:cs="Tahoma"/>
          <w:b w:val="0"/>
          <w:szCs w:val="20"/>
        </w:rPr>
        <w:t xml:space="preserve"> online. Additionally, many respondents do not have siblings currently enrolled in online classes, and those who do typically have their own devices. However, some students still rely on borrowed devices or lack access to their own, indicating variability in access to resources during online learning. Some online synchronous learners have physical learning space limitations which make learning inconvenient. Somehow, this has contributed to their low academic self-concept.</w:t>
      </w:r>
    </w:p>
    <w:p w14:paraId="07C8BCE4" w14:textId="77777777" w:rsidR="00CB26D7" w:rsidRDefault="00CB26D7" w:rsidP="00CB26D7">
      <w:pPr>
        <w:pStyle w:val="MDPI21heading1"/>
        <w:jc w:val="both"/>
        <w:rPr>
          <w:rFonts w:cs="Tahoma"/>
          <w:b w:val="0"/>
          <w:szCs w:val="20"/>
        </w:rPr>
      </w:pPr>
      <w:r w:rsidRPr="006842B8">
        <w:rPr>
          <w:rFonts w:cs="Tahoma"/>
          <w:b w:val="0"/>
          <w:szCs w:val="20"/>
        </w:rPr>
        <w:t xml:space="preserve">2. Most student-respondents own one or two devices and have access to personal space during online sessions. However, some experience slow or very slow internet connections, while many face intermittent connectivity </w:t>
      </w:r>
      <w:r w:rsidRPr="006842B8">
        <w:rPr>
          <w:rFonts w:cs="Tahoma"/>
          <w:b w:val="0"/>
          <w:szCs w:val="20"/>
        </w:rPr>
        <w:lastRenderedPageBreak/>
        <w:t xml:space="preserve">issues during online synchronous classes. </w:t>
      </w:r>
      <w:proofErr w:type="gramStart"/>
      <w:r w:rsidRPr="006842B8">
        <w:rPr>
          <w:rFonts w:cs="Tahoma"/>
          <w:b w:val="0"/>
          <w:szCs w:val="20"/>
        </w:rPr>
        <w:t>A majority of</w:t>
      </w:r>
      <w:proofErr w:type="gramEnd"/>
      <w:r w:rsidRPr="006842B8">
        <w:rPr>
          <w:rFonts w:cs="Tahoma"/>
          <w:b w:val="0"/>
          <w:szCs w:val="20"/>
        </w:rPr>
        <w:t xml:space="preserve"> the respondents perceive online learning in mathematics to be of similar difficulty or ease compared to face-to-face learning. </w:t>
      </w:r>
    </w:p>
    <w:p w14:paraId="3B0334A5" w14:textId="77777777" w:rsidR="00CB26D7" w:rsidRPr="006842B8" w:rsidRDefault="00CB26D7" w:rsidP="00CB26D7">
      <w:pPr>
        <w:pStyle w:val="MDPI21heading1"/>
        <w:jc w:val="both"/>
        <w:rPr>
          <w:rFonts w:cs="Tahoma"/>
          <w:b w:val="0"/>
          <w:szCs w:val="20"/>
        </w:rPr>
      </w:pPr>
      <w:r w:rsidRPr="006842B8">
        <w:rPr>
          <w:rFonts w:cs="Tahoma"/>
          <w:b w:val="0"/>
          <w:szCs w:val="20"/>
        </w:rPr>
        <w:t>3. The results suggest that while students show positive perceptions of the accessibility and task completion aspects of online learning, they exhibit mixed feelings about their mathematical ability and interest. Although they feel confident in certain areas, such as passing subjects and attending classes, they express uncertainty regarding their comprehension, performance, and engagement. The varied responses indicate that while online learning offers flexibility and convenience, it may require improvements in fostering consistent understanding and maintaining student Mathematics ability and interest.</w:t>
      </w:r>
    </w:p>
    <w:p w14:paraId="0507722A" w14:textId="77777777" w:rsidR="00CB26D7" w:rsidRDefault="00CB26D7" w:rsidP="00CB26D7">
      <w:pPr>
        <w:pStyle w:val="NoSpacing"/>
        <w:spacing w:line="228" w:lineRule="auto"/>
        <w:ind w:left="2520"/>
        <w:contextualSpacing/>
        <w:jc w:val="both"/>
        <w:rPr>
          <w:rFonts w:ascii="Palatino Linotype" w:hAnsi="Palatino Linotype" w:cs="Tahoma"/>
          <w:b/>
          <w:sz w:val="18"/>
          <w:szCs w:val="18"/>
        </w:rPr>
      </w:pPr>
      <w:r w:rsidRPr="006842B8">
        <w:rPr>
          <w:rFonts w:ascii="Palatino Linotype" w:hAnsi="Palatino Linotype" w:cs="Tahoma"/>
          <w:b/>
          <w:sz w:val="18"/>
          <w:szCs w:val="18"/>
        </w:rPr>
        <w:t>Recommendations</w:t>
      </w:r>
    </w:p>
    <w:p w14:paraId="09B36F08" w14:textId="77777777" w:rsidR="00CB26D7" w:rsidRPr="006842B8" w:rsidRDefault="00CB26D7" w:rsidP="00CB26D7">
      <w:pPr>
        <w:pStyle w:val="NoSpacing"/>
        <w:spacing w:line="228" w:lineRule="auto"/>
        <w:ind w:left="2520"/>
        <w:contextualSpacing/>
        <w:jc w:val="both"/>
        <w:rPr>
          <w:rFonts w:ascii="Palatino Linotype" w:hAnsi="Palatino Linotype"/>
          <w:sz w:val="18"/>
          <w:szCs w:val="18"/>
        </w:rPr>
      </w:pPr>
      <w:r w:rsidRPr="006842B8">
        <w:rPr>
          <w:rFonts w:ascii="Palatino Linotype" w:hAnsi="Palatino Linotype" w:cs="Tahoma"/>
          <w:sz w:val="18"/>
          <w:szCs w:val="18"/>
        </w:rPr>
        <w:t>1. Faculty members (or the university) may send letters to parents or guardians about online learning, to observe the online learning schedule of their students and provide them with an environment that is conducive for learning.</w:t>
      </w:r>
      <w:r w:rsidRPr="006842B8">
        <w:rPr>
          <w:rFonts w:ascii="Palatino Linotype" w:hAnsi="Palatino Linotype" w:cs="Tahoma"/>
          <w:sz w:val="18"/>
          <w:szCs w:val="18"/>
        </w:rPr>
        <w:cr/>
        <w:t xml:space="preserve">2. Continuously provide an LMS that can support the needs of the MMW students. With this, other LMS aside from </w:t>
      </w:r>
      <w:proofErr w:type="spellStart"/>
      <w:r w:rsidRPr="006842B8">
        <w:rPr>
          <w:rFonts w:ascii="Palatino Linotype" w:hAnsi="Palatino Linotype" w:cs="Tahoma"/>
          <w:sz w:val="18"/>
          <w:szCs w:val="18"/>
        </w:rPr>
        <w:t>MRooms</w:t>
      </w:r>
      <w:proofErr w:type="spellEnd"/>
      <w:r w:rsidRPr="006842B8">
        <w:rPr>
          <w:rFonts w:ascii="Palatino Linotype" w:hAnsi="Palatino Linotype" w:cs="Tahoma"/>
          <w:sz w:val="18"/>
          <w:szCs w:val="18"/>
        </w:rPr>
        <w:t xml:space="preserve"> can be tested.</w:t>
      </w:r>
      <w:r w:rsidRPr="006842B8">
        <w:rPr>
          <w:rFonts w:ascii="Palatino Linotype" w:hAnsi="Palatino Linotype" w:cs="Tahoma"/>
          <w:sz w:val="18"/>
          <w:szCs w:val="18"/>
        </w:rPr>
        <w:cr/>
        <w:t xml:space="preserve">3. For future research to utilize the results of this exploratory research as a basis for other research on self-concept of students especially in other subjects, which may not only be on pure online learning modality but also other modalities such as blended learning.  </w:t>
      </w:r>
      <w:r w:rsidRPr="006842B8">
        <w:rPr>
          <w:rFonts w:ascii="Palatino Linotype" w:hAnsi="Palatino Linotype" w:cs="Tahoma"/>
          <w:sz w:val="18"/>
          <w:szCs w:val="18"/>
        </w:rPr>
        <w:cr/>
      </w:r>
      <w:bookmarkStart w:id="5" w:name="_Hlk60054323"/>
      <w:r w:rsidRPr="006842B8">
        <w:rPr>
          <w:rFonts w:ascii="Palatino Linotype" w:hAnsi="Palatino Linotype"/>
          <w:b/>
          <w:sz w:val="18"/>
          <w:szCs w:val="18"/>
        </w:rPr>
        <w:t xml:space="preserve">Informed Consent Statement: </w:t>
      </w:r>
      <w:r w:rsidRPr="006842B8">
        <w:rPr>
          <w:rFonts w:ascii="Palatino Linotype" w:hAnsi="Palatino Linotype"/>
          <w:sz w:val="18"/>
          <w:szCs w:val="18"/>
        </w:rPr>
        <w:t xml:space="preserve">Informed consent was obtained from all subjects involved in the study. </w:t>
      </w:r>
    </w:p>
    <w:bookmarkEnd w:id="5"/>
    <w:p w14:paraId="43B73B1B" w14:textId="77777777" w:rsidR="00CB26D7" w:rsidRPr="009500FB" w:rsidRDefault="00CB26D7" w:rsidP="00CB26D7">
      <w:pPr>
        <w:pStyle w:val="MDPI62BackMatter"/>
        <w:spacing w:after="0"/>
        <w:ind w:left="2520"/>
        <w:contextualSpacing/>
        <w:rPr>
          <w:b/>
          <w:color w:val="FF0000"/>
        </w:rPr>
      </w:pPr>
      <w:r w:rsidRPr="009500FB">
        <w:rPr>
          <w:b/>
        </w:rPr>
        <w:t>Data Availability Statement:</w:t>
      </w:r>
      <w:r w:rsidRPr="009500FB">
        <w:t xml:space="preserve"> Suggested Data Availability Statements are available in section “MDPI Research Data Policies” at </w:t>
      </w:r>
      <w:hyperlink r:id="rId4" w:history="1">
        <w:r w:rsidRPr="009500FB">
          <w:rPr>
            <w:rStyle w:val="Hyperlink"/>
          </w:rPr>
          <w:t>https://www.mdpi.com/ethics</w:t>
        </w:r>
      </w:hyperlink>
      <w:r w:rsidRPr="009500FB">
        <w:t>.</w:t>
      </w:r>
    </w:p>
    <w:p w14:paraId="6763534C" w14:textId="77777777" w:rsidR="00CB26D7" w:rsidRPr="009500FB" w:rsidRDefault="00CB26D7" w:rsidP="00CB26D7">
      <w:pPr>
        <w:pStyle w:val="MDPI62BackMatter"/>
        <w:spacing w:after="0"/>
        <w:ind w:left="2520"/>
        <w:contextualSpacing/>
      </w:pPr>
      <w:r w:rsidRPr="009500FB">
        <w:rPr>
          <w:b/>
        </w:rPr>
        <w:t xml:space="preserve">Acknowledgment: </w:t>
      </w:r>
      <w:r w:rsidRPr="009500FB">
        <w:t>The authors extend their gratitude to the Lyceum of the Philippines University, Manila and the Central Luzon State University, Science City of Munoz for their support and guidance in completing this work. Their contributions have been invaluable to the success of this publication.</w:t>
      </w:r>
    </w:p>
    <w:p w14:paraId="687F784D" w14:textId="77777777" w:rsidR="00CB26D7" w:rsidRPr="009500FB" w:rsidRDefault="00CB26D7" w:rsidP="00CB26D7">
      <w:pPr>
        <w:pStyle w:val="MDPI62BackMatter"/>
        <w:spacing w:after="0"/>
        <w:ind w:left="2520"/>
        <w:contextualSpacing/>
      </w:pPr>
      <w:r w:rsidRPr="009500FB">
        <w:rPr>
          <w:b/>
        </w:rPr>
        <w:t>Conflicts of Interest:</w:t>
      </w:r>
      <w:r w:rsidRPr="009500FB">
        <w:t xml:space="preserve"> The authors declare no conflict of interest. The funders had no role in the design of the study; in the collection, analyses, or interpretation of data; in the writing of the manuscript; or in the decision to publish the results.</w:t>
      </w:r>
    </w:p>
    <w:p w14:paraId="7D371F2D" w14:textId="77777777" w:rsidR="00CB26D7" w:rsidRPr="00FA04F1" w:rsidRDefault="00CB26D7" w:rsidP="00CB26D7">
      <w:pPr>
        <w:pStyle w:val="MDPI21heading1"/>
        <w:spacing w:before="0" w:after="0"/>
        <w:ind w:left="0"/>
        <w:contextualSpacing/>
      </w:pPr>
      <w:r w:rsidRPr="00FA04F1">
        <w:t>References</w:t>
      </w:r>
    </w:p>
    <w:p w14:paraId="46B3EF31" w14:textId="77777777" w:rsidR="00CB26D7" w:rsidRPr="00E27042" w:rsidRDefault="00000000" w:rsidP="00CB26D7">
      <w:pPr>
        <w:spacing w:line="228" w:lineRule="auto"/>
        <w:contextualSpacing/>
        <w:rPr>
          <w:rFonts w:cs="Arial"/>
          <w:color w:val="auto"/>
          <w:sz w:val="18"/>
          <w:szCs w:val="18"/>
          <w:shd w:val="clear" w:color="auto" w:fill="FFFFFF"/>
        </w:rPr>
      </w:pPr>
      <m:oMath>
        <m:d>
          <m:dPr>
            <m:begChr m:val="["/>
            <m:endChr m:val="]"/>
            <m:ctrlPr>
              <w:rPr>
                <w:rFonts w:ascii="Cambria Math" w:eastAsiaTheme="minorHAnsi" w:hAnsi="Cambria Math" w:cstheme="minorBidi"/>
                <w:i/>
                <w:noProof w:val="0"/>
                <w:color w:val="auto"/>
                <w:sz w:val="18"/>
                <w:szCs w:val="18"/>
                <w:lang w:val="en-PH" w:eastAsia="en-US"/>
              </w:rPr>
            </m:ctrlPr>
          </m:dPr>
          <m:e>
            <m:r>
              <w:rPr>
                <w:rFonts w:ascii="Cambria Math" w:hAnsi="Cambria Math"/>
                <w:sz w:val="18"/>
                <w:szCs w:val="18"/>
              </w:rPr>
              <m:t>1</m:t>
            </m:r>
          </m:e>
        </m:d>
      </m:oMath>
      <w:r w:rsidR="00CB26D7" w:rsidRPr="00E27042">
        <w:rPr>
          <w:color w:val="auto"/>
          <w:sz w:val="18"/>
          <w:szCs w:val="18"/>
        </w:rPr>
        <w:t xml:space="preserve">Bao, W. (2020). COVID-19 and online teaching in higher education: A case study of Peking University. </w:t>
      </w:r>
      <w:r w:rsidR="00CB26D7" w:rsidRPr="00E27042">
        <w:rPr>
          <w:rStyle w:val="Emphasis"/>
          <w:color w:val="auto"/>
          <w:sz w:val="18"/>
          <w:szCs w:val="18"/>
        </w:rPr>
        <w:t>Human Behavior and Emerging Technologies, 2</w:t>
      </w:r>
      <w:r w:rsidR="00CB26D7" w:rsidRPr="00E27042">
        <w:rPr>
          <w:color w:val="auto"/>
          <w:sz w:val="18"/>
          <w:szCs w:val="18"/>
        </w:rPr>
        <w:t>(2), 113–115. https://doi.org/10.1002/hbe2.191</w:t>
      </w:r>
    </w:p>
    <w:p w14:paraId="7FEC0FBA" w14:textId="77777777" w:rsidR="00CB26D7" w:rsidRPr="00E27042" w:rsidRDefault="00000000" w:rsidP="00CB26D7">
      <w:pPr>
        <w:spacing w:line="228" w:lineRule="auto"/>
        <w:contextualSpacing/>
        <w:rPr>
          <w:color w:val="auto"/>
          <w:spacing w:val="2"/>
          <w:sz w:val="18"/>
          <w:szCs w:val="18"/>
          <w:shd w:val="clear" w:color="auto" w:fill="FFFFFF"/>
        </w:rPr>
      </w:pPr>
      <m:oMath>
        <m:d>
          <m:dPr>
            <m:begChr m:val="["/>
            <m:endChr m:val="]"/>
            <m:ctrlPr>
              <w:rPr>
                <w:rFonts w:ascii="Cambria Math" w:eastAsiaTheme="minorHAnsi" w:hAnsi="Cambria Math" w:cstheme="minorBidi"/>
                <w:i/>
                <w:noProof w:val="0"/>
                <w:color w:val="auto"/>
                <w:sz w:val="18"/>
                <w:szCs w:val="18"/>
                <w:lang w:val="en-PH" w:eastAsia="en-US"/>
              </w:rPr>
            </m:ctrlPr>
          </m:dPr>
          <m:e>
            <m:r>
              <w:rPr>
                <w:rFonts w:ascii="Cambria Math" w:hAnsi="Cambria Math"/>
                <w:sz w:val="18"/>
                <w:szCs w:val="18"/>
              </w:rPr>
              <m:t>2</m:t>
            </m:r>
          </m:e>
        </m:d>
      </m:oMath>
      <w:r w:rsidR="00CB26D7" w:rsidRPr="00E27042">
        <w:rPr>
          <w:color w:val="auto"/>
          <w:sz w:val="18"/>
          <w:szCs w:val="18"/>
          <w:shd w:val="clear" w:color="auto" w:fill="FCFCFC"/>
        </w:rPr>
        <w:t>Baticulon, R.</w:t>
      </w:r>
      <w:r w:rsidR="00CB26D7">
        <w:rPr>
          <w:color w:val="auto"/>
          <w:sz w:val="18"/>
          <w:szCs w:val="18"/>
          <w:shd w:val="clear" w:color="auto" w:fill="FCFCFC"/>
        </w:rPr>
        <w:t xml:space="preserve">, </w:t>
      </w:r>
      <w:r w:rsidR="00CB26D7" w:rsidRPr="00E27042">
        <w:rPr>
          <w:color w:val="auto"/>
          <w:sz w:val="18"/>
          <w:szCs w:val="18"/>
          <w:shd w:val="clear" w:color="auto" w:fill="FCFCFC"/>
        </w:rPr>
        <w:t>Sy, J. J., Alberto, N. R. I., Baron, M. B. C., Mabulay, R. E. C., Rizada, L. G. T., Tiu, C. J. S., Clarion, C. A., &amp; Reyes, J. C. B. (2021). Barriers to online learning in the time of COVID-19: A national survey of medical students in the Philippines. </w:t>
      </w:r>
      <w:r w:rsidR="00CB26D7" w:rsidRPr="00E27042">
        <w:rPr>
          <w:i/>
          <w:iCs/>
          <w:color w:val="auto"/>
          <w:sz w:val="18"/>
          <w:szCs w:val="18"/>
          <w:shd w:val="clear" w:color="auto" w:fill="FCFCFC"/>
        </w:rPr>
        <w:t>Medical Science Educator,</w:t>
      </w:r>
      <w:r w:rsidR="00CB26D7" w:rsidRPr="00E27042">
        <w:rPr>
          <w:color w:val="auto"/>
          <w:sz w:val="18"/>
          <w:szCs w:val="18"/>
          <w:shd w:val="clear" w:color="auto" w:fill="FCFCFC"/>
        </w:rPr>
        <w:t> </w:t>
      </w:r>
      <w:r w:rsidR="00CB26D7" w:rsidRPr="00E27042">
        <w:rPr>
          <w:i/>
          <w:iCs/>
          <w:color w:val="auto"/>
          <w:sz w:val="18"/>
          <w:szCs w:val="18"/>
          <w:shd w:val="clear" w:color="auto" w:fill="FCFCFC"/>
        </w:rPr>
        <w:t>31</w:t>
      </w:r>
      <w:r w:rsidR="00CB26D7" w:rsidRPr="00E27042">
        <w:rPr>
          <w:color w:val="auto"/>
          <w:sz w:val="18"/>
          <w:szCs w:val="18"/>
          <w:shd w:val="clear" w:color="auto" w:fill="FCFCFC"/>
        </w:rPr>
        <w:t>, 615–626.</w:t>
      </w:r>
    </w:p>
    <w:p w14:paraId="1E24461D" w14:textId="77777777" w:rsidR="00CB26D7" w:rsidRPr="00E27042" w:rsidRDefault="00000000" w:rsidP="00CB26D7">
      <w:pPr>
        <w:spacing w:line="228" w:lineRule="auto"/>
        <w:contextualSpacing/>
        <w:rPr>
          <w:color w:val="auto"/>
          <w:spacing w:val="2"/>
          <w:sz w:val="18"/>
          <w:szCs w:val="18"/>
          <w:shd w:val="clear" w:color="auto" w:fill="FFFFFF"/>
        </w:rPr>
      </w:pPr>
      <m:oMath>
        <m:d>
          <m:dPr>
            <m:begChr m:val="["/>
            <m:endChr m:val="]"/>
            <m:ctrlPr>
              <w:rPr>
                <w:rFonts w:ascii="Cambria Math" w:eastAsiaTheme="minorHAnsi" w:hAnsi="Cambria Math" w:cstheme="minorBidi"/>
                <w:i/>
                <w:noProof w:val="0"/>
                <w:color w:val="auto"/>
                <w:sz w:val="18"/>
                <w:szCs w:val="18"/>
                <w:lang w:val="en-PH" w:eastAsia="en-US"/>
              </w:rPr>
            </m:ctrlPr>
          </m:dPr>
          <m:e>
            <m:r>
              <w:rPr>
                <w:rFonts w:ascii="Cambria Math" w:hAnsi="Cambria Math"/>
                <w:sz w:val="18"/>
                <w:szCs w:val="18"/>
              </w:rPr>
              <m:t>3</m:t>
            </m:r>
          </m:e>
        </m:d>
      </m:oMath>
      <w:r w:rsidR="00CB26D7" w:rsidRPr="00E27042">
        <w:rPr>
          <w:color w:val="auto"/>
          <w:spacing w:val="2"/>
          <w:sz w:val="18"/>
          <w:szCs w:val="18"/>
          <w:shd w:val="clear" w:color="auto" w:fill="FFFFFF"/>
        </w:rPr>
        <w:t>Bozkurt, A., Jung, I., Xiao, J., Vladimirschi, V., Schuwer, R., Egorov, G., Lambert, S., Al-Freih, M., Pete, J., Olcott, Jr., D., Rodes, V., Aranciaga, I., Bali, M., Alvarez, A. J., Roberts, J., Pazurek, A., Raffaghelli, J. E., Panagiotou, N., de Coëtlogon, P., Shahadu, S., Brown, M., Asino, T. I., Tumwesige, J., Ramírez Reyes, T., Barrios Ipenza, E., Ossiannilsson, E., Bond, M., Belhamel, K., Irvine, V., Sharma, R. C., Adam, T., Janssen, B., Sklyarova, T., Olcott, N., Ambrosino, A., Lazou, C., Mocquet, B., Mano, M., &amp; Paskevicius, M. (2020). A global outlook to the interruption of education due to COVID-19 pandemic: Navigating in a time of uncertainty and crisis. </w:t>
      </w:r>
      <w:r w:rsidR="00CB26D7" w:rsidRPr="00E27042">
        <w:rPr>
          <w:i/>
          <w:iCs/>
          <w:color w:val="auto"/>
          <w:spacing w:val="2"/>
          <w:sz w:val="18"/>
          <w:szCs w:val="18"/>
          <w:shd w:val="clear" w:color="auto" w:fill="FFFFFF"/>
        </w:rPr>
        <w:t>Asian Journal of Distance Education</w:t>
      </w:r>
      <w:r w:rsidR="00CB26D7" w:rsidRPr="00E27042">
        <w:rPr>
          <w:color w:val="auto"/>
          <w:spacing w:val="2"/>
          <w:sz w:val="18"/>
          <w:szCs w:val="18"/>
          <w:shd w:val="clear" w:color="auto" w:fill="FFFFFF"/>
        </w:rPr>
        <w:t>, </w:t>
      </w:r>
      <w:r w:rsidR="00CB26D7" w:rsidRPr="00E27042">
        <w:rPr>
          <w:i/>
          <w:iCs/>
          <w:color w:val="auto"/>
          <w:spacing w:val="2"/>
          <w:sz w:val="18"/>
          <w:szCs w:val="18"/>
          <w:shd w:val="clear" w:color="auto" w:fill="FFFFFF"/>
        </w:rPr>
        <w:t>15</w:t>
      </w:r>
      <w:r w:rsidR="00CB26D7" w:rsidRPr="00E27042">
        <w:rPr>
          <w:color w:val="auto"/>
          <w:spacing w:val="2"/>
          <w:sz w:val="18"/>
          <w:szCs w:val="18"/>
          <w:shd w:val="clear" w:color="auto" w:fill="FFFFFF"/>
        </w:rPr>
        <w:t xml:space="preserve">(1), 1-126. Retrieved from </w:t>
      </w:r>
      <w:hyperlink r:id="rId5" w:history="1">
        <w:r w:rsidR="00CB26D7" w:rsidRPr="00E27042">
          <w:rPr>
            <w:rStyle w:val="Hyperlink"/>
            <w:color w:val="auto"/>
            <w:spacing w:val="2"/>
            <w:sz w:val="18"/>
            <w:szCs w:val="18"/>
            <w:shd w:val="clear" w:color="auto" w:fill="FFFFFF"/>
          </w:rPr>
          <w:t>http://www.asianjde.com/ojs/index.php/AsianJDE/article/view/462</w:t>
        </w:r>
      </w:hyperlink>
    </w:p>
    <w:p w14:paraId="70A27D9B" w14:textId="77777777" w:rsidR="00CB26D7" w:rsidRDefault="00000000" w:rsidP="00CB26D7">
      <w:pPr>
        <w:spacing w:line="228" w:lineRule="auto"/>
        <w:contextualSpacing/>
        <w:rPr>
          <w:rFonts w:cs="Segoe UI"/>
          <w:sz w:val="18"/>
          <w:szCs w:val="18"/>
          <w:shd w:val="clear" w:color="auto" w:fill="FCFCFC"/>
        </w:rPr>
      </w:pPr>
      <m:oMath>
        <m:d>
          <m:dPr>
            <m:begChr m:val="["/>
            <m:endChr m:val="]"/>
            <m:ctrlPr>
              <w:rPr>
                <w:rFonts w:ascii="Cambria Math" w:eastAsiaTheme="minorHAnsi" w:hAnsi="Cambria Math" w:cstheme="minorBidi"/>
                <w:i/>
                <w:noProof w:val="0"/>
                <w:color w:val="auto"/>
                <w:sz w:val="18"/>
                <w:szCs w:val="18"/>
                <w:lang w:val="en-PH" w:eastAsia="en-US"/>
              </w:rPr>
            </m:ctrlPr>
          </m:dPr>
          <m:e>
            <m:r>
              <w:rPr>
                <w:rFonts w:ascii="Cambria Math" w:hAnsi="Cambria Math"/>
                <w:sz w:val="18"/>
                <w:szCs w:val="18"/>
              </w:rPr>
              <m:t>4</m:t>
            </m:r>
          </m:e>
        </m:d>
      </m:oMath>
      <w:r w:rsidR="00CB26D7" w:rsidRPr="00E27042">
        <w:rPr>
          <w:rFonts w:cs="Segoe UI"/>
          <w:color w:val="auto"/>
          <w:sz w:val="18"/>
          <w:szCs w:val="18"/>
          <w:shd w:val="clear" w:color="auto" w:fill="FCFCFC"/>
        </w:rPr>
        <w:t>Bringula, R., Reguyal, J.J., Tan, D.D. </w:t>
      </w:r>
      <w:r w:rsidR="00CB26D7" w:rsidRPr="00E27042">
        <w:rPr>
          <w:rFonts w:cs="Segoe UI"/>
          <w:iCs/>
          <w:color w:val="auto"/>
          <w:sz w:val="18"/>
          <w:szCs w:val="18"/>
          <w:shd w:val="clear" w:color="auto" w:fill="FCFCFC"/>
        </w:rPr>
        <w:t>Ulfa, S. (2021)</w:t>
      </w:r>
      <w:r w:rsidR="00CB26D7" w:rsidRPr="00E27042">
        <w:rPr>
          <w:rFonts w:cs="Segoe UI"/>
          <w:i/>
          <w:iCs/>
          <w:color w:val="auto"/>
          <w:sz w:val="18"/>
          <w:szCs w:val="18"/>
          <w:shd w:val="clear" w:color="auto" w:fill="FCFCFC"/>
        </w:rPr>
        <w:t>.</w:t>
      </w:r>
      <w:r w:rsidR="00CB26D7" w:rsidRPr="00E27042">
        <w:rPr>
          <w:rFonts w:cs="Segoe UI"/>
          <w:color w:val="auto"/>
          <w:sz w:val="18"/>
          <w:szCs w:val="18"/>
          <w:shd w:val="clear" w:color="auto" w:fill="FCFCFC"/>
        </w:rPr>
        <w:t> Mathematics self-concept and challenges of learners in an online learning environment during COVID-19 pandemic. </w:t>
      </w:r>
      <w:r w:rsidR="00CB26D7" w:rsidRPr="00E27042">
        <w:rPr>
          <w:rFonts w:cs="Segoe UI"/>
          <w:i/>
          <w:iCs/>
          <w:color w:val="auto"/>
          <w:sz w:val="18"/>
          <w:szCs w:val="18"/>
          <w:shd w:val="clear" w:color="auto" w:fill="FCFCFC"/>
        </w:rPr>
        <w:t>Smart Learn. Environ.</w:t>
      </w:r>
      <w:r w:rsidR="00CB26D7" w:rsidRPr="00E27042">
        <w:rPr>
          <w:rFonts w:cs="Segoe UI"/>
          <w:color w:val="auto"/>
          <w:sz w:val="18"/>
          <w:szCs w:val="18"/>
          <w:shd w:val="clear" w:color="auto" w:fill="FCFCFC"/>
        </w:rPr>
        <w:t> </w:t>
      </w:r>
      <w:r w:rsidR="00CB26D7" w:rsidRPr="00E27042">
        <w:rPr>
          <w:rFonts w:cs="Segoe UI"/>
          <w:b/>
          <w:bCs/>
          <w:color w:val="auto"/>
          <w:sz w:val="18"/>
          <w:szCs w:val="18"/>
          <w:shd w:val="clear" w:color="auto" w:fill="FCFCFC"/>
        </w:rPr>
        <w:t>8</w:t>
      </w:r>
      <w:r w:rsidR="00CB26D7" w:rsidRPr="00E27042">
        <w:rPr>
          <w:rFonts w:cs="Segoe UI"/>
          <w:color w:val="auto"/>
          <w:sz w:val="18"/>
          <w:szCs w:val="18"/>
          <w:shd w:val="clear" w:color="auto" w:fill="FCFCFC"/>
        </w:rPr>
        <w:t xml:space="preserve">, 22 (2021). </w:t>
      </w:r>
      <w:hyperlink r:id="rId6" w:history="1">
        <w:r w:rsidR="00CB26D7" w:rsidRPr="00E27042">
          <w:rPr>
            <w:rStyle w:val="Hyperlink"/>
            <w:rFonts w:cs="Segoe UI"/>
            <w:color w:val="auto"/>
            <w:sz w:val="18"/>
            <w:szCs w:val="18"/>
            <w:shd w:val="clear" w:color="auto" w:fill="FCFCFC"/>
          </w:rPr>
          <w:t>https://doi.org/10.1186/s40561-021-00168-5</w:t>
        </w:r>
      </w:hyperlink>
    </w:p>
    <w:p w14:paraId="24B9908E" w14:textId="77777777" w:rsidR="00CB26D7" w:rsidRPr="00E27042" w:rsidRDefault="00000000" w:rsidP="00CB26D7">
      <w:pPr>
        <w:spacing w:line="228" w:lineRule="auto"/>
        <w:contextualSpacing/>
        <w:rPr>
          <w:color w:val="auto"/>
          <w:sz w:val="18"/>
          <w:szCs w:val="18"/>
        </w:rPr>
      </w:pPr>
      <m:oMath>
        <m:d>
          <m:dPr>
            <m:begChr m:val="["/>
            <m:endChr m:val="]"/>
            <m:ctrlPr>
              <w:rPr>
                <w:rFonts w:ascii="Cambria Math" w:eastAsiaTheme="minorHAnsi" w:hAnsi="Cambria Math" w:cstheme="minorBidi"/>
                <w:i/>
                <w:noProof w:val="0"/>
                <w:color w:val="auto"/>
                <w:sz w:val="18"/>
                <w:szCs w:val="18"/>
                <w:lang w:val="en-PH" w:eastAsia="en-US"/>
              </w:rPr>
            </m:ctrlPr>
          </m:dPr>
          <m:e>
            <m:r>
              <w:rPr>
                <w:rFonts w:ascii="Cambria Math" w:hAnsi="Cambria Math"/>
                <w:sz w:val="18"/>
                <w:szCs w:val="18"/>
              </w:rPr>
              <m:t>5</m:t>
            </m:r>
          </m:e>
        </m:d>
      </m:oMath>
      <w:r w:rsidR="00CB26D7" w:rsidRPr="00E27042">
        <w:rPr>
          <w:color w:val="auto"/>
          <w:sz w:val="18"/>
          <w:szCs w:val="18"/>
          <w:shd w:val="clear" w:color="auto" w:fill="FCFCFC"/>
        </w:rPr>
        <w:t>Fabito, B. S., Trillanes, A. O., &amp; Sarmiento, J. R. (2021). Barriers and challenges of computing students in an online learning environment: Insights from one private university in the Philippines. </w:t>
      </w:r>
      <w:r w:rsidR="00CB26D7" w:rsidRPr="00E27042">
        <w:rPr>
          <w:i/>
          <w:iCs/>
          <w:color w:val="auto"/>
          <w:sz w:val="18"/>
          <w:szCs w:val="18"/>
          <w:shd w:val="clear" w:color="auto" w:fill="FCFCFC"/>
        </w:rPr>
        <w:t>International Journal of Computing Sciences Research,</w:t>
      </w:r>
      <w:r w:rsidR="00CB26D7" w:rsidRPr="00E27042">
        <w:rPr>
          <w:color w:val="auto"/>
          <w:sz w:val="18"/>
          <w:szCs w:val="18"/>
          <w:shd w:val="clear" w:color="auto" w:fill="FCFCFC"/>
        </w:rPr>
        <w:t> </w:t>
      </w:r>
      <w:r w:rsidR="00CB26D7" w:rsidRPr="00E27042">
        <w:rPr>
          <w:i/>
          <w:iCs/>
          <w:color w:val="auto"/>
          <w:sz w:val="18"/>
          <w:szCs w:val="18"/>
          <w:shd w:val="clear" w:color="auto" w:fill="FCFCFC"/>
        </w:rPr>
        <w:t>5</w:t>
      </w:r>
      <w:r w:rsidR="00CB26D7" w:rsidRPr="00E27042">
        <w:rPr>
          <w:color w:val="auto"/>
          <w:sz w:val="18"/>
          <w:szCs w:val="18"/>
          <w:shd w:val="clear" w:color="auto" w:fill="FCFCFC"/>
        </w:rPr>
        <w:t>(1), 441–458. </w:t>
      </w:r>
      <w:hyperlink r:id="rId7" w:history="1">
        <w:r w:rsidR="00CB26D7" w:rsidRPr="00E27042">
          <w:rPr>
            <w:rStyle w:val="Hyperlink"/>
            <w:color w:val="auto"/>
            <w:sz w:val="18"/>
            <w:szCs w:val="18"/>
            <w:shd w:val="clear" w:color="auto" w:fill="FCFCFC"/>
          </w:rPr>
          <w:t>https://doi.org/10.25147/ijcsr.2017.001.1.51</w:t>
        </w:r>
      </w:hyperlink>
    </w:p>
    <w:p w14:paraId="7DEB6B21" w14:textId="77777777" w:rsidR="00CB26D7" w:rsidRDefault="00000000" w:rsidP="00CB26D7">
      <w:pPr>
        <w:spacing w:line="228" w:lineRule="auto"/>
        <w:contextualSpacing/>
        <w:rPr>
          <w:rFonts w:eastAsia="Times New Roman"/>
          <w:color w:val="auto"/>
          <w:sz w:val="18"/>
          <w:szCs w:val="18"/>
          <w:lang w:eastAsia="en-PH"/>
        </w:rPr>
      </w:pPr>
      <m:oMath>
        <m:d>
          <m:dPr>
            <m:begChr m:val="["/>
            <m:endChr m:val="]"/>
            <m:ctrlPr>
              <w:rPr>
                <w:rFonts w:ascii="Cambria Math" w:eastAsiaTheme="minorHAnsi" w:hAnsi="Cambria Math" w:cstheme="minorBidi"/>
                <w:i/>
                <w:noProof w:val="0"/>
                <w:color w:val="auto"/>
                <w:sz w:val="18"/>
                <w:szCs w:val="18"/>
                <w:lang w:val="en-PH" w:eastAsia="en-US"/>
              </w:rPr>
            </m:ctrlPr>
          </m:dPr>
          <m:e>
            <m:r>
              <w:rPr>
                <w:rFonts w:ascii="Cambria Math" w:hAnsi="Cambria Math"/>
                <w:sz w:val="18"/>
                <w:szCs w:val="18"/>
              </w:rPr>
              <m:t>6</m:t>
            </m:r>
          </m:e>
        </m:d>
      </m:oMath>
      <w:r w:rsidR="00CB26D7" w:rsidRPr="0010462C">
        <w:rPr>
          <w:rFonts w:eastAsia="Times New Roman"/>
          <w:color w:val="auto"/>
          <w:sz w:val="18"/>
          <w:szCs w:val="18"/>
          <w:lang w:eastAsia="en-PH"/>
        </w:rPr>
        <w:t xml:space="preserve">Guo, J., et al. (2018). Longitudinal relationships between mathematics achievement and academic self-concept. British Journal of Educational </w:t>
      </w:r>
      <w:r w:rsidR="00CB26D7" w:rsidRPr="00E27042">
        <w:rPr>
          <w:rFonts w:eastAsia="Times New Roman"/>
          <w:color w:val="auto"/>
          <w:sz w:val="18"/>
          <w:szCs w:val="18"/>
          <w:lang w:eastAsia="en-PH"/>
        </w:rPr>
        <w:t>Psychology</w:t>
      </w:r>
      <w:r w:rsidR="00CB26D7" w:rsidRPr="0010462C">
        <w:rPr>
          <w:rFonts w:eastAsia="Times New Roman"/>
          <w:color w:val="auto"/>
          <w:sz w:val="18"/>
          <w:szCs w:val="18"/>
          <w:lang w:eastAsia="en-PH"/>
        </w:rPr>
        <w:t>, 88(3),422-438.</w:t>
      </w:r>
    </w:p>
    <w:p w14:paraId="4B79BF22" w14:textId="77777777" w:rsidR="00CB26D7" w:rsidRDefault="00000000" w:rsidP="00CB26D7">
      <w:pPr>
        <w:spacing w:line="228" w:lineRule="auto"/>
        <w:contextualSpacing/>
        <w:rPr>
          <w:rFonts w:eastAsia="Times New Roman"/>
          <w:sz w:val="18"/>
          <w:szCs w:val="18"/>
          <w:lang w:val="en-PH" w:eastAsia="en-PH"/>
        </w:rPr>
      </w:pPr>
      <m:oMath>
        <m:d>
          <m:dPr>
            <m:begChr m:val="["/>
            <m:endChr m:val="]"/>
            <m:ctrlPr>
              <w:rPr>
                <w:rFonts w:ascii="Cambria Math" w:eastAsiaTheme="minorHAnsi" w:hAnsi="Cambria Math" w:cstheme="minorBidi"/>
                <w:i/>
                <w:noProof w:val="0"/>
                <w:color w:val="auto"/>
                <w:sz w:val="18"/>
                <w:szCs w:val="18"/>
                <w:lang w:val="en-PH" w:eastAsia="en-US"/>
              </w:rPr>
            </m:ctrlPr>
          </m:dPr>
          <m:e>
            <m:r>
              <w:rPr>
                <w:rFonts w:ascii="Cambria Math" w:hAnsi="Cambria Math"/>
                <w:sz w:val="18"/>
                <w:szCs w:val="18"/>
              </w:rPr>
              <m:t>7</m:t>
            </m:r>
          </m:e>
        </m:d>
      </m:oMath>
      <w:r w:rsidR="00CB26D7" w:rsidRPr="006842B8">
        <w:rPr>
          <w:rFonts w:eastAsia="Times New Roman"/>
          <w:sz w:val="18"/>
          <w:szCs w:val="18"/>
          <w:lang w:val="en-PH" w:eastAsia="en-PH"/>
        </w:rPr>
        <w:t>Lee, C &amp; Kung, H (2018). Math Self-Concept and Mathematics Achievement: Examining Gender Variation and Reciprocal Relations among Junior High School Students in Taiwan. Eurasia Journal of Mathematics, Science and Technology Education. 14. 10.29333/ejmste/82535.</w:t>
      </w:r>
      <w:bookmarkStart w:id="6" w:name="_Hlk186193067"/>
    </w:p>
    <w:p w14:paraId="18A655CB" w14:textId="77777777" w:rsidR="00CB26D7" w:rsidRDefault="00000000" w:rsidP="00CB26D7">
      <w:pPr>
        <w:spacing w:line="228" w:lineRule="auto"/>
        <w:contextualSpacing/>
        <w:rPr>
          <w:rFonts w:eastAsia="Times New Roman"/>
          <w:sz w:val="18"/>
          <w:szCs w:val="18"/>
          <w:lang w:eastAsia="en-PH"/>
        </w:rPr>
      </w:pPr>
      <m:oMath>
        <m:d>
          <m:dPr>
            <m:begChr m:val="["/>
            <m:endChr m:val="]"/>
            <m:ctrlPr>
              <w:rPr>
                <w:rFonts w:ascii="Cambria Math" w:eastAsiaTheme="minorHAnsi" w:hAnsi="Cambria Math" w:cstheme="minorBidi"/>
                <w:i/>
                <w:noProof w:val="0"/>
                <w:color w:val="auto"/>
                <w:sz w:val="18"/>
                <w:szCs w:val="18"/>
                <w:lang w:val="en-PH" w:eastAsia="en-US"/>
              </w:rPr>
            </m:ctrlPr>
          </m:dPr>
          <m:e>
            <m:r>
              <w:rPr>
                <w:rFonts w:ascii="Cambria Math" w:eastAsiaTheme="minorHAnsi" w:hAnsi="Cambria Math" w:cstheme="minorBidi"/>
                <w:noProof w:val="0"/>
                <w:color w:val="auto"/>
                <w:sz w:val="18"/>
                <w:szCs w:val="18"/>
                <w:lang w:val="en-PH" w:eastAsia="en-US"/>
              </w:rPr>
              <m:t>8</m:t>
            </m:r>
          </m:e>
        </m:d>
      </m:oMath>
      <w:r w:rsidR="00CB26D7" w:rsidRPr="0010462C">
        <w:rPr>
          <w:rFonts w:eastAsia="Times New Roman"/>
          <w:sz w:val="18"/>
          <w:szCs w:val="18"/>
          <w:lang w:eastAsia="en-PH"/>
        </w:rPr>
        <w:t>Liu, X., &amp; Liu, S. (2020). Exploring the academic self-concept of university students in online learning: A case study in China. Computers &amp; Education, 157,103975.</w:t>
      </w:r>
      <w:bookmarkEnd w:id="6"/>
    </w:p>
    <w:p w14:paraId="40360970" w14:textId="77777777" w:rsidR="00CB26D7" w:rsidRPr="00E27042" w:rsidRDefault="00000000" w:rsidP="00CB26D7">
      <w:pPr>
        <w:spacing w:line="228" w:lineRule="auto"/>
        <w:contextualSpacing/>
        <w:rPr>
          <w:color w:val="auto"/>
          <w:sz w:val="18"/>
          <w:szCs w:val="18"/>
        </w:rPr>
      </w:pPr>
      <m:oMath>
        <m:d>
          <m:dPr>
            <m:begChr m:val="["/>
            <m:endChr m:val="]"/>
            <m:ctrlPr>
              <w:rPr>
                <w:rFonts w:ascii="Cambria Math" w:eastAsiaTheme="minorHAnsi" w:hAnsi="Cambria Math" w:cstheme="minorBidi"/>
                <w:i/>
                <w:noProof w:val="0"/>
                <w:color w:val="auto"/>
                <w:sz w:val="18"/>
                <w:szCs w:val="18"/>
                <w:lang w:val="en-PH" w:eastAsia="en-US"/>
              </w:rPr>
            </m:ctrlPr>
          </m:dPr>
          <m:e>
            <m:r>
              <w:rPr>
                <w:rFonts w:ascii="Cambria Math" w:hAnsi="Cambria Math"/>
                <w:sz w:val="18"/>
                <w:szCs w:val="18"/>
              </w:rPr>
              <m:t>9</m:t>
            </m:r>
          </m:e>
        </m:d>
      </m:oMath>
      <w:r w:rsidR="00CB26D7" w:rsidRPr="00E27042">
        <w:rPr>
          <w:color w:val="auto"/>
          <w:sz w:val="18"/>
          <w:szCs w:val="18"/>
        </w:rPr>
        <w:t>Martin, M. O., &amp; Mullis, I. V. (2013). TIMSS and PIRLS 2011: Relationships among reading, mathematics, and science achievement at the fourth grade--implications for early learning. International Association for the Evaluation of Educational Achievement.</w:t>
      </w:r>
    </w:p>
    <w:p w14:paraId="7414EC78" w14:textId="77777777" w:rsidR="00CB26D7" w:rsidRPr="00E27042" w:rsidRDefault="00000000" w:rsidP="00CB26D7">
      <w:pPr>
        <w:pStyle w:val="NormalWeb"/>
        <w:spacing w:line="228" w:lineRule="auto"/>
        <w:contextualSpacing/>
        <w:rPr>
          <w:color w:val="auto"/>
          <w:sz w:val="18"/>
          <w:szCs w:val="18"/>
        </w:rPr>
      </w:pPr>
      <m:oMath>
        <m:d>
          <m:dPr>
            <m:begChr m:val="["/>
            <m:endChr m:val="]"/>
            <m:ctrlPr>
              <w:rPr>
                <w:rFonts w:ascii="Cambria Math" w:eastAsiaTheme="minorHAnsi" w:hAnsi="Cambria Math" w:cstheme="minorBidi"/>
                <w:i/>
                <w:noProof w:val="0"/>
                <w:color w:val="auto"/>
                <w:sz w:val="18"/>
                <w:szCs w:val="18"/>
                <w:lang w:val="en-PH" w:eastAsia="en-US"/>
              </w:rPr>
            </m:ctrlPr>
          </m:dPr>
          <m:e>
            <m:r>
              <w:rPr>
                <w:rFonts w:ascii="Cambria Math" w:hAnsi="Cambria Math"/>
                <w:sz w:val="18"/>
                <w:szCs w:val="18"/>
              </w:rPr>
              <m:t>10</m:t>
            </m:r>
          </m:e>
        </m:d>
      </m:oMath>
      <w:r w:rsidR="00CB26D7" w:rsidRPr="00E27042">
        <w:rPr>
          <w:color w:val="auto"/>
          <w:sz w:val="18"/>
          <w:szCs w:val="18"/>
        </w:rPr>
        <w:t xml:space="preserve">Smith, A. (2022, February 12). </w:t>
      </w:r>
      <w:r w:rsidR="00CB26D7" w:rsidRPr="00E27042">
        <w:rPr>
          <w:i/>
          <w:color w:val="auto"/>
          <w:sz w:val="18"/>
          <w:szCs w:val="18"/>
        </w:rPr>
        <w:t>What is Self-Concept and Why is it Important</w:t>
      </w:r>
      <w:r w:rsidR="00CB26D7" w:rsidRPr="00E27042">
        <w:rPr>
          <w:color w:val="auto"/>
          <w:sz w:val="18"/>
          <w:szCs w:val="18"/>
        </w:rPr>
        <w:t xml:space="preserve"> . https://www.linkedin.com/pulse/what-self-concept-why-important-anisa-wilson-smith/</w:t>
      </w:r>
    </w:p>
    <w:p w14:paraId="61C0AF2D" w14:textId="77777777" w:rsidR="00CB26D7" w:rsidRPr="00E27042" w:rsidRDefault="00000000" w:rsidP="00CB26D7">
      <w:pPr>
        <w:spacing w:line="228" w:lineRule="auto"/>
        <w:contextualSpacing/>
        <w:rPr>
          <w:color w:val="auto"/>
          <w:sz w:val="18"/>
          <w:szCs w:val="18"/>
        </w:rPr>
      </w:pPr>
      <m:oMath>
        <m:d>
          <m:dPr>
            <m:begChr m:val="["/>
            <m:endChr m:val="]"/>
            <m:ctrlPr>
              <w:rPr>
                <w:rFonts w:ascii="Cambria Math" w:eastAsiaTheme="minorHAnsi" w:hAnsi="Cambria Math" w:cstheme="minorBidi"/>
                <w:i/>
                <w:noProof w:val="0"/>
                <w:color w:val="auto"/>
                <w:sz w:val="18"/>
                <w:szCs w:val="18"/>
                <w:lang w:val="en-PH" w:eastAsia="en-US"/>
              </w:rPr>
            </m:ctrlPr>
          </m:dPr>
          <m:e>
            <m:r>
              <w:rPr>
                <w:rFonts w:ascii="Cambria Math" w:hAnsi="Cambria Math"/>
                <w:sz w:val="18"/>
                <w:szCs w:val="18"/>
              </w:rPr>
              <m:t>11</m:t>
            </m:r>
          </m:e>
        </m:d>
      </m:oMath>
      <w:r w:rsidR="00CB26D7" w:rsidRPr="00E27042">
        <w:rPr>
          <w:color w:val="auto"/>
          <w:sz w:val="18"/>
          <w:szCs w:val="18"/>
        </w:rPr>
        <w:t xml:space="preserve">Yang, X., Li, X., &amp; Zhu, T. (2021). Student engagement and learning in online learning: A metanalysis of empirical research. </w:t>
      </w:r>
      <w:r w:rsidR="00CB26D7" w:rsidRPr="00E27042">
        <w:rPr>
          <w:rStyle w:val="Emphasis"/>
          <w:color w:val="auto"/>
          <w:sz w:val="18"/>
          <w:szCs w:val="18"/>
        </w:rPr>
        <w:t>Educational Technology Research and Development, 69</w:t>
      </w:r>
      <w:r w:rsidR="00CB26D7" w:rsidRPr="00E27042">
        <w:rPr>
          <w:color w:val="auto"/>
          <w:sz w:val="18"/>
          <w:szCs w:val="18"/>
        </w:rPr>
        <w:t xml:space="preserve">(4), 1047–1071. </w:t>
      </w:r>
      <w:hyperlink r:id="rId8" w:history="1">
        <w:r w:rsidR="00CB26D7" w:rsidRPr="00E27042">
          <w:rPr>
            <w:rStyle w:val="Hyperlink"/>
            <w:color w:val="auto"/>
            <w:sz w:val="18"/>
            <w:szCs w:val="18"/>
          </w:rPr>
          <w:t>https://doi.org/10.1007/s11423-021-09938-z</w:t>
        </w:r>
      </w:hyperlink>
    </w:p>
    <w:p w14:paraId="380D4DA8" w14:textId="77777777" w:rsidR="00CB26D7" w:rsidRDefault="00CB26D7" w:rsidP="00CB26D7">
      <w:pPr>
        <w:pStyle w:val="MDPI63Notes"/>
        <w:spacing w:before="0"/>
        <w:contextualSpacing/>
        <w:rPr>
          <w:b/>
        </w:rPr>
      </w:pPr>
    </w:p>
    <w:p w14:paraId="7168E69E" w14:textId="77777777" w:rsidR="00CB26D7" w:rsidRPr="008070A9" w:rsidRDefault="00CB26D7" w:rsidP="00CB26D7">
      <w:pPr>
        <w:pStyle w:val="MDPI63Notes"/>
        <w:spacing w:before="0"/>
        <w:contextualSpacing/>
      </w:pPr>
      <w:r w:rsidRPr="008070A9">
        <w:rPr>
          <w:b/>
        </w:rPr>
        <w:t>Disclaimer/Publisher’s Note:</w:t>
      </w:r>
      <w:r w:rsidRPr="008070A9">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p w14:paraId="47D34581" w14:textId="77777777" w:rsidR="00CB26D7" w:rsidRPr="00CB26D7" w:rsidRDefault="00CB26D7" w:rsidP="00CB26D7">
      <w:pPr>
        <w:rPr>
          <w:lang w:eastAsia="de-DE" w:bidi="en-US"/>
        </w:rPr>
      </w:pPr>
    </w:p>
    <w:p w14:paraId="699284CF" w14:textId="77777777" w:rsidR="00D912A9" w:rsidRDefault="00D912A9"/>
    <w:sectPr w:rsidR="00D912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Linux Biolinum">
    <w:altName w:val="Times New Roman"/>
    <w:charset w:val="00"/>
    <w:family w:val="auto"/>
    <w:pitch w:val="variable"/>
    <w:sig w:usb0="E0000AFF" w:usb1="5000E5FB" w:usb2="00000020" w:usb3="00000000" w:csb0="000001B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6D7"/>
    <w:rsid w:val="000441AD"/>
    <w:rsid w:val="0026510A"/>
    <w:rsid w:val="006627BE"/>
    <w:rsid w:val="006805F8"/>
    <w:rsid w:val="00861307"/>
    <w:rsid w:val="008B44D3"/>
    <w:rsid w:val="00CB26D7"/>
    <w:rsid w:val="00D75F2A"/>
    <w:rsid w:val="00D91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CE6D0"/>
  <w15:chartTrackingRefBased/>
  <w15:docId w15:val="{E26448A9-6791-42F5-BECD-B97AE27B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6D7"/>
    <w:pPr>
      <w:spacing w:after="0" w:line="260" w:lineRule="atLeast"/>
      <w:jc w:val="both"/>
    </w:pPr>
    <w:rPr>
      <w:rFonts w:ascii="Palatino Linotype" w:eastAsiaTheme="minorEastAsia" w:hAnsi="Palatino Linotype" w:cs="Times New Roman"/>
      <w:noProof/>
      <w:color w:val="000000"/>
      <w:kern w:val="0"/>
      <w:sz w:val="20"/>
      <w:szCs w:val="20"/>
      <w:lang w:eastAsia="zh-CN"/>
      <w14:ligatures w14:val="none"/>
    </w:rPr>
  </w:style>
  <w:style w:type="paragraph" w:styleId="Heading1">
    <w:name w:val="heading 1"/>
    <w:basedOn w:val="Normal"/>
    <w:next w:val="Normal"/>
    <w:link w:val="Heading1Char"/>
    <w:uiPriority w:val="9"/>
    <w:qFormat/>
    <w:rsid w:val="00CB26D7"/>
    <w:pPr>
      <w:keepNext/>
      <w:keepLines/>
      <w:spacing w:before="360" w:after="80" w:line="278" w:lineRule="auto"/>
      <w:jc w:val="left"/>
      <w:outlineLvl w:val="0"/>
    </w:pPr>
    <w:rPr>
      <w:rFonts w:asciiTheme="majorHAnsi" w:eastAsiaTheme="majorEastAsia" w:hAnsiTheme="majorHAnsi" w:cstheme="majorBidi"/>
      <w:noProof w:val="0"/>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B26D7"/>
    <w:pPr>
      <w:keepNext/>
      <w:keepLines/>
      <w:spacing w:before="160" w:after="80" w:line="278" w:lineRule="auto"/>
      <w:jc w:val="left"/>
      <w:outlineLvl w:val="1"/>
    </w:pPr>
    <w:rPr>
      <w:rFonts w:asciiTheme="majorHAnsi" w:eastAsiaTheme="majorEastAsia" w:hAnsiTheme="majorHAnsi" w:cstheme="majorBidi"/>
      <w:noProof w:val="0"/>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B26D7"/>
    <w:pPr>
      <w:keepNext/>
      <w:keepLines/>
      <w:spacing w:before="160" w:after="80" w:line="278" w:lineRule="auto"/>
      <w:jc w:val="left"/>
      <w:outlineLvl w:val="2"/>
    </w:pPr>
    <w:rPr>
      <w:rFonts w:asciiTheme="minorHAnsi" w:eastAsiaTheme="majorEastAsia" w:hAnsiTheme="minorHAnsi" w:cstheme="majorBidi"/>
      <w:noProof w:val="0"/>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B26D7"/>
    <w:pPr>
      <w:keepNext/>
      <w:keepLines/>
      <w:spacing w:before="80" w:after="40" w:line="278" w:lineRule="auto"/>
      <w:jc w:val="left"/>
      <w:outlineLvl w:val="3"/>
    </w:pPr>
    <w:rPr>
      <w:rFonts w:asciiTheme="minorHAnsi" w:eastAsiaTheme="majorEastAsia" w:hAnsiTheme="minorHAnsi" w:cstheme="majorBidi"/>
      <w:i/>
      <w:iCs/>
      <w:noProof w:val="0"/>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CB26D7"/>
    <w:pPr>
      <w:keepNext/>
      <w:keepLines/>
      <w:spacing w:before="80" w:after="40" w:line="278" w:lineRule="auto"/>
      <w:jc w:val="left"/>
      <w:outlineLvl w:val="4"/>
    </w:pPr>
    <w:rPr>
      <w:rFonts w:asciiTheme="minorHAnsi" w:eastAsiaTheme="majorEastAsia" w:hAnsiTheme="minorHAnsi" w:cstheme="majorBidi"/>
      <w:noProof w:val="0"/>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CB26D7"/>
    <w:pPr>
      <w:keepNext/>
      <w:keepLines/>
      <w:spacing w:before="40" w:line="278" w:lineRule="auto"/>
      <w:jc w:val="left"/>
      <w:outlineLvl w:val="5"/>
    </w:pPr>
    <w:rPr>
      <w:rFonts w:asciiTheme="minorHAnsi" w:eastAsiaTheme="majorEastAsia" w:hAnsiTheme="minorHAnsi" w:cstheme="majorBidi"/>
      <w:i/>
      <w:iCs/>
      <w:noProof w:val="0"/>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CB26D7"/>
    <w:pPr>
      <w:keepNext/>
      <w:keepLines/>
      <w:spacing w:before="40" w:line="278" w:lineRule="auto"/>
      <w:jc w:val="left"/>
      <w:outlineLvl w:val="6"/>
    </w:pPr>
    <w:rPr>
      <w:rFonts w:asciiTheme="minorHAnsi" w:eastAsiaTheme="majorEastAsia" w:hAnsiTheme="minorHAnsi" w:cstheme="majorBidi"/>
      <w:noProof w:val="0"/>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CB26D7"/>
    <w:pPr>
      <w:keepNext/>
      <w:keepLines/>
      <w:spacing w:line="278" w:lineRule="auto"/>
      <w:jc w:val="left"/>
      <w:outlineLvl w:val="7"/>
    </w:pPr>
    <w:rPr>
      <w:rFonts w:asciiTheme="minorHAnsi" w:eastAsiaTheme="majorEastAsia" w:hAnsiTheme="minorHAnsi" w:cstheme="majorBidi"/>
      <w:i/>
      <w:iCs/>
      <w:noProof w:val="0"/>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CB26D7"/>
    <w:pPr>
      <w:keepNext/>
      <w:keepLines/>
      <w:spacing w:line="278" w:lineRule="auto"/>
      <w:jc w:val="left"/>
      <w:outlineLvl w:val="8"/>
    </w:pPr>
    <w:rPr>
      <w:rFonts w:asciiTheme="minorHAnsi" w:eastAsiaTheme="majorEastAsia" w:hAnsiTheme="minorHAnsi" w:cstheme="majorBidi"/>
      <w:noProof w:val="0"/>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6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26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6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6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6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6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6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6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6D7"/>
    <w:rPr>
      <w:rFonts w:eastAsiaTheme="majorEastAsia" w:cstheme="majorBidi"/>
      <w:color w:val="272727" w:themeColor="text1" w:themeTint="D8"/>
    </w:rPr>
  </w:style>
  <w:style w:type="paragraph" w:styleId="Title">
    <w:name w:val="Title"/>
    <w:basedOn w:val="Normal"/>
    <w:next w:val="Normal"/>
    <w:link w:val="TitleChar"/>
    <w:uiPriority w:val="10"/>
    <w:qFormat/>
    <w:rsid w:val="00CB26D7"/>
    <w:pPr>
      <w:spacing w:after="80" w:line="240" w:lineRule="auto"/>
      <w:contextualSpacing/>
      <w:jc w:val="left"/>
    </w:pPr>
    <w:rPr>
      <w:rFonts w:asciiTheme="majorHAnsi" w:eastAsiaTheme="majorEastAsia" w:hAnsiTheme="majorHAnsi" w:cstheme="majorBidi"/>
      <w:noProof w:val="0"/>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B26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6D7"/>
    <w:pPr>
      <w:numPr>
        <w:ilvl w:val="1"/>
      </w:numPr>
      <w:spacing w:after="160" w:line="278" w:lineRule="auto"/>
      <w:jc w:val="left"/>
    </w:pPr>
    <w:rPr>
      <w:rFonts w:asciiTheme="minorHAnsi" w:eastAsiaTheme="majorEastAsia" w:hAnsiTheme="minorHAnsi" w:cstheme="majorBidi"/>
      <w:noProof w:val="0"/>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B26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6D7"/>
    <w:pPr>
      <w:spacing w:before="160" w:after="160" w:line="278" w:lineRule="auto"/>
      <w:jc w:val="center"/>
    </w:pPr>
    <w:rPr>
      <w:rFonts w:asciiTheme="minorHAnsi" w:eastAsiaTheme="minorHAnsi" w:hAnsiTheme="minorHAnsi" w:cstheme="minorBidi"/>
      <w:i/>
      <w:iCs/>
      <w:noProof w:val="0"/>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CB26D7"/>
    <w:rPr>
      <w:i/>
      <w:iCs/>
      <w:color w:val="404040" w:themeColor="text1" w:themeTint="BF"/>
    </w:rPr>
  </w:style>
  <w:style w:type="paragraph" w:styleId="ListParagraph">
    <w:name w:val="List Paragraph"/>
    <w:basedOn w:val="Normal"/>
    <w:uiPriority w:val="34"/>
    <w:qFormat/>
    <w:rsid w:val="00CB26D7"/>
    <w:pPr>
      <w:spacing w:after="160" w:line="278" w:lineRule="auto"/>
      <w:ind w:left="720"/>
      <w:contextualSpacing/>
      <w:jc w:val="left"/>
    </w:pPr>
    <w:rPr>
      <w:rFonts w:asciiTheme="minorHAnsi" w:eastAsiaTheme="minorHAnsi" w:hAnsiTheme="minorHAnsi" w:cstheme="minorBidi"/>
      <w:noProof w:val="0"/>
      <w:color w:val="auto"/>
      <w:kern w:val="2"/>
      <w:sz w:val="24"/>
      <w:szCs w:val="24"/>
      <w:lang w:eastAsia="en-US"/>
      <w14:ligatures w14:val="standardContextual"/>
    </w:rPr>
  </w:style>
  <w:style w:type="character" w:styleId="IntenseEmphasis">
    <w:name w:val="Intense Emphasis"/>
    <w:basedOn w:val="DefaultParagraphFont"/>
    <w:uiPriority w:val="21"/>
    <w:qFormat/>
    <w:rsid w:val="00CB26D7"/>
    <w:rPr>
      <w:i/>
      <w:iCs/>
      <w:color w:val="0F4761" w:themeColor="accent1" w:themeShade="BF"/>
    </w:rPr>
  </w:style>
  <w:style w:type="paragraph" w:styleId="IntenseQuote">
    <w:name w:val="Intense Quote"/>
    <w:basedOn w:val="Normal"/>
    <w:next w:val="Normal"/>
    <w:link w:val="IntenseQuoteChar"/>
    <w:uiPriority w:val="30"/>
    <w:qFormat/>
    <w:rsid w:val="00CB26D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noProof w:val="0"/>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CB26D7"/>
    <w:rPr>
      <w:i/>
      <w:iCs/>
      <w:color w:val="0F4761" w:themeColor="accent1" w:themeShade="BF"/>
    </w:rPr>
  </w:style>
  <w:style w:type="character" w:styleId="IntenseReference">
    <w:name w:val="Intense Reference"/>
    <w:basedOn w:val="DefaultParagraphFont"/>
    <w:uiPriority w:val="32"/>
    <w:qFormat/>
    <w:rsid w:val="00CB26D7"/>
    <w:rPr>
      <w:b/>
      <w:bCs/>
      <w:smallCaps/>
      <w:color w:val="0F4761" w:themeColor="accent1" w:themeShade="BF"/>
      <w:spacing w:val="5"/>
    </w:rPr>
  </w:style>
  <w:style w:type="paragraph" w:customStyle="1" w:styleId="MDPI12title">
    <w:name w:val="MDPI_1.2_title"/>
    <w:next w:val="Normal"/>
    <w:qFormat/>
    <w:rsid w:val="00CB26D7"/>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eastAsia="de-DE" w:bidi="en-US"/>
      <w14:ligatures w14:val="none"/>
    </w:rPr>
  </w:style>
  <w:style w:type="paragraph" w:customStyle="1" w:styleId="MDPI13authornames">
    <w:name w:val="MDPI_1.3_authornames"/>
    <w:next w:val="Normal"/>
    <w:qFormat/>
    <w:rsid w:val="00CB26D7"/>
    <w:pPr>
      <w:adjustRightInd w:val="0"/>
      <w:snapToGrid w:val="0"/>
      <w:spacing w:after="360" w:line="260" w:lineRule="atLeast"/>
    </w:pPr>
    <w:rPr>
      <w:rFonts w:ascii="Palatino Linotype" w:eastAsia="Times New Roman" w:hAnsi="Palatino Linotype" w:cs="Times New Roman"/>
      <w:b/>
      <w:color w:val="000000"/>
      <w:kern w:val="0"/>
      <w:sz w:val="20"/>
      <w:szCs w:val="22"/>
      <w:lang w:eastAsia="de-DE" w:bidi="en-US"/>
      <w14:ligatures w14:val="none"/>
    </w:rPr>
  </w:style>
  <w:style w:type="paragraph" w:customStyle="1" w:styleId="MDPI14history">
    <w:name w:val="MDPI_1.4_history"/>
    <w:basedOn w:val="Normal"/>
    <w:next w:val="Normal"/>
    <w:qFormat/>
    <w:rsid w:val="00CB26D7"/>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CB26D7"/>
    <w:pPr>
      <w:adjustRightInd w:val="0"/>
      <w:snapToGrid w:val="0"/>
      <w:spacing w:before="240" w:after="0" w:line="240" w:lineRule="atLeast"/>
      <w:ind w:right="113"/>
    </w:pPr>
    <w:rPr>
      <w:rFonts w:ascii="Palatino Linotype" w:eastAsia="Times New Roman" w:hAnsi="Palatino Linotype" w:cs="Times New Roman"/>
      <w:color w:val="000000"/>
      <w:kern w:val="0"/>
      <w:sz w:val="14"/>
      <w:szCs w:val="22"/>
      <w:lang w:eastAsia="de-DE" w:bidi="en-US"/>
      <w14:ligatures w14:val="none"/>
    </w:rPr>
  </w:style>
  <w:style w:type="paragraph" w:customStyle="1" w:styleId="MDPI16affiliation">
    <w:name w:val="MDPI_1.6_affiliation"/>
    <w:qFormat/>
    <w:rsid w:val="00CB26D7"/>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eastAsia="de-DE" w:bidi="en-US"/>
      <w14:ligatures w14:val="none"/>
    </w:rPr>
  </w:style>
  <w:style w:type="paragraph" w:customStyle="1" w:styleId="MDPI17abstract">
    <w:name w:val="MDPI_1.7_abstract"/>
    <w:next w:val="Normal"/>
    <w:qFormat/>
    <w:rsid w:val="00CB26D7"/>
    <w:pPr>
      <w:adjustRightInd w:val="0"/>
      <w:snapToGrid w:val="0"/>
      <w:spacing w:before="240" w:after="0" w:line="260" w:lineRule="atLeast"/>
      <w:ind w:left="2608"/>
      <w:jc w:val="both"/>
    </w:pPr>
    <w:rPr>
      <w:rFonts w:ascii="Palatino Linotype" w:eastAsia="Times New Roman" w:hAnsi="Palatino Linotype" w:cs="Times New Roman"/>
      <w:color w:val="000000"/>
      <w:kern w:val="0"/>
      <w:sz w:val="18"/>
      <w:szCs w:val="22"/>
      <w:lang w:eastAsia="de-DE" w:bidi="en-US"/>
      <w14:ligatures w14:val="none"/>
    </w:rPr>
  </w:style>
  <w:style w:type="paragraph" w:customStyle="1" w:styleId="MDPI18keywords">
    <w:name w:val="MDPI_1.8_keywords"/>
    <w:next w:val="Normal"/>
    <w:qFormat/>
    <w:rsid w:val="00CB26D7"/>
    <w:pPr>
      <w:adjustRightInd w:val="0"/>
      <w:snapToGrid w:val="0"/>
      <w:spacing w:before="240" w:after="0" w:line="260" w:lineRule="atLeast"/>
      <w:ind w:left="2608"/>
      <w:jc w:val="both"/>
    </w:pPr>
    <w:rPr>
      <w:rFonts w:ascii="Palatino Linotype" w:eastAsia="Times New Roman" w:hAnsi="Palatino Linotype" w:cs="Times New Roman"/>
      <w:snapToGrid w:val="0"/>
      <w:color w:val="000000"/>
      <w:kern w:val="0"/>
      <w:sz w:val="18"/>
      <w:szCs w:val="22"/>
      <w:lang w:eastAsia="de-DE" w:bidi="en-US"/>
      <w14:ligatures w14:val="none"/>
    </w:rPr>
  </w:style>
  <w:style w:type="paragraph" w:customStyle="1" w:styleId="MDPI61Citation">
    <w:name w:val="MDPI_6.1_Citation"/>
    <w:qFormat/>
    <w:rsid w:val="00CB26D7"/>
    <w:pPr>
      <w:adjustRightInd w:val="0"/>
      <w:snapToGrid w:val="0"/>
      <w:spacing w:after="0" w:line="240" w:lineRule="atLeast"/>
      <w:ind w:right="113"/>
    </w:pPr>
    <w:rPr>
      <w:rFonts w:ascii="Palatino Linotype" w:eastAsiaTheme="minorEastAsia" w:hAnsi="Palatino Linotype"/>
      <w:kern w:val="0"/>
      <w:sz w:val="14"/>
      <w:szCs w:val="22"/>
      <w:lang w:eastAsia="zh-CN"/>
      <w14:ligatures w14:val="none"/>
    </w:rPr>
  </w:style>
  <w:style w:type="paragraph" w:customStyle="1" w:styleId="MDPI72Copyright">
    <w:name w:val="MDPI_7.2_Copyright"/>
    <w:qFormat/>
    <w:rsid w:val="00CB26D7"/>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kern w:val="0"/>
      <w:sz w:val="14"/>
      <w:szCs w:val="20"/>
      <w:lang w:val="en-GB" w:eastAsia="en-GB"/>
      <w14:ligatures w14:val="none"/>
    </w:rPr>
  </w:style>
  <w:style w:type="paragraph" w:customStyle="1" w:styleId="MDPI31text">
    <w:name w:val="MDPI_3.1_text"/>
    <w:qFormat/>
    <w:rsid w:val="00CB26D7"/>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21heading1">
    <w:name w:val="MDPI_2.1_heading1"/>
    <w:qFormat/>
    <w:rsid w:val="00CB26D7"/>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szCs w:val="22"/>
      <w:lang w:eastAsia="de-DE" w:bidi="en-US"/>
      <w14:ligatures w14:val="none"/>
    </w:rPr>
  </w:style>
  <w:style w:type="character" w:styleId="Hyperlink">
    <w:name w:val="Hyperlink"/>
    <w:uiPriority w:val="99"/>
    <w:rsid w:val="00CB26D7"/>
    <w:rPr>
      <w:color w:val="0000FF"/>
      <w:u w:val="single"/>
    </w:rPr>
  </w:style>
  <w:style w:type="paragraph" w:customStyle="1" w:styleId="MDPI62BackMatter">
    <w:name w:val="MDPI_6.2_BackMatter"/>
    <w:qFormat/>
    <w:rsid w:val="00CB26D7"/>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bidi="en-US"/>
      <w14:ligatures w14:val="none"/>
    </w:rPr>
  </w:style>
  <w:style w:type="paragraph" w:customStyle="1" w:styleId="MDPI63Notes">
    <w:name w:val="MDPI_6.3_Notes"/>
    <w:qFormat/>
    <w:rsid w:val="00CB26D7"/>
    <w:pPr>
      <w:adjustRightInd w:val="0"/>
      <w:snapToGrid w:val="0"/>
      <w:spacing w:before="240" w:after="0" w:line="228" w:lineRule="auto"/>
      <w:jc w:val="both"/>
    </w:pPr>
    <w:rPr>
      <w:rFonts w:ascii="Palatino Linotype" w:eastAsia="SimSun" w:hAnsi="Palatino Linotype" w:cs="Times New Roman"/>
      <w:snapToGrid w:val="0"/>
      <w:color w:val="000000" w:themeColor="text1"/>
      <w:kern w:val="0"/>
      <w:sz w:val="18"/>
      <w:szCs w:val="20"/>
      <w:lang w:bidi="en-US"/>
      <w14:ligatures w14:val="none"/>
    </w:rPr>
  </w:style>
  <w:style w:type="paragraph" w:styleId="NormalWeb">
    <w:name w:val="Normal (Web)"/>
    <w:basedOn w:val="Normal"/>
    <w:uiPriority w:val="99"/>
    <w:rsid w:val="00CB26D7"/>
    <w:rPr>
      <w:szCs w:val="24"/>
    </w:rPr>
  </w:style>
  <w:style w:type="paragraph" w:styleId="NoSpacing">
    <w:name w:val="No Spacing"/>
    <w:link w:val="NoSpacingChar"/>
    <w:uiPriority w:val="1"/>
    <w:qFormat/>
    <w:rsid w:val="00CB26D7"/>
    <w:pPr>
      <w:spacing w:after="0" w:line="240" w:lineRule="auto"/>
    </w:pPr>
    <w:rPr>
      <w:kern w:val="0"/>
      <w:sz w:val="22"/>
      <w:szCs w:val="22"/>
      <w14:ligatures w14:val="none"/>
    </w:rPr>
  </w:style>
  <w:style w:type="character" w:customStyle="1" w:styleId="NoSpacingChar">
    <w:name w:val="No Spacing Char"/>
    <w:link w:val="NoSpacing"/>
    <w:uiPriority w:val="1"/>
    <w:rsid w:val="00CB26D7"/>
    <w:rPr>
      <w:kern w:val="0"/>
      <w:sz w:val="22"/>
      <w:szCs w:val="22"/>
      <w14:ligatures w14:val="none"/>
    </w:rPr>
  </w:style>
  <w:style w:type="character" w:styleId="Emphasis">
    <w:name w:val="Emphasis"/>
    <w:basedOn w:val="DefaultParagraphFont"/>
    <w:uiPriority w:val="20"/>
    <w:qFormat/>
    <w:rsid w:val="00CB26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423-021-09938-z" TargetMode="External"/><Relationship Id="rId3" Type="http://schemas.openxmlformats.org/officeDocument/2006/relationships/webSettings" Target="webSettings.xml"/><Relationship Id="rId7" Type="http://schemas.openxmlformats.org/officeDocument/2006/relationships/hyperlink" Target="https://doi.org/10.25147/ijcsr.2017.001.1.5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6/s40561-021-00168-5" TargetMode="External"/><Relationship Id="rId5" Type="http://schemas.openxmlformats.org/officeDocument/2006/relationships/hyperlink" Target="http://www.asianjde.com/ojs/index.php/AsianJDE/article/view/462" TargetMode="External"/><Relationship Id="rId10" Type="http://schemas.openxmlformats.org/officeDocument/2006/relationships/theme" Target="theme/theme1.xml"/><Relationship Id="rId4" Type="http://schemas.openxmlformats.org/officeDocument/2006/relationships/hyperlink" Target="https://www.mdpi.com/ethic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2867</Words>
  <Characters>16345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Hazam E. Bansa</dc:creator>
  <cp:keywords/>
  <dc:description/>
  <cp:lastModifiedBy>Hazam E. Bansa</cp:lastModifiedBy>
  <cp:revision>4</cp:revision>
  <dcterms:created xsi:type="dcterms:W3CDTF">2026-06-22T02:12:00Z</dcterms:created>
  <dcterms:modified xsi:type="dcterms:W3CDTF">2026-06-23T03:00:00Z</dcterms:modified>
</cp:coreProperties>
</file>