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8CBC" w14:textId="204B5932" w:rsidR="00F23D1A" w:rsidRPr="00475AFF" w:rsidRDefault="00F23D1A" w:rsidP="00F23D1A">
      <w:pPr>
        <w:jc w:val="center"/>
        <w:rPr>
          <w:rFonts w:ascii="Arial" w:hAnsi="Arial" w:cs="Arial"/>
          <w:b/>
          <w:bCs/>
        </w:rPr>
      </w:pPr>
      <w:r w:rsidRPr="00475AFF">
        <w:rPr>
          <w:rFonts w:ascii="Arial" w:hAnsi="Arial" w:cs="Arial"/>
          <w:b/>
          <w:bCs/>
        </w:rPr>
        <w:t xml:space="preserve">Evaluation of </w:t>
      </w:r>
      <w:r>
        <w:rPr>
          <w:rFonts w:ascii="Arial" w:hAnsi="Arial" w:cs="Arial"/>
          <w:b/>
          <w:bCs/>
        </w:rPr>
        <w:t>L</w:t>
      </w:r>
      <w:r w:rsidRPr="00475AFF">
        <w:rPr>
          <w:rFonts w:ascii="Arial" w:hAnsi="Arial" w:cs="Arial"/>
          <w:b/>
          <w:bCs/>
        </w:rPr>
        <w:t xml:space="preserve">earning </w:t>
      </w:r>
      <w:r>
        <w:rPr>
          <w:rFonts w:ascii="Arial" w:hAnsi="Arial" w:cs="Arial"/>
          <w:b/>
          <w:bCs/>
        </w:rPr>
        <w:t>K</w:t>
      </w:r>
      <w:r w:rsidRPr="00475AFF">
        <w:rPr>
          <w:rFonts w:ascii="Arial" w:hAnsi="Arial" w:cs="Arial"/>
          <w:b/>
          <w:bCs/>
        </w:rPr>
        <w:t>it</w:t>
      </w:r>
      <w:r>
        <w:rPr>
          <w:rFonts w:ascii="Arial" w:hAnsi="Arial" w:cs="Arial"/>
          <w:b/>
          <w:bCs/>
        </w:rPr>
        <w:t xml:space="preserve"> </w:t>
      </w:r>
      <w:r w:rsidRPr="00475AFF">
        <w:rPr>
          <w:rFonts w:ascii="Arial" w:hAnsi="Arial" w:cs="Arial"/>
          <w:b/>
          <w:bCs/>
        </w:rPr>
        <w:t xml:space="preserve">an </w:t>
      </w:r>
      <w:r>
        <w:rPr>
          <w:rFonts w:ascii="Arial" w:hAnsi="Arial" w:cs="Arial"/>
          <w:b/>
          <w:bCs/>
        </w:rPr>
        <w:t>I</w:t>
      </w:r>
      <w:r w:rsidRPr="00475AFF">
        <w:rPr>
          <w:rFonts w:ascii="Arial" w:hAnsi="Arial" w:cs="Arial"/>
          <w:b/>
          <w:bCs/>
        </w:rPr>
        <w:t xml:space="preserve">ntervention </w:t>
      </w:r>
      <w:r>
        <w:rPr>
          <w:rFonts w:ascii="Arial" w:hAnsi="Arial" w:cs="Arial"/>
          <w:b/>
          <w:bCs/>
        </w:rPr>
        <w:t>L</w:t>
      </w:r>
      <w:r w:rsidRPr="00475AFF">
        <w:rPr>
          <w:rFonts w:ascii="Arial" w:hAnsi="Arial" w:cs="Arial"/>
          <w:b/>
          <w:bCs/>
        </w:rPr>
        <w:t xml:space="preserve">earning material to </w:t>
      </w:r>
      <w:r>
        <w:rPr>
          <w:rFonts w:ascii="Arial" w:hAnsi="Arial" w:cs="Arial"/>
          <w:b/>
          <w:bCs/>
        </w:rPr>
        <w:t>E</w:t>
      </w:r>
      <w:r w:rsidRPr="00475AFF">
        <w:rPr>
          <w:rFonts w:ascii="Arial" w:hAnsi="Arial" w:cs="Arial"/>
          <w:b/>
          <w:bCs/>
        </w:rPr>
        <w:t xml:space="preserve">nhance </w:t>
      </w:r>
      <w:r>
        <w:rPr>
          <w:rFonts w:ascii="Arial" w:hAnsi="Arial" w:cs="Arial"/>
          <w:b/>
          <w:bCs/>
        </w:rPr>
        <w:t>S</w:t>
      </w:r>
      <w:r w:rsidRPr="00475AFF">
        <w:rPr>
          <w:rFonts w:ascii="Arial" w:hAnsi="Arial" w:cs="Arial"/>
          <w:b/>
          <w:bCs/>
        </w:rPr>
        <w:t xml:space="preserve">tudents' </w:t>
      </w:r>
      <w:r>
        <w:rPr>
          <w:rFonts w:ascii="Arial" w:hAnsi="Arial" w:cs="Arial"/>
          <w:b/>
          <w:bCs/>
        </w:rPr>
        <w:t>M</w:t>
      </w:r>
      <w:r w:rsidRPr="00475AFF">
        <w:rPr>
          <w:rFonts w:ascii="Arial" w:hAnsi="Arial" w:cs="Arial"/>
          <w:b/>
          <w:bCs/>
        </w:rPr>
        <w:t>astery</w:t>
      </w:r>
      <w:r>
        <w:rPr>
          <w:rFonts w:ascii="Arial" w:hAnsi="Arial" w:cs="Arial"/>
          <w:b/>
          <w:bCs/>
        </w:rPr>
        <w:t xml:space="preserve"> in Mathematics in the Modern World</w:t>
      </w:r>
    </w:p>
    <w:p w14:paraId="678899E6" w14:textId="3014B099" w:rsidR="003139B0" w:rsidRPr="00F23D1A" w:rsidRDefault="003139B0" w:rsidP="00942D74">
      <w:pPr>
        <w:spacing w:line="240" w:lineRule="auto"/>
        <w:jc w:val="center"/>
        <w:rPr>
          <w:rFonts w:ascii="Times New Roman" w:hAnsi="Times New Roman" w:cs="Times New Roman"/>
          <w:b/>
          <w:bCs/>
          <w:sz w:val="24"/>
          <w:szCs w:val="24"/>
          <w:vertAlign w:val="superscript"/>
        </w:rPr>
      </w:pPr>
      <w:r w:rsidRPr="00942D74">
        <w:rPr>
          <w:rFonts w:ascii="Times New Roman" w:hAnsi="Times New Roman" w:cs="Times New Roman"/>
          <w:b/>
          <w:bCs/>
          <w:sz w:val="24"/>
          <w:szCs w:val="24"/>
        </w:rPr>
        <w:t>ROBERT E. WARIZA, JR.</w:t>
      </w:r>
      <w:r w:rsidR="00F23D1A">
        <w:rPr>
          <w:rFonts w:ascii="Times New Roman" w:hAnsi="Times New Roman" w:cs="Times New Roman"/>
          <w:b/>
          <w:bCs/>
          <w:sz w:val="24"/>
          <w:szCs w:val="24"/>
          <w:vertAlign w:val="superscript"/>
        </w:rPr>
        <w:t>1</w:t>
      </w:r>
      <w:r w:rsidR="00F23D1A">
        <w:rPr>
          <w:rFonts w:ascii="Times New Roman" w:hAnsi="Times New Roman" w:cs="Times New Roman"/>
          <w:b/>
          <w:bCs/>
          <w:sz w:val="24"/>
          <w:szCs w:val="24"/>
        </w:rPr>
        <w:t>, EZEKIEL O. PELAYO</w:t>
      </w:r>
      <w:r w:rsidR="00F23D1A">
        <w:rPr>
          <w:rFonts w:ascii="Times New Roman" w:hAnsi="Times New Roman" w:cs="Times New Roman"/>
          <w:b/>
          <w:bCs/>
          <w:sz w:val="24"/>
          <w:szCs w:val="24"/>
          <w:vertAlign w:val="superscript"/>
        </w:rPr>
        <w:t>2</w:t>
      </w:r>
    </w:p>
    <w:p w14:paraId="4DF4D663" w14:textId="2A53F697" w:rsidR="003139B0" w:rsidRPr="00942D74" w:rsidRDefault="0067243D" w:rsidP="00942D7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w:t>
      </w:r>
      <w:r w:rsidR="003139B0" w:rsidRPr="00942D74">
        <w:rPr>
          <w:rFonts w:ascii="Times New Roman" w:hAnsi="Times New Roman" w:cs="Times New Roman"/>
          <w:b/>
          <w:bCs/>
          <w:sz w:val="24"/>
          <w:szCs w:val="24"/>
        </w:rPr>
        <w:t>orth Eastern Mindanao State University</w:t>
      </w:r>
      <w:r w:rsidR="00F23D1A">
        <w:rPr>
          <w:rFonts w:ascii="Times New Roman" w:hAnsi="Times New Roman" w:cs="Times New Roman"/>
          <w:b/>
          <w:bCs/>
          <w:sz w:val="24"/>
          <w:szCs w:val="24"/>
        </w:rPr>
        <w:t xml:space="preserve">- </w:t>
      </w:r>
      <w:proofErr w:type="spellStart"/>
      <w:r w:rsidR="00F942BE" w:rsidRPr="00942D74">
        <w:rPr>
          <w:rFonts w:ascii="Times New Roman" w:hAnsi="Times New Roman" w:cs="Times New Roman"/>
          <w:b/>
          <w:bCs/>
          <w:sz w:val="24"/>
          <w:szCs w:val="24"/>
        </w:rPr>
        <w:t>Tandag</w:t>
      </w:r>
      <w:proofErr w:type="spellEnd"/>
      <w:r w:rsidR="00F942BE" w:rsidRPr="00942D74">
        <w:rPr>
          <w:rFonts w:ascii="Times New Roman" w:hAnsi="Times New Roman" w:cs="Times New Roman"/>
          <w:b/>
          <w:bCs/>
          <w:sz w:val="24"/>
          <w:szCs w:val="24"/>
        </w:rPr>
        <w:t xml:space="preserve"> City, Philippines</w:t>
      </w:r>
    </w:p>
    <w:p w14:paraId="443428C7" w14:textId="17FF1A6E" w:rsidR="003139B0" w:rsidRPr="00942D74"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ABSTRACT</w:t>
      </w:r>
    </w:p>
    <w:p w14:paraId="50DF84CE" w14:textId="09559721" w:rsidR="007D444B" w:rsidRDefault="007D444B" w:rsidP="00942D74">
      <w:pPr>
        <w:pStyle w:val="NormalWeb"/>
        <w:jc w:val="both"/>
      </w:pPr>
      <w:r w:rsidRPr="007D444B">
        <w:t>Mathematics continues to be a challenging subject for many first-year college students, often affecting their academic performance, engagement, and overall learning outcomes. The development of high-quality instructional materials is therefore essential in facilitating meaningful learning experiences and improving students’ mathematical competence. This study aimed to develop and evaluate a learning kit for the course Mathematics in the Modern World and determine its acceptability and effectiveness in enhancing students’ mathematical performance. The study employed a purely quantitative research design using a developmental-evaluative approach. The learning kit was developed based on the course learning competencies and was subjected to expert validation to assess its format, content, clarity, and usefulness. Subsequently, field testing was conducted among 39 first-year college students using a one-group pretest–posttest design. Data were analyzed using weighted mean, analysis of variance, and paired-samples t-test.</w:t>
      </w:r>
    </w:p>
    <w:p w14:paraId="56E1AA96" w14:textId="18E955C4" w:rsidR="007D444B" w:rsidRPr="007D444B" w:rsidRDefault="007D444B" w:rsidP="00942D74">
      <w:pPr>
        <w:pStyle w:val="NormalWeb"/>
        <w:jc w:val="both"/>
      </w:pPr>
      <w:r w:rsidRPr="007D444B">
        <w:t xml:space="preserve">The findings revealed that the developed learning kit obtained a grand mean rating of 3.87, interpreted as Highly Acceptable, indicating that the material met established standards for instructional quality and usability. Results further showed a statistically significant difference in the ratings provided by experts across the validation components, suggesting varying levels of evaluation regarding the format, content, clarity, and usefulness of the learning kit. Moreover, the effectiveness assessment demonstrated a statistically significant improvement in students’ mathematical performance following exposure to the intervention </w:t>
      </w:r>
      <w:r>
        <w:t xml:space="preserve">with a computed </w:t>
      </w:r>
      <w:r w:rsidRPr="007D444B">
        <w:rPr>
          <w:i/>
          <w:iCs/>
        </w:rPr>
        <w:t>t</w:t>
      </w:r>
      <w:r w:rsidRPr="007D444B">
        <w:t xml:space="preserve"> </w:t>
      </w:r>
      <w:r>
        <w:t>of</w:t>
      </w:r>
      <w:r w:rsidRPr="007D444B">
        <w:t xml:space="preserve"> 11.92</w:t>
      </w:r>
      <w:r>
        <w:t xml:space="preserve"> and a </w:t>
      </w:r>
      <w:r w:rsidRPr="007D444B">
        <w:rPr>
          <w:i/>
          <w:iCs/>
        </w:rPr>
        <w:t>p</w:t>
      </w:r>
      <w:r w:rsidRPr="007D444B">
        <w:t xml:space="preserve"> &lt; .001, indicating that the learning kit contributed positively to student learning outcomes. These findings affirm the instructional value and effectiveness of the developed material as a supplementary learning resource. The study concludes that the learning kit can serve as a viable instructional tool for enhancing mathematics instruction and improving student achievement in higher education.</w:t>
      </w:r>
    </w:p>
    <w:p w14:paraId="195C3F12" w14:textId="097A0DA0" w:rsidR="0009706E" w:rsidRPr="00942D74" w:rsidRDefault="0009706E" w:rsidP="00942D74">
      <w:pPr>
        <w:pStyle w:val="NormalWeb"/>
        <w:jc w:val="both"/>
      </w:pPr>
      <w:r w:rsidRPr="00942D74">
        <w:rPr>
          <w:b/>
          <w:bCs/>
        </w:rPr>
        <w:t>Keywords:</w:t>
      </w:r>
      <w:r w:rsidRPr="00942D74">
        <w:t xml:space="preserve"> </w:t>
      </w:r>
      <w:r w:rsidR="008D01A7">
        <w:t>L</w:t>
      </w:r>
      <w:r w:rsidR="008D01A7" w:rsidRPr="008D01A7">
        <w:t xml:space="preserve">earning kit, Mathematics in the Modern World, </w:t>
      </w:r>
      <w:r w:rsidR="008D01A7">
        <w:t>I</w:t>
      </w:r>
      <w:r w:rsidR="008D01A7" w:rsidRPr="008D01A7">
        <w:t xml:space="preserve">nstructional material development, </w:t>
      </w:r>
      <w:r w:rsidR="008D01A7">
        <w:t>M</w:t>
      </w:r>
      <w:r w:rsidR="008D01A7" w:rsidRPr="008D01A7">
        <w:t xml:space="preserve">athematical performance, </w:t>
      </w:r>
      <w:r w:rsidR="00FB373E">
        <w:t>Quantitative Research Design</w:t>
      </w:r>
      <w:r w:rsidR="008D01A7" w:rsidRPr="008D01A7">
        <w:t>.</w:t>
      </w:r>
    </w:p>
    <w:p w14:paraId="03753F93" w14:textId="2D0CF183" w:rsidR="003139B0" w:rsidRPr="00942D74"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INTRODUCTION</w:t>
      </w:r>
    </w:p>
    <w:p w14:paraId="6CA36352" w14:textId="4358E28D" w:rsidR="009D7878" w:rsidRDefault="009D7878" w:rsidP="00942D74">
      <w:pPr>
        <w:pStyle w:val="NormalWeb"/>
        <w:jc w:val="both"/>
      </w:pPr>
      <w:r w:rsidRPr="009D7878">
        <w:rPr>
          <w:noProof/>
        </w:rPr>
        <w:t>Mathematics education serves as the foundation of effective instructional design by promoting learner-centered and meaningful learning experiences that enhance critical thinking, problem-solving, and conceptual understanding. Well-structured instructional materials help students apply mathematical concepts confidently and accurately in different situations.</w:t>
      </w:r>
      <w:r>
        <w:rPr>
          <w:noProof/>
        </w:rPr>
        <w:t xml:space="preserve"> </w:t>
      </w:r>
      <w:r w:rsidRPr="009D7878">
        <w:t xml:space="preserve">Recent foreign and local studies have highlighted the effectiveness of learner-centered instructional materials in enhancing students’ mathematical mastery and resilience. Foreign studies revealed that activity-based modules, contextualized worksheets, and digital learning resources improve conceptual understanding, problem-solving skills, confidence, and persistence in mathematics by providing scaffolded learning experiences that reduce anxiety and encourage independent learning (Khumalo et al., 2022; </w:t>
      </w:r>
      <w:proofErr w:type="spellStart"/>
      <w:r w:rsidRPr="009D7878">
        <w:t>Xenofontos</w:t>
      </w:r>
      <w:proofErr w:type="spellEnd"/>
      <w:r w:rsidRPr="009D7878">
        <w:t xml:space="preserve"> &amp; </w:t>
      </w:r>
      <w:proofErr w:type="spellStart"/>
      <w:r w:rsidRPr="009D7878">
        <w:t>Mouroutsou</w:t>
      </w:r>
      <w:proofErr w:type="spellEnd"/>
      <w:r w:rsidRPr="009D7878">
        <w:t xml:space="preserve">, 2022). Similarly, Wang and </w:t>
      </w:r>
      <w:proofErr w:type="spellStart"/>
      <w:r w:rsidRPr="009D7878">
        <w:t>Madihie</w:t>
      </w:r>
      <w:proofErr w:type="spellEnd"/>
      <w:r w:rsidRPr="009D7878">
        <w:t xml:space="preserve"> (2026) emphasized that intervention-based materials strengthen students’ motivation and ability to overcome mathematical challenges.</w:t>
      </w:r>
      <w:r w:rsidRPr="009D7878">
        <w:t xml:space="preserve"> </w:t>
      </w:r>
      <w:r w:rsidRPr="009D7878">
        <w:t>However, studies noted that instructional materials become less effective when not aligned with learners’ needs and competencies. Overall, these studies support the present study in designing and evaluating a learning kit to enhance students’ mathematical resilience and mastery.</w:t>
      </w:r>
    </w:p>
    <w:p w14:paraId="2A899183" w14:textId="200F86AB" w:rsidR="009D7878" w:rsidRDefault="00460B76" w:rsidP="00942D74">
      <w:pPr>
        <w:pStyle w:val="NormalWeb"/>
        <w:jc w:val="both"/>
      </w:pPr>
      <w:r w:rsidRPr="00460B76">
        <w:t xml:space="preserve">Despite the recognized effectiveness of instructional materials in improving mathematical mastery and resilience, several studies continue to reveal persistent gaps in students’ mathematics performance. Local studies showed that many college students still struggle with abstract mathematical concepts, problem-solving, and the application of mathematics in real-life situations. Bautista and </w:t>
      </w:r>
      <w:proofErr w:type="spellStart"/>
      <w:r w:rsidRPr="00460B76">
        <w:t>Taguibao</w:t>
      </w:r>
      <w:proofErr w:type="spellEnd"/>
      <w:r w:rsidRPr="00460B76">
        <w:t xml:space="preserve"> (2023) reported that only 42% of first-year students in a public university passed the midterm examination in Mathematics in the Modern World </w:t>
      </w:r>
      <w:r w:rsidRPr="00460B76">
        <w:lastRenderedPageBreak/>
        <w:t>(MMW), with a mean score below the institutional passing requirement, indicating difficulties in mathematical understanding and resilience.</w:t>
      </w:r>
      <w:r w:rsidR="00B7182D">
        <w:t xml:space="preserve"> </w:t>
      </w:r>
      <w:r w:rsidR="00B7182D" w:rsidRPr="00B7182D">
        <w:t>These findings collectively indicate the need for innovative, learner-centered, and contextualized intervention materials. Hence, the present study seeks to design and evaluate a learning kit aimed at strengthening students’ mathematical resilience and mastery.</w:t>
      </w:r>
    </w:p>
    <w:p w14:paraId="456B67C7" w14:textId="5518EE45" w:rsidR="00CA7FC7" w:rsidRPr="00C66988" w:rsidRDefault="00A02575" w:rsidP="00942D74">
      <w:pPr>
        <w:pStyle w:val="NormalWeb"/>
        <w:jc w:val="both"/>
      </w:pPr>
      <w:r w:rsidRPr="00A02575">
        <w:t>This study is significant in addressing the challenges faced by non-mathematics majors in learning mathematics, including low confidence, mathematics anxiety, and difficulties in conceptual understanding.</w:t>
      </w:r>
      <w:r w:rsidR="00C66988" w:rsidRPr="00C66988">
        <w:rPr>
          <w:rFonts w:ascii="Arial" w:hAnsi="Arial" w:cs="Arial"/>
        </w:rPr>
        <w:t xml:space="preserve"> </w:t>
      </w:r>
      <w:r w:rsidR="00C66988" w:rsidRPr="00C66988">
        <w:t>The study contributes to local mathematics education by providing empirical evidence on the effectiveness of learner-centered intervention materials in improving students’ understanding, perseverance, and positive attitudes toward mathematics. The findings may also help educators and curriculum developers create more inclusive, responsive, and supportive instructional materials for non-math majors.</w:t>
      </w:r>
    </w:p>
    <w:p w14:paraId="30707332" w14:textId="6575A0B6" w:rsidR="000B3140" w:rsidRPr="00942D74" w:rsidRDefault="000B3140" w:rsidP="00942D74">
      <w:pPr>
        <w:pStyle w:val="NormalWeb"/>
        <w:jc w:val="both"/>
        <w:rPr>
          <w:b/>
          <w:bCs/>
          <w:sz w:val="28"/>
          <w:szCs w:val="28"/>
        </w:rPr>
      </w:pPr>
      <w:r w:rsidRPr="00942D74">
        <w:rPr>
          <w:b/>
          <w:bCs/>
          <w:sz w:val="28"/>
          <w:szCs w:val="28"/>
        </w:rPr>
        <w:t>LITERATURE REVIEW</w:t>
      </w:r>
    </w:p>
    <w:p w14:paraId="17E07DAD" w14:textId="70E11BE5" w:rsidR="00CD4F95" w:rsidRDefault="00CD4F95" w:rsidP="00E505D8">
      <w:pPr>
        <w:pStyle w:val="Heading1"/>
        <w:spacing w:line="240" w:lineRule="auto"/>
        <w:rPr>
          <w:rFonts w:ascii="Times New Roman" w:hAnsi="Times New Roman" w:cs="Times New Roman"/>
          <w:b/>
          <w:bCs/>
          <w:color w:val="000000" w:themeColor="text1"/>
          <w:sz w:val="24"/>
          <w:szCs w:val="24"/>
        </w:rPr>
      </w:pPr>
      <w:r w:rsidRPr="00CD4F95">
        <w:rPr>
          <w:rFonts w:ascii="Times New Roman" w:hAnsi="Times New Roman" w:cs="Times New Roman"/>
          <w:b/>
          <w:bCs/>
          <w:color w:val="000000" w:themeColor="text1"/>
          <w:sz w:val="24"/>
          <w:szCs w:val="24"/>
        </w:rPr>
        <w:t>Development of Learning Kits as Instructional Intervention Materials</w:t>
      </w:r>
    </w:p>
    <w:p w14:paraId="7422C0EC" w14:textId="77777777" w:rsidR="00E505D8" w:rsidRPr="00E505D8" w:rsidRDefault="00E505D8" w:rsidP="00E505D8">
      <w:pPr>
        <w:spacing w:line="240" w:lineRule="auto"/>
      </w:pPr>
    </w:p>
    <w:p w14:paraId="3275CF2C" w14:textId="475EB8B3" w:rsidR="00CD4F95" w:rsidRPr="00CD4F95" w:rsidRDefault="00CD4F95" w:rsidP="00E505D8">
      <w:pPr>
        <w:spacing w:line="240" w:lineRule="auto"/>
        <w:jc w:val="both"/>
        <w:rPr>
          <w:rFonts w:ascii="Times New Roman" w:hAnsi="Times New Roman" w:cs="Times New Roman"/>
          <w:color w:val="000000" w:themeColor="text1"/>
        </w:rPr>
      </w:pPr>
      <w:r w:rsidRPr="00CD4F95">
        <w:rPr>
          <w:rFonts w:ascii="Times New Roman" w:hAnsi="Times New Roman" w:cs="Times New Roman"/>
          <w:color w:val="000000" w:themeColor="text1"/>
        </w:rPr>
        <w:t xml:space="preserve">Learning kits are instructional intervention materials designed to provide structured, accessible, and learner-centered support for mastery-oriented learning. </w:t>
      </w:r>
      <w:proofErr w:type="spellStart"/>
      <w:r w:rsidRPr="00CD4F95">
        <w:rPr>
          <w:rFonts w:ascii="Times New Roman" w:hAnsi="Times New Roman" w:cs="Times New Roman"/>
          <w:color w:val="000000" w:themeColor="text1"/>
        </w:rPr>
        <w:t>Akinoso</w:t>
      </w:r>
      <w:proofErr w:type="spellEnd"/>
      <w:r w:rsidRPr="00CD4F95">
        <w:rPr>
          <w:rFonts w:ascii="Times New Roman" w:hAnsi="Times New Roman" w:cs="Times New Roman"/>
          <w:color w:val="000000" w:themeColor="text1"/>
        </w:rPr>
        <w:t xml:space="preserve"> (2022) found that instructional kits can improve students’ achievement in algebraic processes, while Nguyen et al. (2021) reported that activity-based learning kits can support mathematics achievement among students in disadvantaged areas. Tan et al. (2021) further associated manipulative-based math kits with motivation and resilience. In the local context, Dela Peña-</w:t>
      </w:r>
      <w:proofErr w:type="spellStart"/>
      <w:r w:rsidRPr="00CD4F95">
        <w:rPr>
          <w:rFonts w:ascii="Times New Roman" w:hAnsi="Times New Roman" w:cs="Times New Roman"/>
          <w:color w:val="000000" w:themeColor="text1"/>
        </w:rPr>
        <w:t>Bandalaria</w:t>
      </w:r>
      <w:proofErr w:type="spellEnd"/>
      <w:r w:rsidRPr="00CD4F95">
        <w:rPr>
          <w:rFonts w:ascii="Times New Roman" w:hAnsi="Times New Roman" w:cs="Times New Roman"/>
          <w:color w:val="000000" w:themeColor="text1"/>
        </w:rPr>
        <w:t xml:space="preserve"> and Chua (2020) reported that self-learning kits in mathematics can affect performance and persistence, while Ramos and Balagtas (2021) linked contextualized intervention materials with mathematics achievement in modular learning. These findings agree that learning kits can function as practical tools for improving both cognitive learning and learner engagement.</w:t>
      </w:r>
    </w:p>
    <w:p w14:paraId="6C998A99" w14:textId="77777777" w:rsidR="00CD4F95" w:rsidRPr="00CD4F95" w:rsidRDefault="00CD4F95" w:rsidP="00CD4F95">
      <w:pPr>
        <w:spacing w:line="240" w:lineRule="auto"/>
        <w:jc w:val="both"/>
        <w:rPr>
          <w:rFonts w:ascii="Times New Roman" w:hAnsi="Times New Roman" w:cs="Times New Roman"/>
          <w:color w:val="000000" w:themeColor="text1"/>
        </w:rPr>
      </w:pPr>
      <w:r w:rsidRPr="00CD4F95">
        <w:rPr>
          <w:rFonts w:ascii="Times New Roman" w:hAnsi="Times New Roman" w:cs="Times New Roman"/>
          <w:color w:val="000000" w:themeColor="text1"/>
        </w:rPr>
        <w:t xml:space="preserve">The development of an effective learning kit requires a systematic instructional design process that connects learner needs, outcomes, activities, and evaluation. Branch and Dousay (2022) described instructional design models as guides for organizing analysis, design, development, implementation, and evaluation. This systematic view is supported by Zimmerman (2020), Panadero (2022), and </w:t>
      </w:r>
      <w:proofErr w:type="spellStart"/>
      <w:r w:rsidRPr="00CD4F95">
        <w:rPr>
          <w:rFonts w:ascii="Times New Roman" w:hAnsi="Times New Roman" w:cs="Times New Roman"/>
          <w:color w:val="000000" w:themeColor="text1"/>
        </w:rPr>
        <w:t>Kitsantas</w:t>
      </w:r>
      <w:proofErr w:type="spellEnd"/>
      <w:r w:rsidRPr="00CD4F95">
        <w:rPr>
          <w:rFonts w:ascii="Times New Roman" w:hAnsi="Times New Roman" w:cs="Times New Roman"/>
          <w:color w:val="000000" w:themeColor="text1"/>
        </w:rPr>
        <w:t xml:space="preserve"> and Dabbagh (2021), who emphasized self-regulated learning, metacognitive scaffolds, feedback, and learner autonomy as important supports for academic success. In contrast to ordinary worksheets that mainly provide exercises, a learning kit grounded in instructional design and self-regulated learning includes explanations, worked examples, reflection tasks, self-monitoring tools, formative checks, and opportunities for correction. This distinction is important because the present study aims to develop a kit that strengthens resilience as well as mastery.</w:t>
      </w:r>
    </w:p>
    <w:p w14:paraId="5966F196" w14:textId="77777777" w:rsidR="00CD4F95" w:rsidRPr="00CD4F95" w:rsidRDefault="00CD4F95" w:rsidP="00CD4F95">
      <w:pPr>
        <w:spacing w:line="240" w:lineRule="auto"/>
        <w:jc w:val="both"/>
        <w:rPr>
          <w:rFonts w:ascii="Times New Roman" w:hAnsi="Times New Roman" w:cs="Times New Roman"/>
          <w:color w:val="000000" w:themeColor="text1"/>
        </w:rPr>
      </w:pPr>
      <w:r w:rsidRPr="00CD4F95">
        <w:rPr>
          <w:rFonts w:ascii="Times New Roman" w:hAnsi="Times New Roman" w:cs="Times New Roman"/>
          <w:color w:val="000000" w:themeColor="text1"/>
        </w:rPr>
        <w:t xml:space="preserve">The learning kit must also respond to the curricular and contextual demands of Philippine higher education. CHED Memorandum Order No. 20, series of 2013, emphasizes general education competencies, while CHED Memorandum Order No. 4, series of 2020, supports flexible learning modalities, and CHED Memorandum Order No. 3, series of 2022, reinforces the relevance of curricular alignment and outcomes-based instruction. Local module development work by </w:t>
      </w:r>
      <w:proofErr w:type="spellStart"/>
      <w:r w:rsidRPr="00CD4F95">
        <w:rPr>
          <w:rFonts w:ascii="Times New Roman" w:hAnsi="Times New Roman" w:cs="Times New Roman"/>
          <w:color w:val="000000" w:themeColor="text1"/>
        </w:rPr>
        <w:t>Yongco</w:t>
      </w:r>
      <w:proofErr w:type="spellEnd"/>
      <w:r w:rsidRPr="00CD4F95">
        <w:rPr>
          <w:rFonts w:ascii="Times New Roman" w:hAnsi="Times New Roman" w:cs="Times New Roman"/>
          <w:color w:val="000000" w:themeColor="text1"/>
        </w:rPr>
        <w:t xml:space="preserve"> and Del Valle (2022) shows that instructional modules must be developed and evaluated to ensure educational usefulness, while Philippine studies on contextualized and self-learning materials emphasize accessibility and learner relevance. Therefore, the present learning kit should be modular, contextualized, low-tech, and aligned with Mathematics in the Modern World outcomes. The researcher may interpret Chapter 4 findings on learning kit integration by determining whether the material responds to the actual difficulties and resilience needs revealed by students.</w:t>
      </w:r>
    </w:p>
    <w:p w14:paraId="056F01D5" w14:textId="77777777" w:rsidR="00E20635" w:rsidRPr="00E20635" w:rsidRDefault="00E20635" w:rsidP="00E20635">
      <w:pPr>
        <w:pStyle w:val="Heading1"/>
        <w:spacing w:line="240" w:lineRule="auto"/>
        <w:rPr>
          <w:rFonts w:ascii="Times New Roman" w:hAnsi="Times New Roman" w:cs="Times New Roman"/>
          <w:b/>
          <w:bCs/>
          <w:color w:val="000000" w:themeColor="text1"/>
          <w:sz w:val="24"/>
          <w:szCs w:val="24"/>
        </w:rPr>
      </w:pPr>
      <w:r w:rsidRPr="00E20635">
        <w:rPr>
          <w:rFonts w:ascii="Times New Roman" w:hAnsi="Times New Roman" w:cs="Times New Roman"/>
          <w:b/>
          <w:bCs/>
          <w:color w:val="000000" w:themeColor="text1"/>
          <w:sz w:val="24"/>
          <w:szCs w:val="24"/>
        </w:rPr>
        <w:t>Expert Validation and Field Try-Out of Learning Materials</w:t>
      </w:r>
    </w:p>
    <w:p w14:paraId="4AF2C1E3" w14:textId="77777777" w:rsidR="00E20635" w:rsidRDefault="00E20635" w:rsidP="00E20635">
      <w:pPr>
        <w:spacing w:line="240" w:lineRule="auto"/>
        <w:jc w:val="both"/>
        <w:rPr>
          <w:rFonts w:ascii="Times New Roman" w:hAnsi="Times New Roman" w:cs="Times New Roman"/>
          <w:color w:val="000000" w:themeColor="text1"/>
          <w:sz w:val="24"/>
          <w:szCs w:val="24"/>
        </w:rPr>
      </w:pPr>
    </w:p>
    <w:p w14:paraId="0EA5FD95" w14:textId="5F07D7E8" w:rsidR="00E20635" w:rsidRPr="00E20635" w:rsidRDefault="00E20635" w:rsidP="00E20635">
      <w:pPr>
        <w:spacing w:line="240" w:lineRule="auto"/>
        <w:jc w:val="both"/>
        <w:rPr>
          <w:rFonts w:ascii="Times New Roman" w:hAnsi="Times New Roman" w:cs="Times New Roman"/>
          <w:color w:val="000000" w:themeColor="text1"/>
          <w:sz w:val="24"/>
          <w:szCs w:val="24"/>
        </w:rPr>
      </w:pPr>
      <w:r w:rsidRPr="00E20635">
        <w:rPr>
          <w:rFonts w:ascii="Times New Roman" w:hAnsi="Times New Roman" w:cs="Times New Roman"/>
          <w:color w:val="000000" w:themeColor="text1"/>
          <w:sz w:val="24"/>
          <w:szCs w:val="24"/>
        </w:rPr>
        <w:t>Expert validation is necessary because instructional materials must first be examined for accuracy, clarity, relevance, alignment, and appropriateness before they are used with learners. DeVellis and Thorpe (2022) explained that instruments and learning tools must be developed around clearly defined constructs, while Polit and Beck (2021) emphasized the importance of evidence when judging the adequacy of a tool or material. Branch and Dousay (2022) also placed evaluation as an essential part of instructional design, indicating that materials should be reviewed and improved before broader implementation. In the present study, expert validation ensures that the learning kit is mathematically accurate, aligned with course outcomes, appropriate for first-year students, and capable of supporting both mastery and resilience.</w:t>
      </w:r>
    </w:p>
    <w:p w14:paraId="10FDEF42" w14:textId="77777777" w:rsidR="00E20635" w:rsidRPr="00E20635" w:rsidRDefault="00E20635" w:rsidP="00E20635">
      <w:pPr>
        <w:spacing w:line="240" w:lineRule="auto"/>
        <w:jc w:val="both"/>
        <w:rPr>
          <w:rFonts w:ascii="Times New Roman" w:hAnsi="Times New Roman" w:cs="Times New Roman"/>
          <w:color w:val="000000" w:themeColor="text1"/>
          <w:sz w:val="24"/>
          <w:szCs w:val="24"/>
        </w:rPr>
      </w:pPr>
      <w:r w:rsidRPr="00E20635">
        <w:rPr>
          <w:rFonts w:ascii="Times New Roman" w:hAnsi="Times New Roman" w:cs="Times New Roman"/>
          <w:color w:val="000000" w:themeColor="text1"/>
          <w:sz w:val="24"/>
          <w:szCs w:val="24"/>
        </w:rPr>
        <w:lastRenderedPageBreak/>
        <w:t xml:space="preserve">Field try-out complements expert validation because users may experience the material differently from experts. Experts may judge whether the content is technically sound, but students and teachers can determine whether the directions are clear, the tasks are manageable, the examples are understandable, and the activities are engaging. </w:t>
      </w:r>
      <w:proofErr w:type="spellStart"/>
      <w:r w:rsidRPr="00E20635">
        <w:rPr>
          <w:rFonts w:ascii="Times New Roman" w:hAnsi="Times New Roman" w:cs="Times New Roman"/>
          <w:color w:val="000000" w:themeColor="text1"/>
          <w:sz w:val="24"/>
          <w:szCs w:val="24"/>
        </w:rPr>
        <w:t>Akinoso</w:t>
      </w:r>
      <w:proofErr w:type="spellEnd"/>
      <w:r w:rsidRPr="00E20635">
        <w:rPr>
          <w:rFonts w:ascii="Times New Roman" w:hAnsi="Times New Roman" w:cs="Times New Roman"/>
          <w:color w:val="000000" w:themeColor="text1"/>
          <w:sz w:val="24"/>
          <w:szCs w:val="24"/>
        </w:rPr>
        <w:t xml:space="preserve"> (2022) and Nguyen et al. (2021) demonstrated the value of instructional kits in actual learning settings, while Dela Peña-</w:t>
      </w:r>
      <w:proofErr w:type="spellStart"/>
      <w:r w:rsidRPr="00E20635">
        <w:rPr>
          <w:rFonts w:ascii="Times New Roman" w:hAnsi="Times New Roman" w:cs="Times New Roman"/>
          <w:color w:val="000000" w:themeColor="text1"/>
          <w:sz w:val="24"/>
          <w:szCs w:val="24"/>
        </w:rPr>
        <w:t>Bandalaria</w:t>
      </w:r>
      <w:proofErr w:type="spellEnd"/>
      <w:r w:rsidRPr="00E20635">
        <w:rPr>
          <w:rFonts w:ascii="Times New Roman" w:hAnsi="Times New Roman" w:cs="Times New Roman"/>
          <w:color w:val="000000" w:themeColor="text1"/>
          <w:sz w:val="24"/>
          <w:szCs w:val="24"/>
        </w:rPr>
        <w:t xml:space="preserve"> and Chua (2020) and Ramos and Balagtas (2021) showed that localized and contextualized materials need to be tested in the learning context where they will be used. Similarly, </w:t>
      </w:r>
      <w:proofErr w:type="spellStart"/>
      <w:r w:rsidRPr="00E20635">
        <w:rPr>
          <w:rFonts w:ascii="Times New Roman" w:hAnsi="Times New Roman" w:cs="Times New Roman"/>
          <w:color w:val="000000" w:themeColor="text1"/>
          <w:sz w:val="24"/>
          <w:szCs w:val="24"/>
        </w:rPr>
        <w:t>Yongco</w:t>
      </w:r>
      <w:proofErr w:type="spellEnd"/>
      <w:r w:rsidRPr="00E20635">
        <w:rPr>
          <w:rFonts w:ascii="Times New Roman" w:hAnsi="Times New Roman" w:cs="Times New Roman"/>
          <w:color w:val="000000" w:themeColor="text1"/>
          <w:sz w:val="24"/>
          <w:szCs w:val="24"/>
        </w:rPr>
        <w:t xml:space="preserve"> and Del Valle (2022) emphasized development and evaluation as connected processes in instructional module preparation. These studies imply that a material may be valid in design but still require refinement after actual use.</w:t>
      </w:r>
    </w:p>
    <w:p w14:paraId="78D07E4E" w14:textId="77777777" w:rsidR="00E20635" w:rsidRPr="00E20635" w:rsidRDefault="00E20635" w:rsidP="00E20635">
      <w:pPr>
        <w:spacing w:line="240" w:lineRule="auto"/>
        <w:jc w:val="both"/>
        <w:rPr>
          <w:rFonts w:ascii="Times New Roman" w:hAnsi="Times New Roman" w:cs="Times New Roman"/>
          <w:color w:val="000000" w:themeColor="text1"/>
          <w:sz w:val="24"/>
          <w:szCs w:val="24"/>
        </w:rPr>
      </w:pPr>
      <w:r w:rsidRPr="00E20635">
        <w:rPr>
          <w:rFonts w:ascii="Times New Roman" w:hAnsi="Times New Roman" w:cs="Times New Roman"/>
          <w:color w:val="000000" w:themeColor="text1"/>
          <w:sz w:val="24"/>
          <w:szCs w:val="24"/>
        </w:rPr>
        <w:t>The comparison between expert validation and field try-out results can reveal whether the learning kit is both academically sound and practically usable. If experts rate the content highly but users report difficulty with instructions, pacing, or layout, the material may require revision even if its mathematical content is correct. Conversely, if students find the material engaging but experts identify weaknesses in alignment or assessment, technical improvement becomes necessary. This critical view helps the researcher interpret Chapter 4 results beyond numerical ratings. The validation and try-out results will show not only whether the learning kit is acceptable but also what dimensions of the material require further refinement to enhance students’ resilience and mastery.</w:t>
      </w:r>
    </w:p>
    <w:p w14:paraId="4D377189" w14:textId="77777777" w:rsidR="00D70775" w:rsidRPr="00D70775" w:rsidRDefault="00D70775" w:rsidP="00D70775">
      <w:pPr>
        <w:pStyle w:val="Heading1"/>
        <w:spacing w:line="240" w:lineRule="auto"/>
        <w:rPr>
          <w:rFonts w:ascii="Times New Roman" w:hAnsi="Times New Roman" w:cs="Times New Roman"/>
          <w:b/>
          <w:bCs/>
          <w:color w:val="000000" w:themeColor="text1"/>
          <w:sz w:val="24"/>
          <w:szCs w:val="24"/>
        </w:rPr>
      </w:pPr>
      <w:r w:rsidRPr="00D70775">
        <w:rPr>
          <w:rFonts w:ascii="Times New Roman" w:hAnsi="Times New Roman" w:cs="Times New Roman"/>
          <w:b/>
          <w:bCs/>
          <w:color w:val="000000" w:themeColor="text1"/>
          <w:sz w:val="24"/>
          <w:szCs w:val="24"/>
        </w:rPr>
        <w:t>Validation Results, Mathematical Mastery, and Learning Outcomes</w:t>
      </w:r>
    </w:p>
    <w:p w14:paraId="30DE809A" w14:textId="77777777" w:rsidR="00D70775" w:rsidRDefault="00D70775" w:rsidP="00D70775">
      <w:pPr>
        <w:spacing w:line="240" w:lineRule="auto"/>
        <w:jc w:val="both"/>
        <w:rPr>
          <w:rFonts w:ascii="Times New Roman" w:hAnsi="Times New Roman" w:cs="Times New Roman"/>
          <w:color w:val="000000" w:themeColor="text1"/>
          <w:sz w:val="24"/>
          <w:szCs w:val="24"/>
        </w:rPr>
      </w:pPr>
    </w:p>
    <w:p w14:paraId="630B68EA" w14:textId="6AFAC182" w:rsidR="00D70775" w:rsidRPr="00D70775" w:rsidRDefault="00D70775" w:rsidP="00D70775">
      <w:pPr>
        <w:spacing w:line="240" w:lineRule="auto"/>
        <w:jc w:val="both"/>
        <w:rPr>
          <w:rFonts w:ascii="Times New Roman" w:hAnsi="Times New Roman" w:cs="Times New Roman"/>
          <w:color w:val="000000" w:themeColor="text1"/>
          <w:sz w:val="24"/>
          <w:szCs w:val="24"/>
        </w:rPr>
      </w:pPr>
      <w:r w:rsidRPr="00D70775">
        <w:rPr>
          <w:rFonts w:ascii="Times New Roman" w:hAnsi="Times New Roman" w:cs="Times New Roman"/>
          <w:color w:val="000000" w:themeColor="text1"/>
          <w:sz w:val="24"/>
          <w:szCs w:val="24"/>
        </w:rPr>
        <w:t xml:space="preserve">Validation results become more meaningful when they are examined in relation to students’ mathematical mastery and learning outcomes. Hattie (2023) emphasized that visible learning improves when instruction, feedback, and learner progress are made clear, while </w:t>
      </w:r>
      <w:proofErr w:type="spellStart"/>
      <w:r w:rsidRPr="00D70775">
        <w:rPr>
          <w:rFonts w:ascii="Times New Roman" w:hAnsi="Times New Roman" w:cs="Times New Roman"/>
          <w:color w:val="000000" w:themeColor="text1"/>
          <w:sz w:val="24"/>
          <w:szCs w:val="24"/>
        </w:rPr>
        <w:t>Akinoso</w:t>
      </w:r>
      <w:proofErr w:type="spellEnd"/>
      <w:r w:rsidRPr="00D70775">
        <w:rPr>
          <w:rFonts w:ascii="Times New Roman" w:hAnsi="Times New Roman" w:cs="Times New Roman"/>
          <w:color w:val="000000" w:themeColor="text1"/>
          <w:sz w:val="24"/>
          <w:szCs w:val="24"/>
        </w:rPr>
        <w:t xml:space="preserve"> (2022) showed that instructional kits can improve mathematics achievement. In local studies, Ramos and Balagtas (2021) associated contextualized intervention materials with mathematics achievement, and Reyes and Lagman (2022) documented performance concerns in statistics and business mathematics during flexible learning. These readings suggest that validated materials should not be evaluated only for appearance or acceptability; they should also be examined for their contribution to student understanding, application, and performance.</w:t>
      </w:r>
    </w:p>
    <w:p w14:paraId="47C4B22C" w14:textId="77777777" w:rsidR="00D70775" w:rsidRPr="00D70775" w:rsidRDefault="00D70775" w:rsidP="00D70775">
      <w:pPr>
        <w:spacing w:line="240" w:lineRule="auto"/>
        <w:jc w:val="both"/>
        <w:rPr>
          <w:rFonts w:ascii="Times New Roman" w:hAnsi="Times New Roman" w:cs="Times New Roman"/>
          <w:color w:val="000000" w:themeColor="text1"/>
          <w:sz w:val="24"/>
          <w:szCs w:val="24"/>
        </w:rPr>
      </w:pPr>
      <w:r w:rsidRPr="00D70775">
        <w:rPr>
          <w:rFonts w:ascii="Times New Roman" w:hAnsi="Times New Roman" w:cs="Times New Roman"/>
          <w:color w:val="000000" w:themeColor="text1"/>
          <w:sz w:val="24"/>
          <w:szCs w:val="24"/>
        </w:rPr>
        <w:t xml:space="preserve">Mathematical mastery involves more than recalling formulas or completing routine exercises because it also includes conceptual understanding, procedural fluency, problem solving, and the ability to apply mathematics in real-life situations. Kim and Seo (2022) found that motivation and self-regulated learning contribute to academic achievement, while Martin and Marsh (2020) argued that resilience and buoyancy help learners respond to academic setbacks. Locally, Vergara (2021) connected non-cognitive factors with university students’ mathematics performance, and </w:t>
      </w:r>
      <w:proofErr w:type="spellStart"/>
      <w:r w:rsidRPr="00D70775">
        <w:rPr>
          <w:rFonts w:ascii="Times New Roman" w:hAnsi="Times New Roman" w:cs="Times New Roman"/>
          <w:color w:val="000000" w:themeColor="text1"/>
          <w:sz w:val="24"/>
          <w:szCs w:val="24"/>
        </w:rPr>
        <w:t>Booc</w:t>
      </w:r>
      <w:proofErr w:type="spellEnd"/>
      <w:r w:rsidRPr="00D70775">
        <w:rPr>
          <w:rFonts w:ascii="Times New Roman" w:hAnsi="Times New Roman" w:cs="Times New Roman"/>
          <w:color w:val="000000" w:themeColor="text1"/>
          <w:sz w:val="24"/>
          <w:szCs w:val="24"/>
        </w:rPr>
        <w:t xml:space="preserve"> et al. (2024) linked metacognition with engagement in Mathematics in the Modern World. These studies show agreement that mastery is supported by both cognitive competence and learner disposition. Therefore, the present study’s assessment of mastery should consider how the learning kit helps students understand content while also sustaining confidence and effort.</w:t>
      </w:r>
    </w:p>
    <w:p w14:paraId="52855684" w14:textId="49C8AC37" w:rsidR="00CD4F95" w:rsidRPr="000D0A9D" w:rsidRDefault="00D70775" w:rsidP="000D0A9D">
      <w:pPr>
        <w:spacing w:line="240" w:lineRule="auto"/>
        <w:jc w:val="both"/>
        <w:rPr>
          <w:rFonts w:ascii="Times New Roman" w:hAnsi="Times New Roman" w:cs="Times New Roman"/>
          <w:color w:val="000000" w:themeColor="text1"/>
          <w:sz w:val="24"/>
          <w:szCs w:val="24"/>
        </w:rPr>
      </w:pPr>
      <w:r w:rsidRPr="00D70775">
        <w:rPr>
          <w:rFonts w:ascii="Times New Roman" w:hAnsi="Times New Roman" w:cs="Times New Roman"/>
          <w:color w:val="000000" w:themeColor="text1"/>
          <w:sz w:val="24"/>
          <w:szCs w:val="24"/>
        </w:rPr>
        <w:t>The relationship between validation results and mathematical mastery provides evidence of the instructional value of the learning kit. Hair et al. (2022) explained that relationships among variables can be examined through appropriate statistical analysis, while Creswell and Plano Clark (2018) emphasized that mixed-methods designs can connect qualitative insights with quantitative outcomes. If the learning kit receives high validation and try-out ratings and students demonstrate stronger mastery, the findings may support the claim that well-designed materials contribute to improved learning outcomes. However, if validation ratings are high but mastery remains low, the researcher may need to examine other factors such as prior knowledge, motivation, time-on-task, anxiety, or implementation fidelity. This interpretation will help Chapter 4 move beyond simple reporting by explaining what the evaluation results mean for the effectiveness of the intervention.</w:t>
      </w:r>
    </w:p>
    <w:p w14:paraId="068072B8" w14:textId="63B93078" w:rsidR="003139B0"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METHODOLOGY</w:t>
      </w:r>
    </w:p>
    <w:p w14:paraId="43096C07" w14:textId="77777777" w:rsidR="00AF4BC1" w:rsidRPr="00AF4BC1" w:rsidRDefault="00AF4BC1" w:rsidP="00AF4BC1">
      <w:pPr>
        <w:spacing w:line="240" w:lineRule="auto"/>
        <w:jc w:val="both"/>
        <w:rPr>
          <w:rFonts w:ascii="Times New Roman" w:hAnsi="Times New Roman" w:cs="Times New Roman"/>
          <w:sz w:val="24"/>
          <w:szCs w:val="24"/>
        </w:rPr>
      </w:pPr>
      <w:r w:rsidRPr="00AF4BC1">
        <w:rPr>
          <w:rFonts w:ascii="Times New Roman" w:hAnsi="Times New Roman" w:cs="Times New Roman"/>
          <w:sz w:val="24"/>
          <w:szCs w:val="24"/>
        </w:rPr>
        <w:t xml:space="preserve">This study employed a quantitative developmental-evaluative research design to develop, validate, and determine the effectiveness of a learning kit for </w:t>
      </w:r>
      <w:r w:rsidRPr="00AF4BC1">
        <w:rPr>
          <w:rFonts w:ascii="Times New Roman" w:hAnsi="Times New Roman" w:cs="Times New Roman"/>
          <w:i/>
          <w:iCs/>
          <w:sz w:val="24"/>
          <w:szCs w:val="24"/>
        </w:rPr>
        <w:t>Mathematics in the Modern World</w:t>
      </w:r>
      <w:r w:rsidRPr="00AF4BC1">
        <w:rPr>
          <w:rFonts w:ascii="Times New Roman" w:hAnsi="Times New Roman" w:cs="Times New Roman"/>
          <w:sz w:val="24"/>
          <w:szCs w:val="24"/>
        </w:rPr>
        <w:t>. The study was conducted at North Eastern Mindanao State University (NEMSU)–</w:t>
      </w:r>
      <w:proofErr w:type="spellStart"/>
      <w:r w:rsidRPr="00AF4BC1">
        <w:rPr>
          <w:rFonts w:ascii="Times New Roman" w:hAnsi="Times New Roman" w:cs="Times New Roman"/>
          <w:sz w:val="24"/>
          <w:szCs w:val="24"/>
        </w:rPr>
        <w:t>Tandag</w:t>
      </w:r>
      <w:proofErr w:type="spellEnd"/>
      <w:r w:rsidRPr="00AF4BC1">
        <w:rPr>
          <w:rFonts w:ascii="Times New Roman" w:hAnsi="Times New Roman" w:cs="Times New Roman"/>
          <w:sz w:val="24"/>
          <w:szCs w:val="24"/>
        </w:rPr>
        <w:t xml:space="preserve"> Campus, Surigao del Sur. The respondents consisted of ten (10) validators, including five (5) mathematics education experts and five (5) instructors </w:t>
      </w:r>
      <w:r w:rsidRPr="00AF4BC1">
        <w:rPr>
          <w:rFonts w:ascii="Times New Roman" w:hAnsi="Times New Roman" w:cs="Times New Roman"/>
          <w:sz w:val="24"/>
          <w:szCs w:val="24"/>
        </w:rPr>
        <w:lastRenderedPageBreak/>
        <w:t xml:space="preserve">handling </w:t>
      </w:r>
      <w:r w:rsidRPr="00AF4BC1">
        <w:rPr>
          <w:rFonts w:ascii="Times New Roman" w:hAnsi="Times New Roman" w:cs="Times New Roman"/>
          <w:i/>
          <w:iCs/>
          <w:sz w:val="24"/>
          <w:szCs w:val="24"/>
        </w:rPr>
        <w:t>Mathematics in the Modern World</w:t>
      </w:r>
      <w:r w:rsidRPr="00AF4BC1">
        <w:rPr>
          <w:rFonts w:ascii="Times New Roman" w:hAnsi="Times New Roman" w:cs="Times New Roman"/>
          <w:sz w:val="24"/>
          <w:szCs w:val="24"/>
        </w:rPr>
        <w:t>, and thirty-nine (39) first-year college students enrolled in the course. Expert validators were selected through purposive sampling based on their qualifications and experience in mathematics education and instructional material evaluation, while student respondents were selected through convenience sampling using an intact class.</w:t>
      </w:r>
    </w:p>
    <w:p w14:paraId="5B822B39" w14:textId="77777777" w:rsidR="00AF4BC1" w:rsidRPr="00AF4BC1" w:rsidRDefault="00AF4BC1" w:rsidP="00AF4BC1">
      <w:pPr>
        <w:spacing w:line="240" w:lineRule="auto"/>
        <w:jc w:val="both"/>
        <w:rPr>
          <w:rFonts w:ascii="Times New Roman" w:hAnsi="Times New Roman" w:cs="Times New Roman"/>
          <w:sz w:val="24"/>
          <w:szCs w:val="24"/>
        </w:rPr>
      </w:pPr>
      <w:r w:rsidRPr="00AF4BC1">
        <w:rPr>
          <w:rFonts w:ascii="Times New Roman" w:hAnsi="Times New Roman" w:cs="Times New Roman"/>
          <w:sz w:val="24"/>
          <w:szCs w:val="24"/>
        </w:rPr>
        <w:t>Two research instruments were utilized: a learning kit evaluation questionnaire and a researcher-made 50-item mathematical mastery test. The evaluation questionnaire assessed the acceptability of the learning kit in terms of format, content, clarity, and usefulness, while the mastery test measured students’ understanding and application of mathematical concepts. Prior to implementation, both instruments underwent expert validation to ensure content validity, clarity, and alignment with the intended learning competencies.</w:t>
      </w:r>
    </w:p>
    <w:p w14:paraId="6F9D44FE" w14:textId="011C642C" w:rsidR="00CF1D25" w:rsidRDefault="00AF4BC1" w:rsidP="009A0C00">
      <w:pPr>
        <w:spacing w:line="240" w:lineRule="auto"/>
        <w:jc w:val="both"/>
        <w:rPr>
          <w:rFonts w:ascii="Times New Roman" w:hAnsi="Times New Roman" w:cs="Times New Roman"/>
          <w:sz w:val="24"/>
          <w:szCs w:val="24"/>
        </w:rPr>
      </w:pPr>
      <w:r w:rsidRPr="00AF4BC1">
        <w:rPr>
          <w:rFonts w:ascii="Times New Roman" w:hAnsi="Times New Roman" w:cs="Times New Roman"/>
          <w:sz w:val="24"/>
          <w:szCs w:val="24"/>
        </w:rPr>
        <w:t>The data gathering procedure involved the validation of the learning kit by the experts and instructors, followed by the administration of a pretest to determine the students’ baseline mathematical mastery. The learning kit was then implemented during the instructional period, after which a post-test was administered to measure learning gains. Data were analyzed using weighted mean and standard deviation to determine the acceptability of the learning kit. One-way Analysis of Variance (ANOVA) was used to identify significant differences among expert ratings, while a paired-samples t-test was employed to determine the significant difference between the pretest and post-test scores and evaluate the effectiveness of the developed learning kit.</w:t>
      </w:r>
    </w:p>
    <w:p w14:paraId="5ED2327E" w14:textId="43DC25A7" w:rsidR="003139B0" w:rsidRPr="00942D74"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DISCUSSION</w:t>
      </w:r>
    </w:p>
    <w:p w14:paraId="5A3EFF06" w14:textId="6C98C86B" w:rsidR="009B7993" w:rsidRPr="00832116" w:rsidRDefault="009B7993" w:rsidP="00832116">
      <w:pPr>
        <w:spacing w:line="480" w:lineRule="auto"/>
        <w:rPr>
          <w:rFonts w:ascii="Arial" w:hAnsi="Arial" w:cs="Arial"/>
          <w:b/>
          <w:iCs/>
        </w:rPr>
      </w:pPr>
      <w:r w:rsidRPr="00942D74">
        <w:rPr>
          <w:rFonts w:ascii="Times New Roman" w:hAnsi="Times New Roman" w:cs="Times New Roman"/>
          <w:b/>
          <w:bCs/>
          <w:sz w:val="24"/>
          <w:szCs w:val="24"/>
        </w:rPr>
        <w:t xml:space="preserve">Part </w:t>
      </w:r>
      <w:r w:rsidR="009A0C00">
        <w:rPr>
          <w:rFonts w:ascii="Times New Roman" w:hAnsi="Times New Roman" w:cs="Times New Roman"/>
          <w:b/>
          <w:bCs/>
          <w:sz w:val="24"/>
          <w:szCs w:val="24"/>
        </w:rPr>
        <w:t xml:space="preserve">I. </w:t>
      </w:r>
      <w:r w:rsidR="00832116" w:rsidRPr="005B7F59">
        <w:rPr>
          <w:rFonts w:ascii="Arial" w:hAnsi="Arial" w:cs="Arial"/>
          <w:b/>
          <w:iCs/>
        </w:rPr>
        <w:t xml:space="preserve">Results of the Validation Tests </w:t>
      </w:r>
      <w:r w:rsidR="00832116">
        <w:rPr>
          <w:rFonts w:ascii="Arial" w:hAnsi="Arial" w:cs="Arial"/>
          <w:b/>
          <w:iCs/>
        </w:rPr>
        <w:t xml:space="preserve">as perceived by groups of </w:t>
      </w:r>
      <w:r w:rsidR="00BB6136">
        <w:rPr>
          <w:rFonts w:ascii="Arial" w:hAnsi="Arial" w:cs="Arial"/>
          <w:b/>
          <w:iCs/>
        </w:rPr>
        <w:t>respondents</w:t>
      </w:r>
    </w:p>
    <w:p w14:paraId="142CEEBD" w14:textId="5C1A67EF" w:rsidR="00BE3551" w:rsidRPr="00BE3551" w:rsidRDefault="00832116" w:rsidP="00832116">
      <w:pPr>
        <w:spacing w:line="240" w:lineRule="auto"/>
        <w:jc w:val="both"/>
        <w:rPr>
          <w:rFonts w:ascii="Times New Roman" w:hAnsi="Times New Roman" w:cs="Times New Roman"/>
          <w:bCs/>
          <w:iCs/>
          <w:sz w:val="24"/>
          <w:szCs w:val="24"/>
        </w:rPr>
      </w:pPr>
      <w:r w:rsidRPr="00832116">
        <w:rPr>
          <w:rFonts w:ascii="Times New Roman" w:hAnsi="Times New Roman" w:cs="Times New Roman"/>
          <w:bCs/>
          <w:iCs/>
          <w:sz w:val="24"/>
          <w:szCs w:val="24"/>
        </w:rPr>
        <w:t>The Tables 1</w:t>
      </w:r>
      <w:r>
        <w:rPr>
          <w:rFonts w:ascii="Times New Roman" w:hAnsi="Times New Roman" w:cs="Times New Roman"/>
          <w:bCs/>
          <w:iCs/>
          <w:sz w:val="24"/>
          <w:szCs w:val="24"/>
        </w:rPr>
        <w:t>.1</w:t>
      </w:r>
      <w:r w:rsidRPr="00832116">
        <w:rPr>
          <w:rFonts w:ascii="Times New Roman" w:hAnsi="Times New Roman" w:cs="Times New Roman"/>
          <w:bCs/>
          <w:iCs/>
          <w:sz w:val="24"/>
          <w:szCs w:val="24"/>
        </w:rPr>
        <w:t xml:space="preserve"> presents the results of the expert content validation. It shows how the developed learning kit exhibits strong content validity, pedagogical soundness, and significant effectiveness in enhancing learner performance, as evidenced by consistently high ratings across all stakeholder groups</w:t>
      </w:r>
      <w:r>
        <w:rPr>
          <w:rFonts w:ascii="Times New Roman" w:hAnsi="Times New Roman" w:cs="Times New Roman"/>
          <w:bCs/>
          <w:iCs/>
          <w:sz w:val="24"/>
          <w:szCs w:val="24"/>
        </w:rPr>
        <w:t>.</w:t>
      </w:r>
    </w:p>
    <w:p w14:paraId="1E8C4201" w14:textId="4A677F3D" w:rsidR="00CF70C5" w:rsidRPr="00785285" w:rsidRDefault="00CF70C5" w:rsidP="00CF70C5">
      <w:pPr>
        <w:spacing w:line="240" w:lineRule="auto"/>
        <w:jc w:val="center"/>
        <w:rPr>
          <w:rFonts w:ascii="Times New Roman" w:hAnsi="Times New Roman" w:cs="Times New Roman"/>
          <w:b/>
          <w:bCs/>
          <w:sz w:val="24"/>
          <w:szCs w:val="24"/>
        </w:rPr>
      </w:pPr>
      <w:r w:rsidRPr="00785285">
        <w:rPr>
          <w:rFonts w:ascii="Times New Roman" w:hAnsi="Times New Roman" w:cs="Times New Roman"/>
          <w:b/>
          <w:bCs/>
          <w:sz w:val="24"/>
          <w:szCs w:val="24"/>
        </w:rPr>
        <w:t>Table 1. Validation Results as Perceived by groups of respondents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887"/>
        <w:gridCol w:w="1375"/>
        <w:gridCol w:w="887"/>
        <w:gridCol w:w="1465"/>
        <w:gridCol w:w="939"/>
        <w:gridCol w:w="1343"/>
        <w:gridCol w:w="887"/>
        <w:gridCol w:w="1416"/>
      </w:tblGrid>
      <w:tr w:rsidR="00832116" w:rsidRPr="00A841F6" w14:paraId="55EA7646" w14:textId="77777777" w:rsidTr="002879C0">
        <w:trPr>
          <w:trHeight w:val="284"/>
        </w:trPr>
        <w:tc>
          <w:tcPr>
            <w:tcW w:w="698" w:type="pct"/>
            <w:tcBorders>
              <w:top w:val="single" w:sz="4" w:space="0" w:color="auto"/>
              <w:bottom w:val="single" w:sz="4" w:space="0" w:color="auto"/>
            </w:tcBorders>
            <w:vAlign w:val="center"/>
          </w:tcPr>
          <w:p w14:paraId="50B0B066" w14:textId="77777777" w:rsidR="00832116" w:rsidRPr="00A841F6" w:rsidRDefault="00832116" w:rsidP="002879C0">
            <w:pPr>
              <w:jc w:val="center"/>
              <w:rPr>
                <w:rFonts w:ascii="Arial" w:hAnsi="Arial" w:cs="Arial"/>
              </w:rPr>
            </w:pPr>
            <w:r w:rsidRPr="00A841F6">
              <w:rPr>
                <w:rFonts w:ascii="Arial" w:hAnsi="Arial" w:cs="Arial"/>
              </w:rPr>
              <w:t>Indicator</w:t>
            </w:r>
          </w:p>
        </w:tc>
        <w:tc>
          <w:tcPr>
            <w:tcW w:w="1058" w:type="pct"/>
            <w:gridSpan w:val="2"/>
            <w:tcBorders>
              <w:top w:val="single" w:sz="4" w:space="0" w:color="auto"/>
              <w:bottom w:val="single" w:sz="4" w:space="0" w:color="auto"/>
            </w:tcBorders>
            <w:vAlign w:val="center"/>
          </w:tcPr>
          <w:p w14:paraId="256C29C0" w14:textId="77777777" w:rsidR="00832116" w:rsidRPr="00A841F6" w:rsidRDefault="00832116" w:rsidP="002879C0">
            <w:pPr>
              <w:jc w:val="center"/>
              <w:rPr>
                <w:rFonts w:ascii="Arial" w:hAnsi="Arial" w:cs="Arial"/>
              </w:rPr>
            </w:pPr>
            <w:r w:rsidRPr="00A841F6">
              <w:rPr>
                <w:rFonts w:ascii="Arial" w:hAnsi="Arial" w:cs="Arial"/>
              </w:rPr>
              <w:t>Expert</w:t>
            </w:r>
          </w:p>
        </w:tc>
        <w:tc>
          <w:tcPr>
            <w:tcW w:w="1100" w:type="pct"/>
            <w:gridSpan w:val="2"/>
            <w:tcBorders>
              <w:top w:val="single" w:sz="4" w:space="0" w:color="auto"/>
              <w:bottom w:val="single" w:sz="4" w:space="0" w:color="auto"/>
            </w:tcBorders>
            <w:vAlign w:val="center"/>
          </w:tcPr>
          <w:p w14:paraId="418A656B" w14:textId="77777777" w:rsidR="00832116" w:rsidRPr="00A841F6" w:rsidRDefault="00832116" w:rsidP="002879C0">
            <w:pPr>
              <w:jc w:val="center"/>
              <w:rPr>
                <w:rFonts w:ascii="Arial" w:hAnsi="Arial" w:cs="Arial"/>
              </w:rPr>
            </w:pPr>
            <w:r w:rsidRPr="00A841F6">
              <w:rPr>
                <w:rFonts w:ascii="Arial" w:hAnsi="Arial" w:cs="Arial"/>
              </w:rPr>
              <w:t>Teachers</w:t>
            </w:r>
          </w:p>
        </w:tc>
        <w:tc>
          <w:tcPr>
            <w:tcW w:w="1067" w:type="pct"/>
            <w:gridSpan w:val="2"/>
            <w:tcBorders>
              <w:top w:val="single" w:sz="4" w:space="0" w:color="auto"/>
              <w:bottom w:val="single" w:sz="4" w:space="0" w:color="auto"/>
            </w:tcBorders>
            <w:vAlign w:val="center"/>
          </w:tcPr>
          <w:p w14:paraId="75619C53" w14:textId="77777777" w:rsidR="00832116" w:rsidRPr="00A841F6" w:rsidRDefault="00832116" w:rsidP="002879C0">
            <w:pPr>
              <w:jc w:val="center"/>
              <w:rPr>
                <w:rFonts w:ascii="Arial" w:hAnsi="Arial" w:cs="Arial"/>
              </w:rPr>
            </w:pPr>
            <w:r w:rsidRPr="00A841F6">
              <w:rPr>
                <w:rFonts w:ascii="Arial" w:hAnsi="Arial" w:cs="Arial"/>
              </w:rPr>
              <w:t>Students</w:t>
            </w:r>
          </w:p>
        </w:tc>
        <w:tc>
          <w:tcPr>
            <w:tcW w:w="1077" w:type="pct"/>
            <w:gridSpan w:val="2"/>
            <w:tcBorders>
              <w:top w:val="single" w:sz="4" w:space="0" w:color="auto"/>
              <w:bottom w:val="single" w:sz="4" w:space="0" w:color="auto"/>
            </w:tcBorders>
            <w:vAlign w:val="center"/>
          </w:tcPr>
          <w:p w14:paraId="3CB70FEB" w14:textId="77777777" w:rsidR="00832116" w:rsidRPr="00A841F6" w:rsidRDefault="00832116" w:rsidP="002879C0">
            <w:pPr>
              <w:jc w:val="center"/>
              <w:rPr>
                <w:rFonts w:ascii="Arial" w:hAnsi="Arial" w:cs="Arial"/>
              </w:rPr>
            </w:pPr>
            <w:r w:rsidRPr="00A841F6">
              <w:rPr>
                <w:rFonts w:ascii="Arial" w:hAnsi="Arial" w:cs="Arial"/>
              </w:rPr>
              <w:t>Over-all</w:t>
            </w:r>
          </w:p>
        </w:tc>
      </w:tr>
      <w:tr w:rsidR="00832116" w:rsidRPr="00A841F6" w14:paraId="181BA431" w14:textId="77777777" w:rsidTr="002879C0">
        <w:trPr>
          <w:trHeight w:val="589"/>
        </w:trPr>
        <w:tc>
          <w:tcPr>
            <w:tcW w:w="698" w:type="pct"/>
            <w:tcBorders>
              <w:top w:val="single" w:sz="4" w:space="0" w:color="auto"/>
            </w:tcBorders>
            <w:vAlign w:val="center"/>
          </w:tcPr>
          <w:p w14:paraId="1EC83559" w14:textId="77777777" w:rsidR="00832116" w:rsidRPr="00A841F6" w:rsidRDefault="00832116" w:rsidP="002879C0">
            <w:pPr>
              <w:jc w:val="center"/>
              <w:rPr>
                <w:rFonts w:ascii="Arial" w:hAnsi="Arial" w:cs="Arial"/>
              </w:rPr>
            </w:pPr>
          </w:p>
        </w:tc>
        <w:tc>
          <w:tcPr>
            <w:tcW w:w="415" w:type="pct"/>
            <w:tcBorders>
              <w:top w:val="single" w:sz="4" w:space="0" w:color="auto"/>
            </w:tcBorders>
            <w:vAlign w:val="center"/>
          </w:tcPr>
          <w:p w14:paraId="01B3499D" w14:textId="77777777" w:rsidR="00832116" w:rsidRPr="00A841F6" w:rsidRDefault="00832116" w:rsidP="002879C0">
            <w:pPr>
              <w:jc w:val="center"/>
              <w:rPr>
                <w:rFonts w:ascii="Arial" w:hAnsi="Arial" w:cs="Arial"/>
              </w:rPr>
            </w:pPr>
            <w:r w:rsidRPr="00A841F6">
              <w:rPr>
                <w:rFonts w:ascii="Arial" w:hAnsi="Arial" w:cs="Arial"/>
              </w:rPr>
              <w:t>Mean</w:t>
            </w:r>
          </w:p>
        </w:tc>
        <w:tc>
          <w:tcPr>
            <w:tcW w:w="643" w:type="pct"/>
            <w:tcBorders>
              <w:top w:val="single" w:sz="4" w:space="0" w:color="auto"/>
            </w:tcBorders>
            <w:vAlign w:val="center"/>
          </w:tcPr>
          <w:p w14:paraId="561BBAF0" w14:textId="77777777" w:rsidR="00832116" w:rsidRPr="00A841F6" w:rsidRDefault="00832116" w:rsidP="002879C0">
            <w:pPr>
              <w:jc w:val="center"/>
              <w:rPr>
                <w:rFonts w:ascii="Arial" w:hAnsi="Arial" w:cs="Arial"/>
              </w:rPr>
            </w:pPr>
            <w:r w:rsidRPr="00A841F6">
              <w:rPr>
                <w:rFonts w:ascii="Arial" w:hAnsi="Arial" w:cs="Arial"/>
              </w:rPr>
              <w:t>Adj Rating</w:t>
            </w:r>
          </w:p>
        </w:tc>
        <w:tc>
          <w:tcPr>
            <w:tcW w:w="415" w:type="pct"/>
            <w:tcBorders>
              <w:top w:val="single" w:sz="4" w:space="0" w:color="auto"/>
            </w:tcBorders>
            <w:vAlign w:val="center"/>
          </w:tcPr>
          <w:p w14:paraId="00DF7E28" w14:textId="77777777" w:rsidR="00832116" w:rsidRPr="00A841F6" w:rsidRDefault="00832116" w:rsidP="002879C0">
            <w:pPr>
              <w:jc w:val="center"/>
              <w:rPr>
                <w:rFonts w:ascii="Arial" w:hAnsi="Arial" w:cs="Arial"/>
              </w:rPr>
            </w:pPr>
            <w:r w:rsidRPr="00A841F6">
              <w:rPr>
                <w:rFonts w:ascii="Arial" w:hAnsi="Arial" w:cs="Arial"/>
              </w:rPr>
              <w:t>Mean</w:t>
            </w:r>
          </w:p>
        </w:tc>
        <w:tc>
          <w:tcPr>
            <w:tcW w:w="685" w:type="pct"/>
            <w:tcBorders>
              <w:top w:val="single" w:sz="4" w:space="0" w:color="auto"/>
            </w:tcBorders>
            <w:vAlign w:val="center"/>
          </w:tcPr>
          <w:p w14:paraId="18F77D68" w14:textId="77777777" w:rsidR="00832116" w:rsidRPr="00A841F6" w:rsidRDefault="00832116" w:rsidP="002879C0">
            <w:pPr>
              <w:jc w:val="center"/>
              <w:rPr>
                <w:rFonts w:ascii="Arial" w:hAnsi="Arial" w:cs="Arial"/>
              </w:rPr>
            </w:pPr>
            <w:r w:rsidRPr="00A841F6">
              <w:rPr>
                <w:rFonts w:ascii="Arial" w:hAnsi="Arial" w:cs="Arial"/>
              </w:rPr>
              <w:t>Adj Rating</w:t>
            </w:r>
          </w:p>
        </w:tc>
        <w:tc>
          <w:tcPr>
            <w:tcW w:w="439" w:type="pct"/>
            <w:tcBorders>
              <w:top w:val="single" w:sz="4" w:space="0" w:color="auto"/>
            </w:tcBorders>
            <w:vAlign w:val="center"/>
          </w:tcPr>
          <w:p w14:paraId="6992AD16" w14:textId="77777777" w:rsidR="00832116" w:rsidRPr="00A841F6" w:rsidRDefault="00832116" w:rsidP="002879C0">
            <w:pPr>
              <w:jc w:val="center"/>
              <w:rPr>
                <w:rFonts w:ascii="Arial" w:hAnsi="Arial" w:cs="Arial"/>
              </w:rPr>
            </w:pPr>
            <w:r w:rsidRPr="00A841F6">
              <w:rPr>
                <w:rFonts w:ascii="Arial" w:hAnsi="Arial" w:cs="Arial"/>
              </w:rPr>
              <w:t>Mean</w:t>
            </w:r>
          </w:p>
        </w:tc>
        <w:tc>
          <w:tcPr>
            <w:tcW w:w="628" w:type="pct"/>
            <w:tcBorders>
              <w:top w:val="single" w:sz="4" w:space="0" w:color="auto"/>
            </w:tcBorders>
            <w:vAlign w:val="center"/>
          </w:tcPr>
          <w:p w14:paraId="3B071413" w14:textId="77777777" w:rsidR="00832116" w:rsidRPr="00A841F6" w:rsidRDefault="00832116" w:rsidP="002879C0">
            <w:pPr>
              <w:jc w:val="center"/>
              <w:rPr>
                <w:rFonts w:ascii="Arial" w:hAnsi="Arial" w:cs="Arial"/>
              </w:rPr>
            </w:pPr>
            <w:r w:rsidRPr="00A841F6">
              <w:rPr>
                <w:rFonts w:ascii="Arial" w:hAnsi="Arial" w:cs="Arial"/>
              </w:rPr>
              <w:t>Adj Rating</w:t>
            </w:r>
          </w:p>
        </w:tc>
        <w:tc>
          <w:tcPr>
            <w:tcW w:w="415" w:type="pct"/>
            <w:tcBorders>
              <w:top w:val="single" w:sz="4" w:space="0" w:color="auto"/>
            </w:tcBorders>
            <w:vAlign w:val="center"/>
          </w:tcPr>
          <w:p w14:paraId="1999EE6D" w14:textId="77777777" w:rsidR="00832116" w:rsidRPr="00A841F6" w:rsidRDefault="00832116" w:rsidP="002879C0">
            <w:pPr>
              <w:jc w:val="center"/>
              <w:rPr>
                <w:rFonts w:ascii="Arial" w:hAnsi="Arial" w:cs="Arial"/>
              </w:rPr>
            </w:pPr>
            <w:r w:rsidRPr="00A841F6">
              <w:rPr>
                <w:rFonts w:ascii="Arial" w:hAnsi="Arial" w:cs="Arial"/>
              </w:rPr>
              <w:t>Mean</w:t>
            </w:r>
          </w:p>
        </w:tc>
        <w:tc>
          <w:tcPr>
            <w:tcW w:w="662" w:type="pct"/>
            <w:tcBorders>
              <w:top w:val="single" w:sz="4" w:space="0" w:color="auto"/>
            </w:tcBorders>
            <w:vAlign w:val="center"/>
          </w:tcPr>
          <w:p w14:paraId="415C970D" w14:textId="77777777" w:rsidR="00832116" w:rsidRPr="00A841F6" w:rsidRDefault="00832116" w:rsidP="002879C0">
            <w:pPr>
              <w:jc w:val="center"/>
              <w:rPr>
                <w:rFonts w:ascii="Arial" w:hAnsi="Arial" w:cs="Arial"/>
              </w:rPr>
            </w:pPr>
            <w:r w:rsidRPr="00A841F6">
              <w:rPr>
                <w:rFonts w:ascii="Arial" w:hAnsi="Arial" w:cs="Arial"/>
              </w:rPr>
              <w:t>Adj Rating</w:t>
            </w:r>
          </w:p>
        </w:tc>
      </w:tr>
      <w:tr w:rsidR="00832116" w:rsidRPr="00A841F6" w14:paraId="1022FDFF" w14:textId="77777777" w:rsidTr="002879C0">
        <w:trPr>
          <w:trHeight w:val="284"/>
        </w:trPr>
        <w:tc>
          <w:tcPr>
            <w:tcW w:w="698" w:type="pct"/>
            <w:vAlign w:val="center"/>
          </w:tcPr>
          <w:p w14:paraId="7776B6CD" w14:textId="77777777" w:rsidR="00832116" w:rsidRPr="00A841F6" w:rsidRDefault="00832116" w:rsidP="002879C0">
            <w:pPr>
              <w:jc w:val="center"/>
              <w:rPr>
                <w:rFonts w:ascii="Arial" w:hAnsi="Arial" w:cs="Arial"/>
              </w:rPr>
            </w:pPr>
            <w:r w:rsidRPr="00A841F6">
              <w:rPr>
                <w:rFonts w:ascii="Arial" w:hAnsi="Arial" w:cs="Arial"/>
              </w:rPr>
              <w:t>Format</w:t>
            </w:r>
          </w:p>
        </w:tc>
        <w:tc>
          <w:tcPr>
            <w:tcW w:w="415" w:type="pct"/>
            <w:vAlign w:val="center"/>
          </w:tcPr>
          <w:p w14:paraId="204FCFDC" w14:textId="77777777" w:rsidR="00832116" w:rsidRPr="00A841F6" w:rsidRDefault="00832116" w:rsidP="002879C0">
            <w:pPr>
              <w:jc w:val="center"/>
              <w:rPr>
                <w:rFonts w:ascii="Arial" w:hAnsi="Arial" w:cs="Arial"/>
              </w:rPr>
            </w:pPr>
            <w:r w:rsidRPr="00A841F6">
              <w:rPr>
                <w:rFonts w:ascii="Arial" w:hAnsi="Arial" w:cs="Arial"/>
                <w:color w:val="000000"/>
              </w:rPr>
              <w:t>3.76</w:t>
            </w:r>
          </w:p>
        </w:tc>
        <w:tc>
          <w:tcPr>
            <w:tcW w:w="643" w:type="pct"/>
            <w:vAlign w:val="center"/>
          </w:tcPr>
          <w:p w14:paraId="30E5E84A"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7F0D2FA7"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85" w:type="pct"/>
            <w:vAlign w:val="center"/>
          </w:tcPr>
          <w:p w14:paraId="37EA1287"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39" w:type="pct"/>
            <w:vAlign w:val="center"/>
          </w:tcPr>
          <w:p w14:paraId="29D59E6F"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28" w:type="pct"/>
            <w:vAlign w:val="center"/>
          </w:tcPr>
          <w:p w14:paraId="032BD68E"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43D2AAFA" w14:textId="77777777" w:rsidR="00832116" w:rsidRPr="00A841F6" w:rsidRDefault="00832116" w:rsidP="002879C0">
            <w:pPr>
              <w:jc w:val="center"/>
              <w:rPr>
                <w:rFonts w:ascii="Arial" w:hAnsi="Arial" w:cs="Arial"/>
              </w:rPr>
            </w:pPr>
            <w:r w:rsidRPr="00A841F6">
              <w:rPr>
                <w:rFonts w:ascii="Arial" w:hAnsi="Arial" w:cs="Arial"/>
                <w:color w:val="000000"/>
              </w:rPr>
              <w:t>3.84</w:t>
            </w:r>
          </w:p>
        </w:tc>
        <w:tc>
          <w:tcPr>
            <w:tcW w:w="662" w:type="pct"/>
            <w:vAlign w:val="center"/>
          </w:tcPr>
          <w:p w14:paraId="03F604CE"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r>
      <w:tr w:rsidR="00832116" w:rsidRPr="00A841F6" w14:paraId="30DC1156" w14:textId="77777777" w:rsidTr="002879C0">
        <w:trPr>
          <w:trHeight w:val="284"/>
        </w:trPr>
        <w:tc>
          <w:tcPr>
            <w:tcW w:w="698" w:type="pct"/>
            <w:vAlign w:val="center"/>
          </w:tcPr>
          <w:p w14:paraId="2976EB17" w14:textId="77777777" w:rsidR="00832116" w:rsidRPr="00A841F6" w:rsidRDefault="00832116" w:rsidP="002879C0">
            <w:pPr>
              <w:jc w:val="center"/>
              <w:rPr>
                <w:rFonts w:ascii="Arial" w:hAnsi="Arial" w:cs="Arial"/>
              </w:rPr>
            </w:pPr>
            <w:r w:rsidRPr="00A841F6">
              <w:rPr>
                <w:rFonts w:ascii="Arial" w:hAnsi="Arial" w:cs="Arial"/>
              </w:rPr>
              <w:t>Content</w:t>
            </w:r>
          </w:p>
        </w:tc>
        <w:tc>
          <w:tcPr>
            <w:tcW w:w="415" w:type="pct"/>
            <w:vAlign w:val="center"/>
          </w:tcPr>
          <w:p w14:paraId="5225A7D2" w14:textId="77777777" w:rsidR="00832116" w:rsidRPr="00A841F6" w:rsidRDefault="00832116" w:rsidP="002879C0">
            <w:pPr>
              <w:jc w:val="center"/>
              <w:rPr>
                <w:rFonts w:ascii="Arial" w:hAnsi="Arial" w:cs="Arial"/>
              </w:rPr>
            </w:pPr>
            <w:r w:rsidRPr="00A841F6">
              <w:rPr>
                <w:rFonts w:ascii="Arial" w:hAnsi="Arial" w:cs="Arial"/>
                <w:color w:val="000000"/>
              </w:rPr>
              <w:t>3.76</w:t>
            </w:r>
          </w:p>
        </w:tc>
        <w:tc>
          <w:tcPr>
            <w:tcW w:w="643" w:type="pct"/>
            <w:vAlign w:val="center"/>
          </w:tcPr>
          <w:p w14:paraId="09A414A9"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76B9440C"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85" w:type="pct"/>
            <w:vAlign w:val="center"/>
          </w:tcPr>
          <w:p w14:paraId="3C748A74"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39" w:type="pct"/>
            <w:vAlign w:val="center"/>
          </w:tcPr>
          <w:p w14:paraId="5DF054FD"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28" w:type="pct"/>
            <w:vAlign w:val="center"/>
          </w:tcPr>
          <w:p w14:paraId="67F9475F"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61340311" w14:textId="77777777" w:rsidR="00832116" w:rsidRPr="00A841F6" w:rsidRDefault="00832116" w:rsidP="002879C0">
            <w:pPr>
              <w:jc w:val="center"/>
              <w:rPr>
                <w:rFonts w:ascii="Arial" w:hAnsi="Arial" w:cs="Arial"/>
              </w:rPr>
            </w:pPr>
            <w:r w:rsidRPr="00A841F6">
              <w:rPr>
                <w:rFonts w:ascii="Arial" w:hAnsi="Arial" w:cs="Arial"/>
                <w:color w:val="000000"/>
              </w:rPr>
              <w:t>3.84</w:t>
            </w:r>
          </w:p>
        </w:tc>
        <w:tc>
          <w:tcPr>
            <w:tcW w:w="662" w:type="pct"/>
            <w:vAlign w:val="center"/>
          </w:tcPr>
          <w:p w14:paraId="2366912C"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r>
      <w:tr w:rsidR="00832116" w:rsidRPr="00A841F6" w14:paraId="779D5202" w14:textId="77777777" w:rsidTr="002879C0">
        <w:trPr>
          <w:trHeight w:val="284"/>
        </w:trPr>
        <w:tc>
          <w:tcPr>
            <w:tcW w:w="698" w:type="pct"/>
            <w:vAlign w:val="center"/>
          </w:tcPr>
          <w:p w14:paraId="0591ED9B" w14:textId="77777777" w:rsidR="00832116" w:rsidRPr="00A841F6" w:rsidRDefault="00832116" w:rsidP="002879C0">
            <w:pPr>
              <w:jc w:val="center"/>
              <w:rPr>
                <w:rFonts w:ascii="Arial" w:hAnsi="Arial" w:cs="Arial"/>
              </w:rPr>
            </w:pPr>
            <w:r w:rsidRPr="00A841F6">
              <w:rPr>
                <w:rFonts w:ascii="Arial" w:hAnsi="Arial" w:cs="Arial"/>
              </w:rPr>
              <w:t>Clarity</w:t>
            </w:r>
          </w:p>
        </w:tc>
        <w:tc>
          <w:tcPr>
            <w:tcW w:w="415" w:type="pct"/>
            <w:vAlign w:val="center"/>
          </w:tcPr>
          <w:p w14:paraId="4A551339" w14:textId="77777777" w:rsidR="00832116" w:rsidRPr="00A841F6" w:rsidRDefault="00832116" w:rsidP="002879C0">
            <w:pPr>
              <w:jc w:val="center"/>
              <w:rPr>
                <w:rFonts w:ascii="Arial" w:hAnsi="Arial" w:cs="Arial"/>
              </w:rPr>
            </w:pPr>
            <w:r w:rsidRPr="00A841F6">
              <w:rPr>
                <w:rFonts w:ascii="Arial" w:hAnsi="Arial" w:cs="Arial"/>
                <w:color w:val="000000"/>
              </w:rPr>
              <w:t>3.80</w:t>
            </w:r>
          </w:p>
        </w:tc>
        <w:tc>
          <w:tcPr>
            <w:tcW w:w="643" w:type="pct"/>
            <w:vAlign w:val="center"/>
          </w:tcPr>
          <w:p w14:paraId="3CCF4939"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7738EF8A" w14:textId="77777777" w:rsidR="00832116" w:rsidRPr="00A841F6" w:rsidRDefault="00832116" w:rsidP="002879C0">
            <w:pPr>
              <w:jc w:val="center"/>
              <w:rPr>
                <w:rFonts w:ascii="Arial" w:hAnsi="Arial" w:cs="Arial"/>
              </w:rPr>
            </w:pPr>
            <w:r w:rsidRPr="00A841F6">
              <w:rPr>
                <w:rFonts w:ascii="Arial" w:hAnsi="Arial" w:cs="Arial"/>
                <w:color w:val="000000"/>
              </w:rPr>
              <w:t>4.00</w:t>
            </w:r>
          </w:p>
        </w:tc>
        <w:tc>
          <w:tcPr>
            <w:tcW w:w="685" w:type="pct"/>
            <w:vAlign w:val="center"/>
          </w:tcPr>
          <w:p w14:paraId="5E4A672F"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39" w:type="pct"/>
            <w:vAlign w:val="center"/>
          </w:tcPr>
          <w:p w14:paraId="67655F32" w14:textId="77777777" w:rsidR="00832116" w:rsidRPr="00A841F6" w:rsidRDefault="00832116" w:rsidP="002879C0">
            <w:pPr>
              <w:jc w:val="center"/>
              <w:rPr>
                <w:rFonts w:ascii="Arial" w:hAnsi="Arial" w:cs="Arial"/>
              </w:rPr>
            </w:pPr>
            <w:r w:rsidRPr="00A841F6">
              <w:rPr>
                <w:rFonts w:ascii="Arial" w:hAnsi="Arial" w:cs="Arial"/>
                <w:color w:val="000000"/>
              </w:rPr>
              <w:t>4.00</w:t>
            </w:r>
          </w:p>
        </w:tc>
        <w:tc>
          <w:tcPr>
            <w:tcW w:w="628" w:type="pct"/>
            <w:vAlign w:val="center"/>
          </w:tcPr>
          <w:p w14:paraId="3701FB4C"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62126F4B" w14:textId="77777777" w:rsidR="00832116" w:rsidRPr="00A841F6" w:rsidRDefault="00832116" w:rsidP="002879C0">
            <w:pPr>
              <w:jc w:val="center"/>
              <w:rPr>
                <w:rFonts w:ascii="Arial" w:hAnsi="Arial" w:cs="Arial"/>
              </w:rPr>
            </w:pPr>
            <w:r w:rsidRPr="00A841F6">
              <w:rPr>
                <w:rFonts w:ascii="Arial" w:hAnsi="Arial" w:cs="Arial"/>
                <w:color w:val="000000"/>
              </w:rPr>
              <w:t>3.93</w:t>
            </w:r>
          </w:p>
        </w:tc>
        <w:tc>
          <w:tcPr>
            <w:tcW w:w="662" w:type="pct"/>
            <w:vAlign w:val="center"/>
          </w:tcPr>
          <w:p w14:paraId="78448488"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r>
      <w:tr w:rsidR="00832116" w:rsidRPr="00A841F6" w14:paraId="7FA67DCC" w14:textId="77777777" w:rsidTr="002879C0">
        <w:trPr>
          <w:trHeight w:val="304"/>
        </w:trPr>
        <w:tc>
          <w:tcPr>
            <w:tcW w:w="698" w:type="pct"/>
            <w:vAlign w:val="center"/>
          </w:tcPr>
          <w:p w14:paraId="696019A0" w14:textId="77777777" w:rsidR="00832116" w:rsidRPr="00A841F6" w:rsidRDefault="00832116" w:rsidP="002879C0">
            <w:pPr>
              <w:jc w:val="center"/>
              <w:rPr>
                <w:rFonts w:ascii="Arial" w:hAnsi="Arial" w:cs="Arial"/>
              </w:rPr>
            </w:pPr>
            <w:r w:rsidRPr="00A841F6">
              <w:rPr>
                <w:rFonts w:ascii="Arial" w:hAnsi="Arial" w:cs="Arial"/>
              </w:rPr>
              <w:t>Usefulness</w:t>
            </w:r>
          </w:p>
        </w:tc>
        <w:tc>
          <w:tcPr>
            <w:tcW w:w="415" w:type="pct"/>
            <w:vAlign w:val="center"/>
          </w:tcPr>
          <w:p w14:paraId="26C3F58E"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43" w:type="pct"/>
            <w:vAlign w:val="center"/>
          </w:tcPr>
          <w:p w14:paraId="46B007AD"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6A234F70"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85" w:type="pct"/>
            <w:vAlign w:val="center"/>
          </w:tcPr>
          <w:p w14:paraId="67AB627D"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39" w:type="pct"/>
            <w:vAlign w:val="center"/>
          </w:tcPr>
          <w:p w14:paraId="34EE3758" w14:textId="77777777" w:rsidR="00832116" w:rsidRPr="00A841F6" w:rsidRDefault="00832116" w:rsidP="002879C0">
            <w:pPr>
              <w:jc w:val="center"/>
              <w:rPr>
                <w:rFonts w:ascii="Arial" w:hAnsi="Arial" w:cs="Arial"/>
              </w:rPr>
            </w:pPr>
            <w:r w:rsidRPr="00A841F6">
              <w:rPr>
                <w:rFonts w:ascii="Arial" w:hAnsi="Arial" w:cs="Arial"/>
                <w:color w:val="000000"/>
              </w:rPr>
              <w:t>3.87</w:t>
            </w:r>
          </w:p>
        </w:tc>
        <w:tc>
          <w:tcPr>
            <w:tcW w:w="628" w:type="pct"/>
            <w:vAlign w:val="center"/>
          </w:tcPr>
          <w:p w14:paraId="31CDEDF5"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c>
          <w:tcPr>
            <w:tcW w:w="415" w:type="pct"/>
            <w:vAlign w:val="center"/>
          </w:tcPr>
          <w:p w14:paraId="442E9251" w14:textId="77777777" w:rsidR="00832116" w:rsidRPr="00A841F6" w:rsidRDefault="00832116" w:rsidP="002879C0">
            <w:pPr>
              <w:jc w:val="center"/>
              <w:rPr>
                <w:rFonts w:ascii="Arial" w:hAnsi="Arial" w:cs="Arial"/>
              </w:rPr>
            </w:pPr>
            <w:r w:rsidRPr="00A841F6">
              <w:rPr>
                <w:rFonts w:ascii="Arial" w:hAnsi="Arial" w:cs="Arial"/>
                <w:color w:val="000000"/>
              </w:rPr>
              <w:t>3.88</w:t>
            </w:r>
          </w:p>
        </w:tc>
        <w:tc>
          <w:tcPr>
            <w:tcW w:w="662" w:type="pct"/>
            <w:vAlign w:val="center"/>
          </w:tcPr>
          <w:p w14:paraId="49AFFDC0" w14:textId="77777777" w:rsidR="00832116" w:rsidRPr="00A841F6" w:rsidRDefault="00832116" w:rsidP="002879C0">
            <w:pPr>
              <w:jc w:val="center"/>
              <w:rPr>
                <w:rFonts w:ascii="Arial" w:hAnsi="Arial" w:cs="Arial"/>
              </w:rPr>
            </w:pPr>
            <w:r w:rsidRPr="00A841F6">
              <w:rPr>
                <w:rFonts w:ascii="Arial" w:hAnsi="Arial" w:cs="Arial"/>
                <w:color w:val="000000"/>
              </w:rPr>
              <w:t>Strongly agree</w:t>
            </w:r>
          </w:p>
        </w:tc>
      </w:tr>
      <w:tr w:rsidR="00832116" w:rsidRPr="00A841F6" w14:paraId="72B44F80" w14:textId="77777777" w:rsidTr="002879C0">
        <w:trPr>
          <w:trHeight w:val="264"/>
        </w:trPr>
        <w:tc>
          <w:tcPr>
            <w:tcW w:w="698" w:type="pct"/>
            <w:vAlign w:val="center"/>
          </w:tcPr>
          <w:p w14:paraId="3134ED27" w14:textId="77777777" w:rsidR="00832116" w:rsidRPr="00A841F6" w:rsidRDefault="00832116" w:rsidP="002879C0">
            <w:pPr>
              <w:jc w:val="center"/>
              <w:rPr>
                <w:rFonts w:ascii="Arial" w:hAnsi="Arial" w:cs="Arial"/>
                <w:b/>
                <w:bCs/>
              </w:rPr>
            </w:pPr>
            <w:r w:rsidRPr="00A841F6">
              <w:rPr>
                <w:rFonts w:ascii="Arial" w:hAnsi="Arial" w:cs="Arial"/>
                <w:b/>
                <w:bCs/>
              </w:rPr>
              <w:t>Over-all Mean</w:t>
            </w:r>
          </w:p>
        </w:tc>
        <w:tc>
          <w:tcPr>
            <w:tcW w:w="415" w:type="pct"/>
            <w:vAlign w:val="center"/>
          </w:tcPr>
          <w:p w14:paraId="567AB653" w14:textId="77777777" w:rsidR="00832116" w:rsidRPr="00A841F6" w:rsidRDefault="00832116" w:rsidP="002879C0">
            <w:pPr>
              <w:jc w:val="center"/>
              <w:rPr>
                <w:rFonts w:ascii="Arial" w:hAnsi="Arial" w:cs="Arial"/>
                <w:b/>
                <w:bCs/>
              </w:rPr>
            </w:pPr>
            <w:r w:rsidRPr="00A841F6">
              <w:rPr>
                <w:rFonts w:ascii="Arial" w:hAnsi="Arial" w:cs="Arial"/>
                <w:b/>
                <w:bCs/>
                <w:color w:val="000000"/>
              </w:rPr>
              <w:t>3.80</w:t>
            </w:r>
          </w:p>
        </w:tc>
        <w:tc>
          <w:tcPr>
            <w:tcW w:w="643" w:type="pct"/>
            <w:vAlign w:val="center"/>
          </w:tcPr>
          <w:p w14:paraId="3CB18118" w14:textId="77777777" w:rsidR="00832116" w:rsidRPr="00A841F6" w:rsidRDefault="00832116" w:rsidP="002879C0">
            <w:pPr>
              <w:jc w:val="center"/>
              <w:rPr>
                <w:rFonts w:ascii="Arial" w:hAnsi="Arial" w:cs="Arial"/>
                <w:b/>
                <w:bCs/>
              </w:rPr>
            </w:pPr>
            <w:r w:rsidRPr="00A841F6">
              <w:rPr>
                <w:rFonts w:ascii="Arial" w:hAnsi="Arial" w:cs="Arial"/>
                <w:b/>
                <w:bCs/>
                <w:color w:val="000000"/>
              </w:rPr>
              <w:t>Strongly agree</w:t>
            </w:r>
          </w:p>
        </w:tc>
        <w:tc>
          <w:tcPr>
            <w:tcW w:w="415" w:type="pct"/>
            <w:vAlign w:val="center"/>
          </w:tcPr>
          <w:p w14:paraId="00B241A0" w14:textId="77777777" w:rsidR="00832116" w:rsidRPr="00A841F6" w:rsidRDefault="00832116" w:rsidP="002879C0">
            <w:pPr>
              <w:jc w:val="center"/>
              <w:rPr>
                <w:rFonts w:ascii="Arial" w:hAnsi="Arial" w:cs="Arial"/>
                <w:b/>
                <w:bCs/>
              </w:rPr>
            </w:pPr>
            <w:r w:rsidRPr="00A841F6">
              <w:rPr>
                <w:rFonts w:ascii="Arial" w:hAnsi="Arial" w:cs="Arial"/>
                <w:b/>
                <w:bCs/>
                <w:color w:val="000000"/>
              </w:rPr>
              <w:t>3.91</w:t>
            </w:r>
          </w:p>
        </w:tc>
        <w:tc>
          <w:tcPr>
            <w:tcW w:w="685" w:type="pct"/>
            <w:vAlign w:val="center"/>
          </w:tcPr>
          <w:p w14:paraId="518C4AAD" w14:textId="77777777" w:rsidR="00832116" w:rsidRPr="00A841F6" w:rsidRDefault="00832116" w:rsidP="002879C0">
            <w:pPr>
              <w:jc w:val="center"/>
              <w:rPr>
                <w:rFonts w:ascii="Arial" w:hAnsi="Arial" w:cs="Arial"/>
                <w:b/>
                <w:bCs/>
              </w:rPr>
            </w:pPr>
            <w:r w:rsidRPr="00A841F6">
              <w:rPr>
                <w:rFonts w:ascii="Arial" w:hAnsi="Arial" w:cs="Arial"/>
                <w:b/>
                <w:bCs/>
                <w:color w:val="000000"/>
              </w:rPr>
              <w:t>Strongly agree</w:t>
            </w:r>
          </w:p>
        </w:tc>
        <w:tc>
          <w:tcPr>
            <w:tcW w:w="439" w:type="pct"/>
            <w:vAlign w:val="center"/>
          </w:tcPr>
          <w:p w14:paraId="0E19A77E" w14:textId="77777777" w:rsidR="00832116" w:rsidRPr="00A841F6" w:rsidRDefault="00832116" w:rsidP="002879C0">
            <w:pPr>
              <w:jc w:val="center"/>
              <w:rPr>
                <w:rFonts w:ascii="Arial" w:hAnsi="Arial" w:cs="Arial"/>
                <w:b/>
                <w:bCs/>
              </w:rPr>
            </w:pPr>
            <w:r w:rsidRPr="00A841F6">
              <w:rPr>
                <w:rFonts w:ascii="Arial" w:hAnsi="Arial" w:cs="Arial"/>
                <w:b/>
                <w:bCs/>
                <w:color w:val="000000"/>
              </w:rPr>
              <w:t>3.91</w:t>
            </w:r>
          </w:p>
        </w:tc>
        <w:tc>
          <w:tcPr>
            <w:tcW w:w="628" w:type="pct"/>
            <w:vAlign w:val="center"/>
          </w:tcPr>
          <w:p w14:paraId="093B4725" w14:textId="77777777" w:rsidR="00832116" w:rsidRPr="00A841F6" w:rsidRDefault="00832116" w:rsidP="002879C0">
            <w:pPr>
              <w:jc w:val="center"/>
              <w:rPr>
                <w:rFonts w:ascii="Arial" w:hAnsi="Arial" w:cs="Arial"/>
                <w:b/>
                <w:bCs/>
              </w:rPr>
            </w:pPr>
            <w:r w:rsidRPr="00A841F6">
              <w:rPr>
                <w:rFonts w:ascii="Arial" w:hAnsi="Arial" w:cs="Arial"/>
                <w:b/>
                <w:bCs/>
                <w:color w:val="000000"/>
              </w:rPr>
              <w:t>Strongly agree</w:t>
            </w:r>
          </w:p>
        </w:tc>
        <w:tc>
          <w:tcPr>
            <w:tcW w:w="415" w:type="pct"/>
            <w:vAlign w:val="center"/>
          </w:tcPr>
          <w:p w14:paraId="42251D06" w14:textId="77777777" w:rsidR="00832116" w:rsidRPr="00A841F6" w:rsidRDefault="00832116" w:rsidP="002879C0">
            <w:pPr>
              <w:jc w:val="center"/>
              <w:rPr>
                <w:rFonts w:ascii="Arial" w:hAnsi="Arial" w:cs="Arial"/>
                <w:b/>
                <w:bCs/>
              </w:rPr>
            </w:pPr>
            <w:r w:rsidRPr="00A841F6">
              <w:rPr>
                <w:rFonts w:ascii="Arial" w:hAnsi="Arial" w:cs="Arial"/>
                <w:b/>
                <w:bCs/>
                <w:color w:val="000000"/>
              </w:rPr>
              <w:t>3.87</w:t>
            </w:r>
          </w:p>
        </w:tc>
        <w:tc>
          <w:tcPr>
            <w:tcW w:w="662" w:type="pct"/>
            <w:vAlign w:val="center"/>
          </w:tcPr>
          <w:p w14:paraId="24D74D11" w14:textId="77777777" w:rsidR="00832116" w:rsidRPr="00A841F6" w:rsidRDefault="00832116" w:rsidP="002879C0">
            <w:pPr>
              <w:jc w:val="center"/>
              <w:rPr>
                <w:rFonts w:ascii="Arial" w:hAnsi="Arial" w:cs="Arial"/>
                <w:b/>
                <w:bCs/>
              </w:rPr>
            </w:pPr>
            <w:r w:rsidRPr="00A841F6">
              <w:rPr>
                <w:rFonts w:ascii="Arial" w:hAnsi="Arial" w:cs="Arial"/>
                <w:b/>
                <w:bCs/>
                <w:color w:val="000000"/>
              </w:rPr>
              <w:t>Strongly agree</w:t>
            </w:r>
          </w:p>
        </w:tc>
      </w:tr>
    </w:tbl>
    <w:p w14:paraId="0841460B" w14:textId="77777777" w:rsidR="00832116" w:rsidRDefault="00832116" w:rsidP="00942D74">
      <w:pPr>
        <w:spacing w:line="240" w:lineRule="auto"/>
        <w:rPr>
          <w:rFonts w:ascii="Times New Roman" w:hAnsi="Times New Roman" w:cs="Times New Roman"/>
          <w:b/>
          <w:bCs/>
          <w:sz w:val="28"/>
          <w:szCs w:val="28"/>
        </w:rPr>
      </w:pPr>
    </w:p>
    <w:p w14:paraId="56222A26" w14:textId="5B4D8A4F" w:rsidR="00BE3551" w:rsidRDefault="00BE3551" w:rsidP="00BE3551">
      <w:pPr>
        <w:spacing w:line="240" w:lineRule="auto"/>
        <w:jc w:val="both"/>
        <w:rPr>
          <w:rFonts w:ascii="Times New Roman" w:hAnsi="Times New Roman" w:cs="Times New Roman"/>
          <w:sz w:val="24"/>
          <w:szCs w:val="24"/>
        </w:rPr>
      </w:pPr>
      <w:r w:rsidRPr="00832116">
        <w:rPr>
          <w:rFonts w:ascii="Times New Roman" w:hAnsi="Times New Roman" w:cs="Times New Roman"/>
          <w:sz w:val="24"/>
          <w:szCs w:val="24"/>
        </w:rPr>
        <w:t>The results of the expert content validation</w:t>
      </w:r>
      <w:r>
        <w:rPr>
          <w:rFonts w:ascii="Times New Roman" w:hAnsi="Times New Roman" w:cs="Times New Roman"/>
          <w:sz w:val="24"/>
          <w:szCs w:val="24"/>
        </w:rPr>
        <w:t xml:space="preserve"> as reflected on table 1 shows</w:t>
      </w:r>
      <w:r w:rsidRPr="00832116">
        <w:rPr>
          <w:rFonts w:ascii="Times New Roman" w:hAnsi="Times New Roman" w:cs="Times New Roman"/>
          <w:sz w:val="24"/>
          <w:szCs w:val="24"/>
        </w:rPr>
        <w:t xml:space="preserve"> that the developed instructional material obtained a “Strongly Agree” rating from experts, teachers, and students, indicating a very high level of acceptability and effectiveness. </w:t>
      </w:r>
      <w:r w:rsidRPr="00BE3551">
        <w:rPr>
          <w:rFonts w:ascii="Times New Roman" w:hAnsi="Times New Roman" w:cs="Times New Roman"/>
          <w:sz w:val="24"/>
          <w:szCs w:val="24"/>
        </w:rPr>
        <w:t>Among the indicators, clarity received the highest evaluation, while format obtained the comparatively lowest rating, although it still remained within the “Strongly Agree” category. The high rating in clarity implies that the instructional material was presented in a well-organized and comprehensible manner, enabling learners to understand the concepts, instructions, and activities with ease. This may be attributed to the use of learner-friendly language, logical sequencing of topics, and appropriate presentation strategies that support comprehension and engagement. Likewise, the strong evaluation in usefulness indicates that the material was viewed as relevant and beneficial in facilitating teaching and learning processes. On the other hand, the comparatively lower rating in format may imply that certain aspects related to layout, visual organization, or design presentation still require minor enhancement to further improve learner appeal and readability. Despite this, the overall positive evaluations indicate that the material effectively aligns with instructional objectives and learner needs, making it suitable for classroom implementation.</w:t>
      </w:r>
      <w:r w:rsidR="00D96AB0">
        <w:rPr>
          <w:rFonts w:ascii="Times New Roman" w:hAnsi="Times New Roman" w:cs="Times New Roman"/>
          <w:sz w:val="24"/>
          <w:szCs w:val="24"/>
        </w:rPr>
        <w:t xml:space="preserve"> </w:t>
      </w:r>
    </w:p>
    <w:p w14:paraId="03FC72CA" w14:textId="06CC5DC4" w:rsidR="00D96AB0" w:rsidRDefault="00D96AB0" w:rsidP="00BE3551">
      <w:pPr>
        <w:spacing w:line="240" w:lineRule="auto"/>
        <w:jc w:val="both"/>
        <w:rPr>
          <w:rFonts w:ascii="Times New Roman" w:hAnsi="Times New Roman" w:cs="Times New Roman"/>
          <w:sz w:val="24"/>
          <w:szCs w:val="24"/>
        </w:rPr>
      </w:pPr>
      <w:r w:rsidRPr="00794032">
        <w:rPr>
          <w:rFonts w:ascii="Times New Roman" w:hAnsi="Times New Roman" w:cs="Times New Roman"/>
          <w:sz w:val="24"/>
          <w:szCs w:val="24"/>
        </w:rPr>
        <w:lastRenderedPageBreak/>
        <w:t>The findings are supported by the study of Hair et al. (2022), which emphasized that instructional materials with high validation ratings are more likely to demonstrate strong construct alignment and instructional coherence, both of which contribute to educational quality and learner achievement. Similarly, Taber (2023) explained that clarity in instructional design plays a crucial role in promoting meaningful learning, as students are more likely to engage with materials that are understandable and systematically presented.</w:t>
      </w:r>
    </w:p>
    <w:p w14:paraId="1339CEF7" w14:textId="048FC1DF" w:rsidR="004D6802" w:rsidRPr="00626D88" w:rsidRDefault="004D6802" w:rsidP="00BE3551">
      <w:pPr>
        <w:spacing w:line="240" w:lineRule="auto"/>
        <w:jc w:val="both"/>
        <w:rPr>
          <w:rFonts w:ascii="Times New Roman" w:hAnsi="Times New Roman" w:cs="Times New Roman"/>
          <w:b/>
          <w:bCs/>
          <w:sz w:val="26"/>
          <w:szCs w:val="26"/>
        </w:rPr>
      </w:pPr>
      <w:r w:rsidRPr="00626D88">
        <w:rPr>
          <w:rFonts w:ascii="Times New Roman" w:hAnsi="Times New Roman" w:cs="Times New Roman"/>
          <w:b/>
          <w:bCs/>
          <w:sz w:val="24"/>
          <w:szCs w:val="24"/>
        </w:rPr>
        <w:t>Part II. Results on Mathematical Mastery based on Pre-test and Post-test Results</w:t>
      </w:r>
    </w:p>
    <w:p w14:paraId="10BF6C04" w14:textId="5AF99913" w:rsidR="0013259A" w:rsidRDefault="0013259A" w:rsidP="0013259A">
      <w:pPr>
        <w:spacing w:line="240" w:lineRule="auto"/>
        <w:jc w:val="both"/>
        <w:rPr>
          <w:rFonts w:ascii="Times New Roman" w:hAnsi="Times New Roman" w:cs="Times New Roman"/>
          <w:bCs/>
          <w:iCs/>
          <w:sz w:val="24"/>
          <w:szCs w:val="24"/>
        </w:rPr>
      </w:pPr>
      <w:r w:rsidRPr="0013259A">
        <w:rPr>
          <w:rFonts w:ascii="Times New Roman" w:hAnsi="Times New Roman" w:cs="Times New Roman"/>
          <w:bCs/>
          <w:iCs/>
          <w:sz w:val="24"/>
          <w:szCs w:val="24"/>
        </w:rPr>
        <w:t>The Tables</w:t>
      </w:r>
      <w:r>
        <w:rPr>
          <w:rFonts w:ascii="Times New Roman" w:hAnsi="Times New Roman" w:cs="Times New Roman"/>
          <w:bCs/>
          <w:iCs/>
          <w:sz w:val="24"/>
          <w:szCs w:val="24"/>
        </w:rPr>
        <w:t xml:space="preserve"> </w:t>
      </w:r>
      <w:r w:rsidRPr="0013259A">
        <w:rPr>
          <w:rFonts w:ascii="Times New Roman" w:hAnsi="Times New Roman" w:cs="Times New Roman"/>
          <w:bCs/>
          <w:iCs/>
          <w:sz w:val="24"/>
          <w:szCs w:val="24"/>
        </w:rPr>
        <w:t xml:space="preserve">2 presents the results </w:t>
      </w:r>
      <w:r>
        <w:rPr>
          <w:rFonts w:ascii="Times New Roman" w:hAnsi="Times New Roman" w:cs="Times New Roman"/>
          <w:bCs/>
          <w:iCs/>
          <w:sz w:val="24"/>
          <w:szCs w:val="24"/>
        </w:rPr>
        <w:t xml:space="preserve">Pre-test and Post-test results based on the Pre-test and Post-test. </w:t>
      </w:r>
      <w:r w:rsidRPr="0013259A">
        <w:rPr>
          <w:rFonts w:ascii="Times New Roman" w:hAnsi="Times New Roman" w:cs="Times New Roman"/>
          <w:bCs/>
          <w:iCs/>
          <w:sz w:val="24"/>
          <w:szCs w:val="24"/>
        </w:rPr>
        <w:t xml:space="preserve">It shows how the developed learning kit exhibits significant effectiveness in enhancing learner performance, as evidenced by consistently pretest-to-posttest gains among student respondents. </w:t>
      </w:r>
    </w:p>
    <w:p w14:paraId="3E2AF1C4" w14:textId="6E2AA435" w:rsidR="00134262" w:rsidRPr="00B053E2" w:rsidRDefault="00C40827" w:rsidP="00C40827">
      <w:pPr>
        <w:spacing w:line="240" w:lineRule="auto"/>
        <w:jc w:val="center"/>
        <w:rPr>
          <w:rFonts w:ascii="Times New Roman" w:hAnsi="Times New Roman" w:cs="Times New Roman"/>
          <w:b/>
          <w:iCs/>
          <w:sz w:val="24"/>
          <w:szCs w:val="24"/>
        </w:rPr>
      </w:pPr>
      <w:r w:rsidRPr="00B053E2">
        <w:rPr>
          <w:rFonts w:ascii="Times New Roman" w:hAnsi="Times New Roman" w:cs="Times New Roman"/>
          <w:b/>
          <w:iCs/>
          <w:sz w:val="24"/>
          <w:szCs w:val="24"/>
        </w:rPr>
        <w:t>Table 2. Mathematical Mastery based on Pre-test and Post-test Scores</w:t>
      </w:r>
    </w:p>
    <w:tbl>
      <w:tblPr>
        <w:tblStyle w:val="TableGrid"/>
        <w:tblW w:w="0" w:type="auto"/>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890"/>
        <w:gridCol w:w="1980"/>
        <w:gridCol w:w="3055"/>
      </w:tblGrid>
      <w:tr w:rsidR="00B053E2" w:rsidRPr="005B7F59" w14:paraId="28814882" w14:textId="77777777" w:rsidTr="00B053E2">
        <w:tc>
          <w:tcPr>
            <w:tcW w:w="1705" w:type="dxa"/>
            <w:tcBorders>
              <w:top w:val="single" w:sz="4" w:space="0" w:color="auto"/>
              <w:bottom w:val="single" w:sz="4" w:space="0" w:color="auto"/>
            </w:tcBorders>
          </w:tcPr>
          <w:p w14:paraId="31FFECFA" w14:textId="77777777" w:rsidR="00B053E2" w:rsidRPr="005B7F59" w:rsidRDefault="00B053E2" w:rsidP="002879C0">
            <w:pPr>
              <w:jc w:val="center"/>
              <w:rPr>
                <w:rFonts w:ascii="Arial" w:hAnsi="Arial" w:cs="Arial"/>
                <w:b/>
                <w:bCs/>
              </w:rPr>
            </w:pPr>
            <w:r w:rsidRPr="005B7F59">
              <w:rPr>
                <w:rFonts w:ascii="Arial" w:hAnsi="Arial" w:cs="Arial"/>
                <w:b/>
                <w:bCs/>
              </w:rPr>
              <w:t>Tests</w:t>
            </w:r>
          </w:p>
        </w:tc>
        <w:tc>
          <w:tcPr>
            <w:tcW w:w="1890" w:type="dxa"/>
            <w:tcBorders>
              <w:top w:val="single" w:sz="4" w:space="0" w:color="auto"/>
              <w:bottom w:val="single" w:sz="4" w:space="0" w:color="auto"/>
            </w:tcBorders>
          </w:tcPr>
          <w:p w14:paraId="4232F715" w14:textId="77777777" w:rsidR="00B053E2" w:rsidRPr="005B7F59" w:rsidRDefault="00B053E2" w:rsidP="002879C0">
            <w:pPr>
              <w:jc w:val="center"/>
              <w:rPr>
                <w:rFonts w:ascii="Arial" w:hAnsi="Arial" w:cs="Arial"/>
                <w:b/>
                <w:bCs/>
              </w:rPr>
            </w:pPr>
            <w:r w:rsidRPr="005B7F59">
              <w:rPr>
                <w:rFonts w:ascii="Arial" w:hAnsi="Arial" w:cs="Arial"/>
                <w:b/>
                <w:bCs/>
              </w:rPr>
              <w:t>N</w:t>
            </w:r>
          </w:p>
        </w:tc>
        <w:tc>
          <w:tcPr>
            <w:tcW w:w="1980" w:type="dxa"/>
            <w:tcBorders>
              <w:top w:val="single" w:sz="4" w:space="0" w:color="auto"/>
              <w:bottom w:val="single" w:sz="4" w:space="0" w:color="auto"/>
            </w:tcBorders>
          </w:tcPr>
          <w:p w14:paraId="383DA650" w14:textId="77777777" w:rsidR="00B053E2" w:rsidRPr="005B7F59" w:rsidRDefault="00B053E2" w:rsidP="002879C0">
            <w:pPr>
              <w:jc w:val="center"/>
              <w:rPr>
                <w:rFonts w:ascii="Arial" w:hAnsi="Arial" w:cs="Arial"/>
                <w:b/>
                <w:bCs/>
              </w:rPr>
            </w:pPr>
            <w:r w:rsidRPr="005B7F59">
              <w:rPr>
                <w:rFonts w:ascii="Arial" w:hAnsi="Arial" w:cs="Arial"/>
                <w:b/>
                <w:bCs/>
              </w:rPr>
              <w:t>Mean</w:t>
            </w:r>
          </w:p>
        </w:tc>
        <w:tc>
          <w:tcPr>
            <w:tcW w:w="3055" w:type="dxa"/>
            <w:tcBorders>
              <w:top w:val="single" w:sz="4" w:space="0" w:color="auto"/>
              <w:bottom w:val="single" w:sz="4" w:space="0" w:color="auto"/>
            </w:tcBorders>
          </w:tcPr>
          <w:p w14:paraId="3022220E" w14:textId="77777777" w:rsidR="00B053E2" w:rsidRPr="005B7F59" w:rsidRDefault="00B053E2" w:rsidP="002879C0">
            <w:pPr>
              <w:jc w:val="center"/>
              <w:rPr>
                <w:rFonts w:ascii="Arial" w:hAnsi="Arial" w:cs="Arial"/>
                <w:b/>
                <w:bCs/>
              </w:rPr>
            </w:pPr>
            <w:r w:rsidRPr="005B7F59">
              <w:rPr>
                <w:rFonts w:ascii="Arial" w:hAnsi="Arial" w:cs="Arial"/>
                <w:b/>
                <w:bCs/>
              </w:rPr>
              <w:t>Standard Deviation</w:t>
            </w:r>
          </w:p>
        </w:tc>
      </w:tr>
      <w:tr w:rsidR="00F47087" w:rsidRPr="005B7F59" w14:paraId="1B85453C" w14:textId="77777777" w:rsidTr="00F47087">
        <w:tc>
          <w:tcPr>
            <w:tcW w:w="1705" w:type="dxa"/>
            <w:tcBorders>
              <w:top w:val="single" w:sz="4" w:space="0" w:color="auto"/>
            </w:tcBorders>
          </w:tcPr>
          <w:p w14:paraId="02C75967" w14:textId="77777777" w:rsidR="00F47087" w:rsidRPr="005B7F59" w:rsidRDefault="00F47087" w:rsidP="002879C0">
            <w:pPr>
              <w:jc w:val="center"/>
              <w:rPr>
                <w:rFonts w:ascii="Arial" w:hAnsi="Arial" w:cs="Arial"/>
              </w:rPr>
            </w:pPr>
            <w:r w:rsidRPr="005B7F59">
              <w:rPr>
                <w:rFonts w:ascii="Arial" w:hAnsi="Arial" w:cs="Arial"/>
              </w:rPr>
              <w:t>Pretest</w:t>
            </w:r>
          </w:p>
        </w:tc>
        <w:tc>
          <w:tcPr>
            <w:tcW w:w="1890" w:type="dxa"/>
            <w:vMerge w:val="restart"/>
            <w:tcBorders>
              <w:top w:val="single" w:sz="4" w:space="0" w:color="auto"/>
            </w:tcBorders>
            <w:vAlign w:val="center"/>
          </w:tcPr>
          <w:p w14:paraId="34BD8468" w14:textId="77777777" w:rsidR="00F47087" w:rsidRPr="005B7F59" w:rsidRDefault="00F47087" w:rsidP="00F47087">
            <w:pPr>
              <w:jc w:val="center"/>
              <w:rPr>
                <w:rFonts w:ascii="Arial" w:hAnsi="Arial" w:cs="Arial"/>
              </w:rPr>
            </w:pPr>
            <w:r w:rsidRPr="005B7F59">
              <w:rPr>
                <w:rFonts w:ascii="Arial" w:hAnsi="Arial" w:cs="Arial"/>
              </w:rPr>
              <w:t>39</w:t>
            </w:r>
          </w:p>
        </w:tc>
        <w:tc>
          <w:tcPr>
            <w:tcW w:w="1980" w:type="dxa"/>
            <w:tcBorders>
              <w:top w:val="single" w:sz="4" w:space="0" w:color="auto"/>
            </w:tcBorders>
          </w:tcPr>
          <w:p w14:paraId="658D6844" w14:textId="77777777" w:rsidR="00F47087" w:rsidRPr="005B7F59" w:rsidRDefault="00F47087" w:rsidP="002879C0">
            <w:pPr>
              <w:jc w:val="center"/>
              <w:rPr>
                <w:rFonts w:ascii="Arial" w:hAnsi="Arial" w:cs="Arial"/>
              </w:rPr>
            </w:pPr>
            <w:r w:rsidRPr="005B7F59">
              <w:rPr>
                <w:rFonts w:ascii="Arial" w:hAnsi="Arial" w:cs="Arial"/>
              </w:rPr>
              <w:t>21.179</w:t>
            </w:r>
          </w:p>
        </w:tc>
        <w:tc>
          <w:tcPr>
            <w:tcW w:w="3055" w:type="dxa"/>
            <w:tcBorders>
              <w:top w:val="single" w:sz="4" w:space="0" w:color="auto"/>
            </w:tcBorders>
          </w:tcPr>
          <w:p w14:paraId="7CE5EB6A" w14:textId="77777777" w:rsidR="00F47087" w:rsidRPr="005B7F59" w:rsidRDefault="00F47087" w:rsidP="002879C0">
            <w:pPr>
              <w:jc w:val="center"/>
              <w:rPr>
                <w:rFonts w:ascii="Arial" w:hAnsi="Arial" w:cs="Arial"/>
              </w:rPr>
            </w:pPr>
            <w:r w:rsidRPr="005B7F59">
              <w:rPr>
                <w:rFonts w:ascii="Arial" w:hAnsi="Arial" w:cs="Arial"/>
              </w:rPr>
              <w:t>4.599</w:t>
            </w:r>
          </w:p>
        </w:tc>
      </w:tr>
      <w:tr w:rsidR="00F47087" w:rsidRPr="005B7F59" w14:paraId="6BB769D6" w14:textId="77777777" w:rsidTr="00B053E2">
        <w:tc>
          <w:tcPr>
            <w:tcW w:w="1705" w:type="dxa"/>
            <w:tcBorders>
              <w:bottom w:val="single" w:sz="4" w:space="0" w:color="auto"/>
            </w:tcBorders>
          </w:tcPr>
          <w:p w14:paraId="62BDCEDC" w14:textId="77777777" w:rsidR="00F47087" w:rsidRPr="005B7F59" w:rsidRDefault="00F47087" w:rsidP="002879C0">
            <w:pPr>
              <w:jc w:val="center"/>
              <w:rPr>
                <w:rFonts w:ascii="Arial" w:hAnsi="Arial" w:cs="Arial"/>
              </w:rPr>
            </w:pPr>
            <w:r w:rsidRPr="005B7F59">
              <w:rPr>
                <w:rFonts w:ascii="Arial" w:hAnsi="Arial" w:cs="Arial"/>
              </w:rPr>
              <w:t>Post-test</w:t>
            </w:r>
          </w:p>
        </w:tc>
        <w:tc>
          <w:tcPr>
            <w:tcW w:w="1890" w:type="dxa"/>
            <w:vMerge/>
            <w:tcBorders>
              <w:bottom w:val="single" w:sz="4" w:space="0" w:color="auto"/>
            </w:tcBorders>
          </w:tcPr>
          <w:p w14:paraId="26B5B360" w14:textId="10CFB454" w:rsidR="00F47087" w:rsidRPr="005B7F59" w:rsidRDefault="00F47087" w:rsidP="002879C0">
            <w:pPr>
              <w:jc w:val="center"/>
              <w:rPr>
                <w:rFonts w:ascii="Arial" w:hAnsi="Arial" w:cs="Arial"/>
              </w:rPr>
            </w:pPr>
          </w:p>
        </w:tc>
        <w:tc>
          <w:tcPr>
            <w:tcW w:w="1980" w:type="dxa"/>
            <w:tcBorders>
              <w:bottom w:val="single" w:sz="4" w:space="0" w:color="auto"/>
            </w:tcBorders>
          </w:tcPr>
          <w:p w14:paraId="23AF4178" w14:textId="77777777" w:rsidR="00F47087" w:rsidRPr="005B7F59" w:rsidRDefault="00F47087" w:rsidP="002879C0">
            <w:pPr>
              <w:jc w:val="center"/>
              <w:rPr>
                <w:rFonts w:ascii="Arial" w:hAnsi="Arial" w:cs="Arial"/>
              </w:rPr>
            </w:pPr>
            <w:r w:rsidRPr="005B7F59">
              <w:rPr>
                <w:rFonts w:ascii="Arial" w:hAnsi="Arial" w:cs="Arial"/>
              </w:rPr>
              <w:t>30.974</w:t>
            </w:r>
          </w:p>
        </w:tc>
        <w:tc>
          <w:tcPr>
            <w:tcW w:w="3055" w:type="dxa"/>
            <w:tcBorders>
              <w:bottom w:val="single" w:sz="4" w:space="0" w:color="auto"/>
            </w:tcBorders>
          </w:tcPr>
          <w:p w14:paraId="156F5909" w14:textId="77777777" w:rsidR="00F47087" w:rsidRPr="005B7F59" w:rsidRDefault="00F47087" w:rsidP="002879C0">
            <w:pPr>
              <w:jc w:val="center"/>
              <w:rPr>
                <w:rFonts w:ascii="Arial" w:hAnsi="Arial" w:cs="Arial"/>
              </w:rPr>
            </w:pPr>
            <w:r w:rsidRPr="005B7F59">
              <w:rPr>
                <w:rFonts w:ascii="Arial" w:hAnsi="Arial" w:cs="Arial"/>
              </w:rPr>
              <w:t>3.997</w:t>
            </w:r>
          </w:p>
        </w:tc>
      </w:tr>
    </w:tbl>
    <w:p w14:paraId="5F20C3F3" w14:textId="77777777" w:rsidR="00C40827" w:rsidRDefault="00C40827" w:rsidP="00B053E2">
      <w:pPr>
        <w:spacing w:line="240" w:lineRule="auto"/>
        <w:rPr>
          <w:rFonts w:ascii="Times New Roman" w:hAnsi="Times New Roman" w:cs="Times New Roman"/>
          <w:bCs/>
          <w:iCs/>
          <w:sz w:val="24"/>
          <w:szCs w:val="24"/>
        </w:rPr>
      </w:pPr>
    </w:p>
    <w:p w14:paraId="0E98F7BF" w14:textId="4EE3B72F" w:rsidR="009B72F0" w:rsidRPr="009B72F0" w:rsidRDefault="009B72F0" w:rsidP="009B72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depicted on the table above, it </w:t>
      </w:r>
      <w:r w:rsidRPr="009B72F0">
        <w:rPr>
          <w:rFonts w:ascii="Times New Roman" w:hAnsi="Times New Roman" w:cs="Times New Roman"/>
          <w:sz w:val="24"/>
          <w:szCs w:val="24"/>
        </w:rPr>
        <w:t>revealed that learners’ post-test performance was substantially higher than their pretest performance, indicating a significant improvement in learners’ knowledge and skills after exposure to the developed instructional material. The post-test scores also demonstrated more consistent learner performance compared to the pretest results, suggesting reduced variability in student achievement after using the material. These findings indicate that the instructional material was effective in enhancing learners’ understanding and promoting more uniform learning outcomes among the respondents.</w:t>
      </w:r>
    </w:p>
    <w:p w14:paraId="1D650D7E" w14:textId="77777777" w:rsidR="009B72F0" w:rsidRPr="009B72F0" w:rsidRDefault="009B72F0" w:rsidP="009B72F0">
      <w:pPr>
        <w:spacing w:line="240" w:lineRule="auto"/>
        <w:jc w:val="both"/>
        <w:rPr>
          <w:rFonts w:ascii="Times New Roman" w:hAnsi="Times New Roman" w:cs="Times New Roman"/>
          <w:sz w:val="24"/>
          <w:szCs w:val="24"/>
        </w:rPr>
      </w:pPr>
      <w:r w:rsidRPr="009B72F0">
        <w:rPr>
          <w:rFonts w:ascii="Times New Roman" w:hAnsi="Times New Roman" w:cs="Times New Roman"/>
          <w:sz w:val="24"/>
          <w:szCs w:val="24"/>
        </w:rPr>
        <w:t>The significant improvement between the pretest and post-test results implies that the developed material successfully facilitated learning and contributed positively to students’ academic performance. The increase in learner achievement may be attributed to the material’s clear presentation of concepts, organized structure, and relevance to the learners’ needs and abilities. Moreover, the more consistent post-test performance suggests that the material may have helped bridge learning gaps among students by providing accessible and comprehensible instructional support. These findings further imply that the material is pedagogically sound and suitable for classroom implementation, as it not only improved learner performance but also promoted greater consistency in understanding among students. Consequently, the material may serve as an effective instructional resource that can support improved teaching practices and learner achievement in similar educational contexts.</w:t>
      </w:r>
    </w:p>
    <w:p w14:paraId="48C3551B" w14:textId="77777777" w:rsidR="009B72F0" w:rsidRPr="009B72F0" w:rsidRDefault="009B72F0" w:rsidP="009B72F0">
      <w:pPr>
        <w:spacing w:line="240" w:lineRule="auto"/>
        <w:jc w:val="both"/>
        <w:rPr>
          <w:rFonts w:ascii="Times New Roman" w:hAnsi="Times New Roman" w:cs="Times New Roman"/>
          <w:sz w:val="24"/>
          <w:szCs w:val="24"/>
        </w:rPr>
      </w:pPr>
      <w:r w:rsidRPr="009B72F0">
        <w:rPr>
          <w:rFonts w:ascii="Times New Roman" w:hAnsi="Times New Roman" w:cs="Times New Roman"/>
          <w:sz w:val="24"/>
          <w:szCs w:val="24"/>
        </w:rPr>
        <w:t xml:space="preserve">The findings are supported by the study of John Hattie (2023), which emphasized that well-designed instructional materials and effective teaching resources significantly contribute to improved student achievement and learning outcomes. Similarly, the </w:t>
      </w:r>
      <w:proofErr w:type="spellStart"/>
      <w:r w:rsidRPr="009B72F0">
        <w:rPr>
          <w:rFonts w:ascii="Times New Roman" w:hAnsi="Times New Roman" w:cs="Times New Roman"/>
          <w:sz w:val="24"/>
          <w:szCs w:val="24"/>
        </w:rPr>
        <w:t>Organisation</w:t>
      </w:r>
      <w:proofErr w:type="spellEnd"/>
      <w:r w:rsidRPr="009B72F0">
        <w:rPr>
          <w:rFonts w:ascii="Times New Roman" w:hAnsi="Times New Roman" w:cs="Times New Roman"/>
          <w:sz w:val="24"/>
          <w:szCs w:val="24"/>
        </w:rPr>
        <w:t xml:space="preserve"> for Economic Co-operation and Development (2022) highlighted that structured and learner-centered instructional resources enhance academic performance by promoting engagement, comprehension, and active participation in the learning process. Collectively, these studies support the conclusion that the developed material was effective in improving learners’ Mathematical mastery and promoting more consistent learning outcomes.</w:t>
      </w:r>
    </w:p>
    <w:p w14:paraId="65C22186" w14:textId="155167EA" w:rsidR="00942295" w:rsidRPr="00942295" w:rsidRDefault="007B0697" w:rsidP="0094229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Part III. </w:t>
      </w:r>
      <w:r w:rsidR="00942295" w:rsidRPr="005B7F59">
        <w:rPr>
          <w:rFonts w:ascii="Arial" w:hAnsi="Arial" w:cs="Arial"/>
          <w:b/>
          <w:bCs/>
        </w:rPr>
        <w:t xml:space="preserve">Significant Difference between the Expert validation </w:t>
      </w:r>
    </w:p>
    <w:p w14:paraId="32EE9F90" w14:textId="67589009" w:rsidR="00942295" w:rsidRPr="005B7F59" w:rsidRDefault="00942295" w:rsidP="00942295">
      <w:pPr>
        <w:spacing w:line="240" w:lineRule="auto"/>
        <w:jc w:val="both"/>
        <w:rPr>
          <w:rFonts w:ascii="Arial" w:hAnsi="Arial" w:cs="Arial"/>
        </w:rPr>
      </w:pPr>
      <w:r w:rsidRPr="005B7F59">
        <w:rPr>
          <w:rFonts w:ascii="Arial" w:hAnsi="Arial" w:cs="Arial"/>
        </w:rPr>
        <w:t xml:space="preserve">The table </w:t>
      </w:r>
      <w:r>
        <w:rPr>
          <w:rFonts w:ascii="Arial" w:hAnsi="Arial" w:cs="Arial"/>
        </w:rPr>
        <w:t>3</w:t>
      </w:r>
      <w:r>
        <w:rPr>
          <w:rFonts w:ascii="Arial" w:hAnsi="Arial" w:cs="Arial"/>
        </w:rPr>
        <w:t xml:space="preserve"> </w:t>
      </w:r>
      <w:r w:rsidRPr="005B7F59">
        <w:rPr>
          <w:rFonts w:ascii="Arial" w:hAnsi="Arial" w:cs="Arial"/>
        </w:rPr>
        <w:t xml:space="preserve">show the test of significant differences on expert validation results among group of respondents in terms of format, content, and usefulness, </w:t>
      </w:r>
      <w:r>
        <w:rPr>
          <w:rFonts w:ascii="Arial" w:hAnsi="Arial" w:cs="Arial"/>
        </w:rPr>
        <w:t xml:space="preserve">on the </w:t>
      </w:r>
      <w:r w:rsidRPr="005B7F59">
        <w:rPr>
          <w:rFonts w:ascii="Arial" w:hAnsi="Arial" w:cs="Arial"/>
        </w:rPr>
        <w:t xml:space="preserve">developed learning kit. </w:t>
      </w:r>
    </w:p>
    <w:p w14:paraId="076C2CBC" w14:textId="77777777" w:rsidR="00942295" w:rsidRPr="00942295" w:rsidRDefault="00942295" w:rsidP="00942295">
      <w:pPr>
        <w:pStyle w:val="NoSpacing"/>
        <w:rPr>
          <w:rFonts w:ascii="Times New Roman" w:hAnsi="Times New Roman" w:cs="Times New Roman"/>
          <w:szCs w:val="24"/>
        </w:rPr>
      </w:pPr>
    </w:p>
    <w:p w14:paraId="5BFCDE78" w14:textId="0350E794" w:rsidR="00942295" w:rsidRPr="00942295" w:rsidRDefault="00942295" w:rsidP="00942295">
      <w:pPr>
        <w:pStyle w:val="NoSpacing"/>
        <w:rPr>
          <w:rFonts w:ascii="Times New Roman" w:hAnsi="Times New Roman" w:cs="Times New Roman"/>
          <w:szCs w:val="24"/>
        </w:rPr>
      </w:pPr>
      <w:r w:rsidRPr="00942295">
        <w:rPr>
          <w:rFonts w:ascii="Times New Roman" w:hAnsi="Times New Roman" w:cs="Times New Roman"/>
          <w:szCs w:val="24"/>
        </w:rPr>
        <w:t xml:space="preserve">Table </w:t>
      </w:r>
      <w:r>
        <w:rPr>
          <w:rFonts w:ascii="Times New Roman" w:hAnsi="Times New Roman" w:cs="Times New Roman"/>
          <w:szCs w:val="24"/>
        </w:rPr>
        <w:t>3</w:t>
      </w:r>
      <w:r w:rsidRPr="00942295">
        <w:rPr>
          <w:rFonts w:ascii="Times New Roman" w:hAnsi="Times New Roman" w:cs="Times New Roman"/>
          <w:szCs w:val="24"/>
        </w:rPr>
        <w:t xml:space="preserve">. </w:t>
      </w:r>
      <w:r w:rsidRPr="00942295">
        <w:rPr>
          <w:rFonts w:ascii="Times New Roman" w:hAnsi="Times New Roman" w:cs="Times New Roman"/>
          <w:bCs/>
          <w:szCs w:val="24"/>
        </w:rPr>
        <w:t>Significant difference on expert’s validation as perceived by the groups of respondents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0"/>
        <w:gridCol w:w="1011"/>
        <w:gridCol w:w="3227"/>
        <w:gridCol w:w="3004"/>
      </w:tblGrid>
      <w:tr w:rsidR="00942295" w:rsidRPr="00942295" w14:paraId="5EDE6424" w14:textId="77777777" w:rsidTr="002879C0">
        <w:tc>
          <w:tcPr>
            <w:tcW w:w="832" w:type="pct"/>
            <w:tcBorders>
              <w:top w:val="single" w:sz="4" w:space="0" w:color="auto"/>
              <w:bottom w:val="single" w:sz="4" w:space="0" w:color="auto"/>
            </w:tcBorders>
            <w:vAlign w:val="center"/>
          </w:tcPr>
          <w:p w14:paraId="0EEF87F3" w14:textId="77777777" w:rsidR="00942295" w:rsidRPr="00942295" w:rsidRDefault="00942295" w:rsidP="00942295">
            <w:pPr>
              <w:jc w:val="center"/>
              <w:rPr>
                <w:b/>
                <w:bCs/>
              </w:rPr>
            </w:pPr>
            <w:r w:rsidRPr="00942295">
              <w:rPr>
                <w:b/>
                <w:bCs/>
              </w:rPr>
              <w:t>Source of Variation</w:t>
            </w:r>
          </w:p>
        </w:tc>
        <w:tc>
          <w:tcPr>
            <w:tcW w:w="781" w:type="pct"/>
            <w:tcBorders>
              <w:top w:val="single" w:sz="4" w:space="0" w:color="auto"/>
              <w:bottom w:val="single" w:sz="4" w:space="0" w:color="auto"/>
            </w:tcBorders>
            <w:vAlign w:val="center"/>
          </w:tcPr>
          <w:p w14:paraId="163F2D67" w14:textId="77777777" w:rsidR="00942295" w:rsidRPr="00942295" w:rsidRDefault="00942295" w:rsidP="00942295">
            <w:pPr>
              <w:jc w:val="center"/>
              <w:rPr>
                <w:b/>
                <w:bCs/>
              </w:rPr>
            </w:pPr>
            <w:r w:rsidRPr="00942295">
              <w:rPr>
                <w:b/>
                <w:bCs/>
              </w:rPr>
              <w:t>Computed f</w:t>
            </w:r>
          </w:p>
        </w:tc>
        <w:tc>
          <w:tcPr>
            <w:tcW w:w="473" w:type="pct"/>
            <w:tcBorders>
              <w:top w:val="single" w:sz="4" w:space="0" w:color="auto"/>
              <w:bottom w:val="single" w:sz="4" w:space="0" w:color="auto"/>
            </w:tcBorders>
            <w:vAlign w:val="center"/>
          </w:tcPr>
          <w:p w14:paraId="10BD7DC5" w14:textId="77777777" w:rsidR="00942295" w:rsidRPr="00942295" w:rsidRDefault="00942295" w:rsidP="00942295">
            <w:pPr>
              <w:jc w:val="center"/>
              <w:rPr>
                <w:b/>
                <w:bCs/>
              </w:rPr>
            </w:pPr>
            <w:r w:rsidRPr="00942295">
              <w:rPr>
                <w:b/>
                <w:bCs/>
              </w:rPr>
              <w:t>p-value</w:t>
            </w:r>
          </w:p>
        </w:tc>
        <w:tc>
          <w:tcPr>
            <w:tcW w:w="1509" w:type="pct"/>
            <w:tcBorders>
              <w:top w:val="single" w:sz="4" w:space="0" w:color="auto"/>
              <w:bottom w:val="single" w:sz="4" w:space="0" w:color="auto"/>
            </w:tcBorders>
            <w:vAlign w:val="center"/>
          </w:tcPr>
          <w:p w14:paraId="508EAEA1" w14:textId="77777777" w:rsidR="00942295" w:rsidRPr="00942295" w:rsidRDefault="00942295" w:rsidP="00942295">
            <w:pPr>
              <w:jc w:val="center"/>
              <w:rPr>
                <w:b/>
                <w:bCs/>
              </w:rPr>
            </w:pPr>
            <w:r w:rsidRPr="00942295">
              <w:rPr>
                <w:b/>
                <w:bCs/>
              </w:rPr>
              <w:t>Decision</w:t>
            </w:r>
          </w:p>
        </w:tc>
        <w:tc>
          <w:tcPr>
            <w:tcW w:w="1406" w:type="pct"/>
            <w:tcBorders>
              <w:top w:val="single" w:sz="4" w:space="0" w:color="auto"/>
              <w:bottom w:val="single" w:sz="4" w:space="0" w:color="auto"/>
            </w:tcBorders>
            <w:vAlign w:val="center"/>
          </w:tcPr>
          <w:p w14:paraId="0CCE3BF2" w14:textId="77777777" w:rsidR="00942295" w:rsidRPr="00942295" w:rsidRDefault="00942295" w:rsidP="00942295">
            <w:pPr>
              <w:jc w:val="center"/>
              <w:rPr>
                <w:b/>
                <w:bCs/>
              </w:rPr>
            </w:pPr>
            <w:r w:rsidRPr="00942295">
              <w:rPr>
                <w:b/>
                <w:bCs/>
              </w:rPr>
              <w:t>Conclusion</w:t>
            </w:r>
          </w:p>
        </w:tc>
      </w:tr>
      <w:tr w:rsidR="00942295" w:rsidRPr="00942295" w14:paraId="74CE9728" w14:textId="77777777" w:rsidTr="002879C0">
        <w:tc>
          <w:tcPr>
            <w:tcW w:w="832" w:type="pct"/>
            <w:tcBorders>
              <w:top w:val="single" w:sz="4" w:space="0" w:color="auto"/>
            </w:tcBorders>
            <w:vAlign w:val="center"/>
          </w:tcPr>
          <w:p w14:paraId="14B49FE2" w14:textId="77777777" w:rsidR="00942295" w:rsidRPr="00942295" w:rsidRDefault="00942295" w:rsidP="00942295">
            <w:pPr>
              <w:jc w:val="center"/>
            </w:pPr>
            <w:r w:rsidRPr="00942295">
              <w:t>Format</w:t>
            </w:r>
          </w:p>
        </w:tc>
        <w:tc>
          <w:tcPr>
            <w:tcW w:w="781" w:type="pct"/>
            <w:tcBorders>
              <w:top w:val="single" w:sz="4" w:space="0" w:color="auto"/>
            </w:tcBorders>
            <w:vAlign w:val="center"/>
          </w:tcPr>
          <w:p w14:paraId="70665CAB" w14:textId="77777777" w:rsidR="00942295" w:rsidRPr="00942295" w:rsidRDefault="00942295" w:rsidP="00942295">
            <w:pPr>
              <w:jc w:val="center"/>
            </w:pPr>
            <w:r w:rsidRPr="00942295">
              <w:t>1.79</w:t>
            </w:r>
          </w:p>
        </w:tc>
        <w:tc>
          <w:tcPr>
            <w:tcW w:w="473" w:type="pct"/>
            <w:tcBorders>
              <w:top w:val="single" w:sz="4" w:space="0" w:color="auto"/>
            </w:tcBorders>
            <w:vAlign w:val="center"/>
          </w:tcPr>
          <w:p w14:paraId="21FDF579" w14:textId="77777777" w:rsidR="00942295" w:rsidRPr="00942295" w:rsidRDefault="00942295" w:rsidP="00942295">
            <w:pPr>
              <w:jc w:val="center"/>
            </w:pPr>
            <w:r w:rsidRPr="00942295">
              <w:t>0.179</w:t>
            </w:r>
          </w:p>
        </w:tc>
        <w:tc>
          <w:tcPr>
            <w:tcW w:w="1509" w:type="pct"/>
            <w:tcBorders>
              <w:top w:val="single" w:sz="4" w:space="0" w:color="auto"/>
            </w:tcBorders>
            <w:vAlign w:val="center"/>
          </w:tcPr>
          <w:p w14:paraId="26BEE56C" w14:textId="77777777" w:rsidR="00942295" w:rsidRPr="00942295" w:rsidRDefault="00942295" w:rsidP="00942295">
            <w:pPr>
              <w:jc w:val="center"/>
            </w:pPr>
            <w:r w:rsidRPr="00942295">
              <w:t>Failed to reject Ho</w:t>
            </w:r>
          </w:p>
        </w:tc>
        <w:tc>
          <w:tcPr>
            <w:tcW w:w="1406" w:type="pct"/>
            <w:tcBorders>
              <w:top w:val="single" w:sz="4" w:space="0" w:color="auto"/>
            </w:tcBorders>
            <w:vAlign w:val="center"/>
          </w:tcPr>
          <w:p w14:paraId="04741823" w14:textId="77777777" w:rsidR="00942295" w:rsidRPr="00942295" w:rsidRDefault="00942295" w:rsidP="00942295">
            <w:pPr>
              <w:jc w:val="center"/>
            </w:pPr>
            <w:r w:rsidRPr="00942295">
              <w:t>Not Significant</w:t>
            </w:r>
          </w:p>
        </w:tc>
      </w:tr>
      <w:tr w:rsidR="00942295" w:rsidRPr="00942295" w14:paraId="5727CFCC" w14:textId="77777777" w:rsidTr="002879C0">
        <w:tc>
          <w:tcPr>
            <w:tcW w:w="832" w:type="pct"/>
            <w:vAlign w:val="center"/>
          </w:tcPr>
          <w:p w14:paraId="3489CC53" w14:textId="77777777" w:rsidR="00942295" w:rsidRPr="00942295" w:rsidRDefault="00942295" w:rsidP="00942295">
            <w:pPr>
              <w:jc w:val="center"/>
            </w:pPr>
            <w:r w:rsidRPr="00942295">
              <w:t>Content</w:t>
            </w:r>
          </w:p>
        </w:tc>
        <w:tc>
          <w:tcPr>
            <w:tcW w:w="781" w:type="pct"/>
            <w:vAlign w:val="center"/>
          </w:tcPr>
          <w:p w14:paraId="25704A1F" w14:textId="77777777" w:rsidR="00942295" w:rsidRPr="00942295" w:rsidRDefault="00942295" w:rsidP="00942295">
            <w:pPr>
              <w:jc w:val="center"/>
            </w:pPr>
            <w:r w:rsidRPr="00942295">
              <w:t>2.43</w:t>
            </w:r>
          </w:p>
        </w:tc>
        <w:tc>
          <w:tcPr>
            <w:tcW w:w="473" w:type="pct"/>
            <w:vAlign w:val="center"/>
          </w:tcPr>
          <w:p w14:paraId="5FD8430E" w14:textId="77777777" w:rsidR="00942295" w:rsidRPr="00942295" w:rsidRDefault="00942295" w:rsidP="00942295">
            <w:pPr>
              <w:jc w:val="center"/>
            </w:pPr>
            <w:r w:rsidRPr="00942295">
              <w:t>0.099</w:t>
            </w:r>
          </w:p>
        </w:tc>
        <w:tc>
          <w:tcPr>
            <w:tcW w:w="1509" w:type="pct"/>
            <w:vAlign w:val="center"/>
          </w:tcPr>
          <w:p w14:paraId="069147FB" w14:textId="77777777" w:rsidR="00942295" w:rsidRPr="00942295" w:rsidRDefault="00942295" w:rsidP="00942295">
            <w:pPr>
              <w:jc w:val="center"/>
            </w:pPr>
            <w:r w:rsidRPr="00942295">
              <w:t>Failed to reject Ho</w:t>
            </w:r>
          </w:p>
        </w:tc>
        <w:tc>
          <w:tcPr>
            <w:tcW w:w="1406" w:type="pct"/>
            <w:vAlign w:val="center"/>
          </w:tcPr>
          <w:p w14:paraId="0E831E23" w14:textId="77777777" w:rsidR="00942295" w:rsidRPr="00942295" w:rsidRDefault="00942295" w:rsidP="00942295">
            <w:pPr>
              <w:jc w:val="center"/>
            </w:pPr>
            <w:r w:rsidRPr="00942295">
              <w:t>Not Significant</w:t>
            </w:r>
          </w:p>
        </w:tc>
      </w:tr>
      <w:tr w:rsidR="00942295" w:rsidRPr="00942295" w14:paraId="12BFE3BC" w14:textId="77777777" w:rsidTr="002879C0">
        <w:tc>
          <w:tcPr>
            <w:tcW w:w="832" w:type="pct"/>
            <w:vAlign w:val="center"/>
          </w:tcPr>
          <w:p w14:paraId="2D5BAFF5" w14:textId="77777777" w:rsidR="00942295" w:rsidRPr="00942295" w:rsidRDefault="00942295" w:rsidP="00942295">
            <w:pPr>
              <w:jc w:val="center"/>
            </w:pPr>
            <w:r w:rsidRPr="00942295">
              <w:t>Clarity</w:t>
            </w:r>
          </w:p>
        </w:tc>
        <w:tc>
          <w:tcPr>
            <w:tcW w:w="781" w:type="pct"/>
            <w:vAlign w:val="center"/>
          </w:tcPr>
          <w:p w14:paraId="317A2498" w14:textId="77777777" w:rsidR="00942295" w:rsidRPr="00942295" w:rsidRDefault="00942295" w:rsidP="00942295">
            <w:pPr>
              <w:jc w:val="center"/>
            </w:pPr>
            <w:r w:rsidRPr="00942295">
              <w:t>5.16</w:t>
            </w:r>
          </w:p>
        </w:tc>
        <w:tc>
          <w:tcPr>
            <w:tcW w:w="473" w:type="pct"/>
            <w:vAlign w:val="center"/>
          </w:tcPr>
          <w:p w14:paraId="35DAA5D9" w14:textId="77777777" w:rsidR="00942295" w:rsidRPr="00942295" w:rsidRDefault="00942295" w:rsidP="00942295">
            <w:pPr>
              <w:jc w:val="center"/>
            </w:pPr>
            <w:r w:rsidRPr="00942295">
              <w:t>0.009</w:t>
            </w:r>
          </w:p>
        </w:tc>
        <w:tc>
          <w:tcPr>
            <w:tcW w:w="1509" w:type="pct"/>
            <w:vAlign w:val="center"/>
          </w:tcPr>
          <w:p w14:paraId="20194C60" w14:textId="77777777" w:rsidR="00942295" w:rsidRPr="00942295" w:rsidRDefault="00942295" w:rsidP="00942295">
            <w:pPr>
              <w:jc w:val="center"/>
            </w:pPr>
            <w:r w:rsidRPr="00942295">
              <w:t>Reject Ho</w:t>
            </w:r>
          </w:p>
        </w:tc>
        <w:tc>
          <w:tcPr>
            <w:tcW w:w="1406" w:type="pct"/>
            <w:vAlign w:val="center"/>
          </w:tcPr>
          <w:p w14:paraId="0593D0DA" w14:textId="77777777" w:rsidR="00942295" w:rsidRPr="00942295" w:rsidRDefault="00942295" w:rsidP="00942295">
            <w:pPr>
              <w:jc w:val="center"/>
            </w:pPr>
            <w:r w:rsidRPr="00942295">
              <w:t>Significant</w:t>
            </w:r>
          </w:p>
        </w:tc>
      </w:tr>
      <w:tr w:rsidR="00942295" w:rsidRPr="00942295" w14:paraId="5003807E" w14:textId="77777777" w:rsidTr="002879C0">
        <w:tc>
          <w:tcPr>
            <w:tcW w:w="832" w:type="pct"/>
            <w:tcBorders>
              <w:bottom w:val="single" w:sz="4" w:space="0" w:color="auto"/>
            </w:tcBorders>
            <w:vAlign w:val="center"/>
          </w:tcPr>
          <w:p w14:paraId="66906109" w14:textId="77777777" w:rsidR="00942295" w:rsidRPr="00942295" w:rsidRDefault="00942295" w:rsidP="00942295">
            <w:pPr>
              <w:jc w:val="center"/>
            </w:pPr>
            <w:r w:rsidRPr="00942295">
              <w:t>Usefulness</w:t>
            </w:r>
          </w:p>
        </w:tc>
        <w:tc>
          <w:tcPr>
            <w:tcW w:w="781" w:type="pct"/>
            <w:tcBorders>
              <w:bottom w:val="single" w:sz="4" w:space="0" w:color="auto"/>
            </w:tcBorders>
            <w:vAlign w:val="center"/>
          </w:tcPr>
          <w:p w14:paraId="4BE789E2" w14:textId="77777777" w:rsidR="00942295" w:rsidRPr="00942295" w:rsidRDefault="00942295" w:rsidP="00942295">
            <w:pPr>
              <w:jc w:val="center"/>
            </w:pPr>
            <w:r w:rsidRPr="00942295">
              <w:t>0.02</w:t>
            </w:r>
          </w:p>
        </w:tc>
        <w:tc>
          <w:tcPr>
            <w:tcW w:w="473" w:type="pct"/>
            <w:tcBorders>
              <w:bottom w:val="single" w:sz="4" w:space="0" w:color="auto"/>
            </w:tcBorders>
            <w:vAlign w:val="center"/>
          </w:tcPr>
          <w:p w14:paraId="0CA1875C" w14:textId="77777777" w:rsidR="00942295" w:rsidRPr="00942295" w:rsidRDefault="00942295" w:rsidP="00942295">
            <w:pPr>
              <w:jc w:val="center"/>
            </w:pPr>
            <w:r w:rsidRPr="00942295">
              <w:t>0.976</w:t>
            </w:r>
          </w:p>
        </w:tc>
        <w:tc>
          <w:tcPr>
            <w:tcW w:w="1509" w:type="pct"/>
            <w:tcBorders>
              <w:bottom w:val="single" w:sz="4" w:space="0" w:color="auto"/>
            </w:tcBorders>
            <w:vAlign w:val="center"/>
          </w:tcPr>
          <w:p w14:paraId="2BD2893F" w14:textId="77777777" w:rsidR="00942295" w:rsidRPr="00942295" w:rsidRDefault="00942295" w:rsidP="00942295">
            <w:pPr>
              <w:jc w:val="center"/>
            </w:pPr>
            <w:r w:rsidRPr="00942295">
              <w:t>Failed to reject Ho</w:t>
            </w:r>
          </w:p>
        </w:tc>
        <w:tc>
          <w:tcPr>
            <w:tcW w:w="1406" w:type="pct"/>
            <w:tcBorders>
              <w:bottom w:val="single" w:sz="4" w:space="0" w:color="auto"/>
            </w:tcBorders>
            <w:vAlign w:val="center"/>
          </w:tcPr>
          <w:p w14:paraId="46E811E6" w14:textId="77777777" w:rsidR="00942295" w:rsidRPr="00942295" w:rsidRDefault="00942295" w:rsidP="00942295">
            <w:pPr>
              <w:jc w:val="center"/>
            </w:pPr>
            <w:r w:rsidRPr="00942295">
              <w:t>Not Significant</w:t>
            </w:r>
          </w:p>
        </w:tc>
      </w:tr>
    </w:tbl>
    <w:p w14:paraId="316536BE" w14:textId="77777777" w:rsidR="00942295" w:rsidRPr="00942295" w:rsidRDefault="00942295" w:rsidP="00942295">
      <w:pPr>
        <w:spacing w:line="240" w:lineRule="auto"/>
        <w:rPr>
          <w:rFonts w:ascii="Times New Roman" w:hAnsi="Times New Roman" w:cs="Times New Roman"/>
        </w:rPr>
      </w:pPr>
    </w:p>
    <w:p w14:paraId="12F1F01E" w14:textId="77777777" w:rsidR="00942295" w:rsidRPr="00227F92" w:rsidRDefault="00942295" w:rsidP="009D74B6">
      <w:pPr>
        <w:pStyle w:val="NoSpacing"/>
        <w:jc w:val="both"/>
        <w:rPr>
          <w:rFonts w:ascii="Times New Roman" w:hAnsi="Times New Roman" w:cs="Times New Roman"/>
          <w:b w:val="0"/>
          <w:bCs/>
          <w:szCs w:val="24"/>
        </w:rPr>
      </w:pPr>
      <w:r w:rsidRPr="00227F92">
        <w:rPr>
          <w:rFonts w:ascii="Times New Roman" w:hAnsi="Times New Roman" w:cs="Times New Roman"/>
          <w:b w:val="0"/>
          <w:bCs/>
          <w:szCs w:val="24"/>
        </w:rPr>
        <w:t xml:space="preserve">The findings from the expert validation, field try-out, and test of significant differences revealed that the developed instructional material possesses strong validity and effectiveness. The results showed no significant </w:t>
      </w:r>
      <w:r w:rsidRPr="00227F92">
        <w:rPr>
          <w:rFonts w:ascii="Times New Roman" w:hAnsi="Times New Roman" w:cs="Times New Roman"/>
          <w:b w:val="0"/>
          <w:bCs/>
          <w:szCs w:val="24"/>
        </w:rPr>
        <w:lastRenderedPageBreak/>
        <w:t>differences among experts, teachers, and students in terms of format, content, and usefulness, indicating that the three groups shared consistent perceptions regarding the quality and applicability of the material. This suggests that the instructional material was generally viewed as well-structured, appropriate to the intended learning competencies, and useful for instructional implementation. However, a statistically significant difference was observed in the area of clarity, implying that although all groups evaluated the material positively, their interpretations and perceptions regarding the clarity of presentation differed significantly.</w:t>
      </w:r>
    </w:p>
    <w:p w14:paraId="0B2FC57A" w14:textId="77777777" w:rsidR="009D74B6" w:rsidRDefault="009D74B6" w:rsidP="009D74B6">
      <w:pPr>
        <w:pStyle w:val="NoSpacing"/>
        <w:jc w:val="both"/>
        <w:rPr>
          <w:rFonts w:ascii="Times New Roman" w:hAnsi="Times New Roman" w:cs="Times New Roman"/>
          <w:b w:val="0"/>
          <w:bCs/>
          <w:szCs w:val="24"/>
        </w:rPr>
      </w:pPr>
    </w:p>
    <w:p w14:paraId="66956140" w14:textId="419BA5AD" w:rsidR="00942295" w:rsidRPr="00227F92" w:rsidRDefault="00942295" w:rsidP="009D74B6">
      <w:pPr>
        <w:pStyle w:val="NoSpacing"/>
        <w:jc w:val="both"/>
        <w:rPr>
          <w:rFonts w:ascii="Times New Roman" w:hAnsi="Times New Roman" w:cs="Times New Roman"/>
          <w:b w:val="0"/>
          <w:bCs/>
          <w:szCs w:val="24"/>
        </w:rPr>
      </w:pPr>
      <w:r w:rsidRPr="00227F92">
        <w:rPr>
          <w:rFonts w:ascii="Times New Roman" w:hAnsi="Times New Roman" w:cs="Times New Roman"/>
          <w:b w:val="0"/>
          <w:bCs/>
          <w:szCs w:val="24"/>
        </w:rPr>
        <w:t>The absence of significant differences in format, content, and usefulness implies that the developed material achieved a high level of acceptability across different evaluators. This consistency among experts, teachers, and students may be attributed to the material’s alignment with curriculum standards, learner needs, and instructional objectives. It further indicates that the material was able to satisfy both technical and practical expectations for educational use. On the other hand, the significant difference in clarity may imply that the respondent groups varied in their expectations, experiences, or levels of understanding regarding how information should be presented. Experts may have evaluated clarity from a technical or academic perspective, while teachers and students may have focused more on ease of comprehension and usability during instruction. This finding highlights the need for further refinement in the presentation of instructions, language, or explanatory components to ensure that the material is interpreted uniformly across all users. Despite this variation, the consistently positive evaluations suggest that the issue is minimal and does not diminish the overall effectiveness and acceptability of the material.</w:t>
      </w:r>
    </w:p>
    <w:p w14:paraId="17D4D1F2" w14:textId="77777777" w:rsidR="009D74B6" w:rsidRDefault="009D74B6" w:rsidP="009D74B6">
      <w:pPr>
        <w:pStyle w:val="NoSpacing"/>
        <w:jc w:val="both"/>
        <w:rPr>
          <w:rFonts w:ascii="Times New Roman" w:hAnsi="Times New Roman" w:cs="Times New Roman"/>
          <w:b w:val="0"/>
          <w:bCs/>
          <w:szCs w:val="24"/>
        </w:rPr>
      </w:pPr>
    </w:p>
    <w:p w14:paraId="0BC0B07E" w14:textId="42B794D0" w:rsidR="00942295" w:rsidRDefault="00942295" w:rsidP="009D74B6">
      <w:pPr>
        <w:pStyle w:val="NoSpacing"/>
        <w:jc w:val="both"/>
        <w:rPr>
          <w:rFonts w:ascii="Times New Roman" w:hAnsi="Times New Roman" w:cs="Times New Roman"/>
          <w:b w:val="0"/>
          <w:bCs/>
          <w:szCs w:val="24"/>
        </w:rPr>
      </w:pPr>
      <w:r w:rsidRPr="00227F92">
        <w:rPr>
          <w:rFonts w:ascii="Times New Roman" w:hAnsi="Times New Roman" w:cs="Times New Roman"/>
          <w:b w:val="0"/>
          <w:bCs/>
          <w:szCs w:val="24"/>
        </w:rPr>
        <w:t>The findings are supported by the work of John Hattie, who emphasized that instructional materials become more effective when they are aligned with learner needs, instructional goals, and clear presentation strategies. Similarly, Richard Mayer explained that clarity in instructional presentation is essential because learners process information more effectively when materials are organized, concise, and cognitively manageable. The variation in clarity ratings may therefore reflect differences in how respondent groups process and interpret instructional information. In addition, the study of Taber (2023) supports the importance of clarity and coherence in instructional resources, noting that materials with clear organization and presentation are more likely to promote learner comprehension and engagement. Collectively, these theories and studies strengthen the conclusion that the developed instructional material is valid, effective, and suitable for educational implementation, while also identifying clarity as an aspect that may still benefit from enhancement.</w:t>
      </w:r>
    </w:p>
    <w:p w14:paraId="69847C81" w14:textId="77777777" w:rsidR="00B04130" w:rsidRDefault="00B04130" w:rsidP="009D74B6">
      <w:pPr>
        <w:pStyle w:val="NoSpacing"/>
        <w:jc w:val="both"/>
        <w:rPr>
          <w:rFonts w:ascii="Times New Roman" w:hAnsi="Times New Roman" w:cs="Times New Roman"/>
          <w:b w:val="0"/>
          <w:bCs/>
          <w:szCs w:val="24"/>
        </w:rPr>
      </w:pPr>
    </w:p>
    <w:p w14:paraId="73B88250" w14:textId="77777777" w:rsidR="00DF5697" w:rsidRPr="00DF5697" w:rsidRDefault="00ED711C" w:rsidP="00DF5697">
      <w:pPr>
        <w:pStyle w:val="NoSpacing"/>
        <w:jc w:val="left"/>
        <w:rPr>
          <w:rFonts w:ascii="Times New Roman" w:hAnsi="Times New Roman" w:cs="Times New Roman"/>
          <w:szCs w:val="24"/>
        </w:rPr>
      </w:pPr>
      <w:r w:rsidRPr="00DF5697">
        <w:rPr>
          <w:rFonts w:ascii="Times New Roman" w:hAnsi="Times New Roman" w:cs="Times New Roman"/>
          <w:szCs w:val="24"/>
        </w:rPr>
        <w:t xml:space="preserve">PART IV. </w:t>
      </w:r>
      <w:r w:rsidR="00DF5697" w:rsidRPr="00DF5697">
        <w:rPr>
          <w:rFonts w:ascii="Times New Roman" w:hAnsi="Times New Roman" w:cs="Times New Roman"/>
          <w:szCs w:val="24"/>
        </w:rPr>
        <w:t>Significant difference on field try-out in Pre-test and Post-test</w:t>
      </w:r>
    </w:p>
    <w:p w14:paraId="086C23CA" w14:textId="77777777" w:rsidR="00DF5697" w:rsidRPr="00DF5697" w:rsidRDefault="00DF5697" w:rsidP="00DF5697">
      <w:pPr>
        <w:pStyle w:val="NoSpacing"/>
        <w:rPr>
          <w:rFonts w:ascii="Times New Roman" w:hAnsi="Times New Roman" w:cs="Times New Roman"/>
          <w:b w:val="0"/>
          <w:bCs/>
          <w:szCs w:val="24"/>
        </w:rPr>
      </w:pPr>
    </w:p>
    <w:p w14:paraId="67D47990" w14:textId="3995F8CF" w:rsidR="00DF5697" w:rsidRPr="00DF5697" w:rsidRDefault="00DF5697" w:rsidP="00DC46F4">
      <w:pPr>
        <w:spacing w:line="240" w:lineRule="auto"/>
        <w:jc w:val="both"/>
        <w:rPr>
          <w:rFonts w:ascii="Times New Roman" w:hAnsi="Times New Roman" w:cs="Times New Roman"/>
          <w:sz w:val="24"/>
          <w:szCs w:val="24"/>
        </w:rPr>
      </w:pPr>
      <w:r w:rsidRPr="00DF5697">
        <w:rPr>
          <w:rFonts w:ascii="Times New Roman" w:hAnsi="Times New Roman" w:cs="Times New Roman"/>
          <w:sz w:val="24"/>
          <w:szCs w:val="24"/>
        </w:rPr>
        <w:t xml:space="preserve">The table </w:t>
      </w:r>
      <w:r>
        <w:rPr>
          <w:rFonts w:ascii="Times New Roman" w:hAnsi="Times New Roman" w:cs="Times New Roman"/>
          <w:sz w:val="24"/>
          <w:szCs w:val="24"/>
        </w:rPr>
        <w:t>4</w:t>
      </w:r>
      <w:r w:rsidRPr="00DF5697">
        <w:rPr>
          <w:rFonts w:ascii="Times New Roman" w:hAnsi="Times New Roman" w:cs="Times New Roman"/>
          <w:sz w:val="24"/>
          <w:szCs w:val="24"/>
        </w:rPr>
        <w:t xml:space="preserve"> show the test of significant differences on field try-out results in both pretest and post-test before and after using the developed learning kit. </w:t>
      </w:r>
    </w:p>
    <w:p w14:paraId="5D486519" w14:textId="55B7641D" w:rsidR="00DF5697" w:rsidRDefault="00DF5697" w:rsidP="00DF5697">
      <w:pPr>
        <w:pStyle w:val="NoSpacing"/>
        <w:rPr>
          <w:rFonts w:ascii="Times New Roman" w:hAnsi="Times New Roman" w:cs="Times New Roman"/>
          <w:bCs/>
          <w:szCs w:val="24"/>
        </w:rPr>
      </w:pPr>
      <w:r w:rsidRPr="00DF5697">
        <w:rPr>
          <w:rFonts w:ascii="Times New Roman" w:hAnsi="Times New Roman" w:cs="Times New Roman"/>
          <w:szCs w:val="24"/>
        </w:rPr>
        <w:t xml:space="preserve">Table </w:t>
      </w:r>
      <w:r w:rsidR="000B4C63">
        <w:rPr>
          <w:rFonts w:ascii="Times New Roman" w:hAnsi="Times New Roman" w:cs="Times New Roman"/>
          <w:szCs w:val="24"/>
        </w:rPr>
        <w:t>4</w:t>
      </w:r>
      <w:r w:rsidRPr="00DF5697">
        <w:rPr>
          <w:rFonts w:ascii="Times New Roman" w:hAnsi="Times New Roman" w:cs="Times New Roman"/>
          <w:szCs w:val="24"/>
        </w:rPr>
        <w:t xml:space="preserve">. </w:t>
      </w:r>
      <w:r w:rsidRPr="00DF5697">
        <w:rPr>
          <w:rFonts w:ascii="Times New Roman" w:hAnsi="Times New Roman" w:cs="Times New Roman"/>
          <w:bCs/>
          <w:szCs w:val="24"/>
        </w:rPr>
        <w:t>Significant difference on field try-out as perceived by the groups of respondents</w:t>
      </w:r>
    </w:p>
    <w:p w14:paraId="2C46F79C" w14:textId="77777777" w:rsidR="00DC46F4" w:rsidRPr="00DF5697" w:rsidRDefault="00DC46F4" w:rsidP="00DF5697">
      <w:pPr>
        <w:pStyle w:val="NoSpacing"/>
        <w:rPr>
          <w:rFonts w:ascii="Times New Roman" w:hAnsi="Times New Roman" w:cs="Times New Roman"/>
          <w:szCs w:val="24"/>
        </w:rPr>
      </w:pPr>
    </w:p>
    <w:tbl>
      <w:tblPr>
        <w:tblStyle w:val="TableGrid"/>
        <w:tblW w:w="0" w:type="auto"/>
        <w:tblInd w:w="5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1488"/>
        <w:gridCol w:w="1098"/>
        <w:gridCol w:w="1666"/>
        <w:gridCol w:w="1931"/>
      </w:tblGrid>
      <w:tr w:rsidR="00DF5697" w:rsidRPr="00DF5697" w14:paraId="0C5FBEDB" w14:textId="77777777" w:rsidTr="00DC46F4">
        <w:tc>
          <w:tcPr>
            <w:tcW w:w="2457" w:type="dxa"/>
            <w:tcBorders>
              <w:top w:val="single" w:sz="4" w:space="0" w:color="auto"/>
              <w:bottom w:val="single" w:sz="4" w:space="0" w:color="auto"/>
            </w:tcBorders>
            <w:vAlign w:val="center"/>
          </w:tcPr>
          <w:p w14:paraId="3D5B5D7A" w14:textId="77777777" w:rsidR="00DF5697" w:rsidRPr="00DF5697" w:rsidRDefault="00DF5697" w:rsidP="00DF5697">
            <w:pPr>
              <w:jc w:val="center"/>
              <w:rPr>
                <w:b/>
                <w:bCs/>
                <w:sz w:val="24"/>
                <w:szCs w:val="24"/>
              </w:rPr>
            </w:pPr>
            <w:r w:rsidRPr="00DF5697">
              <w:rPr>
                <w:b/>
                <w:bCs/>
                <w:sz w:val="24"/>
                <w:szCs w:val="24"/>
              </w:rPr>
              <w:t>Source of Variation</w:t>
            </w:r>
          </w:p>
        </w:tc>
        <w:tc>
          <w:tcPr>
            <w:tcW w:w="1488" w:type="dxa"/>
            <w:tcBorders>
              <w:top w:val="single" w:sz="4" w:space="0" w:color="auto"/>
              <w:bottom w:val="single" w:sz="4" w:space="0" w:color="auto"/>
            </w:tcBorders>
            <w:vAlign w:val="center"/>
          </w:tcPr>
          <w:p w14:paraId="751DF2A6" w14:textId="77777777" w:rsidR="00DF5697" w:rsidRPr="00DF5697" w:rsidRDefault="00DF5697" w:rsidP="00DF5697">
            <w:pPr>
              <w:jc w:val="center"/>
              <w:rPr>
                <w:b/>
                <w:bCs/>
                <w:sz w:val="24"/>
                <w:szCs w:val="24"/>
              </w:rPr>
            </w:pPr>
            <w:r w:rsidRPr="00DF5697">
              <w:rPr>
                <w:b/>
                <w:bCs/>
                <w:sz w:val="24"/>
                <w:szCs w:val="24"/>
              </w:rPr>
              <w:t>Computed t</w:t>
            </w:r>
          </w:p>
        </w:tc>
        <w:tc>
          <w:tcPr>
            <w:tcW w:w="1098" w:type="dxa"/>
            <w:tcBorders>
              <w:top w:val="single" w:sz="4" w:space="0" w:color="auto"/>
              <w:bottom w:val="single" w:sz="4" w:space="0" w:color="auto"/>
            </w:tcBorders>
            <w:vAlign w:val="center"/>
          </w:tcPr>
          <w:p w14:paraId="18F2C8A3" w14:textId="77777777" w:rsidR="00DF5697" w:rsidRPr="00DF5697" w:rsidRDefault="00DF5697" w:rsidP="00DF5697">
            <w:pPr>
              <w:jc w:val="center"/>
              <w:rPr>
                <w:b/>
                <w:bCs/>
                <w:sz w:val="24"/>
                <w:szCs w:val="24"/>
              </w:rPr>
            </w:pPr>
            <w:r w:rsidRPr="00DF5697">
              <w:rPr>
                <w:b/>
                <w:bCs/>
                <w:sz w:val="24"/>
                <w:szCs w:val="24"/>
              </w:rPr>
              <w:t>p-value</w:t>
            </w:r>
          </w:p>
        </w:tc>
        <w:tc>
          <w:tcPr>
            <w:tcW w:w="1666" w:type="dxa"/>
            <w:tcBorders>
              <w:top w:val="single" w:sz="4" w:space="0" w:color="auto"/>
              <w:bottom w:val="single" w:sz="4" w:space="0" w:color="auto"/>
            </w:tcBorders>
            <w:vAlign w:val="center"/>
          </w:tcPr>
          <w:p w14:paraId="3507D248" w14:textId="77777777" w:rsidR="00DF5697" w:rsidRPr="00DF5697" w:rsidRDefault="00DF5697" w:rsidP="00DF5697">
            <w:pPr>
              <w:jc w:val="center"/>
              <w:rPr>
                <w:b/>
                <w:bCs/>
                <w:sz w:val="24"/>
                <w:szCs w:val="24"/>
              </w:rPr>
            </w:pPr>
            <w:r w:rsidRPr="00DF5697">
              <w:rPr>
                <w:b/>
                <w:bCs/>
                <w:sz w:val="24"/>
                <w:szCs w:val="24"/>
              </w:rPr>
              <w:t>Decision</w:t>
            </w:r>
          </w:p>
        </w:tc>
        <w:tc>
          <w:tcPr>
            <w:tcW w:w="1931" w:type="dxa"/>
            <w:tcBorders>
              <w:top w:val="single" w:sz="4" w:space="0" w:color="auto"/>
              <w:bottom w:val="single" w:sz="4" w:space="0" w:color="auto"/>
            </w:tcBorders>
            <w:vAlign w:val="center"/>
          </w:tcPr>
          <w:p w14:paraId="081AEF6C" w14:textId="77777777" w:rsidR="00DF5697" w:rsidRPr="00DF5697" w:rsidRDefault="00DF5697" w:rsidP="00DF5697">
            <w:pPr>
              <w:jc w:val="center"/>
              <w:rPr>
                <w:b/>
                <w:bCs/>
                <w:sz w:val="24"/>
                <w:szCs w:val="24"/>
              </w:rPr>
            </w:pPr>
            <w:r w:rsidRPr="00DF5697">
              <w:rPr>
                <w:b/>
                <w:bCs/>
                <w:sz w:val="24"/>
                <w:szCs w:val="24"/>
              </w:rPr>
              <w:t>Conclusion</w:t>
            </w:r>
          </w:p>
        </w:tc>
      </w:tr>
      <w:tr w:rsidR="00DF5697" w:rsidRPr="00DF5697" w14:paraId="3C4139DD" w14:textId="77777777" w:rsidTr="00DC46F4">
        <w:tc>
          <w:tcPr>
            <w:tcW w:w="2457" w:type="dxa"/>
            <w:tcBorders>
              <w:top w:val="single" w:sz="4" w:space="0" w:color="auto"/>
            </w:tcBorders>
            <w:vAlign w:val="center"/>
          </w:tcPr>
          <w:p w14:paraId="50298903" w14:textId="77777777" w:rsidR="00DF5697" w:rsidRPr="00DF5697" w:rsidRDefault="00DF5697" w:rsidP="00DF5697">
            <w:pPr>
              <w:jc w:val="center"/>
              <w:rPr>
                <w:sz w:val="24"/>
                <w:szCs w:val="24"/>
              </w:rPr>
            </w:pPr>
            <w:r w:rsidRPr="00DF5697">
              <w:rPr>
                <w:sz w:val="24"/>
                <w:szCs w:val="24"/>
              </w:rPr>
              <w:t>Pre-test and Post-test Scores</w:t>
            </w:r>
          </w:p>
        </w:tc>
        <w:tc>
          <w:tcPr>
            <w:tcW w:w="1488" w:type="dxa"/>
            <w:tcBorders>
              <w:top w:val="single" w:sz="4" w:space="0" w:color="auto"/>
            </w:tcBorders>
            <w:vAlign w:val="center"/>
          </w:tcPr>
          <w:p w14:paraId="647A0D6E" w14:textId="77777777" w:rsidR="00DF5697" w:rsidRPr="00DF5697" w:rsidRDefault="00DF5697" w:rsidP="00DF5697">
            <w:pPr>
              <w:jc w:val="center"/>
              <w:rPr>
                <w:sz w:val="24"/>
                <w:szCs w:val="24"/>
              </w:rPr>
            </w:pPr>
            <w:r w:rsidRPr="00DF5697">
              <w:rPr>
                <w:sz w:val="24"/>
                <w:szCs w:val="24"/>
              </w:rPr>
              <w:t>11.92</w:t>
            </w:r>
          </w:p>
        </w:tc>
        <w:tc>
          <w:tcPr>
            <w:tcW w:w="1098" w:type="dxa"/>
            <w:tcBorders>
              <w:top w:val="single" w:sz="4" w:space="0" w:color="auto"/>
            </w:tcBorders>
            <w:vAlign w:val="center"/>
          </w:tcPr>
          <w:p w14:paraId="396230E5" w14:textId="77777777" w:rsidR="00DF5697" w:rsidRPr="00DF5697" w:rsidRDefault="00DF5697" w:rsidP="00DF5697">
            <w:pPr>
              <w:jc w:val="center"/>
              <w:rPr>
                <w:sz w:val="24"/>
                <w:szCs w:val="24"/>
              </w:rPr>
            </w:pPr>
            <w:r w:rsidRPr="00DF5697">
              <w:rPr>
                <w:sz w:val="24"/>
                <w:szCs w:val="24"/>
              </w:rPr>
              <w:t>0.000</w:t>
            </w:r>
          </w:p>
        </w:tc>
        <w:tc>
          <w:tcPr>
            <w:tcW w:w="1666" w:type="dxa"/>
            <w:tcBorders>
              <w:top w:val="single" w:sz="4" w:space="0" w:color="auto"/>
            </w:tcBorders>
            <w:vAlign w:val="center"/>
          </w:tcPr>
          <w:p w14:paraId="06FA854E" w14:textId="77777777" w:rsidR="00DF5697" w:rsidRPr="00DF5697" w:rsidRDefault="00DF5697" w:rsidP="00DF5697">
            <w:pPr>
              <w:jc w:val="center"/>
              <w:rPr>
                <w:sz w:val="24"/>
                <w:szCs w:val="24"/>
              </w:rPr>
            </w:pPr>
            <w:r w:rsidRPr="00DF5697">
              <w:rPr>
                <w:sz w:val="24"/>
                <w:szCs w:val="24"/>
              </w:rPr>
              <w:t>Reject Ho</w:t>
            </w:r>
          </w:p>
        </w:tc>
        <w:tc>
          <w:tcPr>
            <w:tcW w:w="1931" w:type="dxa"/>
            <w:tcBorders>
              <w:top w:val="single" w:sz="4" w:space="0" w:color="auto"/>
            </w:tcBorders>
            <w:vAlign w:val="center"/>
          </w:tcPr>
          <w:p w14:paraId="53D8B915" w14:textId="77777777" w:rsidR="00DF5697" w:rsidRPr="00DF5697" w:rsidRDefault="00DF5697" w:rsidP="00DF5697">
            <w:pPr>
              <w:jc w:val="center"/>
              <w:rPr>
                <w:sz w:val="24"/>
                <w:szCs w:val="24"/>
              </w:rPr>
            </w:pPr>
            <w:r w:rsidRPr="00DF5697">
              <w:rPr>
                <w:sz w:val="24"/>
                <w:szCs w:val="24"/>
              </w:rPr>
              <w:t>Highly Significant</w:t>
            </w:r>
          </w:p>
        </w:tc>
      </w:tr>
    </w:tbl>
    <w:p w14:paraId="6006CF65" w14:textId="77777777" w:rsidR="00EF373B" w:rsidRDefault="00EF373B" w:rsidP="00BA5AD6">
      <w:pPr>
        <w:spacing w:line="240" w:lineRule="auto"/>
        <w:jc w:val="both"/>
        <w:rPr>
          <w:rFonts w:ascii="Times New Roman" w:hAnsi="Times New Roman" w:cs="Times New Roman"/>
          <w:sz w:val="24"/>
          <w:szCs w:val="24"/>
        </w:rPr>
      </w:pPr>
    </w:p>
    <w:p w14:paraId="4A191F38" w14:textId="127CFD1C" w:rsidR="00DF5697" w:rsidRPr="00DF5697" w:rsidRDefault="00DF5697" w:rsidP="00BA5AD6">
      <w:pPr>
        <w:spacing w:line="240" w:lineRule="auto"/>
        <w:jc w:val="both"/>
        <w:rPr>
          <w:rFonts w:ascii="Times New Roman" w:hAnsi="Times New Roman" w:cs="Times New Roman"/>
          <w:sz w:val="24"/>
          <w:szCs w:val="24"/>
        </w:rPr>
      </w:pPr>
      <w:r w:rsidRPr="00DF5697">
        <w:rPr>
          <w:rFonts w:ascii="Times New Roman" w:hAnsi="Times New Roman" w:cs="Times New Roman"/>
          <w:sz w:val="24"/>
          <w:szCs w:val="24"/>
        </w:rPr>
        <w:t>In contrast, the field try-out results revealed a highly significant difference between the pre-test and post-test scores, indicating that the developed instructional material had a substantial positive effect on learners’ academic performance. The statistically significant improvement in learners’ post-test performance confirms the effectiveness of the material as an instructional intervention. This finding suggests that exposure to the developed material contributed meaningfully to the enhancement of students’ knowledge, understanding, and overall learning outcomes. Furthermore, the absence of significant differences in format, content, and usefulness among experts, teachers, and students indicates strong agreement across respondent groups regarding the quality and acceptability of the material. However, the significant difference observed in clarity suggests that respondents differed in their perceptions of how clearly the material presented information and instructions.</w:t>
      </w:r>
    </w:p>
    <w:p w14:paraId="40CF908B" w14:textId="77777777" w:rsidR="00DF5697" w:rsidRPr="00DF5697" w:rsidRDefault="00DF5697" w:rsidP="00BA5AD6">
      <w:pPr>
        <w:spacing w:line="240" w:lineRule="auto"/>
        <w:jc w:val="both"/>
        <w:rPr>
          <w:rFonts w:ascii="Times New Roman" w:hAnsi="Times New Roman" w:cs="Times New Roman"/>
          <w:sz w:val="24"/>
          <w:szCs w:val="24"/>
        </w:rPr>
      </w:pPr>
      <w:r w:rsidRPr="00DF5697">
        <w:rPr>
          <w:rFonts w:ascii="Times New Roman" w:hAnsi="Times New Roman" w:cs="Times New Roman"/>
          <w:sz w:val="24"/>
          <w:szCs w:val="24"/>
        </w:rPr>
        <w:t xml:space="preserve">The highly significant improvement between pre-test and post-test performance implies that the developed instructional material was successful in facilitating learning and promoting academic achievement among students. This may be attributed to the material’s organized structure, alignment with learning competencies, </w:t>
      </w:r>
      <w:r w:rsidRPr="00DF5697">
        <w:rPr>
          <w:rFonts w:ascii="Times New Roman" w:hAnsi="Times New Roman" w:cs="Times New Roman"/>
          <w:sz w:val="24"/>
          <w:szCs w:val="24"/>
        </w:rPr>
        <w:lastRenderedPageBreak/>
        <w:t>and learner-centered presentation of concepts and activities. The findings further imply that the material effectively addressed learners’ instructional needs and provided meaningful learning experiences that enhanced comprehension and retention. Meanwhile, the non-significant differences in format, content, and usefulness suggest that the material demonstrated consistency in design quality, appropriateness of content, and practical value across different evaluators. Such agreement indicates that the instructional material possesses strong content validity and instructional coherence. On the other hand, the significant variation in clarity ratings may imply that experts, teachers, and students interpreted the clarity of instructions and explanations differently due to differences in expertise, expectations, and prior experiences. This suggests that while the material was generally viewed positively, certain components related to language, instructions, or presentation may still require refinement to ensure greater consistency in interpretation among users.</w:t>
      </w:r>
    </w:p>
    <w:p w14:paraId="15D9F614" w14:textId="1C29AF4D" w:rsidR="00942295" w:rsidRPr="00196E6D" w:rsidRDefault="00DF5697" w:rsidP="00196E6D">
      <w:pPr>
        <w:spacing w:line="240" w:lineRule="auto"/>
        <w:jc w:val="both"/>
        <w:rPr>
          <w:rFonts w:ascii="Times New Roman" w:hAnsi="Times New Roman" w:cs="Times New Roman"/>
          <w:sz w:val="24"/>
          <w:szCs w:val="24"/>
        </w:rPr>
      </w:pPr>
      <w:r w:rsidRPr="00DF5697">
        <w:rPr>
          <w:rFonts w:ascii="Times New Roman" w:hAnsi="Times New Roman" w:cs="Times New Roman"/>
          <w:sz w:val="24"/>
          <w:szCs w:val="24"/>
        </w:rPr>
        <w:t>The findings are supported by the study of Polit, D. F., &amp; Beck, C. T. (2021) which emphasized that high levels of agreement among evaluators strengthen evidence of content validity and reflect consistency in the quality and coherence of instructional materials. Likewise, the results are consistent with the study of John Hattie, J. (2023) who reported that well-designed instructional materials and structured learning interventions significantly improve student achievement and learning outcomes. These studies support the conclusion that the developed instructional material is both valid and effective in enhancing learners’ academic performance.</w:t>
      </w:r>
    </w:p>
    <w:p w14:paraId="529A733D" w14:textId="22C8B129" w:rsidR="003139B0" w:rsidRPr="009B72F0" w:rsidRDefault="003139B0" w:rsidP="00942D74">
      <w:pPr>
        <w:spacing w:line="240" w:lineRule="auto"/>
        <w:rPr>
          <w:rFonts w:ascii="Times New Roman" w:hAnsi="Times New Roman" w:cs="Times New Roman"/>
          <w:b/>
          <w:bCs/>
          <w:sz w:val="24"/>
          <w:szCs w:val="24"/>
        </w:rPr>
      </w:pPr>
      <w:r w:rsidRPr="009B72F0">
        <w:rPr>
          <w:rFonts w:ascii="Times New Roman" w:hAnsi="Times New Roman" w:cs="Times New Roman"/>
          <w:b/>
          <w:bCs/>
          <w:sz w:val="24"/>
          <w:szCs w:val="24"/>
        </w:rPr>
        <w:t>CONCLUSION</w:t>
      </w:r>
    </w:p>
    <w:p w14:paraId="55EB529D" w14:textId="60E06825" w:rsidR="00355C52" w:rsidRPr="00355C52" w:rsidRDefault="00FA4E40" w:rsidP="00FA4E40">
      <w:pPr>
        <w:spacing w:line="240" w:lineRule="auto"/>
        <w:jc w:val="both"/>
        <w:rPr>
          <w:rFonts w:ascii="Times New Roman" w:hAnsi="Times New Roman" w:cs="Times New Roman"/>
          <w:sz w:val="24"/>
          <w:szCs w:val="24"/>
        </w:rPr>
      </w:pPr>
      <w:r w:rsidRPr="00942D74">
        <w:rPr>
          <w:rFonts w:ascii="Times New Roman" w:hAnsi="Times New Roman" w:cs="Times New Roman"/>
          <w:sz w:val="24"/>
          <w:szCs w:val="24"/>
        </w:rPr>
        <w:t>Based on the empirical findings gathered regarding</w:t>
      </w:r>
      <w:r w:rsidR="00CE46FC">
        <w:rPr>
          <w:rFonts w:ascii="Times New Roman" w:hAnsi="Times New Roman" w:cs="Times New Roman"/>
          <w:sz w:val="24"/>
          <w:szCs w:val="24"/>
        </w:rPr>
        <w:t xml:space="preserve">, </w:t>
      </w:r>
      <w:r w:rsidR="00BB4065">
        <w:rPr>
          <w:rFonts w:ascii="Times New Roman" w:hAnsi="Times New Roman" w:cs="Times New Roman"/>
          <w:sz w:val="24"/>
          <w:szCs w:val="24"/>
        </w:rPr>
        <w:t>t</w:t>
      </w:r>
      <w:r w:rsidR="00355C52" w:rsidRPr="00355C52">
        <w:rPr>
          <w:rFonts w:ascii="Times New Roman" w:hAnsi="Times New Roman" w:cs="Times New Roman"/>
          <w:sz w:val="24"/>
          <w:szCs w:val="24"/>
        </w:rPr>
        <w:t>he study</w:t>
      </w:r>
      <w:r>
        <w:rPr>
          <w:rFonts w:ascii="Times New Roman" w:hAnsi="Times New Roman" w:cs="Times New Roman"/>
          <w:sz w:val="24"/>
          <w:szCs w:val="24"/>
        </w:rPr>
        <w:t xml:space="preserve"> on the</w:t>
      </w:r>
      <w:r w:rsidR="00355C52" w:rsidRPr="00355C52">
        <w:rPr>
          <w:rFonts w:ascii="Times New Roman" w:hAnsi="Times New Roman" w:cs="Times New Roman"/>
          <w:sz w:val="24"/>
          <w:szCs w:val="24"/>
        </w:rPr>
        <w:t xml:space="preserve"> developed learning kit is highly acceptable, relevant, and pedagogically sound. Consistently high ratings from experts, instructors, and students across format, content, clarity, and usefulness reflect its quality and instructional value. Moreover, the positive results of the field try-out indicate that the learning kit effectively supports learning and improves students’ academic performance. These findings confirm its suitability as an instructional resource in mathematics education.</w:t>
      </w:r>
    </w:p>
    <w:p w14:paraId="3FCD3D4F" w14:textId="77777777" w:rsidR="00355C52" w:rsidRPr="00355C52" w:rsidRDefault="00355C52" w:rsidP="00FA4E40">
      <w:pPr>
        <w:spacing w:line="240" w:lineRule="auto"/>
        <w:jc w:val="both"/>
        <w:rPr>
          <w:rFonts w:ascii="Times New Roman" w:hAnsi="Times New Roman" w:cs="Times New Roman"/>
          <w:sz w:val="24"/>
          <w:szCs w:val="24"/>
        </w:rPr>
      </w:pPr>
      <w:r w:rsidRPr="00355C52">
        <w:rPr>
          <w:rFonts w:ascii="Times New Roman" w:hAnsi="Times New Roman" w:cs="Times New Roman"/>
          <w:sz w:val="24"/>
          <w:szCs w:val="24"/>
        </w:rPr>
        <w:t>Findings further reveal a high level of agreement among the different groups of respondents regarding the quality of the learning kit. The absence of significant differences in most validation components suggests a shared perception of its effectiveness and appropriateness. However, the significant difference observed in clarity indicates the need for further refinement in how instructional content is presented to ensure consistency in understanding across user groups.</w:t>
      </w:r>
    </w:p>
    <w:p w14:paraId="005B9EE4" w14:textId="1EAD568A" w:rsidR="00355C52" w:rsidRDefault="00355C52" w:rsidP="00FA4E40">
      <w:pPr>
        <w:spacing w:line="240" w:lineRule="auto"/>
        <w:jc w:val="both"/>
        <w:rPr>
          <w:rFonts w:ascii="Times New Roman" w:hAnsi="Times New Roman" w:cs="Times New Roman"/>
          <w:sz w:val="24"/>
          <w:szCs w:val="24"/>
        </w:rPr>
      </w:pPr>
      <w:r w:rsidRPr="00355C52">
        <w:rPr>
          <w:rFonts w:ascii="Times New Roman" w:hAnsi="Times New Roman" w:cs="Times New Roman"/>
          <w:sz w:val="24"/>
          <w:szCs w:val="24"/>
        </w:rPr>
        <w:t>The study concludes that the use of the learning kit resulted in a statistically significant improvement in students’ pre-test and post-test scores. This demonstrates its effectiveness in enhancing mathematical mastery and facilitating meaningful learning experiences. The improvement in performance suggests that the learning kit provides structured guidance and appropriate learning support that strengthen students’ understanding and application of mathematical concepts.</w:t>
      </w:r>
    </w:p>
    <w:p w14:paraId="4A75E63F" w14:textId="3D30488A" w:rsidR="003139B0"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REFERENCES</w:t>
      </w:r>
    </w:p>
    <w:p w14:paraId="7BD05E96" w14:textId="4712533A"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Akinoso, S. O. (2022). Effect of instructional kits on students’ achievement in algebraic processes. </w:t>
      </w:r>
      <w:r w:rsidRPr="00933CAD">
        <w:rPr>
          <w:rFonts w:ascii="Times New Roman" w:hAnsi="Times New Roman" w:cs="Times New Roman"/>
          <w:i/>
          <w:iCs/>
          <w:color w:val="000000" w:themeColor="text1"/>
          <w:sz w:val="24"/>
          <w:szCs w:val="24"/>
        </w:rPr>
        <w:t>International Journal of Instruction, 15</w:t>
      </w:r>
      <w:r w:rsidRPr="00933CAD">
        <w:rPr>
          <w:rFonts w:ascii="Times New Roman" w:hAnsi="Times New Roman" w:cs="Times New Roman"/>
          <w:color w:val="000000" w:themeColor="text1"/>
          <w:sz w:val="24"/>
          <w:szCs w:val="24"/>
        </w:rPr>
        <w:t xml:space="preserve">(1), 123–136. </w:t>
      </w:r>
      <w:hyperlink r:id="rId7" w:history="1">
        <w:r w:rsidRPr="00933CAD">
          <w:rPr>
            <w:rStyle w:val="Hyperlink"/>
            <w:rFonts w:ascii="Times New Roman" w:hAnsi="Times New Roman" w:cs="Times New Roman"/>
            <w:color w:val="000000" w:themeColor="text1"/>
            <w:sz w:val="24"/>
            <w:szCs w:val="24"/>
            <w:u w:val="none"/>
          </w:rPr>
          <w:t>https://doi.org/10.29333/iji.2022.1518a</w:t>
        </w:r>
      </w:hyperlink>
    </w:p>
    <w:p w14:paraId="677A51C1" w14:textId="250FA553"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lang w:val="sv-SE"/>
        </w:rPr>
        <w:t xml:space="preserve">Bautista, M. R., &amp; Taguibao, C. R. (2023). </w:t>
      </w:r>
      <w:r w:rsidRPr="00933CAD">
        <w:rPr>
          <w:rFonts w:ascii="Times New Roman" w:hAnsi="Times New Roman" w:cs="Times New Roman"/>
          <w:color w:val="000000" w:themeColor="text1"/>
          <w:sz w:val="24"/>
          <w:szCs w:val="24"/>
        </w:rPr>
        <w:t xml:space="preserve">Mathematics in the Modern World performance of first-year college students: A baseline assessment. </w:t>
      </w:r>
      <w:r w:rsidRPr="00933CAD">
        <w:rPr>
          <w:rFonts w:ascii="Times New Roman" w:hAnsi="Times New Roman" w:cs="Times New Roman"/>
          <w:i/>
          <w:iCs/>
          <w:color w:val="000000" w:themeColor="text1"/>
          <w:sz w:val="24"/>
          <w:szCs w:val="24"/>
        </w:rPr>
        <w:t>Philippine Journal of Education and Human Development, 18</w:t>
      </w:r>
      <w:r w:rsidRPr="00933CAD">
        <w:rPr>
          <w:rFonts w:ascii="Times New Roman" w:hAnsi="Times New Roman" w:cs="Times New Roman"/>
          <w:color w:val="000000" w:themeColor="text1"/>
          <w:sz w:val="24"/>
          <w:szCs w:val="24"/>
        </w:rPr>
        <w:t xml:space="preserve">(2), 35–46. </w:t>
      </w:r>
      <w:hyperlink r:id="rId8" w:history="1">
        <w:r w:rsidRPr="00933CAD">
          <w:rPr>
            <w:rStyle w:val="Hyperlink"/>
            <w:rFonts w:ascii="Times New Roman" w:hAnsi="Times New Roman" w:cs="Times New Roman"/>
            <w:color w:val="000000" w:themeColor="text1"/>
            <w:sz w:val="24"/>
            <w:szCs w:val="24"/>
            <w:u w:val="none"/>
          </w:rPr>
          <w:t>https://doi.org/10.5281/zenodo.7812345</w:t>
        </w:r>
      </w:hyperlink>
    </w:p>
    <w:p w14:paraId="2A8094A6" w14:textId="64461F0B"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proofErr w:type="spellStart"/>
      <w:r w:rsidRPr="00933CAD">
        <w:rPr>
          <w:rFonts w:ascii="Times New Roman" w:hAnsi="Times New Roman" w:cs="Times New Roman"/>
          <w:color w:val="000000" w:themeColor="text1"/>
          <w:sz w:val="24"/>
          <w:szCs w:val="24"/>
        </w:rPr>
        <w:t>Booc</w:t>
      </w:r>
      <w:proofErr w:type="spellEnd"/>
      <w:r w:rsidRPr="00933CAD">
        <w:rPr>
          <w:rFonts w:ascii="Times New Roman" w:hAnsi="Times New Roman" w:cs="Times New Roman"/>
          <w:color w:val="000000" w:themeColor="text1"/>
          <w:sz w:val="24"/>
          <w:szCs w:val="24"/>
        </w:rPr>
        <w:t xml:space="preserve">, N. B. B., Cortez, N., Enriquez, D., Espino, R., Loteria, J. L., &amp; Sabanal, J. (2024). The mediating effect of technostress on the relationship between metacognition and blended learning engagement of students in Mathematics in the Modern World. </w:t>
      </w:r>
      <w:r w:rsidRPr="00933CAD">
        <w:rPr>
          <w:rFonts w:ascii="Times New Roman" w:hAnsi="Times New Roman" w:cs="Times New Roman"/>
          <w:i/>
          <w:iCs/>
          <w:color w:val="000000" w:themeColor="text1"/>
          <w:sz w:val="24"/>
          <w:szCs w:val="24"/>
        </w:rPr>
        <w:t>European Journal of Contemporary Education and E-Learning, 2</w:t>
      </w:r>
      <w:r w:rsidRPr="00933CAD">
        <w:rPr>
          <w:rFonts w:ascii="Times New Roman" w:hAnsi="Times New Roman" w:cs="Times New Roman"/>
          <w:color w:val="000000" w:themeColor="text1"/>
          <w:sz w:val="24"/>
          <w:szCs w:val="24"/>
        </w:rPr>
        <w:t>(1), 44–52.</w:t>
      </w:r>
    </w:p>
    <w:p w14:paraId="45C12F79" w14:textId="7121C42E"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Branch, R. M., &amp; Dousay, T. A. (2022). </w:t>
      </w:r>
      <w:r w:rsidRPr="00933CAD">
        <w:rPr>
          <w:rFonts w:ascii="Times New Roman" w:hAnsi="Times New Roman" w:cs="Times New Roman"/>
          <w:i/>
          <w:iCs/>
          <w:color w:val="000000" w:themeColor="text1"/>
          <w:sz w:val="24"/>
          <w:szCs w:val="24"/>
        </w:rPr>
        <w:t>Survey of instructional design models</w:t>
      </w:r>
      <w:r w:rsidRPr="00933CAD">
        <w:rPr>
          <w:rFonts w:ascii="Times New Roman" w:hAnsi="Times New Roman" w:cs="Times New Roman"/>
          <w:color w:val="000000" w:themeColor="text1"/>
          <w:sz w:val="24"/>
          <w:szCs w:val="24"/>
        </w:rPr>
        <w:t xml:space="preserve"> (6th ed.). Association for Educational Communications and Technology.</w:t>
      </w:r>
    </w:p>
    <w:p w14:paraId="1F47086E" w14:textId="77777777"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Commission on Higher Education. (2013). </w:t>
      </w:r>
      <w:r w:rsidRPr="00933CAD">
        <w:rPr>
          <w:rFonts w:ascii="Times New Roman" w:hAnsi="Times New Roman" w:cs="Times New Roman"/>
          <w:i/>
          <w:iCs/>
          <w:color w:val="000000" w:themeColor="text1"/>
          <w:sz w:val="24"/>
          <w:szCs w:val="24"/>
        </w:rPr>
        <w:t>CHED Memorandum Order No. 20, series of 2013: General education curriculum: Holistic understandings, intellectual and civic competencies</w:t>
      </w:r>
      <w:r w:rsidRPr="00933CAD">
        <w:rPr>
          <w:rFonts w:ascii="Times New Roman" w:hAnsi="Times New Roman" w:cs="Times New Roman"/>
          <w:color w:val="000000" w:themeColor="text1"/>
          <w:sz w:val="24"/>
          <w:szCs w:val="24"/>
        </w:rPr>
        <w:t xml:space="preserve">. </w:t>
      </w:r>
      <w:hyperlink r:id="rId9" w:history="1">
        <w:r w:rsidRPr="00933CAD">
          <w:rPr>
            <w:rStyle w:val="Hyperlink"/>
            <w:rFonts w:ascii="Times New Roman" w:hAnsi="Times New Roman" w:cs="Times New Roman"/>
            <w:color w:val="000000" w:themeColor="text1"/>
            <w:sz w:val="24"/>
            <w:szCs w:val="24"/>
            <w:u w:val="none"/>
          </w:rPr>
          <w:t>https://ched.gov.ph/cmo-20-s-2013/</w:t>
        </w:r>
      </w:hyperlink>
    </w:p>
    <w:p w14:paraId="031B24C7" w14:textId="77777777" w:rsidR="006A13FA" w:rsidRPr="00220960" w:rsidRDefault="006A13FA" w:rsidP="006A13FA">
      <w:pPr>
        <w:spacing w:after="0"/>
        <w:ind w:left="720" w:hanging="720"/>
        <w:jc w:val="both"/>
        <w:rPr>
          <w:rFonts w:ascii="Times New Roman" w:hAnsi="Times New Roman" w:cs="Times New Roman"/>
          <w:color w:val="000000" w:themeColor="text1"/>
          <w:sz w:val="24"/>
          <w:szCs w:val="24"/>
        </w:rPr>
      </w:pPr>
    </w:p>
    <w:p w14:paraId="1FED445B" w14:textId="37701B16"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lastRenderedPageBreak/>
        <w:t xml:space="preserve">Commission on Higher Education. (2020). </w:t>
      </w:r>
      <w:r w:rsidRPr="00933CAD">
        <w:rPr>
          <w:rFonts w:ascii="Times New Roman" w:hAnsi="Times New Roman" w:cs="Times New Roman"/>
          <w:i/>
          <w:iCs/>
          <w:color w:val="000000" w:themeColor="text1"/>
          <w:sz w:val="24"/>
          <w:szCs w:val="24"/>
        </w:rPr>
        <w:t>CHED Memorandum Order No. 4, series of 2020: Guidelines on the implementation of flexible learning</w:t>
      </w:r>
      <w:r w:rsidRPr="00933CAD">
        <w:rPr>
          <w:rFonts w:ascii="Times New Roman" w:hAnsi="Times New Roman" w:cs="Times New Roman"/>
          <w:color w:val="000000" w:themeColor="text1"/>
          <w:sz w:val="24"/>
          <w:szCs w:val="24"/>
        </w:rPr>
        <w:t xml:space="preserve">. </w:t>
      </w:r>
      <w:hyperlink r:id="rId10" w:history="1">
        <w:r w:rsidRPr="00933CAD">
          <w:rPr>
            <w:rStyle w:val="Hyperlink"/>
            <w:rFonts w:ascii="Times New Roman" w:hAnsi="Times New Roman" w:cs="Times New Roman"/>
            <w:color w:val="000000" w:themeColor="text1"/>
            <w:sz w:val="24"/>
            <w:szCs w:val="24"/>
            <w:u w:val="none"/>
          </w:rPr>
          <w:t>https://ched.gov.ph/cmo-4-s-2020/</w:t>
        </w:r>
      </w:hyperlink>
    </w:p>
    <w:p w14:paraId="5528B91D" w14:textId="62CBF6ED"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Commission on Higher Education. (2022). </w:t>
      </w:r>
      <w:r w:rsidRPr="00933CAD">
        <w:rPr>
          <w:rFonts w:ascii="Times New Roman" w:hAnsi="Times New Roman" w:cs="Times New Roman"/>
          <w:i/>
          <w:iCs/>
          <w:color w:val="000000" w:themeColor="text1"/>
          <w:sz w:val="24"/>
          <w:szCs w:val="24"/>
        </w:rPr>
        <w:t>CHED Memorandum Order No. 3, series of 2022: Amendment to CMO No. 20, s. 2013: Policies, standards, and guidelines for the Bachelor of Science in Mathematics</w:t>
      </w:r>
      <w:r w:rsidRPr="00933CAD">
        <w:rPr>
          <w:rFonts w:ascii="Times New Roman" w:hAnsi="Times New Roman" w:cs="Times New Roman"/>
          <w:color w:val="000000" w:themeColor="text1"/>
          <w:sz w:val="24"/>
          <w:szCs w:val="24"/>
        </w:rPr>
        <w:t xml:space="preserve">. </w:t>
      </w:r>
      <w:hyperlink r:id="rId11" w:history="1">
        <w:r w:rsidRPr="00933CAD">
          <w:rPr>
            <w:rStyle w:val="Hyperlink"/>
            <w:rFonts w:ascii="Times New Roman" w:hAnsi="Times New Roman" w:cs="Times New Roman"/>
            <w:color w:val="000000" w:themeColor="text1"/>
            <w:sz w:val="24"/>
            <w:szCs w:val="24"/>
            <w:u w:val="none"/>
          </w:rPr>
          <w:t>https://ched.gov.ph/cmo-3-s-2022/</w:t>
        </w:r>
      </w:hyperlink>
    </w:p>
    <w:p w14:paraId="72A51BEC" w14:textId="45CCDD6E"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Commission on Higher Education. (2022). </w:t>
      </w:r>
      <w:r w:rsidRPr="00933CAD">
        <w:rPr>
          <w:rFonts w:ascii="Times New Roman" w:hAnsi="Times New Roman" w:cs="Times New Roman"/>
          <w:i/>
          <w:iCs/>
          <w:color w:val="000000" w:themeColor="text1"/>
          <w:sz w:val="24"/>
          <w:szCs w:val="24"/>
        </w:rPr>
        <w:t>Report on student learning outcomes in general education subjects: Focus on numeracy and logical reasoning</w:t>
      </w:r>
      <w:r w:rsidRPr="00933CAD">
        <w:rPr>
          <w:rFonts w:ascii="Times New Roman" w:hAnsi="Times New Roman" w:cs="Times New Roman"/>
          <w:color w:val="000000" w:themeColor="text1"/>
          <w:sz w:val="24"/>
          <w:szCs w:val="24"/>
        </w:rPr>
        <w:t>. CHED Publications.</w:t>
      </w:r>
    </w:p>
    <w:p w14:paraId="3705063A" w14:textId="5F579E0D"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Creswell, J. W., &amp; Plano Clark, V. L. (2018). </w:t>
      </w:r>
      <w:r w:rsidRPr="00933CAD">
        <w:rPr>
          <w:rFonts w:ascii="Times New Roman" w:hAnsi="Times New Roman" w:cs="Times New Roman"/>
          <w:i/>
          <w:iCs/>
          <w:color w:val="000000" w:themeColor="text1"/>
          <w:sz w:val="24"/>
          <w:szCs w:val="24"/>
        </w:rPr>
        <w:t>Designing and conducting mixed methods research</w:t>
      </w:r>
      <w:r w:rsidRPr="00933CAD">
        <w:rPr>
          <w:rFonts w:ascii="Times New Roman" w:hAnsi="Times New Roman" w:cs="Times New Roman"/>
          <w:color w:val="000000" w:themeColor="text1"/>
          <w:sz w:val="24"/>
          <w:szCs w:val="24"/>
        </w:rPr>
        <w:t xml:space="preserve"> (3rd ed.). SAGE Publications.</w:t>
      </w:r>
    </w:p>
    <w:p w14:paraId="0845E428" w14:textId="3F573170"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lang w:val="sv-SE"/>
        </w:rPr>
        <w:t xml:space="preserve">Dela Peña-Bandalaria, M. D., &amp; Chua, K. M. (2020). </w:t>
      </w:r>
      <w:r w:rsidRPr="00933CAD">
        <w:rPr>
          <w:rFonts w:ascii="Times New Roman" w:hAnsi="Times New Roman" w:cs="Times New Roman"/>
          <w:color w:val="000000" w:themeColor="text1"/>
          <w:sz w:val="24"/>
          <w:szCs w:val="24"/>
        </w:rPr>
        <w:t xml:space="preserve">Self-learning kits in mathematics: Effects on performance and student persistence. </w:t>
      </w:r>
      <w:r w:rsidRPr="00933CAD">
        <w:rPr>
          <w:rFonts w:ascii="Times New Roman" w:hAnsi="Times New Roman" w:cs="Times New Roman"/>
          <w:i/>
          <w:iCs/>
          <w:color w:val="000000" w:themeColor="text1"/>
          <w:sz w:val="24"/>
          <w:szCs w:val="24"/>
        </w:rPr>
        <w:t>Asia Pacific Journal of Multidisciplinary Research, 8</w:t>
      </w:r>
      <w:r w:rsidRPr="00933CAD">
        <w:rPr>
          <w:rFonts w:ascii="Times New Roman" w:hAnsi="Times New Roman" w:cs="Times New Roman"/>
          <w:color w:val="000000" w:themeColor="text1"/>
          <w:sz w:val="24"/>
          <w:szCs w:val="24"/>
        </w:rPr>
        <w:t>(3), 112–120.</w:t>
      </w:r>
    </w:p>
    <w:p w14:paraId="68F1097F" w14:textId="0F1071ED"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Hattie, J. (2023). </w:t>
      </w:r>
      <w:r w:rsidRPr="00933CAD">
        <w:rPr>
          <w:rFonts w:ascii="Times New Roman" w:hAnsi="Times New Roman" w:cs="Times New Roman"/>
          <w:i/>
          <w:iCs/>
          <w:color w:val="000000" w:themeColor="text1"/>
          <w:sz w:val="24"/>
          <w:szCs w:val="24"/>
        </w:rPr>
        <w:t>Visible learning: The sequel</w:t>
      </w:r>
      <w:r w:rsidRPr="00933CAD">
        <w:rPr>
          <w:rFonts w:ascii="Times New Roman" w:hAnsi="Times New Roman" w:cs="Times New Roman"/>
          <w:color w:val="000000" w:themeColor="text1"/>
          <w:sz w:val="24"/>
          <w:szCs w:val="24"/>
        </w:rPr>
        <w:t>. Routledge.</w:t>
      </w:r>
    </w:p>
    <w:p w14:paraId="0304B5FF" w14:textId="1A7B2244" w:rsidR="00220960" w:rsidRPr="00011484" w:rsidRDefault="006A13FA" w:rsidP="00011484">
      <w:pPr>
        <w:pStyle w:val="ListParagraph"/>
        <w:numPr>
          <w:ilvl w:val="0"/>
          <w:numId w:val="14"/>
        </w:numPr>
        <w:spacing w:after="0"/>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Kim, J., &amp; Seo, E. H. (2022). The role of self-regulated learning and motivation in academic achievement: A meta-analytic review. </w:t>
      </w:r>
      <w:r w:rsidRPr="00933CAD">
        <w:rPr>
          <w:rFonts w:ascii="Times New Roman" w:hAnsi="Times New Roman" w:cs="Times New Roman"/>
          <w:i/>
          <w:iCs/>
          <w:color w:val="000000" w:themeColor="text1"/>
          <w:sz w:val="24"/>
          <w:szCs w:val="24"/>
        </w:rPr>
        <w:t>Educational Psychology Review, 34</w:t>
      </w:r>
      <w:r w:rsidRPr="00933CAD">
        <w:rPr>
          <w:rFonts w:ascii="Times New Roman" w:hAnsi="Times New Roman" w:cs="Times New Roman"/>
          <w:color w:val="000000" w:themeColor="text1"/>
          <w:sz w:val="24"/>
          <w:szCs w:val="24"/>
        </w:rPr>
        <w:t xml:space="preserve">(2), 845–872. </w:t>
      </w:r>
      <w:hyperlink r:id="rId12" w:history="1">
        <w:r w:rsidRPr="00933CAD">
          <w:rPr>
            <w:rStyle w:val="Hyperlink"/>
            <w:rFonts w:ascii="Times New Roman" w:hAnsi="Times New Roman" w:cs="Times New Roman"/>
            <w:color w:val="000000" w:themeColor="text1"/>
            <w:sz w:val="24"/>
            <w:szCs w:val="24"/>
            <w:u w:val="none"/>
          </w:rPr>
          <w:t>https://doi.org/10.1007/s10648-021-09642-3</w:t>
        </w:r>
      </w:hyperlink>
    </w:p>
    <w:p w14:paraId="4083A433" w14:textId="66C6A15F" w:rsidR="006A13FA" w:rsidRPr="00933CAD" w:rsidRDefault="006A13FA" w:rsidP="00933CAD">
      <w:pPr>
        <w:pStyle w:val="ListParagraph"/>
        <w:numPr>
          <w:ilvl w:val="0"/>
          <w:numId w:val="14"/>
        </w:numPr>
        <w:jc w:val="both"/>
        <w:rPr>
          <w:rFonts w:ascii="Times New Roman" w:hAnsi="Times New Roman" w:cs="Times New Roman"/>
          <w:sz w:val="24"/>
          <w:szCs w:val="24"/>
        </w:rPr>
      </w:pPr>
      <w:proofErr w:type="spellStart"/>
      <w:r w:rsidRPr="00933CAD">
        <w:rPr>
          <w:rFonts w:ascii="Times New Roman" w:hAnsi="Times New Roman" w:cs="Times New Roman"/>
          <w:color w:val="000000" w:themeColor="text1"/>
          <w:sz w:val="24"/>
          <w:szCs w:val="24"/>
        </w:rPr>
        <w:t>Kitsantas</w:t>
      </w:r>
      <w:proofErr w:type="spellEnd"/>
      <w:r w:rsidRPr="00933CAD">
        <w:rPr>
          <w:rFonts w:ascii="Times New Roman" w:hAnsi="Times New Roman" w:cs="Times New Roman"/>
          <w:color w:val="000000" w:themeColor="text1"/>
          <w:sz w:val="24"/>
          <w:szCs w:val="24"/>
        </w:rPr>
        <w:t xml:space="preserve">, A., &amp; Dabbagh, N. (2021). Enhancing self-regulated learning through metacognitive scaffolds. </w:t>
      </w:r>
      <w:r w:rsidRPr="00933CAD">
        <w:rPr>
          <w:rFonts w:ascii="Times New Roman" w:hAnsi="Times New Roman" w:cs="Times New Roman"/>
          <w:i/>
          <w:iCs/>
          <w:color w:val="000000" w:themeColor="text1"/>
          <w:sz w:val="24"/>
          <w:szCs w:val="24"/>
        </w:rPr>
        <w:t>Journal of Educational Computing Research, 59</w:t>
      </w:r>
      <w:r w:rsidRPr="00933CAD">
        <w:rPr>
          <w:rFonts w:ascii="Times New Roman" w:hAnsi="Times New Roman" w:cs="Times New Roman"/>
          <w:color w:val="000000" w:themeColor="text1"/>
          <w:sz w:val="24"/>
          <w:szCs w:val="24"/>
        </w:rPr>
        <w:t xml:space="preserve">(3), 548–567. </w:t>
      </w:r>
      <w:hyperlink r:id="rId13" w:history="1">
        <w:r w:rsidRPr="00933CAD">
          <w:rPr>
            <w:rStyle w:val="Hyperlink"/>
            <w:rFonts w:ascii="Times New Roman" w:hAnsi="Times New Roman" w:cs="Times New Roman"/>
            <w:color w:val="000000" w:themeColor="text1"/>
            <w:sz w:val="24"/>
            <w:szCs w:val="24"/>
            <w:u w:val="none"/>
          </w:rPr>
          <w:t>https://doi.org/10.1177/0735633120967312</w:t>
        </w:r>
      </w:hyperlink>
    </w:p>
    <w:p w14:paraId="30402B5B" w14:textId="6D299A05"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Martin, A. J., &amp; Marsh, H. W. (2020). Academic buoyancy and resilience: New insights from the latest research. </w:t>
      </w:r>
      <w:r w:rsidRPr="00933CAD">
        <w:rPr>
          <w:rFonts w:ascii="Times New Roman" w:hAnsi="Times New Roman" w:cs="Times New Roman"/>
          <w:i/>
          <w:iCs/>
          <w:color w:val="000000" w:themeColor="text1"/>
          <w:sz w:val="24"/>
          <w:szCs w:val="24"/>
        </w:rPr>
        <w:t>Educational Psychology Review, 32</w:t>
      </w:r>
      <w:r w:rsidRPr="00933CAD">
        <w:rPr>
          <w:rFonts w:ascii="Times New Roman" w:hAnsi="Times New Roman" w:cs="Times New Roman"/>
          <w:color w:val="000000" w:themeColor="text1"/>
          <w:sz w:val="24"/>
          <w:szCs w:val="24"/>
        </w:rPr>
        <w:t xml:space="preserve">(2), 269–286. </w:t>
      </w:r>
      <w:hyperlink r:id="rId14" w:history="1">
        <w:r w:rsidRPr="00933CAD">
          <w:rPr>
            <w:rStyle w:val="Hyperlink"/>
            <w:rFonts w:ascii="Times New Roman" w:hAnsi="Times New Roman" w:cs="Times New Roman"/>
            <w:color w:val="000000" w:themeColor="text1"/>
            <w:sz w:val="24"/>
            <w:szCs w:val="24"/>
            <w:u w:val="none"/>
          </w:rPr>
          <w:t>https://doi.org/10.1007/s10648-019-09519-5</w:t>
        </w:r>
      </w:hyperlink>
    </w:p>
    <w:p w14:paraId="3723B193" w14:textId="7006A0DC"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Nguyen, T. T., Vo, H. M., &amp; Pham, H. A. (2021). Activity-based learning kits and students’ mathematics achievement in disadvantaged areas. </w:t>
      </w:r>
      <w:r w:rsidRPr="00933CAD">
        <w:rPr>
          <w:rFonts w:ascii="Times New Roman" w:hAnsi="Times New Roman" w:cs="Times New Roman"/>
          <w:i/>
          <w:iCs/>
          <w:color w:val="000000" w:themeColor="text1"/>
          <w:sz w:val="24"/>
          <w:szCs w:val="24"/>
        </w:rPr>
        <w:t>Educational Technology &amp; Society, 24</w:t>
      </w:r>
      <w:r w:rsidRPr="00933CAD">
        <w:rPr>
          <w:rFonts w:ascii="Times New Roman" w:hAnsi="Times New Roman" w:cs="Times New Roman"/>
          <w:color w:val="000000" w:themeColor="text1"/>
          <w:sz w:val="24"/>
          <w:szCs w:val="24"/>
        </w:rPr>
        <w:t>(1), 93–104.</w:t>
      </w:r>
    </w:p>
    <w:p w14:paraId="0FC4AC01" w14:textId="50308028" w:rsidR="00220960" w:rsidRPr="00011484" w:rsidRDefault="006A13FA" w:rsidP="00011484">
      <w:pPr>
        <w:pStyle w:val="ListParagraph"/>
        <w:numPr>
          <w:ilvl w:val="0"/>
          <w:numId w:val="14"/>
        </w:numPr>
        <w:spacing w:after="0"/>
        <w:jc w:val="both"/>
        <w:rPr>
          <w:rFonts w:ascii="Times New Roman" w:hAnsi="Times New Roman" w:cs="Times New Roman"/>
          <w:color w:val="000000" w:themeColor="text1"/>
          <w:sz w:val="24"/>
          <w:szCs w:val="24"/>
        </w:rPr>
      </w:pPr>
      <w:proofErr w:type="spellStart"/>
      <w:r w:rsidRPr="00933CAD">
        <w:rPr>
          <w:rFonts w:ascii="Times New Roman" w:hAnsi="Times New Roman" w:cs="Times New Roman"/>
          <w:color w:val="000000" w:themeColor="text1"/>
          <w:sz w:val="24"/>
          <w:szCs w:val="24"/>
        </w:rPr>
        <w:t>Organisation</w:t>
      </w:r>
      <w:proofErr w:type="spellEnd"/>
      <w:r w:rsidRPr="00933CAD">
        <w:rPr>
          <w:rFonts w:ascii="Times New Roman" w:hAnsi="Times New Roman" w:cs="Times New Roman"/>
          <w:color w:val="000000" w:themeColor="text1"/>
          <w:sz w:val="24"/>
          <w:szCs w:val="24"/>
        </w:rPr>
        <w:t xml:space="preserve"> for Economic Co-operation and Development. (2022). </w:t>
      </w:r>
      <w:r w:rsidRPr="00933CAD">
        <w:rPr>
          <w:rFonts w:ascii="Times New Roman" w:hAnsi="Times New Roman" w:cs="Times New Roman"/>
          <w:i/>
          <w:iCs/>
          <w:color w:val="000000" w:themeColor="text1"/>
          <w:sz w:val="24"/>
          <w:szCs w:val="24"/>
        </w:rPr>
        <w:t>Education at a glance 2022: OECD indicators</w:t>
      </w:r>
      <w:r w:rsidRPr="00933CAD">
        <w:rPr>
          <w:rFonts w:ascii="Times New Roman" w:hAnsi="Times New Roman" w:cs="Times New Roman"/>
          <w:color w:val="000000" w:themeColor="text1"/>
          <w:sz w:val="24"/>
          <w:szCs w:val="24"/>
        </w:rPr>
        <w:t xml:space="preserve">. OECD Publishing. </w:t>
      </w:r>
      <w:hyperlink r:id="rId15" w:history="1">
        <w:r w:rsidRPr="00933CAD">
          <w:rPr>
            <w:rStyle w:val="Hyperlink"/>
            <w:rFonts w:ascii="Times New Roman" w:hAnsi="Times New Roman" w:cs="Times New Roman"/>
            <w:color w:val="000000" w:themeColor="text1"/>
            <w:sz w:val="24"/>
            <w:szCs w:val="24"/>
            <w:u w:val="none"/>
          </w:rPr>
          <w:t>https://doi.org/10.1787/3197152b-en</w:t>
        </w:r>
      </w:hyperlink>
    </w:p>
    <w:p w14:paraId="7ACBBB25" w14:textId="07076CD9"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Panadero, E. (2022). A review of self-regulated learning: Six models and four directions for research. </w:t>
      </w:r>
      <w:r w:rsidRPr="00933CAD">
        <w:rPr>
          <w:rFonts w:ascii="Times New Roman" w:hAnsi="Times New Roman" w:cs="Times New Roman"/>
          <w:i/>
          <w:iCs/>
          <w:color w:val="000000" w:themeColor="text1"/>
          <w:sz w:val="24"/>
          <w:szCs w:val="24"/>
        </w:rPr>
        <w:t>Frontiers in Psychology, 13</w:t>
      </w:r>
      <w:r w:rsidRPr="00933CAD">
        <w:rPr>
          <w:rFonts w:ascii="Times New Roman" w:hAnsi="Times New Roman" w:cs="Times New Roman"/>
          <w:color w:val="000000" w:themeColor="text1"/>
          <w:sz w:val="24"/>
          <w:szCs w:val="24"/>
        </w:rPr>
        <w:t xml:space="preserve">, 849238. </w:t>
      </w:r>
      <w:hyperlink r:id="rId16" w:history="1">
        <w:r w:rsidRPr="00933CAD">
          <w:rPr>
            <w:rStyle w:val="Hyperlink"/>
            <w:rFonts w:ascii="Times New Roman" w:hAnsi="Times New Roman" w:cs="Times New Roman"/>
            <w:color w:val="000000" w:themeColor="text1"/>
            <w:sz w:val="24"/>
            <w:szCs w:val="24"/>
            <w:u w:val="none"/>
          </w:rPr>
          <w:t>https://doi.org/10.3389/fpsyg.2022.849238</w:t>
        </w:r>
      </w:hyperlink>
    </w:p>
    <w:p w14:paraId="09078396" w14:textId="42E76313"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sz w:val="24"/>
          <w:szCs w:val="24"/>
        </w:rPr>
        <w:t xml:space="preserve">Polit, D. F., &amp; Beck, C. T. (2021). </w:t>
      </w:r>
      <w:r w:rsidRPr="00933CAD">
        <w:rPr>
          <w:rFonts w:ascii="Times New Roman" w:hAnsi="Times New Roman" w:cs="Times New Roman"/>
          <w:i/>
          <w:iCs/>
          <w:sz w:val="24"/>
          <w:szCs w:val="24"/>
        </w:rPr>
        <w:t>Nursing research: Generating and assessing evidence for nursing practice</w:t>
      </w:r>
      <w:r w:rsidRPr="00933CAD">
        <w:rPr>
          <w:rFonts w:ascii="Times New Roman" w:hAnsi="Times New Roman" w:cs="Times New Roman"/>
          <w:sz w:val="24"/>
          <w:szCs w:val="24"/>
        </w:rPr>
        <w:t xml:space="preserve"> (11th ed.). Wolters Kluwer. </w:t>
      </w:r>
    </w:p>
    <w:p w14:paraId="1058235B" w14:textId="41D0AA1E"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lang w:val="sv-SE"/>
        </w:rPr>
        <w:t xml:space="preserve">Ramos, J. P., &amp; Balagtas, M. U. (2021). </w:t>
      </w:r>
      <w:r w:rsidRPr="00933CAD">
        <w:rPr>
          <w:rFonts w:ascii="Times New Roman" w:hAnsi="Times New Roman" w:cs="Times New Roman"/>
          <w:color w:val="000000" w:themeColor="text1"/>
          <w:sz w:val="24"/>
          <w:szCs w:val="24"/>
        </w:rPr>
        <w:t xml:space="preserve">Contextualized intervention materials and students’ mathematics achievement in modular learning. </w:t>
      </w:r>
      <w:r w:rsidRPr="00933CAD">
        <w:rPr>
          <w:rFonts w:ascii="Times New Roman" w:hAnsi="Times New Roman" w:cs="Times New Roman"/>
          <w:i/>
          <w:iCs/>
          <w:color w:val="000000" w:themeColor="text1"/>
          <w:sz w:val="24"/>
          <w:szCs w:val="24"/>
        </w:rPr>
        <w:t>International Journal of Educational Studies in Mathematics, 8</w:t>
      </w:r>
      <w:r w:rsidRPr="00933CAD">
        <w:rPr>
          <w:rFonts w:ascii="Times New Roman" w:hAnsi="Times New Roman" w:cs="Times New Roman"/>
          <w:color w:val="000000" w:themeColor="text1"/>
          <w:sz w:val="24"/>
          <w:szCs w:val="24"/>
        </w:rPr>
        <w:t>(3), 145–156.</w:t>
      </w:r>
    </w:p>
    <w:p w14:paraId="5EA3F647" w14:textId="7D1B0F0C"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Reyes, M. C., &amp; Lagman, J. F. (2022). Performance of students in statistics and business mathematics during flexible learning: A Philippine context. </w:t>
      </w:r>
      <w:r w:rsidRPr="00933CAD">
        <w:rPr>
          <w:rFonts w:ascii="Times New Roman" w:hAnsi="Times New Roman" w:cs="Times New Roman"/>
          <w:i/>
          <w:iCs/>
          <w:color w:val="000000" w:themeColor="text1"/>
          <w:sz w:val="24"/>
          <w:szCs w:val="24"/>
        </w:rPr>
        <w:t>Asian Journal of Education and E-Learning, 10</w:t>
      </w:r>
      <w:r w:rsidRPr="00933CAD">
        <w:rPr>
          <w:rFonts w:ascii="Times New Roman" w:hAnsi="Times New Roman" w:cs="Times New Roman"/>
          <w:color w:val="000000" w:themeColor="text1"/>
          <w:sz w:val="24"/>
          <w:szCs w:val="24"/>
        </w:rPr>
        <w:t xml:space="preserve">(2), 88–97. </w:t>
      </w:r>
      <w:hyperlink r:id="rId17" w:history="1">
        <w:r w:rsidRPr="00933CAD">
          <w:rPr>
            <w:rStyle w:val="Hyperlink"/>
            <w:rFonts w:ascii="Times New Roman" w:hAnsi="Times New Roman" w:cs="Times New Roman"/>
            <w:color w:val="000000" w:themeColor="text1"/>
            <w:sz w:val="24"/>
            <w:szCs w:val="24"/>
            <w:u w:val="none"/>
          </w:rPr>
          <w:t>https://doi.org/10.2139/ssrn.4145930</w:t>
        </w:r>
      </w:hyperlink>
    </w:p>
    <w:p w14:paraId="54030E1E" w14:textId="121D2A83" w:rsidR="006A13FA" w:rsidRPr="00933CAD" w:rsidRDefault="006A13FA" w:rsidP="00933CAD">
      <w:pPr>
        <w:pStyle w:val="ListParagraph"/>
        <w:numPr>
          <w:ilvl w:val="0"/>
          <w:numId w:val="14"/>
        </w:numPr>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Taber, K. S. (2023). </w:t>
      </w:r>
      <w:r w:rsidRPr="00933CAD">
        <w:rPr>
          <w:rFonts w:ascii="Times New Roman" w:hAnsi="Times New Roman" w:cs="Times New Roman"/>
          <w:i/>
          <w:iCs/>
          <w:color w:val="000000" w:themeColor="text1"/>
          <w:sz w:val="24"/>
          <w:szCs w:val="24"/>
        </w:rPr>
        <w:t>The use of research in educational practice: A guide for educators</w:t>
      </w:r>
      <w:r w:rsidRPr="00933CAD">
        <w:rPr>
          <w:rFonts w:ascii="Times New Roman" w:hAnsi="Times New Roman" w:cs="Times New Roman"/>
          <w:color w:val="000000" w:themeColor="text1"/>
          <w:sz w:val="24"/>
          <w:szCs w:val="24"/>
        </w:rPr>
        <w:t>. Routledge.</w:t>
      </w:r>
    </w:p>
    <w:p w14:paraId="2FF11B6D" w14:textId="03F48D7B"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Vergara, C. R. (2021). Mathematics resilience and achievement goals: Exploring the role of non-cognitive factors to mathematics performance of university students amidst the pandemic. </w:t>
      </w:r>
      <w:r w:rsidRPr="00933CAD">
        <w:rPr>
          <w:rFonts w:ascii="Times New Roman" w:hAnsi="Times New Roman" w:cs="Times New Roman"/>
          <w:i/>
          <w:iCs/>
          <w:color w:val="000000" w:themeColor="text1"/>
          <w:sz w:val="24"/>
          <w:szCs w:val="24"/>
        </w:rPr>
        <w:t>Open Access Library Journal, 8</w:t>
      </w:r>
      <w:r w:rsidRPr="00933CAD">
        <w:rPr>
          <w:rFonts w:ascii="Times New Roman" w:hAnsi="Times New Roman" w:cs="Times New Roman"/>
          <w:color w:val="000000" w:themeColor="text1"/>
          <w:sz w:val="24"/>
          <w:szCs w:val="24"/>
        </w:rPr>
        <w:t xml:space="preserve">, 1–10. </w:t>
      </w:r>
      <w:hyperlink r:id="rId18" w:history="1">
        <w:r w:rsidRPr="00933CAD">
          <w:rPr>
            <w:rStyle w:val="Hyperlink"/>
            <w:rFonts w:ascii="Times New Roman" w:hAnsi="Times New Roman" w:cs="Times New Roman"/>
            <w:color w:val="000000" w:themeColor="text1"/>
            <w:sz w:val="24"/>
            <w:szCs w:val="24"/>
            <w:u w:val="none"/>
          </w:rPr>
          <w:t>https://doi.org/10.4236/oalib.1108166</w:t>
        </w:r>
      </w:hyperlink>
    </w:p>
    <w:p w14:paraId="0FFDEDC2" w14:textId="0AE092CB"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rPr>
        <w:t xml:space="preserve">Wang, X., &amp; </w:t>
      </w:r>
      <w:proofErr w:type="spellStart"/>
      <w:r w:rsidRPr="00933CAD">
        <w:rPr>
          <w:rFonts w:ascii="Times New Roman" w:hAnsi="Times New Roman" w:cs="Times New Roman"/>
          <w:color w:val="000000" w:themeColor="text1"/>
          <w:sz w:val="24"/>
          <w:szCs w:val="24"/>
        </w:rPr>
        <w:t>Madihie</w:t>
      </w:r>
      <w:proofErr w:type="spellEnd"/>
      <w:r w:rsidRPr="00933CAD">
        <w:rPr>
          <w:rFonts w:ascii="Times New Roman" w:hAnsi="Times New Roman" w:cs="Times New Roman"/>
          <w:color w:val="000000" w:themeColor="text1"/>
          <w:sz w:val="24"/>
          <w:szCs w:val="24"/>
        </w:rPr>
        <w:t xml:space="preserve">, A. (2026). A quasi-experimental study: Cultivating mathematical resilience via intervention in Chinese classrooms. </w:t>
      </w:r>
      <w:r w:rsidRPr="00933CAD">
        <w:rPr>
          <w:rFonts w:ascii="Times New Roman" w:hAnsi="Times New Roman" w:cs="Times New Roman"/>
          <w:i/>
          <w:iCs/>
          <w:color w:val="000000" w:themeColor="text1"/>
          <w:sz w:val="24"/>
          <w:szCs w:val="24"/>
        </w:rPr>
        <w:t>Frontiers in Psychology, 17</w:t>
      </w:r>
      <w:r w:rsidRPr="00933CAD">
        <w:rPr>
          <w:rFonts w:ascii="Times New Roman" w:hAnsi="Times New Roman" w:cs="Times New Roman"/>
          <w:color w:val="000000" w:themeColor="text1"/>
          <w:sz w:val="24"/>
          <w:szCs w:val="24"/>
        </w:rPr>
        <w:t xml:space="preserve">, Article 1745726. </w:t>
      </w:r>
      <w:hyperlink r:id="rId19" w:history="1">
        <w:r w:rsidRPr="00933CAD">
          <w:rPr>
            <w:rStyle w:val="Hyperlink"/>
            <w:rFonts w:ascii="Times New Roman" w:hAnsi="Times New Roman" w:cs="Times New Roman"/>
            <w:color w:val="000000" w:themeColor="text1"/>
            <w:sz w:val="24"/>
            <w:szCs w:val="24"/>
            <w:u w:val="none"/>
          </w:rPr>
          <w:t>https://doi.org/10.3389/fpsyg.2026.1745726</w:t>
        </w:r>
      </w:hyperlink>
    </w:p>
    <w:p w14:paraId="0430BC9F" w14:textId="57E44966" w:rsidR="006A13FA" w:rsidRPr="00933CAD" w:rsidRDefault="006A13FA" w:rsidP="00933CAD">
      <w:pPr>
        <w:pStyle w:val="ListParagraph"/>
        <w:numPr>
          <w:ilvl w:val="0"/>
          <w:numId w:val="14"/>
        </w:numPr>
        <w:jc w:val="both"/>
        <w:rPr>
          <w:rFonts w:ascii="Times New Roman" w:hAnsi="Times New Roman" w:cs="Times New Roman"/>
          <w:sz w:val="24"/>
          <w:szCs w:val="24"/>
        </w:rPr>
      </w:pPr>
      <w:proofErr w:type="spellStart"/>
      <w:r w:rsidRPr="00933CAD">
        <w:rPr>
          <w:rFonts w:ascii="Times New Roman" w:hAnsi="Times New Roman" w:cs="Times New Roman"/>
          <w:color w:val="000000" w:themeColor="text1"/>
          <w:sz w:val="24"/>
          <w:szCs w:val="24"/>
        </w:rPr>
        <w:t>Xenofontos</w:t>
      </w:r>
      <w:proofErr w:type="spellEnd"/>
      <w:r w:rsidRPr="00933CAD">
        <w:rPr>
          <w:rFonts w:ascii="Times New Roman" w:hAnsi="Times New Roman" w:cs="Times New Roman"/>
          <w:color w:val="000000" w:themeColor="text1"/>
          <w:sz w:val="24"/>
          <w:szCs w:val="24"/>
        </w:rPr>
        <w:t xml:space="preserve">, C., &amp; </w:t>
      </w:r>
      <w:proofErr w:type="spellStart"/>
      <w:r w:rsidRPr="00933CAD">
        <w:rPr>
          <w:rFonts w:ascii="Times New Roman" w:hAnsi="Times New Roman" w:cs="Times New Roman"/>
          <w:color w:val="000000" w:themeColor="text1"/>
          <w:sz w:val="24"/>
          <w:szCs w:val="24"/>
        </w:rPr>
        <w:t>Mouroutsou</w:t>
      </w:r>
      <w:proofErr w:type="spellEnd"/>
      <w:r w:rsidRPr="00933CAD">
        <w:rPr>
          <w:rFonts w:ascii="Times New Roman" w:hAnsi="Times New Roman" w:cs="Times New Roman"/>
          <w:color w:val="000000" w:themeColor="text1"/>
          <w:sz w:val="24"/>
          <w:szCs w:val="24"/>
        </w:rPr>
        <w:t xml:space="preserve">, S. (2022). Resilience in mathematics education research: A systematic review of empirical studies. </w:t>
      </w:r>
      <w:r w:rsidRPr="00933CAD">
        <w:rPr>
          <w:rFonts w:ascii="Times New Roman" w:hAnsi="Times New Roman" w:cs="Times New Roman"/>
          <w:i/>
          <w:iCs/>
          <w:color w:val="000000" w:themeColor="text1"/>
          <w:sz w:val="24"/>
          <w:szCs w:val="24"/>
        </w:rPr>
        <w:t>Scandinavian Journal of Educational Research, 67</w:t>
      </w:r>
      <w:r w:rsidRPr="00933CAD">
        <w:rPr>
          <w:rFonts w:ascii="Times New Roman" w:hAnsi="Times New Roman" w:cs="Times New Roman"/>
          <w:color w:val="000000" w:themeColor="text1"/>
          <w:sz w:val="24"/>
          <w:szCs w:val="24"/>
        </w:rPr>
        <w:t xml:space="preserve">(7), 1041–1055. </w:t>
      </w:r>
      <w:hyperlink r:id="rId20" w:history="1">
        <w:r w:rsidRPr="00933CAD">
          <w:rPr>
            <w:rStyle w:val="Hyperlink"/>
            <w:rFonts w:ascii="Times New Roman" w:hAnsi="Times New Roman" w:cs="Times New Roman"/>
            <w:color w:val="000000" w:themeColor="text1"/>
            <w:sz w:val="24"/>
            <w:szCs w:val="24"/>
            <w:u w:val="none"/>
          </w:rPr>
          <w:t>https://doi.org/10.1080/00313831.2022.2115132</w:t>
        </w:r>
      </w:hyperlink>
    </w:p>
    <w:p w14:paraId="6B9D0687" w14:textId="6BE0C437" w:rsidR="006A13FA" w:rsidRPr="00933CAD" w:rsidRDefault="006A13FA" w:rsidP="00933CAD">
      <w:pPr>
        <w:pStyle w:val="ListParagraph"/>
        <w:numPr>
          <w:ilvl w:val="0"/>
          <w:numId w:val="14"/>
        </w:numPr>
        <w:jc w:val="both"/>
        <w:rPr>
          <w:rFonts w:ascii="Times New Roman" w:hAnsi="Times New Roman" w:cs="Times New Roman"/>
          <w:sz w:val="24"/>
          <w:szCs w:val="24"/>
        </w:rPr>
      </w:pPr>
      <w:r w:rsidRPr="00933CAD">
        <w:rPr>
          <w:rFonts w:ascii="Times New Roman" w:hAnsi="Times New Roman" w:cs="Times New Roman"/>
          <w:color w:val="000000" w:themeColor="text1"/>
          <w:sz w:val="24"/>
          <w:szCs w:val="24"/>
          <w:lang w:val="sv-SE"/>
        </w:rPr>
        <w:t xml:space="preserve">Yongco, J. O., &amp; Del Valle, J. M. (2022). </w:t>
      </w:r>
      <w:r w:rsidRPr="00933CAD">
        <w:rPr>
          <w:rFonts w:ascii="Times New Roman" w:hAnsi="Times New Roman" w:cs="Times New Roman"/>
          <w:color w:val="000000" w:themeColor="text1"/>
          <w:sz w:val="24"/>
          <w:szCs w:val="24"/>
        </w:rPr>
        <w:t xml:space="preserve">Development and evaluation of instructional module for Special Program in Journalism. </w:t>
      </w:r>
      <w:r w:rsidRPr="00933CAD">
        <w:rPr>
          <w:rFonts w:ascii="Times New Roman" w:hAnsi="Times New Roman" w:cs="Times New Roman"/>
          <w:i/>
          <w:iCs/>
          <w:color w:val="000000" w:themeColor="text1"/>
          <w:sz w:val="24"/>
          <w:szCs w:val="24"/>
        </w:rPr>
        <w:t>International Journal of Educational Management and Development Studies, 3</w:t>
      </w:r>
      <w:r w:rsidRPr="00933CAD">
        <w:rPr>
          <w:rFonts w:ascii="Times New Roman" w:hAnsi="Times New Roman" w:cs="Times New Roman"/>
          <w:color w:val="000000" w:themeColor="text1"/>
          <w:sz w:val="24"/>
          <w:szCs w:val="24"/>
        </w:rPr>
        <w:t xml:space="preserve">(4), 97–117. </w:t>
      </w:r>
      <w:hyperlink r:id="rId21" w:history="1">
        <w:r w:rsidRPr="00933CAD">
          <w:rPr>
            <w:rStyle w:val="Hyperlink"/>
            <w:rFonts w:ascii="Times New Roman" w:hAnsi="Times New Roman" w:cs="Times New Roman"/>
            <w:color w:val="000000" w:themeColor="text1"/>
            <w:sz w:val="24"/>
            <w:szCs w:val="24"/>
            <w:u w:val="none"/>
          </w:rPr>
          <w:t>https://doi.org/10.53378/352948</w:t>
        </w:r>
      </w:hyperlink>
    </w:p>
    <w:p w14:paraId="02106AF9" w14:textId="77777777" w:rsidR="006A13FA" w:rsidRPr="00933CAD" w:rsidRDefault="006A13FA" w:rsidP="00933CAD">
      <w:pPr>
        <w:pStyle w:val="ListParagraph"/>
        <w:numPr>
          <w:ilvl w:val="0"/>
          <w:numId w:val="14"/>
        </w:numPr>
        <w:spacing w:after="0"/>
        <w:jc w:val="both"/>
        <w:rPr>
          <w:rFonts w:ascii="Times New Roman" w:hAnsi="Times New Roman" w:cs="Times New Roman"/>
          <w:color w:val="000000" w:themeColor="text1"/>
          <w:sz w:val="24"/>
          <w:szCs w:val="24"/>
        </w:rPr>
      </w:pPr>
      <w:r w:rsidRPr="00933CAD">
        <w:rPr>
          <w:rFonts w:ascii="Times New Roman" w:hAnsi="Times New Roman" w:cs="Times New Roman"/>
          <w:color w:val="000000" w:themeColor="text1"/>
          <w:sz w:val="24"/>
          <w:szCs w:val="24"/>
        </w:rPr>
        <w:t xml:space="preserve">Zimmerman, B. J. (2020). Becoming a self-regulated learner: An overview. </w:t>
      </w:r>
      <w:r w:rsidRPr="00933CAD">
        <w:rPr>
          <w:rFonts w:ascii="Times New Roman" w:hAnsi="Times New Roman" w:cs="Times New Roman"/>
          <w:i/>
          <w:iCs/>
          <w:color w:val="000000" w:themeColor="text1"/>
          <w:sz w:val="24"/>
          <w:szCs w:val="24"/>
        </w:rPr>
        <w:t>Theory Into Practice, 41</w:t>
      </w:r>
      <w:r w:rsidRPr="00933CAD">
        <w:rPr>
          <w:rFonts w:ascii="Times New Roman" w:hAnsi="Times New Roman" w:cs="Times New Roman"/>
          <w:color w:val="000000" w:themeColor="text1"/>
          <w:sz w:val="24"/>
          <w:szCs w:val="24"/>
        </w:rPr>
        <w:t>(2), 64–70.</w:t>
      </w:r>
    </w:p>
    <w:p w14:paraId="60D1F13B" w14:textId="77777777" w:rsidR="000B3140" w:rsidRPr="001520D6" w:rsidRDefault="000B3140" w:rsidP="006A13FA">
      <w:pPr>
        <w:spacing w:after="0" w:line="240" w:lineRule="auto"/>
        <w:jc w:val="both"/>
        <w:rPr>
          <w:rFonts w:ascii="Times New Roman" w:hAnsi="Times New Roman" w:cs="Times New Roman"/>
          <w:b/>
          <w:bCs/>
          <w:sz w:val="28"/>
          <w:szCs w:val="28"/>
        </w:rPr>
      </w:pPr>
    </w:p>
    <w:sectPr w:rsidR="000B3140" w:rsidRPr="001520D6" w:rsidSect="00BE235E">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7B1C" w14:textId="77777777" w:rsidR="00CC3880" w:rsidRDefault="00CC3880" w:rsidP="00BE235E">
      <w:pPr>
        <w:spacing w:after="0" w:line="240" w:lineRule="auto"/>
      </w:pPr>
      <w:r>
        <w:separator/>
      </w:r>
    </w:p>
  </w:endnote>
  <w:endnote w:type="continuationSeparator" w:id="0">
    <w:p w14:paraId="35406CB9" w14:textId="77777777" w:rsidR="00CC3880" w:rsidRDefault="00CC3880" w:rsidP="00BE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091A" w14:textId="77777777" w:rsidR="00CC3880" w:rsidRDefault="00CC3880" w:rsidP="00BE235E">
      <w:pPr>
        <w:spacing w:after="0" w:line="240" w:lineRule="auto"/>
      </w:pPr>
      <w:r>
        <w:separator/>
      </w:r>
    </w:p>
  </w:footnote>
  <w:footnote w:type="continuationSeparator" w:id="0">
    <w:p w14:paraId="1DB3BF0B" w14:textId="77777777" w:rsidR="00CC3880" w:rsidRDefault="00CC3880" w:rsidP="00BE2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894"/>
    <w:multiLevelType w:val="hybridMultilevel"/>
    <w:tmpl w:val="A244B4F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6B119B"/>
    <w:multiLevelType w:val="multilevel"/>
    <w:tmpl w:val="46D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21289"/>
    <w:multiLevelType w:val="multilevel"/>
    <w:tmpl w:val="7012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55957"/>
    <w:multiLevelType w:val="multilevel"/>
    <w:tmpl w:val="6AD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76BD4"/>
    <w:multiLevelType w:val="multilevel"/>
    <w:tmpl w:val="C59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B45B5"/>
    <w:multiLevelType w:val="hybridMultilevel"/>
    <w:tmpl w:val="C3621C3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8ED3DB9"/>
    <w:multiLevelType w:val="multilevel"/>
    <w:tmpl w:val="23AE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66897"/>
    <w:multiLevelType w:val="multilevel"/>
    <w:tmpl w:val="5D0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A2A51"/>
    <w:multiLevelType w:val="multilevel"/>
    <w:tmpl w:val="4C7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26CA9"/>
    <w:multiLevelType w:val="multilevel"/>
    <w:tmpl w:val="CEB0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B60F8"/>
    <w:multiLevelType w:val="multilevel"/>
    <w:tmpl w:val="C8A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6377B"/>
    <w:multiLevelType w:val="multilevel"/>
    <w:tmpl w:val="6D04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4301F"/>
    <w:multiLevelType w:val="multilevel"/>
    <w:tmpl w:val="C7E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A011C"/>
    <w:multiLevelType w:val="multilevel"/>
    <w:tmpl w:val="6FD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538449">
    <w:abstractNumId w:val="13"/>
  </w:num>
  <w:num w:numId="2" w16cid:durableId="1537280447">
    <w:abstractNumId w:val="11"/>
  </w:num>
  <w:num w:numId="3" w16cid:durableId="675956678">
    <w:abstractNumId w:val="10"/>
  </w:num>
  <w:num w:numId="4" w16cid:durableId="756095519">
    <w:abstractNumId w:val="2"/>
  </w:num>
  <w:num w:numId="5" w16cid:durableId="1502546496">
    <w:abstractNumId w:val="7"/>
  </w:num>
  <w:num w:numId="6" w16cid:durableId="314992985">
    <w:abstractNumId w:val="4"/>
  </w:num>
  <w:num w:numId="7" w16cid:durableId="403844018">
    <w:abstractNumId w:val="9"/>
  </w:num>
  <w:num w:numId="8" w16cid:durableId="1094663366">
    <w:abstractNumId w:val="1"/>
  </w:num>
  <w:num w:numId="9" w16cid:durableId="538977246">
    <w:abstractNumId w:val="6"/>
  </w:num>
  <w:num w:numId="10" w16cid:durableId="204104623">
    <w:abstractNumId w:val="8"/>
  </w:num>
  <w:num w:numId="11" w16cid:durableId="801576882">
    <w:abstractNumId w:val="12"/>
  </w:num>
  <w:num w:numId="12" w16cid:durableId="1707220389">
    <w:abstractNumId w:val="3"/>
  </w:num>
  <w:num w:numId="13" w16cid:durableId="488324312">
    <w:abstractNumId w:val="5"/>
  </w:num>
  <w:num w:numId="14" w16cid:durableId="65931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E"/>
    <w:rsid w:val="00011484"/>
    <w:rsid w:val="00064063"/>
    <w:rsid w:val="0009706E"/>
    <w:rsid w:val="000B3140"/>
    <w:rsid w:val="000B4C63"/>
    <w:rsid w:val="000D0A9D"/>
    <w:rsid w:val="0013259A"/>
    <w:rsid w:val="00134262"/>
    <w:rsid w:val="001520D6"/>
    <w:rsid w:val="00196E6D"/>
    <w:rsid w:val="00200366"/>
    <w:rsid w:val="00220960"/>
    <w:rsid w:val="00226D22"/>
    <w:rsid w:val="00227F92"/>
    <w:rsid w:val="002F60A8"/>
    <w:rsid w:val="003139B0"/>
    <w:rsid w:val="00334093"/>
    <w:rsid w:val="00355C52"/>
    <w:rsid w:val="00460B76"/>
    <w:rsid w:val="004D6802"/>
    <w:rsid w:val="005202B5"/>
    <w:rsid w:val="00550BDB"/>
    <w:rsid w:val="00626D88"/>
    <w:rsid w:val="006351D9"/>
    <w:rsid w:val="0067243D"/>
    <w:rsid w:val="00677A0E"/>
    <w:rsid w:val="006A13FA"/>
    <w:rsid w:val="00735120"/>
    <w:rsid w:val="007644E2"/>
    <w:rsid w:val="00785285"/>
    <w:rsid w:val="00794032"/>
    <w:rsid w:val="00797E19"/>
    <w:rsid w:val="007B0697"/>
    <w:rsid w:val="007D153C"/>
    <w:rsid w:val="007D444B"/>
    <w:rsid w:val="00832116"/>
    <w:rsid w:val="00896E57"/>
    <w:rsid w:val="008B673D"/>
    <w:rsid w:val="008D01A7"/>
    <w:rsid w:val="008E4F5E"/>
    <w:rsid w:val="00933CAD"/>
    <w:rsid w:val="00941DCB"/>
    <w:rsid w:val="00942295"/>
    <w:rsid w:val="00942D74"/>
    <w:rsid w:val="00990CAC"/>
    <w:rsid w:val="009A0C00"/>
    <w:rsid w:val="009B72F0"/>
    <w:rsid w:val="009B7993"/>
    <w:rsid w:val="009D2B16"/>
    <w:rsid w:val="009D74B6"/>
    <w:rsid w:val="009D7878"/>
    <w:rsid w:val="009E3CA9"/>
    <w:rsid w:val="00A02575"/>
    <w:rsid w:val="00A1656A"/>
    <w:rsid w:val="00AB0801"/>
    <w:rsid w:val="00AF4BC1"/>
    <w:rsid w:val="00B04130"/>
    <w:rsid w:val="00B053E2"/>
    <w:rsid w:val="00B11B49"/>
    <w:rsid w:val="00B7182D"/>
    <w:rsid w:val="00B775AF"/>
    <w:rsid w:val="00BA119A"/>
    <w:rsid w:val="00BA5AD6"/>
    <w:rsid w:val="00BB4065"/>
    <w:rsid w:val="00BB6136"/>
    <w:rsid w:val="00BE235E"/>
    <w:rsid w:val="00BE3551"/>
    <w:rsid w:val="00C04152"/>
    <w:rsid w:val="00C12EA4"/>
    <w:rsid w:val="00C1732B"/>
    <w:rsid w:val="00C40827"/>
    <w:rsid w:val="00C66988"/>
    <w:rsid w:val="00CA7FC7"/>
    <w:rsid w:val="00CC3880"/>
    <w:rsid w:val="00CD4F95"/>
    <w:rsid w:val="00CE46FC"/>
    <w:rsid w:val="00CF1D25"/>
    <w:rsid w:val="00CF70C5"/>
    <w:rsid w:val="00D31EDD"/>
    <w:rsid w:val="00D66213"/>
    <w:rsid w:val="00D70775"/>
    <w:rsid w:val="00D85885"/>
    <w:rsid w:val="00D96AB0"/>
    <w:rsid w:val="00DC46F4"/>
    <w:rsid w:val="00DC67A7"/>
    <w:rsid w:val="00DE42B5"/>
    <w:rsid w:val="00DF5697"/>
    <w:rsid w:val="00E20635"/>
    <w:rsid w:val="00E40448"/>
    <w:rsid w:val="00E505D8"/>
    <w:rsid w:val="00E74D1E"/>
    <w:rsid w:val="00ED711C"/>
    <w:rsid w:val="00EF373B"/>
    <w:rsid w:val="00F23D1A"/>
    <w:rsid w:val="00F47087"/>
    <w:rsid w:val="00F72731"/>
    <w:rsid w:val="00F942BE"/>
    <w:rsid w:val="00FA4E40"/>
    <w:rsid w:val="00FB373E"/>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FB55"/>
  <w15:chartTrackingRefBased/>
  <w15:docId w15:val="{57F5F0F4-ADD3-4D47-8F5D-9E7A13FE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F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1ED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4">
    <w:name w:val="heading 4"/>
    <w:basedOn w:val="Normal"/>
    <w:next w:val="Normal"/>
    <w:link w:val="Heading4Char"/>
    <w:uiPriority w:val="9"/>
    <w:semiHidden/>
    <w:unhideWhenUsed/>
    <w:qFormat/>
    <w:rsid w:val="000B31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5E"/>
  </w:style>
  <w:style w:type="paragraph" w:styleId="Footer">
    <w:name w:val="footer"/>
    <w:basedOn w:val="Normal"/>
    <w:link w:val="FooterChar"/>
    <w:uiPriority w:val="99"/>
    <w:unhideWhenUsed/>
    <w:rsid w:val="00BE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5E"/>
  </w:style>
  <w:style w:type="paragraph" w:styleId="NormalWeb">
    <w:name w:val="Normal (Web)"/>
    <w:basedOn w:val="Normal"/>
    <w:uiPriority w:val="99"/>
    <w:unhideWhenUsed/>
    <w:rsid w:val="003139B0"/>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D31EDD"/>
    <w:rPr>
      <w:rFonts w:ascii="Times New Roman" w:eastAsia="Times New Roman" w:hAnsi="Times New Roman" w:cs="Times New Roman"/>
      <w:b/>
      <w:bCs/>
      <w:sz w:val="36"/>
      <w:szCs w:val="36"/>
      <w:lang w:eastAsia="en-PH"/>
    </w:rPr>
  </w:style>
  <w:style w:type="character" w:customStyle="1" w:styleId="math-inline">
    <w:name w:val="math-inline"/>
    <w:basedOn w:val="DefaultParagraphFont"/>
    <w:rsid w:val="00B11B49"/>
  </w:style>
  <w:style w:type="paragraph" w:styleId="NoSpacing">
    <w:name w:val="No Spacing"/>
    <w:aliases w:val="Cover Page Text"/>
    <w:basedOn w:val="Normal"/>
    <w:link w:val="NoSpacingChar"/>
    <w:uiPriority w:val="1"/>
    <w:qFormat/>
    <w:rsid w:val="00B11B49"/>
    <w:pPr>
      <w:spacing w:after="0" w:line="240" w:lineRule="auto"/>
      <w:jc w:val="center"/>
    </w:pPr>
    <w:rPr>
      <w:rFonts w:ascii="Arial Narrow" w:eastAsia="Calibri" w:hAnsi="Arial Narrow" w:cs="Arial"/>
      <w:b/>
      <w:sz w:val="24"/>
    </w:rPr>
  </w:style>
  <w:style w:type="character" w:customStyle="1" w:styleId="Heading4Char">
    <w:name w:val="Heading 4 Char"/>
    <w:basedOn w:val="DefaultParagraphFont"/>
    <w:link w:val="Heading4"/>
    <w:uiPriority w:val="9"/>
    <w:semiHidden/>
    <w:rsid w:val="000B314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B79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0D6"/>
    <w:rPr>
      <w:color w:val="0000FF"/>
      <w:u w:val="single"/>
    </w:rPr>
  </w:style>
  <w:style w:type="character" w:customStyle="1" w:styleId="citation-223">
    <w:name w:val="citation-223"/>
    <w:basedOn w:val="DefaultParagraphFont"/>
    <w:rsid w:val="001520D6"/>
  </w:style>
  <w:style w:type="character" w:customStyle="1" w:styleId="citation-220">
    <w:name w:val="citation-220"/>
    <w:basedOn w:val="DefaultParagraphFont"/>
    <w:rsid w:val="001520D6"/>
  </w:style>
  <w:style w:type="character" w:customStyle="1" w:styleId="citation-219">
    <w:name w:val="citation-219"/>
    <w:basedOn w:val="DefaultParagraphFont"/>
    <w:rsid w:val="001520D6"/>
  </w:style>
  <w:style w:type="paragraph" w:styleId="ListParagraph">
    <w:name w:val="List Paragraph"/>
    <w:basedOn w:val="Normal"/>
    <w:uiPriority w:val="34"/>
    <w:qFormat/>
    <w:rsid w:val="001520D6"/>
    <w:pPr>
      <w:ind w:left="720"/>
      <w:contextualSpacing/>
    </w:pPr>
  </w:style>
  <w:style w:type="character" w:customStyle="1" w:styleId="Heading1Char">
    <w:name w:val="Heading 1 Char"/>
    <w:basedOn w:val="DefaultParagraphFont"/>
    <w:link w:val="Heading1"/>
    <w:uiPriority w:val="9"/>
    <w:rsid w:val="00CD4F95"/>
    <w:rPr>
      <w:rFonts w:asciiTheme="majorHAnsi" w:eastAsiaTheme="majorEastAsia" w:hAnsiTheme="majorHAnsi" w:cstheme="majorBidi"/>
      <w:color w:val="2F5496" w:themeColor="accent1" w:themeShade="BF"/>
      <w:sz w:val="32"/>
      <w:szCs w:val="32"/>
    </w:rPr>
  </w:style>
  <w:style w:type="character" w:customStyle="1" w:styleId="NoSpacingChar">
    <w:name w:val="No Spacing Char"/>
    <w:link w:val="NoSpacing"/>
    <w:uiPriority w:val="1"/>
    <w:qFormat/>
    <w:rsid w:val="00942295"/>
    <w:rPr>
      <w:rFonts w:ascii="Arial Narrow" w:eastAsia="Calibri" w:hAnsi="Arial Narrow"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790">
      <w:bodyDiv w:val="1"/>
      <w:marLeft w:val="0"/>
      <w:marRight w:val="0"/>
      <w:marTop w:val="0"/>
      <w:marBottom w:val="0"/>
      <w:divBdr>
        <w:top w:val="none" w:sz="0" w:space="0" w:color="auto"/>
        <w:left w:val="none" w:sz="0" w:space="0" w:color="auto"/>
        <w:bottom w:val="none" w:sz="0" w:space="0" w:color="auto"/>
        <w:right w:val="none" w:sz="0" w:space="0" w:color="auto"/>
      </w:divBdr>
    </w:div>
    <w:div w:id="207185508">
      <w:bodyDiv w:val="1"/>
      <w:marLeft w:val="0"/>
      <w:marRight w:val="0"/>
      <w:marTop w:val="0"/>
      <w:marBottom w:val="0"/>
      <w:divBdr>
        <w:top w:val="none" w:sz="0" w:space="0" w:color="auto"/>
        <w:left w:val="none" w:sz="0" w:space="0" w:color="auto"/>
        <w:bottom w:val="none" w:sz="0" w:space="0" w:color="auto"/>
        <w:right w:val="none" w:sz="0" w:space="0" w:color="auto"/>
      </w:divBdr>
    </w:div>
    <w:div w:id="368261733">
      <w:bodyDiv w:val="1"/>
      <w:marLeft w:val="0"/>
      <w:marRight w:val="0"/>
      <w:marTop w:val="0"/>
      <w:marBottom w:val="0"/>
      <w:divBdr>
        <w:top w:val="none" w:sz="0" w:space="0" w:color="auto"/>
        <w:left w:val="none" w:sz="0" w:space="0" w:color="auto"/>
        <w:bottom w:val="none" w:sz="0" w:space="0" w:color="auto"/>
        <w:right w:val="none" w:sz="0" w:space="0" w:color="auto"/>
      </w:divBdr>
    </w:div>
    <w:div w:id="879905111">
      <w:bodyDiv w:val="1"/>
      <w:marLeft w:val="0"/>
      <w:marRight w:val="0"/>
      <w:marTop w:val="0"/>
      <w:marBottom w:val="0"/>
      <w:divBdr>
        <w:top w:val="none" w:sz="0" w:space="0" w:color="auto"/>
        <w:left w:val="none" w:sz="0" w:space="0" w:color="auto"/>
        <w:bottom w:val="none" w:sz="0" w:space="0" w:color="auto"/>
        <w:right w:val="none" w:sz="0" w:space="0" w:color="auto"/>
      </w:divBdr>
    </w:div>
    <w:div w:id="1070276301">
      <w:bodyDiv w:val="1"/>
      <w:marLeft w:val="0"/>
      <w:marRight w:val="0"/>
      <w:marTop w:val="0"/>
      <w:marBottom w:val="0"/>
      <w:divBdr>
        <w:top w:val="none" w:sz="0" w:space="0" w:color="auto"/>
        <w:left w:val="none" w:sz="0" w:space="0" w:color="auto"/>
        <w:bottom w:val="none" w:sz="0" w:space="0" w:color="auto"/>
        <w:right w:val="none" w:sz="0" w:space="0" w:color="auto"/>
      </w:divBdr>
    </w:div>
    <w:div w:id="1314945065">
      <w:bodyDiv w:val="1"/>
      <w:marLeft w:val="0"/>
      <w:marRight w:val="0"/>
      <w:marTop w:val="0"/>
      <w:marBottom w:val="0"/>
      <w:divBdr>
        <w:top w:val="none" w:sz="0" w:space="0" w:color="auto"/>
        <w:left w:val="none" w:sz="0" w:space="0" w:color="auto"/>
        <w:bottom w:val="none" w:sz="0" w:space="0" w:color="auto"/>
        <w:right w:val="none" w:sz="0" w:space="0" w:color="auto"/>
      </w:divBdr>
    </w:div>
    <w:div w:id="1368095263">
      <w:bodyDiv w:val="1"/>
      <w:marLeft w:val="0"/>
      <w:marRight w:val="0"/>
      <w:marTop w:val="0"/>
      <w:marBottom w:val="0"/>
      <w:divBdr>
        <w:top w:val="none" w:sz="0" w:space="0" w:color="auto"/>
        <w:left w:val="none" w:sz="0" w:space="0" w:color="auto"/>
        <w:bottom w:val="none" w:sz="0" w:space="0" w:color="auto"/>
        <w:right w:val="none" w:sz="0" w:space="0" w:color="auto"/>
      </w:divBdr>
    </w:div>
    <w:div w:id="1556621136">
      <w:bodyDiv w:val="1"/>
      <w:marLeft w:val="0"/>
      <w:marRight w:val="0"/>
      <w:marTop w:val="0"/>
      <w:marBottom w:val="0"/>
      <w:divBdr>
        <w:top w:val="none" w:sz="0" w:space="0" w:color="auto"/>
        <w:left w:val="none" w:sz="0" w:space="0" w:color="auto"/>
        <w:bottom w:val="none" w:sz="0" w:space="0" w:color="auto"/>
        <w:right w:val="none" w:sz="0" w:space="0" w:color="auto"/>
      </w:divBdr>
    </w:div>
    <w:div w:id="1558587519">
      <w:bodyDiv w:val="1"/>
      <w:marLeft w:val="0"/>
      <w:marRight w:val="0"/>
      <w:marTop w:val="0"/>
      <w:marBottom w:val="0"/>
      <w:divBdr>
        <w:top w:val="none" w:sz="0" w:space="0" w:color="auto"/>
        <w:left w:val="none" w:sz="0" w:space="0" w:color="auto"/>
        <w:bottom w:val="none" w:sz="0" w:space="0" w:color="auto"/>
        <w:right w:val="none" w:sz="0" w:space="0" w:color="auto"/>
      </w:divBdr>
    </w:div>
    <w:div w:id="1883056096">
      <w:bodyDiv w:val="1"/>
      <w:marLeft w:val="0"/>
      <w:marRight w:val="0"/>
      <w:marTop w:val="0"/>
      <w:marBottom w:val="0"/>
      <w:divBdr>
        <w:top w:val="none" w:sz="0" w:space="0" w:color="auto"/>
        <w:left w:val="none" w:sz="0" w:space="0" w:color="auto"/>
        <w:bottom w:val="none" w:sz="0" w:space="0" w:color="auto"/>
        <w:right w:val="none" w:sz="0" w:space="0" w:color="auto"/>
      </w:divBdr>
    </w:div>
    <w:div w:id="1889410900">
      <w:bodyDiv w:val="1"/>
      <w:marLeft w:val="0"/>
      <w:marRight w:val="0"/>
      <w:marTop w:val="0"/>
      <w:marBottom w:val="0"/>
      <w:divBdr>
        <w:top w:val="none" w:sz="0" w:space="0" w:color="auto"/>
        <w:left w:val="none" w:sz="0" w:space="0" w:color="auto"/>
        <w:bottom w:val="none" w:sz="0" w:space="0" w:color="auto"/>
        <w:right w:val="none" w:sz="0" w:space="0" w:color="auto"/>
      </w:divBdr>
    </w:div>
    <w:div w:id="1959985686">
      <w:bodyDiv w:val="1"/>
      <w:marLeft w:val="0"/>
      <w:marRight w:val="0"/>
      <w:marTop w:val="0"/>
      <w:marBottom w:val="0"/>
      <w:divBdr>
        <w:top w:val="none" w:sz="0" w:space="0" w:color="auto"/>
        <w:left w:val="none" w:sz="0" w:space="0" w:color="auto"/>
        <w:bottom w:val="none" w:sz="0" w:space="0" w:color="auto"/>
        <w:right w:val="none" w:sz="0" w:space="0" w:color="auto"/>
      </w:divBdr>
    </w:div>
    <w:div w:id="19912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7812345" TargetMode="External"/><Relationship Id="rId13" Type="http://schemas.openxmlformats.org/officeDocument/2006/relationships/hyperlink" Target="https://doi.org/10.1177/0735633120967312" TargetMode="External"/><Relationship Id="rId18" Type="http://schemas.openxmlformats.org/officeDocument/2006/relationships/hyperlink" Target="https://doi.org/10.4236/oalib.1108166" TargetMode="External"/><Relationship Id="rId3" Type="http://schemas.openxmlformats.org/officeDocument/2006/relationships/settings" Target="settings.xml"/><Relationship Id="rId21" Type="http://schemas.openxmlformats.org/officeDocument/2006/relationships/hyperlink" Target="https://doi.org/10.53378/352948" TargetMode="External"/><Relationship Id="rId7" Type="http://schemas.openxmlformats.org/officeDocument/2006/relationships/hyperlink" Target="https://doi.org/10.29333/iji.2022.1518a" TargetMode="External"/><Relationship Id="rId12" Type="http://schemas.openxmlformats.org/officeDocument/2006/relationships/hyperlink" Target="https://doi.org/10.1007/s10648-021-09642-3" TargetMode="External"/><Relationship Id="rId17" Type="http://schemas.openxmlformats.org/officeDocument/2006/relationships/hyperlink" Target="https://doi.org/10.2139/ssrn.4145930" TargetMode="External"/><Relationship Id="rId2" Type="http://schemas.openxmlformats.org/officeDocument/2006/relationships/styles" Target="styles.xml"/><Relationship Id="rId16" Type="http://schemas.openxmlformats.org/officeDocument/2006/relationships/hyperlink" Target="https://doi.org/10.3389/fpsyg.2022.849238" TargetMode="External"/><Relationship Id="rId20" Type="http://schemas.openxmlformats.org/officeDocument/2006/relationships/hyperlink" Target="https://doi.org/10.1080/00313831.2022.2115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d.gov.ph/cmo-3-s-2022/" TargetMode="External"/><Relationship Id="rId5" Type="http://schemas.openxmlformats.org/officeDocument/2006/relationships/footnotes" Target="footnotes.xml"/><Relationship Id="rId15" Type="http://schemas.openxmlformats.org/officeDocument/2006/relationships/hyperlink" Target="https://doi.org/10.1787/3197152b-en" TargetMode="External"/><Relationship Id="rId23" Type="http://schemas.openxmlformats.org/officeDocument/2006/relationships/theme" Target="theme/theme1.xml"/><Relationship Id="rId10" Type="http://schemas.openxmlformats.org/officeDocument/2006/relationships/hyperlink" Target="https://ched.gov.ph/cmo-4-s-2020/" TargetMode="External"/><Relationship Id="rId19" Type="http://schemas.openxmlformats.org/officeDocument/2006/relationships/hyperlink" Target="https://doi.org/10.3389/fpsyg.2026.1745726" TargetMode="External"/><Relationship Id="rId4" Type="http://schemas.openxmlformats.org/officeDocument/2006/relationships/webSettings" Target="webSettings.xml"/><Relationship Id="rId9" Type="http://schemas.openxmlformats.org/officeDocument/2006/relationships/hyperlink" Target="https://ched.gov.ph/cmo-20-s-2013/" TargetMode="External"/><Relationship Id="rId14" Type="http://schemas.openxmlformats.org/officeDocument/2006/relationships/hyperlink" Target="https://doi.org/10.1007/s10648-019-0951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5416</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Grace Ramirez</dc:creator>
  <cp:keywords/>
  <dc:description/>
  <cp:lastModifiedBy>Robert Wariza Jr.</cp:lastModifiedBy>
  <cp:revision>2</cp:revision>
  <dcterms:created xsi:type="dcterms:W3CDTF">2026-06-02T14:02:00Z</dcterms:created>
  <dcterms:modified xsi:type="dcterms:W3CDTF">2026-06-02T14:02:00Z</dcterms:modified>
</cp:coreProperties>
</file>