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9CFB" w14:textId="77777777" w:rsidR="00D668A7" w:rsidRPr="00651093" w:rsidRDefault="00502199" w:rsidP="00502199">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Explainable Deep Learning for Intelligent Plant Disease Detection</w:t>
      </w:r>
    </w:p>
    <w:p w14:paraId="656C51C7" w14:textId="77777777" w:rsidR="00F63616" w:rsidRPr="00651093" w:rsidRDefault="00F63616" w:rsidP="00F63616">
      <w:pPr>
        <w:pStyle w:val="Author"/>
        <w:spacing w:before="0"/>
        <w:rPr>
          <w:i/>
        </w:rPr>
      </w:pPr>
      <w:r>
        <w:rPr>
          <w:b/>
          <w:bCs/>
          <w:sz w:val="24"/>
          <w:szCs w:val="24"/>
        </w:rPr>
        <w:t>Dr. Pallavi Sharma</w:t>
      </w:r>
      <w:r>
        <w:rPr>
          <w:b/>
          <w:bCs/>
          <w:sz w:val="24"/>
          <w:szCs w:val="24"/>
          <w:vertAlign w:val="superscript"/>
        </w:rPr>
        <w:t xml:space="preserve">1 </w:t>
      </w:r>
      <w:r>
        <w:rPr>
          <w:b/>
          <w:bCs/>
          <w:sz w:val="24"/>
          <w:szCs w:val="24"/>
        </w:rPr>
        <w:t>, Ngah Hesly Kilofonyuy</w:t>
      </w:r>
      <w:r>
        <w:rPr>
          <w:b/>
          <w:bCs/>
          <w:sz w:val="24"/>
          <w:szCs w:val="24"/>
          <w:vertAlign w:val="superscript"/>
        </w:rPr>
        <w:t>2</w:t>
      </w:r>
      <w:r>
        <w:rPr>
          <w:b/>
          <w:bCs/>
          <w:sz w:val="24"/>
          <w:szCs w:val="24"/>
        </w:rPr>
        <w:br/>
      </w:r>
      <w:r>
        <w:rPr>
          <w:i/>
          <w:vertAlign w:val="superscript"/>
        </w:rPr>
        <w:t>1</w:t>
      </w:r>
      <w:r>
        <w:rPr>
          <w:i/>
        </w:rPr>
        <w:t>Assistant Professor, School of Engineering, Design and Automation- E, Department of ECE, GNA University, Phagwara, Punjab, India</w:t>
      </w:r>
    </w:p>
    <w:p w14:paraId="078A1E3B" w14:textId="7EA50404" w:rsidR="00633176" w:rsidRDefault="00F63616" w:rsidP="00F63616">
      <w:pPr>
        <w:pStyle w:val="Author"/>
        <w:spacing w:before="0"/>
      </w:pPr>
      <w:r>
        <w:rPr>
          <w:i/>
          <w:vertAlign w:val="superscript"/>
        </w:rPr>
        <w:t>2</w:t>
      </w:r>
      <w:r>
        <w:rPr>
          <w:i/>
        </w:rPr>
        <w:t>Undergraduate Student, School of Engineering, Design and Automation- E, Department of ECE, GNA University, Phagwara, Punjab, India</w:t>
      </w:r>
      <w:r>
        <w:rPr>
          <w:i/>
        </w:rPr>
        <w:br/>
      </w:r>
      <w:r>
        <w:rPr>
          <w:i/>
          <w:iCs/>
        </w:rPr>
        <w:t>E-mail:</w:t>
      </w:r>
      <w:r>
        <w:t xml:space="preserve"> </w:t>
      </w:r>
      <w:hyperlink r:id="rId5" w:history="1">
        <w:r>
          <w:rPr>
            <w:rStyle w:val="Hyperlink"/>
          </w:rPr>
          <w:t>pallavi.sharma@gnauniversity.edu.in</w:t>
        </w:r>
      </w:hyperlink>
      <w:r>
        <w:t xml:space="preserve">, </w:t>
      </w:r>
      <w:hyperlink r:id="rId6" w:history="1">
        <w:r>
          <w:rPr>
            <w:rStyle w:val="Hyperlink"/>
          </w:rPr>
          <w:t>heslyngah@gmail.com</w:t>
        </w:r>
      </w:hyperlink>
      <w:r>
        <w:t xml:space="preserve"> </w:t>
      </w:r>
    </w:p>
    <w:p w14:paraId="58B6763A" w14:textId="77777777" w:rsidR="00F63616" w:rsidRPr="00651093" w:rsidRDefault="00F63616" w:rsidP="00F63616">
      <w:pPr>
        <w:pStyle w:val="Author"/>
        <w:spacing w:before="0"/>
      </w:pPr>
      <w:hyperlink r:id="rId7" w:history="1"/>
    </w:p>
    <w:p w14:paraId="6AE28322" w14:textId="77777777" w:rsidR="00502199" w:rsidRPr="00651093" w:rsidRDefault="00502199" w:rsidP="00502199">
      <w:pPr>
        <w:jc w:val="both"/>
        <w:rPr>
          <w:rFonts w:ascii="Times New Roman" w:eastAsia="Arial" w:hAnsi="Times New Roman" w:cs="Times New Roman"/>
          <w:color w:val="000000" w:themeColor="text1"/>
          <w:sz w:val="24"/>
          <w:szCs w:val="24"/>
        </w:rPr>
      </w:pPr>
      <w:r>
        <w:rPr>
          <w:rFonts w:ascii="Times New Roman" w:hAnsi="Times New Roman" w:cs="Times New Roman"/>
          <w:b/>
          <w:bCs/>
          <w:color w:val="000000" w:themeColor="text1"/>
          <w:sz w:val="24"/>
          <w:szCs w:val="24"/>
          <w:lang w:val="en-US"/>
        </w:rPr>
        <w:t>Abstract:</w:t>
      </w:r>
      <w:r>
        <w:rPr>
          <w:rFonts w:ascii="Times New Roman" w:hAnsi="Times New Roman" w:cs="Times New Roman"/>
          <w:color w:val="000000" w:themeColor="text1"/>
          <w:sz w:val="24"/>
          <w:szCs w:val="24"/>
          <w:lang w:val="en-US"/>
        </w:rPr>
        <w:t xml:space="preserve"> </w:t>
      </w:r>
      <w:r>
        <w:rPr>
          <w:rFonts w:ascii="Times New Roman" w:eastAsia="Arial" w:hAnsi="Times New Roman" w:cs="Times New Roman"/>
          <w:color w:val="000000" w:themeColor="text1"/>
          <w:sz w:val="24"/>
          <w:szCs w:val="24"/>
        </w:rPr>
        <w:t>The world suffers from 10–40% loss in crop yields each year because of plant disease. This threat is serious and growing; it threatens food security, rural livelihoods, and agricultural economies. Advances being made through deep learning, computer vision, and mobile technology have presented a unique opportunity to use leaf images to automatically recognize plant disease. Published classification accuracies on benchmark datasets now exceed 97%, which is an important achievement but achieving high accuracy on a benchmark alone does not indicate that traditional methods will work when deployed in the real world: all four stakeholders (i.e., farmers, agronomists, regulatory authorities, and extension agents) must therefore have the ability to understand, and interpret the output of automatically recognized plant diseases in a way that enhances human expertise rather than replacing it. In this chapter, we provide a compendium of technical deep learning architectures and methods related to Explainable Artificial Intelligence (XAI) for plant disease detection, including convolutional networks, residual architectures, dense architectures, transformer networks, and hybrid models. We also systematically evaluate the explainability methods used in both post-hoc and intrinsic explanation and evaluate the applicability of these methods across a variety of imaging modalities used in agriculture, including RGB, multispectral, and hyperspectral. This chapter characterizes major benchmark datasets; discusses major challenges to their deployment, including class imbalance, domain shift, model size reduction, and human–AI trust calibration; then ends with potential new directions for research in areas such as foundation models (FM), causal interpretable models (Explanations), federated learning, and continual learning to build resilience for each evolving pathogen landscape.</w:t>
      </w:r>
    </w:p>
    <w:p w14:paraId="0ECD970E" w14:textId="77777777" w:rsidR="00502199" w:rsidRPr="00651093" w:rsidRDefault="00502199" w:rsidP="00633176">
      <w:pPr>
        <w:spacing w:after="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b/>
          <w:bCs/>
          <w:color w:val="000000" w:themeColor="text1"/>
          <w:sz w:val="24"/>
          <w:szCs w:val="24"/>
        </w:rPr>
        <w:t xml:space="preserve">Keywords: </w:t>
      </w:r>
      <w:r>
        <w:rPr>
          <w:rFonts w:ascii="Times New Roman" w:eastAsia="Arial" w:hAnsi="Times New Roman" w:cs="Times New Roman"/>
          <w:color w:val="000000" w:themeColor="text1"/>
          <w:sz w:val="24"/>
          <w:szCs w:val="24"/>
        </w:rPr>
        <w:t>Explainable Artificial Intelligence; Plant Disease Detection; LIME, Grad-CAM; SHAP; Federated Learning; Precision Agriculture; Hyperspectral Imaging.</w:t>
      </w:r>
    </w:p>
    <w:p w14:paraId="0028B68D" w14:textId="77777777" w:rsidR="00502199" w:rsidRPr="00651093" w:rsidRDefault="00502199" w:rsidP="00633176">
      <w:pPr>
        <w:pStyle w:val="Heading1"/>
        <w:spacing w:before="0"/>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1. Introduction</w:t>
      </w:r>
    </w:p>
    <w:p w14:paraId="34EFF71F" w14:textId="77777777" w:rsidR="00FA0A04" w:rsidRDefault="00FA0A0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backbone of human civilization is Agriculture. Agriculture directly provides the livelihood of approximately 570 million farm households around the globe and indirectly supports the food security of a global population projected to reach over 9.7 billion by 2050. Among various agricultural products globally, plant diseases (caused by a variety of pathogens including fungi, bacteria, viruses, and oomycetes as well as abiotic stressors) are among the most widespread and economically damaging threats. According to the Food and Agriculture Organization of the United Nations, crop diseases, pests, and weeds alone account for loss of 20% to 40% of worldwide agricultural crop production each year, resulting in providing an estimated $220 billion dollars each year in economic loss. Smallholder farmers in low- and middle-income </w:t>
      </w:r>
      <w:r>
        <w:rPr>
          <w:rFonts w:ascii="Times New Roman" w:eastAsia="Arial" w:hAnsi="Times New Roman" w:cs="Times New Roman"/>
          <w:color w:val="000000" w:themeColor="text1"/>
          <w:sz w:val="24"/>
          <w:szCs w:val="24"/>
        </w:rPr>
        <w:lastRenderedPageBreak/>
        <w:t>countries disproportionately experience these consequences; a single, failed harvest threatens their future food security or long-term financial viability [1].</w:t>
      </w:r>
    </w:p>
    <w:p w14:paraId="74E82711" w14:textId="77777777" w:rsidR="00FA0A04" w:rsidRDefault="00FA0A0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Correctly identifying disease pathogens is essential to effectively manage diseases because the method of treatment depends on whether the pathogen is fungal, bacterial, or viral. Incorrectly identifying a pathogen leads to misapplication of chemicals, waste of costly inputs, rapid progression of resistance and delays in effective intervention. Currently, traditional methodologies for diagnosing plant diseases are limited to the expert visual assessment of a trained plant pathologist or agricultural extension officer. However, these experts are not found equally throughout the world but are instead primarily located in research institutions and government agencies in high-income areas with very limited availability in sub-Saharan Africa, South Asia and generally in areas where smallholder farmers grow crops. In sub-Saharan Africa in some areas, the ratio of extension officers to the number of farm households is greater than 1:3,000 creating an impossible task for expert assessments of large numbers of households.</w:t>
      </w:r>
    </w:p>
    <w:p w14:paraId="092FB85B" w14:textId="77777777" w:rsidR="00FA0A04" w:rsidRDefault="00FA0A0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rise of inexpensive smartphones with high-quality cameras and good mobile connectivity has made it possible to provide all farmers with tools they can use for diagnosing the health of their crops. This is now possible due to the presence of a strong infrastructure (high-resolution images and mobile connectivity) and the improvement of artificial intelligence (AI) through deep learning to identify plant diseases using images from smartphones. Deep learning is a sub-component of AI (specifically machine learning) that uses multiple layers of neural networks to extract features training (end-to-end) on very large datasets to obtain hierarchical features. In the field of image recognition, deep learning has demonstrated revolutionary outcomes. The use of deep convolutional neural networks (CNNs) to achieve classification accuracy above 97% on the PlantVillage benchmark demonstrates that expert human diagnostic specialists have comparable classification accuracies to deep learning systems under controlled conditions [2]. The success of AI for crop protection has also resulted in significant investments from commercial and government entities in the development of decision support systems based on AI, e.g. Plantix, Plant.id, PEAT and various early-warning systems funded by governments in Indonesia, Kenya, India and the Netherlands.</w:t>
      </w:r>
    </w:p>
    <w:p w14:paraId="06C0343C" w14:textId="77777777" w:rsidR="00793422" w:rsidRDefault="00FA0A04" w:rsidP="00793422">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There is a disparity between how well systems work under ideal conditions and how well they will work on the ground: interpretability. A farming operation cannot use a system that produces a disease label without additional information to indicate what visual or spectral evidence supports the prediction. For example, an agronomist deciding whether to apply a systemic fungicide (an expensive intervention) wants to ensure that the AI system has identified real signs of disease and is not presenting falsehoods (i.e., things in the image that do not really exist). Additionally, smallholder farmers may require a way of linking the location of </w:t>
      </w:r>
      <w:r>
        <w:rPr>
          <w:rFonts w:ascii="Times New Roman" w:eastAsia="Arial" w:hAnsi="Times New Roman" w:cs="Times New Roman"/>
          <w:color w:val="000000" w:themeColor="text1"/>
          <w:sz w:val="24"/>
          <w:szCs w:val="24"/>
        </w:rPr>
        <w:lastRenderedPageBreak/>
        <w:t>abnormality indicated by AI with what they see on the leaf. More regulatory agencies in the EU and other parts of the world are requiring that systems used to support important decisions provide transparency about how the algorithms operate [8]. In response to this gap, the field of Explainable Artificial Intelligence (XAI) has emerged to fill these needs; providing predictive systems with explanatory features based upon their outputs.</w:t>
      </w:r>
    </w:p>
    <w:p w14:paraId="16A0859E" w14:textId="77777777" w:rsidR="00793422" w:rsidRDefault="00793422" w:rsidP="00793422">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This chapter provides a thorough and technically sound approach to the use of deep learning techniques for identifying plant diseases. The principle focus of this investigation will be upon the interpretability of deep learning systems designed for such purposes. The aim will be to present not only the evolution of deep learning architectures from convolutional neural networks (CNNs) through residual networks or DenseNet to more efficient methods such as vision transformers, but also evaluate each architecture's corresponding accuracy and compatibility with XAI (i.e., interpretability). This will be accomplished in Section 2 by presenting the evolution of the aforementioned architectures as well as a discussion of both their accuracies and their compatibility with XAI. The systematic survey for each category of XAI technique available for application to deep learning models trained for plant disease identification is presented in Section 3 and includes: gradient saliency mapping; perturbation-based techniques; game theory-based attribution methods; attention mechanisms and their use in deep learning models; and relevance propagation techniques using backpropagation. The primary benchmark data associated with deep learning and plant disease will be described in Section 4 and consist of: laboratory-controlled datasets, field-collected datasets and hyperspectral imaging datasets. Section 5 discusses the challenges with regard to deploying a deep learning model trained to detect plant diseases including class imbalance, domain shift, edge computing restrictions and the interaction between humans and AI. Section 6 identifies emerging research directions that include foundation models, causal explainable artificial intelligence (XAI), federated learning, and continuous learning in response to the changing environment presented by plant pathogens. Section 7 presents discussion upon our findings and research recommendations.</w:t>
      </w:r>
    </w:p>
    <w:p w14:paraId="2732AB22" w14:textId="77777777" w:rsidR="00502199" w:rsidRPr="00651093" w:rsidRDefault="00502199" w:rsidP="00793422">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 Deep Learning Architectures for Plant Disease Detection</w:t>
      </w:r>
    </w:p>
    <w:p w14:paraId="5DDBFBAF"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2.1 Foundational Convolutional Neural Networks</w:t>
      </w:r>
    </w:p>
    <w:p w14:paraId="5B535B96" w14:textId="77777777" w:rsidR="005D21ED" w:rsidRPr="005D21ED" w:rsidRDefault="005D21ED" w:rsidP="005D21ED">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convolutional neural network (CNN) has been the preeminent way to classify plant disease Image using artificial neural networks. The three principal advancements of the CNN (local receptive field, shared spatial position weights, and hierarchical feature construction) application to visual recognition make CNN the best representation of visual imaging tasks.</w:t>
      </w:r>
    </w:p>
    <w:p w14:paraId="27ED82BA" w14:textId="77777777" w:rsidR="005D21ED" w:rsidRPr="005D21ED" w:rsidRDefault="005D21ED" w:rsidP="005D21ED">
      <w:pPr>
        <w:spacing w:before="100" w:after="140" w:line="330" w:lineRule="auto"/>
        <w:jc w:val="both"/>
        <w:rPr>
          <w:rFonts w:ascii="Times New Roman" w:eastAsia="Arial" w:hAnsi="Times New Roman" w:cs="Times New Roman"/>
          <w:color w:val="000000" w:themeColor="text1"/>
          <w:sz w:val="24"/>
          <w:szCs w:val="24"/>
        </w:rPr>
      </w:pPr>
    </w:p>
    <w:p w14:paraId="5DBCEF5D" w14:textId="77777777" w:rsidR="00502199" w:rsidRPr="00651093" w:rsidRDefault="005D21ED" w:rsidP="005D21ED">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The Convolutional Network has small convolutional window sizes (usually 3x3 or 5x5 pixels) to extract local information (i.e., edges, colour changes, or textures) from the image into its base components in the initial layers. The subsequent layers will then use those base components to build up feature representations of higher-level abstractions such as venation, lesion border, or spore patterns. Max-Pooling introduces a limited amount of translation in the image being recognized while simultaneously reducing the image's spatial dimension and increasing the depth of how CNN recognizes images. The ability to operate on a global feature vector compactly, in the fully connected layer of CNN is dependent on how well the global features of the feature representation have been reduced in size (dimensionality) using Max-Pooling. AlexNet won the ImageNet Large Scale Visual Recognition Competition in 2012 and demonstrated how dramatically Deep CNN using GPU-accelerated training, dropout for preventing overfitting, and data augmentation can change the outcome of a visual recognition task. AlexNet and less deep CNNs have struggled to clearly differentiate closely related plant diseases such as Septoria leaf spot vs early blight on tomato and angular leaf spot and bacteria blight on soybean because they do not have sufficiently deep hierarchies of features to make this distinction. The VGG architecture family, consisting of stacks of 3x3 convolutional blocks (i.e., layers) that have anywhere from 16 to 19 total layers deep, increased their ability to represent objects and therefore were widely viewed as a useful baseline for modeling/representing plants diseases from 2015 until 2017 when the VGG families achieved approximately 91% to 93% accuracy with the use of newly-developed methodologies (e.g., transfer-learning using an ImageNet dataset) [2].</w:t>
      </w:r>
    </w:p>
    <w:p w14:paraId="34379BCD"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2.2 Residual Networks and Dense Connectivity</w:t>
      </w:r>
    </w:p>
    <w:p w14:paraId="5460D938" w14:textId="77777777" w:rsidR="00502F3D" w:rsidRDefault="00502F3D"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reason this achieved success is likely due in part to solving the vanishing gradient problem (i.e., backpropagation errors diminishing/attenuating at an exponential rate throughout many layers), which had limited the practical depth of CNN to roughly 20 layers until he et al. [3] introduced the use of residual architectures with the addition of an identity shortcut connection to a typical convolutional block which allowed for an error message to be transmitted unattenuated to lower level blocks, thus allowing greater complexity, or the use of deeper architecture. Because of this added flexibility in adding layers to a configuration of architectures such as ResNet, ResNets also have been able to achieve a state of success in classifying/representing plant diseases at around 94% to 96% accuracy as compared to a known baseline for representing agricultural-related data (i.e., PlantVillage) and have subsequently become the most widely cited convolution architecture in the literature related to agricultural deep-learning models. Modifications made to ResNets, known as "Wide ResNets", where channel width is increased but depth is changed minimally, demonstrate an enhanced representation of features with minimal associated additional parameters.</w:t>
      </w:r>
    </w:p>
    <w:p w14:paraId="227A19B4" w14:textId="77777777" w:rsidR="009D00CE" w:rsidRDefault="009D00CE" w:rsidP="007A4F42">
      <w:pPr>
        <w:pStyle w:val="Heading2"/>
        <w:spacing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Huang et al. [4] developed DenseNet, which takes the basic residual idea and extends it to link all layers in a dense block (using feature map concatenation, as opposed to using addition) so that there is a fully dense flow of information through the network while promoting re-use of features, reducing the number of parameters unnecessarily, and providing the most optimal gradient pathways for the use of backpropagation methods for explaining what the model has learned. DenseNet-121 has performed well in both the vanilla controlled PlantVillage data set and also in PlantDoc, the more difficult, real-world validation data set, due to the fact that it enables the integration of low-level features with high-level features, such as integrating lesion colours and lesion chlorosis patterns (low-level) with lesion shape and lesion spatial distribution (high-level), into one unified feature representation. Furthermore, the extensive structure of feature concatenation in DenseNet makes DenseNet attribution maps derived from LRP and similar methods much more comprehensive and pathologically interpretable than those derived from previous networks.</w:t>
      </w:r>
    </w:p>
    <w:p w14:paraId="4138D87F"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2.3 Transfer Learning, Domain Adaptation, and Data Augmentation</w:t>
      </w:r>
    </w:p>
    <w:p w14:paraId="3CD64C44" w14:textId="77777777" w:rsidR="007066FC" w:rsidRDefault="007066FC" w:rsidP="007066FC">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ImageNet dataset, which has 1.28 Million images with 1000 categories of objects, provides CNNs with a visual dictionary of hierarchical primitive components (e.g., oriented edges, colour blobs, etc), which can serve to enhance the ability for the model to efficiently process and recognise agricultural leaf images as a function of fine-tuning. When fine-tuning a pre-trained CNN backbone on plant disease datasets, the model’s capacity to generalise and adapt features acquired from the ImageNet dataset enables multiple orders-of-magnitude larger amounts of plant disease labelled training data to be developed. This represents an immense advantage to agricultural applications where creating the number of expert-annotated images to train CNNs using an initial random start requires lots of cost-effectiveness given the typical expense associated with an individual expert creating a labelled image of an expert-level plant disease. Another area of focus for techniques used for the domain adaptation are the variability between the training domain, typically from the PlantVillage dataset, as well as for cameras and image characteristics such as lighting, the amount of reduced intra-class variation versus inter-class variation due to different stages of plant leaf development, etc. Adversarial domain adaptation (ADA) will allow the use of two different types of training methodologies (the training of domain discriminator as a function of supervised classification of disease images through CNN methods combined with gradient reversal to simultaneously learn new and existing feature sets) and domain discrimination during the training process to support developing features that discriminate across both the domain and among the different disease classes.  Overall, ADA provides support to USDA for developing CNN architecture to be trained with minimal datasets, adapted to variable </w:t>
      </w:r>
      <w:r>
        <w:rPr>
          <w:rFonts w:ascii="Times New Roman" w:eastAsia="Arial" w:hAnsi="Times New Roman" w:cs="Times New Roman"/>
          <w:color w:val="000000" w:themeColor="text1"/>
          <w:sz w:val="24"/>
          <w:szCs w:val="24"/>
        </w:rPr>
        <w:lastRenderedPageBreak/>
        <w:t>conditions, and computationally efficient implementations. Through multi-source domain generalization, data from different locations and conditions provide a larger distribution to support better general plan. Using augmentation methods, you can expand the apparent range of training data to improve stability against geometric and photometric changes. These methods include random cropping, horizontal and vertical flips, color jitter, random erasing, CutMix, and MixUp animal tests.</w:t>
      </w:r>
    </w:p>
    <w:p w14:paraId="0438952A"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2.4 EfficientNet: Compound Scaling</w:t>
      </w:r>
    </w:p>
    <w:p w14:paraId="09BF122D" w14:textId="77777777" w:rsidR="007066FC" w:rsidRDefault="007066FC" w:rsidP="007066FC">
      <w:pPr>
        <w:pStyle w:val="Heading2"/>
        <w:spacing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Tan and Le's EfficientNet [5] was introduced in 2019 to accommodate the dependencies among the proficiencies gained by evaluating a network's depth, breadth, and resolution independently. If you scale one of these aspects while keeping the others constant, you will get quickly diminishing returns. An architecture search for an efficient architecture from a constrained baseline (B0) yielded an EfficientNet family of models from B1 to B7 produced by applying a compound scaling (balanced) coefficient to scale all three dimensions at once. EfficientNet-B4 provides approximately 19 million parameters and achieves roughly 97% classification accuracy on PlantVillage and requires fewer floating-point operations than ResNet-101 or DenseNet-201, making it an excellent candidate for deployment on resource-constrained mobile devices, while still retaining classification performance. The modularity of the MBConv block structure allows for Grad-CAM and SHAP attributions using standard tools.</w:t>
      </w:r>
    </w:p>
    <w:p w14:paraId="0228F861"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2.5 Vision Transformers and Self-Attention Mechanisms</w:t>
      </w:r>
    </w:p>
    <w:p w14:paraId="78CD6545" w14:textId="77777777" w:rsidR="00411EDC" w:rsidRDefault="00411EDC"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Vision Transformer (ViT) created by Dosovitskiy et al. [6] uses a scale-dot-product self-attention mechanism; the main operation used in Natural Language Processing Transformers on sequences of image patches that do not overlap. These patches contain 16 pixels x 16 pixels or 32 pixels x 32 pixels. Each image patch is projected linearly into an embedding space with positional encoding. There exists a learned classification token that collects information from all the image patches via multiple heads of attention and multiple feed-forward networks layered together. Existing models pre-trained on large datasets such as ImageNet-21K (14 million images) and fine-tuned on plant disease datasets produce accuracy rates between 95-97% when compared to PlantVillage, while providing different forms of explainability compared to feature importance, with attention weights representing how much influence each patch has upon the overall classification decision.</w:t>
      </w:r>
    </w:p>
    <w:p w14:paraId="7AB30592" w14:textId="6B1A4259" w:rsidR="00411EDC" w:rsidRDefault="00411EDC" w:rsidP="00411EDC">
      <w:pPr>
        <w:spacing w:before="80" w:after="60"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Swin Transformer [7], which is an extension of ViT, features hierarchical windowed attention with shifted windows, allowing efficient modeling of multi-scale features (which is particularly important for plant disease applications, which may contain pathological evidence) that can be found from individual stomata all the way to the pattern of symptoms exhibited on a single </w:t>
      </w:r>
      <w:r>
        <w:rPr>
          <w:rFonts w:ascii="Times New Roman" w:eastAsia="Arial" w:hAnsi="Times New Roman" w:cs="Times New Roman"/>
          <w:color w:val="000000" w:themeColor="text1"/>
          <w:sz w:val="24"/>
          <w:szCs w:val="24"/>
        </w:rPr>
        <w:lastRenderedPageBreak/>
        <w:t xml:space="preserve">leaf. The Swin-Tiny and Swin-Small versions of the Swin Transformer perform very well with fine-grained agricultural classification tasks, all while achieving computations that are competitive with that of ResNet-50. </w:t>
      </w:r>
    </w:p>
    <w:p w14:paraId="40E9AC66" w14:textId="56636276" w:rsidR="007F380D" w:rsidRDefault="00E45476">
      <w:pPr>
        <w:jc w:val="center"/>
      </w:pPr>
      <w:r>
        <w:rPr>
          <w:noProof/>
        </w:rPr>
        <w:drawing>
          <wp:inline distT="0" distB="0" distL="0" distR="0" wp14:anchorId="0ED61ED4" wp14:editId="6266337C">
            <wp:extent cx="4617720" cy="1851660"/>
            <wp:effectExtent l="0" t="0" r="0" b="0"/>
            <wp:docPr id="1503679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1851660"/>
                    </a:xfrm>
                    <a:prstGeom prst="rect">
                      <a:avLst/>
                    </a:prstGeom>
                    <a:noFill/>
                    <a:ln>
                      <a:noFill/>
                    </a:ln>
                  </pic:spPr>
                </pic:pic>
              </a:graphicData>
            </a:graphic>
          </wp:inline>
        </w:drawing>
      </w:r>
    </w:p>
    <w:p w14:paraId="287CF9F9" w14:textId="70C17B3C" w:rsidR="00E45476" w:rsidRPr="00E45476" w:rsidRDefault="00E45476">
      <w:pPr>
        <w:jc w:val="center"/>
        <w:rPr>
          <w:rFonts w:ascii="Times New Roman" w:hAnsi="Times New Roman" w:cs="Times New Roman"/>
          <w:b/>
          <w:bCs/>
        </w:rPr>
      </w:pPr>
      <w:r w:rsidRPr="00E45476">
        <w:rPr>
          <w:rFonts w:ascii="Times New Roman" w:hAnsi="Times New Roman" w:cs="Times New Roman"/>
          <w:b/>
          <w:bCs/>
        </w:rPr>
        <w:t>Figure 1: Evolution of Deep Learning Architectures for Plant Disease Detection</w:t>
      </w:r>
    </w:p>
    <w:p w14:paraId="3526D681" w14:textId="31E98AB8" w:rsidR="00E45476" w:rsidRDefault="00E45476" w:rsidP="00E45476">
      <w:pPr>
        <w:spacing w:before="80" w:after="6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Hybrid architectures that combine CNN based feature extraction with transformer based self-attention are being studied. For example, a </w:t>
      </w:r>
      <w:proofErr w:type="spellStart"/>
      <w:r>
        <w:rPr>
          <w:rFonts w:ascii="Times New Roman" w:eastAsia="Arial" w:hAnsi="Times New Roman" w:cs="Times New Roman"/>
          <w:color w:val="000000" w:themeColor="text1"/>
          <w:sz w:val="24"/>
          <w:szCs w:val="24"/>
        </w:rPr>
        <w:t>ResNet</w:t>
      </w:r>
      <w:proofErr w:type="spellEnd"/>
      <w:r>
        <w:rPr>
          <w:rFonts w:ascii="Times New Roman" w:eastAsia="Arial" w:hAnsi="Times New Roman" w:cs="Times New Roman"/>
          <w:color w:val="000000" w:themeColor="text1"/>
          <w:sz w:val="24"/>
          <w:szCs w:val="24"/>
        </w:rPr>
        <w:t xml:space="preserve"> or </w:t>
      </w:r>
      <w:proofErr w:type="spellStart"/>
      <w:r>
        <w:rPr>
          <w:rFonts w:ascii="Times New Roman" w:eastAsia="Arial" w:hAnsi="Times New Roman" w:cs="Times New Roman"/>
          <w:color w:val="000000" w:themeColor="text1"/>
          <w:sz w:val="24"/>
          <w:szCs w:val="24"/>
        </w:rPr>
        <w:t>EfficientNet</w:t>
      </w:r>
      <w:proofErr w:type="spellEnd"/>
      <w:r>
        <w:rPr>
          <w:rFonts w:ascii="Times New Roman" w:eastAsia="Arial" w:hAnsi="Times New Roman" w:cs="Times New Roman"/>
          <w:color w:val="000000" w:themeColor="text1"/>
          <w:sz w:val="24"/>
          <w:szCs w:val="24"/>
        </w:rPr>
        <w:t xml:space="preserve"> backbone can provide spatially localized features to compensate for the need for very large pretraining datasets with </w:t>
      </w:r>
      <w:proofErr w:type="spellStart"/>
      <w:r>
        <w:rPr>
          <w:rFonts w:ascii="Times New Roman" w:eastAsia="Arial" w:hAnsi="Times New Roman" w:cs="Times New Roman"/>
          <w:color w:val="000000" w:themeColor="text1"/>
          <w:sz w:val="24"/>
          <w:szCs w:val="24"/>
        </w:rPr>
        <w:t>ViTs</w:t>
      </w:r>
      <w:proofErr w:type="spellEnd"/>
      <w:r>
        <w:rPr>
          <w:rFonts w:ascii="Times New Roman" w:eastAsia="Arial" w:hAnsi="Times New Roman" w:cs="Times New Roman"/>
          <w:color w:val="000000" w:themeColor="text1"/>
          <w:sz w:val="24"/>
          <w:szCs w:val="24"/>
        </w:rPr>
        <w:t xml:space="preserve">. A transformer type decoder can be used for </w:t>
      </w:r>
      <w:proofErr w:type="spellStart"/>
      <w:r>
        <w:rPr>
          <w:rFonts w:ascii="Times New Roman" w:eastAsia="Arial" w:hAnsi="Times New Roman" w:cs="Times New Roman"/>
          <w:color w:val="000000" w:themeColor="text1"/>
          <w:sz w:val="24"/>
          <w:szCs w:val="24"/>
        </w:rPr>
        <w:t>modeling</w:t>
      </w:r>
      <w:proofErr w:type="spellEnd"/>
      <w:r>
        <w:rPr>
          <w:rFonts w:ascii="Times New Roman" w:eastAsia="Arial" w:hAnsi="Times New Roman" w:cs="Times New Roman"/>
          <w:color w:val="000000" w:themeColor="text1"/>
          <w:sz w:val="24"/>
          <w:szCs w:val="24"/>
        </w:rPr>
        <w:t xml:space="preserve"> long range contextual dependencies between spatially separated groupings of lesions.</w:t>
      </w:r>
      <w:r w:rsidR="00CA0D44">
        <w:rPr>
          <w:rFonts w:ascii="Times New Roman" w:eastAsia="Arial" w:hAnsi="Times New Roman" w:cs="Times New Roman"/>
          <w:color w:val="000000" w:themeColor="text1"/>
          <w:sz w:val="24"/>
          <w:szCs w:val="24"/>
        </w:rPr>
        <w:t xml:space="preserve"> F</w:t>
      </w:r>
      <w:r>
        <w:rPr>
          <w:rFonts w:ascii="Times New Roman" w:eastAsia="Arial" w:hAnsi="Times New Roman" w:cs="Times New Roman"/>
          <w:color w:val="000000" w:themeColor="text1"/>
          <w:sz w:val="24"/>
          <w:szCs w:val="24"/>
        </w:rPr>
        <w:t xml:space="preserve">or example, to detect the classic distribution pattern of interveinal chlorosis resulting from magnesium deficiency across an entire leaflet. </w:t>
      </w:r>
      <w:r w:rsidRPr="00E45476">
        <w:rPr>
          <w:rFonts w:ascii="Times New Roman" w:eastAsia="Arial" w:hAnsi="Times New Roman" w:cs="Times New Roman"/>
          <w:color w:val="000000" w:themeColor="text1"/>
          <w:sz w:val="24"/>
          <w:szCs w:val="24"/>
        </w:rPr>
        <w:t xml:space="preserve">Figure 1 </w:t>
      </w:r>
      <w:r w:rsidR="002C78BD" w:rsidRPr="002C78BD">
        <w:rPr>
          <w:rFonts w:ascii="Times New Roman" w:eastAsia="Arial" w:hAnsi="Times New Roman" w:cs="Times New Roman"/>
          <w:color w:val="000000" w:themeColor="text1"/>
          <w:sz w:val="24"/>
          <w:szCs w:val="24"/>
        </w:rPr>
        <w:t>illustrates the variations of data encoding used on a bar chart display and also describes both the trend line (dashed) and how colour codes work to group architecture families by type.</w:t>
      </w:r>
    </w:p>
    <w:p w14:paraId="2E2AB917" w14:textId="77777777" w:rsidR="00E45476" w:rsidRDefault="00E45476" w:rsidP="00E45476">
      <w:pPr>
        <w:spacing w:before="80" w:after="60"/>
        <w:jc w:val="center"/>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rPr>
        <w:t>Table 1: Summary of the various deep learning architectures that have been used for the classification of plant diseases.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500"/>
        <w:gridCol w:w="2060"/>
        <w:gridCol w:w="2300"/>
      </w:tblGrid>
      <w:tr w:rsidR="00502199" w:rsidRPr="00651093" w14:paraId="65FDB8E3" w14:textId="77777777" w:rsidTr="00C72913">
        <w:tc>
          <w:tcPr>
            <w:tcW w:w="20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EB9E1F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Architecture</w:t>
            </w:r>
          </w:p>
        </w:tc>
        <w:tc>
          <w:tcPr>
            <w:tcW w:w="15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C1E20E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Year</w:t>
            </w:r>
          </w:p>
        </w:tc>
        <w:tc>
          <w:tcPr>
            <w:tcW w:w="15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5AE076C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Depth</w:t>
            </w:r>
          </w:p>
        </w:tc>
        <w:tc>
          <w:tcPr>
            <w:tcW w:w="20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703AD50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Plant Acc. (%)</w:t>
            </w:r>
          </w:p>
        </w:tc>
        <w:tc>
          <w:tcPr>
            <w:tcW w:w="23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1C0AD0E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XAI Compatibility</w:t>
            </w:r>
          </w:p>
        </w:tc>
      </w:tr>
      <w:tr w:rsidR="00502199" w:rsidRPr="00651093" w14:paraId="6B41B745"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1AABD6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AlexNet</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E31B3B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2012</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3C891B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8</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08B7E6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87.3</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27C728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Moderate — limited feature depth</w:t>
            </w:r>
          </w:p>
        </w:tc>
      </w:tr>
      <w:tr w:rsidR="00502199" w:rsidRPr="00651093" w14:paraId="6D251F94"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320CE4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VGG-16</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C9719B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BC36996"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16</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2B677F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91.6</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D25C5E1"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uniform block structure</w:t>
            </w:r>
          </w:p>
        </w:tc>
      </w:tr>
      <w:tr w:rsidR="00502199" w:rsidRPr="00651093" w14:paraId="39735142"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4395E9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ResNet-50</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7EF6B9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2015</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6FFC01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50</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C7A428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94.2</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957D42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skip connections aid gradients</w:t>
            </w:r>
          </w:p>
        </w:tc>
      </w:tr>
      <w:tr w:rsidR="00502199" w:rsidRPr="00651093" w14:paraId="1D03BD99"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8013083"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InceptionV3</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0AEDBC6"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2016</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F31E7A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48</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891291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93.7</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3E255D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Moderate — multi-branch complexity</w:t>
            </w:r>
          </w:p>
        </w:tc>
      </w:tr>
      <w:tr w:rsidR="00502199" w:rsidRPr="00651093" w14:paraId="749DF40D"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38D5BA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DenseNet-121</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10274B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2017</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644F9F4"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121</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F36058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95.8</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67F81A8"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dense feature reuse</w:t>
            </w:r>
          </w:p>
        </w:tc>
      </w:tr>
      <w:tr w:rsidR="00502199" w:rsidRPr="00651093" w14:paraId="5602491F"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AA897B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EfficientNet-B4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0D2727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2019</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47F528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~50</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38C9C3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97.1</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452C2A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Moderate — compound scaling</w:t>
            </w:r>
          </w:p>
        </w:tc>
      </w:tr>
      <w:tr w:rsidR="00502199" w:rsidRPr="00651093" w14:paraId="0E535B1C"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0BC1CE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Vision Transformer (ViT)</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BADA05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2020</w:t>
            </w:r>
          </w:p>
        </w:tc>
        <w:tc>
          <w:tcPr>
            <w:tcW w:w="15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EEBE11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12–24 L</w:t>
            </w:r>
          </w:p>
        </w:tc>
        <w:tc>
          <w:tcPr>
            <w:tcW w:w="20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A27533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96.4</w:t>
            </w:r>
          </w:p>
        </w:tc>
        <w:tc>
          <w:tcPr>
            <w:tcW w:w="23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1B0951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Emerging — intrinsic attention</w:t>
            </w:r>
          </w:p>
        </w:tc>
      </w:tr>
      <w:tr w:rsidR="00502199" w:rsidRPr="00651093" w14:paraId="07429D21"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EDB01E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Swin Transformer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2E51F17"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2021</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AE667DB"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12–24 L</w:t>
            </w:r>
          </w:p>
        </w:tc>
        <w:tc>
          <w:tcPr>
            <w:tcW w:w="20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42B26B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97.3</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679BC8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High — hierarchical attention</w:t>
            </w:r>
          </w:p>
        </w:tc>
      </w:tr>
    </w:tbl>
    <w:p w14:paraId="2192A7CC" w14:textId="77777777" w:rsidR="00502199" w:rsidRPr="00651093" w:rsidRDefault="00502199" w:rsidP="00502199">
      <w:pPr>
        <w:pStyle w:val="Heading1"/>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 Explainable Artificial Intelligence Methods</w:t>
      </w:r>
    </w:p>
    <w:p w14:paraId="123C086A"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3.1 The Imperative for Explainability in Agricultural AI</w:t>
      </w:r>
    </w:p>
    <w:p w14:paraId="241B930A" w14:textId="77777777" w:rsidR="009C5624" w:rsidRDefault="009C5624" w:rsidP="0050219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Scholars and regulators are calling for algorithmic transparency as a result of the deployment of opaque machine learning systems in areas such as medical diagnosis, credit assessment, and criminal justice. Agriculture also has similar issues and is just as serious. Misidentifying diseases could cause pesticide applications to be applied incorrectly, wasting valuable resources, leading to pesticide resistance, and delaying the ability to treat an issue in a timely manner [8]. In organic or integrated pest management systems, misidentified diseases could also result in irreversible agricultural damage to a farmer's field during a single growing season. Farmers are doubly disadvantaged when they follow AI-resulted recommendations and do not have knowledge of supporting data; they receive poor agricultural production and do not have confidence in technologies that could help them.</w:t>
      </w:r>
    </w:p>
    <w:p w14:paraId="50E4B9E1" w14:textId="77777777" w:rsidR="009C5624" w:rsidRDefault="009C5624" w:rsidP="009C562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Explanation mechanisms for artificial intelligence models have several different audiences and needs. People in agriculture and disease diagnostics need faithfulness or correctness (the explanation needs to show how the model actually made its decision) and precision (the highlighted features need to represent symptoms that can be diagnosed accurately rather than just random background items). People who create and work with data science and models need diagnostic utility (to be able to look at the way the features were attributed in the test set to help identify if there are biases in the dataset, spurious correlations, or ways the model fails to generalise). Regulatory agencies need auditability (a record that can be traced back to which features were used to influence how a prediction was made as well as to facilitate a subsequent review of that process). Farmers who are smallholders and have no formal education will need visual accessibility (heat map overlays of features that can be directly related to how they see the disease on a leaf, without having a technical background). XAI methods can be classified based on two main types of characteristics. The first type is how they relate to the model training timeline: post-hoc XAI methods are applied after the model's training has taken place, using the model in its "fixed" form, while intrinsic XAI methods use explainability as a design </w:t>
      </w:r>
      <w:r>
        <w:rPr>
          <w:rFonts w:ascii="Times New Roman" w:eastAsia="Arial" w:hAnsi="Times New Roman" w:cs="Times New Roman"/>
          <w:color w:val="000000" w:themeColor="text1"/>
          <w:sz w:val="24"/>
          <w:szCs w:val="24"/>
        </w:rPr>
        <w:lastRenderedPageBreak/>
        <w:t>component of the model. The second type is how they relate to model architecture: methods that relate to the model (classifiers) look at the internal representation of the model, such as gradients or attention weights, while methods that do not relate to the model (black box classifiers) examine the classifier through the alteration of the input. The most common method for studying the effects of specific crops on diseases in the fields of agriculture and horticulture is through model-based testing methods. The use of these types of testing systems is based on their ability to provide accurate results and provide visual representations to assist in evaluating those results.</w:t>
      </w:r>
    </w:p>
    <w:p w14:paraId="71BBBF02"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3.2 Gradient-weighted Class Activation Mapping (Grad-CAM) and Variants</w:t>
      </w:r>
    </w:p>
    <w:p w14:paraId="4A9B9A80" w14:textId="77777777" w:rsidR="003C0419" w:rsidRDefault="009C5624" w:rsidP="003C041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Grad-CAM was introduced by Selvaraju and colleagues in 2017. The purpose of this method is to generate a spatial heatmap, where a particular region of the input image has an effect on the predicted class identified by the classifier. The image importances are calculated by first taking the gradient of the class score with respect to the final convolutional layer activation maps [9]. The gradients from the images are then global average-pooled across all spatial dimensions and used to calculate neuron importance weights. The neuron importance weights are then applied to all activation maps to generate a composite weighted linear combination of all final layer activation maps. The generated map is then processed using ReLU nonlinearity (retaining only positive activation) and upsampled using bilinear interpolation, resulting in a generated overlay of the input where the area of each component of the input corresponds to the classification decision [23]. The work builds on previous work with Class Activation Mapping to highlight discriminative localisation in global average pooling layers. When accurately trained, Grad-CAM can identify the locations of lesions on plants. For example, it can correctly indicate necrotic spots, chlorotic halos, pustules with sporulation, and areas with water-soaked conditions, if those traits are indicative of biological similarities between classes. In contrast, when Grad-CAM does not identify the appropriate lesions, those deviations may be an indication of failure in the training of the model. For example, if Grad-CAM identifies leaf margins as the site of disease rather than laminar lesions, then the model is likely using a faulty correlation between disease types and leaf morphology that occurred due to how the dataset was collected. To remove some limitations experienced by the original method, Grad-CAM++ added second-order gradients to allow for producing an explanation that was smoother and more precisely located in terms of where on the image the lesions are located; this was especially effective when the image contained multiple lesions or lesions of varying size. Score-CAM eliminated the use of a gradient for generating activation importance and determined importance of a channel by comparing the difference between the model’s output when each activation map is used to permute the output of the model, thereby producing higher quality results under condition of gradient saturation.</w:t>
      </w:r>
    </w:p>
    <w:p w14:paraId="4E82F432"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lastRenderedPageBreak/>
        <w:t>3.3 Local Interpretable Model-agnostic Explanations (LIME)</w:t>
      </w:r>
    </w:p>
    <w:p w14:paraId="10DEF7E3" w14:textId="77777777" w:rsidR="00502199" w:rsidRPr="00651093" w:rsidRDefault="00021390" w:rsidP="00021390">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To create local approximations of the behaviour of complex models around individual predictions, LIME [11] builds an interpretable surrogate model in a neighbourhood of the input to the target model. For image-based classification, LIME partitions the input image into adjoining superpixels using a segmentation algorithm such as SLIC [10] (Simple Linear Iterative Clustering) or Felzenszwalb’s graph-based method. It then creates a diverse neighbourhood of images with perturbations by randomly masking out portions of the superpixels, replacing them with either a background colour or the mean pixel value of the image, and querying the target model to obtain predicted class-probabilities for all the perturbed samples. The perturbation samples are then weighted according to their distance from the original image, a sparse linear model (typically lasso regression) is created via least-square approximation to the weighted perturbation samples, and the coefficients from the linear model represent the contribution of each of the superpixels to the predicted class. LIME is model-agnostic, giving it exceptional generality; it can apply equally well across CNN classifiers, random forests, disease detection services that use commercial APIs, and ensemble models that do not produce gradients. When LIME has been applied to models of foliar diseases in plants, and the model is functioning correctly, the superpixel attributions produced by LIME are consistent with the visible boundaries of the lesions, therefore serving as a validation mechanism for users who are not experts in plant pathology.  The first significant limitations of the method are performance instability due to stochasticity, which causes randomly selected descriptions for each input to differ from one instance to the next; and sensitivity to the selected resolution of the generated superpixels, i.e., by varying the amount of superpixel granularity, one is required to essentially trade-off between spatial accuracy vs. reliability of an attribution. Recent advancements to this method, such as BayLIME include Bayesian inference as a means of measuring uncertainty associated with an explanation, as well as establishing intervals of confidence for the attributions produced for each superpixel, which adds significant value when dealing with critical, large-scale agricultural decision-making.</w:t>
      </w:r>
    </w:p>
    <w:p w14:paraId="54D86B26"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3.4 SHapley Additive exPlanations (SHAP)</w:t>
      </w:r>
    </w:p>
    <w:p w14:paraId="0D9366AD" w14:textId="77777777" w:rsidR="009C618D" w:rsidRDefault="004943C5" w:rsidP="009C618D">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Feature contribution metrics that are derived from Cooperative Game Theory, are known as SHAP, which establishes how particular features contribute towards a prediction via computing the average marginal contribution from the feature across every possible feature coalition, known as its Shapley value. The Shapley value has a number of mathematically provable properties that make it a good measure of feature contribution, including: efficiency – where attributions add to a total prediction; symmetry – where identical contributory features receive identical attributions; dummy – where irrelevant features receive no attribution; and linearity – where attributions add across multiple models [12]. Through the use of axioms, there are </w:t>
      </w:r>
      <w:r>
        <w:rPr>
          <w:rFonts w:ascii="Times New Roman" w:eastAsia="Arial" w:hAnsi="Times New Roman" w:cs="Times New Roman"/>
          <w:color w:val="000000" w:themeColor="text1"/>
          <w:sz w:val="24"/>
          <w:szCs w:val="24"/>
        </w:rPr>
        <w:lastRenderedPageBreak/>
        <w:t>theoretically rigorous attributions produced by the SHAP method in contrast to gradient-based methods, albeit with exponential time complexity per each Shapley value computed. DeepSHAP uses the backpropagation rules from DeepLIFT to get the Shapley values without the need to enumerate all the possible coalitions; this allows it to provide an efficient way to approximate Shapley values using these backpropagation rules in deep learning models. In addition, by combining the computation of gradients with the sampling of averages based on a reference background set of data, GradientSHAP is able to facilitate the estimation of expected Shapley Values considering an input’s uncertainty. The use of KernelSHAP to the spectral feature vector allows a reveal as to which wavelength bands provide maximum diagnostic information for each pathogen class when performing plant disease classification using hyperspectral/multispectral imaging. Most notably, through the analysis of the SHAP values, the highly important wavelengths for the identification of fungi and bacteria with lesions are found to be within the near-infrared reflectance spectral region of 700–900 nm due to sensitivity of this wavelength range to water content in cells as well as damage associated with disruption of mesophyll structures; additionally, the red-edge wavelength range of 680–730 nm, which is associated with the degradation of chlorophyll, is also found to be diagnostically information for viral and nutritional diseases through SHAP analyses. As a result, one can utilize this information to design cost-efficient multispectral sensors that address specific crop and pathogen combinations.</w:t>
      </w:r>
    </w:p>
    <w:p w14:paraId="6AD6B477"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3.5 Attention-based Intrinsi c Explainability</w:t>
      </w:r>
    </w:p>
    <w:p w14:paraId="49D62D38" w14:textId="77777777" w:rsidR="00057533" w:rsidRDefault="00057533" w:rsidP="00057533">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Through multi-head self-attention matrices, Vision Transformer (ViT) models provide built-in explainability, which records the amount of attention received from all other image patches for the computation of the contextual representation for each image patch. The method for generating a global attention map from the residual connections of the matrix multiplications of the attention weights from all transformer layers is based on Attention Rollout, as proposed by Abnar and Zuidema [13]. By creating a visual representation of the global attention map as an overlay of saliency on the 2D spatial layout of the original images, this technique can help users understand the importance of the various patches in terms of their respective relationships to each other in the context of the final prediction for the entire image. Attention rollout maps have been used to provide high-quality spatial localisation of lesions due to pathogen infections in plant disease ViT models, specifically where diffuse or distributed symptom patterns exist, such as in Downy Mildew or Mosaic Virus Disease. This is necessary to provide more long-range contextual reasoning of all patches across the entire surface of the leaf, allowing for discrimination between infected patches based on the long-range relationship of their respective positions. As well as providing intrinsic explainability to models based on ViT architecture, spatial attention mechanisms embedded in CNN architectures (e.g. Convolutional </w:t>
      </w:r>
      <w:r>
        <w:rPr>
          <w:rFonts w:ascii="Times New Roman" w:eastAsia="Arial" w:hAnsi="Times New Roman" w:cs="Times New Roman"/>
          <w:color w:val="000000" w:themeColor="text1"/>
          <w:sz w:val="24"/>
          <w:szCs w:val="24"/>
        </w:rPr>
        <w:lastRenderedPageBreak/>
        <w:t>Block Attention Module (CBAM) [14] and Squeeze-and-Excitation (SE) networks using channel attention) provide some degree of intrinsic explainability for CNN models as well when compared to using a transformer architecture. For example, spatial attention maps learned by ML-trained plant disease CNNs with CBAM-based improvements will suppress non-informative background areas (e.g. soil, sky, adjacent healthy tissues) while enhancing features related to lesions.</w:t>
      </w:r>
    </w:p>
    <w:p w14:paraId="38919E14" w14:textId="77777777" w:rsidR="00502199" w:rsidRPr="00651093" w:rsidRDefault="00502199" w:rsidP="00057533">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This simultaneous improvement in classification accuracy and explanation quality — a positive-sum rather than trade-off relationship — makes attention-augmented CNNs particularly attractive for agricultural deployment contexts where both performance and transparency are critical requirements.</w:t>
      </w:r>
    </w:p>
    <w:p w14:paraId="456A2BD9"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3.6 Layer-wise Relevance Propagation (LRP)</w:t>
      </w:r>
    </w:p>
    <w:p w14:paraId="152101B8" w14:textId="77777777" w:rsidR="00B064EA" w:rsidRDefault="00B064EA" w:rsidP="00081F0E">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This simultaneous improvement in accuracy and interpretability creates a positive-sum relationship rather than a trade-off, making attention-augmented CNNs especially appealing for deployment in agriculture, which requires both accuracy and transparency for successful implementation. LRP [15] decomposes the output of a neural network into relevance scores on a per-pixel basis by propagating the classification score backward through the neural network according to conservation rules that preserve total relevance at all layers. LRP does not compute derivatives as do gradient methods but instead uses propagation rules - epsilon-LRP, alpha-beta-LRP, and composite rule variations - that distribute relevance at each layer from every activated neuron to its inputs according to how activated that neuron was, thus conserving total relevance by preventing positive and negative relevances from canceling out. The output of this process is a pixel-level attribution map with much higher spatial resolution than Grad-CAM and is able to provide individuals with specific symptomatic structures, such as acervuli (fungal fruiting bodies), edges of bacterial ooze, and necrotic tissues that form along veins. It has been determined that LRP-based explanation methods yield superior scores when compared to both Grad-CAM [9] and LIME [11], as tracked by measuring the loss of classification accuracy associated with the sequential removal of the most significant pixels (i.e., pixel flipping). In addition, LRP-based explanations provided higher faithfulness—i.e., LRP minimizes reliance on "visually plausible" heatmaps rather than providing true transparency into the model's decision-making process—compared to both vanilla gradient-based methods and LRP-based methods, as well as providing superior confidence in making predictions on new examples. As agricultural decision support increasingly adopts agricultural XAI models, they need to ensure the reliability of the explanation approach chosen and how actual results will correlate with each of the explanation approaches. Using composite LRP rules, where one set of propagation rules (epsilon) is applied to the upper convolutional layers </w:t>
      </w:r>
      <w:r>
        <w:rPr>
          <w:rFonts w:ascii="Times New Roman" w:eastAsia="Arial" w:hAnsi="Times New Roman" w:cs="Times New Roman"/>
          <w:color w:val="000000" w:themeColor="text1"/>
          <w:sz w:val="24"/>
          <w:szCs w:val="24"/>
        </w:rPr>
        <w:lastRenderedPageBreak/>
        <w:t>and another set of propagation rules (alpha and beta) for the lower, enabling an optimal trade-off between stability and faithfulness for CNNs used in agriculture [15].</w:t>
      </w:r>
    </w:p>
    <w:p w14:paraId="2E4BBA2D"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3.7 Counterfactual Explanations and Example-based Methods</w:t>
      </w:r>
    </w:p>
    <w:p w14:paraId="2A320B05" w14:textId="77777777" w:rsidR="000364C6" w:rsidRDefault="000364C6" w:rsidP="000364C6">
      <w:pPr>
        <w:spacing w:before="80" w:after="60"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question of what is the smallest change to this input that will lead to an alternate predicted classification for the model has been addressed via counterfactual explanations. With respect to leaf disease classification, this question can also be framed in terms of the minimum changes needed on this leaf for the model to classify the leaf as healthy. Several methods exist to generate counterfactuals, including DiCE (Diverse Counterfactual Explanations), as well as using prototypes of images or feature variations (modifications) to create visual representations of the model's classifying boundaries, making this information much easier for a layperson to understand. Counterfactual explanations are especially helpful for describing disease severity threshold, specifically the point where features on a plant leaf cross the boundary from being classified as healthy to being classified as diseased; this is especially relevant for deciding the timing of interventions.</w:t>
      </w:r>
    </w:p>
    <w:p w14:paraId="5CDD7AE8" w14:textId="0353AE3E" w:rsidR="007F380D" w:rsidRDefault="00E45476">
      <w:pPr>
        <w:jc w:val="center"/>
      </w:pPr>
      <w:r>
        <w:rPr>
          <w:noProof/>
        </w:rPr>
        <w:drawing>
          <wp:inline distT="0" distB="0" distL="0" distR="0" wp14:anchorId="5EAA1F60" wp14:editId="5A738741">
            <wp:extent cx="5181600" cy="1790700"/>
            <wp:effectExtent l="0" t="0" r="0" b="0"/>
            <wp:docPr id="613832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1790700"/>
                    </a:xfrm>
                    <a:prstGeom prst="rect">
                      <a:avLst/>
                    </a:prstGeom>
                    <a:noFill/>
                    <a:ln>
                      <a:noFill/>
                    </a:ln>
                  </pic:spPr>
                </pic:pic>
              </a:graphicData>
            </a:graphic>
          </wp:inline>
        </w:drawing>
      </w:r>
    </w:p>
    <w:p w14:paraId="2CACF653" w14:textId="50148E92" w:rsidR="00E45476" w:rsidRPr="00E45476" w:rsidRDefault="00E45476">
      <w:pPr>
        <w:jc w:val="center"/>
        <w:rPr>
          <w:rFonts w:ascii="Times New Roman" w:hAnsi="Times New Roman" w:cs="Times New Roman"/>
          <w:b/>
          <w:bCs/>
        </w:rPr>
      </w:pPr>
      <w:r w:rsidRPr="00E45476">
        <w:rPr>
          <w:rFonts w:ascii="Times New Roman" w:hAnsi="Times New Roman" w:cs="Times New Roman"/>
          <w:b/>
          <w:bCs/>
        </w:rPr>
        <w:t>Figure 2: End-to-End Explainable AI Pipeline</w:t>
      </w:r>
    </w:p>
    <w:p w14:paraId="66BB2A21" w14:textId="66F02EC8" w:rsidR="00E45476" w:rsidRPr="00E45476" w:rsidRDefault="00E45476" w:rsidP="00E45476">
      <w:pPr>
        <w:spacing w:before="80" w:after="60"/>
        <w:jc w:val="both"/>
        <w:rPr>
          <w:rFonts w:ascii="Times New Roman" w:eastAsia="Arial" w:hAnsi="Times New Roman" w:cs="Times New Roman"/>
          <w:color w:val="000000" w:themeColor="text1"/>
          <w:sz w:val="24"/>
          <w:szCs w:val="24"/>
        </w:rPr>
      </w:pPr>
      <w:r w:rsidRPr="00E45476">
        <w:rPr>
          <w:rFonts w:ascii="Times New Roman" w:eastAsia="Arial" w:hAnsi="Times New Roman" w:cs="Times New Roman"/>
          <w:color w:val="000000" w:themeColor="text1"/>
          <w:sz w:val="24"/>
          <w:szCs w:val="24"/>
        </w:rPr>
        <w:t xml:space="preserve">Figure 2 </w:t>
      </w:r>
      <w:r w:rsidR="00CA0D44" w:rsidRPr="00CA0D44">
        <w:rPr>
          <w:rFonts w:ascii="Times New Roman" w:eastAsia="Arial" w:hAnsi="Times New Roman" w:cs="Times New Roman"/>
          <w:color w:val="000000" w:themeColor="text1"/>
          <w:sz w:val="24"/>
          <w:szCs w:val="24"/>
        </w:rPr>
        <w:t>details the various pipeline stages associated with a data point in both pre-processed form of raw leaf imagery, model inference, and Decisional Support Output, and an example of using Explainable Artificial Intelligence (XAI) for each of these points.</w:t>
      </w:r>
    </w:p>
    <w:p w14:paraId="37C10A0C" w14:textId="05D20FF7" w:rsidR="00502199" w:rsidRPr="00633176" w:rsidRDefault="00502199" w:rsidP="00502199">
      <w:pPr>
        <w:spacing w:before="80" w:after="60"/>
        <w:jc w:val="center"/>
        <w:rPr>
          <w:rFonts w:ascii="Times New Roman" w:hAnsi="Times New Roman" w:cs="Times New Roman"/>
          <w:b/>
          <w:bCs/>
          <w:color w:val="000000" w:themeColor="text1"/>
        </w:rPr>
      </w:pPr>
      <w:r>
        <w:rPr>
          <w:rFonts w:ascii="Times New Roman" w:eastAsia="Arial" w:hAnsi="Times New Roman" w:cs="Times New Roman"/>
          <w:b/>
          <w:bCs/>
          <w:color w:val="000000" w:themeColor="text1"/>
        </w:rPr>
        <w:t>Table 2:  Comparison table for XAI methods for deep learning models to detect and classify diseases in plants.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900"/>
        <w:gridCol w:w="1560"/>
        <w:gridCol w:w="1800"/>
        <w:gridCol w:w="2400"/>
      </w:tblGrid>
      <w:tr w:rsidR="00502199" w:rsidRPr="00651093" w14:paraId="2EED4096" w14:textId="77777777" w:rsidTr="00C72913">
        <w:tc>
          <w:tcPr>
            <w:tcW w:w="17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03AB3A3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XAI Method</w:t>
            </w:r>
          </w:p>
        </w:tc>
        <w:tc>
          <w:tcPr>
            <w:tcW w:w="19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5AE4166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Category</w:t>
            </w:r>
          </w:p>
        </w:tc>
        <w:tc>
          <w:tcPr>
            <w:tcW w:w="15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7B3B8A5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Agnostic</w:t>
            </w:r>
          </w:p>
        </w:tc>
        <w:tc>
          <w:tcPr>
            <w:tcW w:w="18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3637E6A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Spatial Res.</w:t>
            </w:r>
          </w:p>
        </w:tc>
        <w:tc>
          <w:tcPr>
            <w:tcW w:w="24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1999736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Plant Disease Application</w:t>
            </w:r>
          </w:p>
        </w:tc>
      </w:tr>
      <w:tr w:rsidR="00502199" w:rsidRPr="00651093" w14:paraId="7207CC34"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ED3923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Grad-CAM</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59DD62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 / Saliency</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32E2FA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DE7C3A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Coarse</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F49ECA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Lesion heatmap overlay for diagnosis</w:t>
            </w:r>
          </w:p>
        </w:tc>
      </w:tr>
      <w:tr w:rsidR="00502199" w:rsidRPr="00651093" w14:paraId="2D48F24A"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031E06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Grad-CAM++</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47B810E"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 / Saliency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112A63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37E70C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Coarse–Med.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4BA61D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Multi-lesion localisation on leaves</w:t>
            </w:r>
          </w:p>
        </w:tc>
      </w:tr>
      <w:tr w:rsidR="00502199" w:rsidRPr="00651093" w14:paraId="07225B65"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283D1B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Score-CAM</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611CC6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Perturbation / CAM</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3DB3A4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C5670F5"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Medium</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B383A5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Gradient-free lesion attribution</w:t>
            </w:r>
          </w:p>
        </w:tc>
      </w:tr>
      <w:tr w:rsidR="00502199" w:rsidRPr="00651093" w14:paraId="233F42B0"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C18F1F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LIME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407FE2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Perturbation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1AEF5F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Yes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01DE01D"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Superpixel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52B8FF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Boundary of infected vs healthy tissue</w:t>
            </w:r>
          </w:p>
        </w:tc>
      </w:tr>
      <w:tr w:rsidR="00502199" w:rsidRPr="00651093" w14:paraId="2785B78E"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CEE1DE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SHAP (Deep/Kernel)</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5FDD0B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Game-theoretic</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53D570C"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Yes</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D413B4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Feature</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A8BFD6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Spectral band ranking in hyperspectral</w:t>
            </w:r>
          </w:p>
        </w:tc>
      </w:tr>
      <w:tr w:rsidR="00502199" w:rsidRPr="00651093" w14:paraId="4627E378"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FDF999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Attention Rollout</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013982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Intrinsic (ViT)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AC21F9D"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4438A07"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Fine patch</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E12E6A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Early symptom pre-visual detection</w:t>
            </w:r>
          </w:p>
        </w:tc>
      </w:tr>
      <w:tr w:rsidR="00502199" w:rsidRPr="00651093" w14:paraId="50F920A2"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34E590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LRP</w:t>
            </w:r>
          </w:p>
        </w:tc>
        <w:tc>
          <w:tcPr>
            <w:tcW w:w="19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FB9FA4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Backpropagation</w:t>
            </w:r>
          </w:p>
        </w:tc>
        <w:tc>
          <w:tcPr>
            <w:tcW w:w="1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CC300A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No</w:t>
            </w:r>
          </w:p>
        </w:tc>
        <w:tc>
          <w:tcPr>
            <w:tcW w:w="18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FFD2AD5"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Pixel-precise</w:t>
            </w:r>
          </w:p>
        </w:tc>
        <w:tc>
          <w:tcPr>
            <w:tcW w:w="2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E612C9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Pixel-level symptom tracing</w:t>
            </w:r>
          </w:p>
        </w:tc>
      </w:tr>
      <w:tr w:rsidR="00502199" w:rsidRPr="00651093" w14:paraId="17A9E8D1" w14:textId="77777777" w:rsidTr="00C72913">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0065B70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Counterfactual XAI</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92B48A8"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Example-based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C8F28F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Yes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B22EB4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Image-level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5A936D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Healthy vs diseased comparison</w:t>
            </w:r>
          </w:p>
        </w:tc>
      </w:tr>
    </w:tbl>
    <w:p w14:paraId="6C55666D" w14:textId="77777777" w:rsidR="00502199" w:rsidRPr="00651093" w:rsidRDefault="00502199" w:rsidP="00502199">
      <w:pPr>
        <w:pStyle w:val="Heading1"/>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 Datasets for Plant Disease Deep Learning</w:t>
      </w:r>
    </w:p>
    <w:p w14:paraId="23474EE6"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4.1 PlantVillage: The Foundational Benchmark</w:t>
      </w:r>
    </w:p>
    <w:p w14:paraId="01AA853B" w14:textId="77777777" w:rsidR="00E62BE4" w:rsidRDefault="00C66142" w:rsidP="00E62BE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Hughes and Salathé first gathered images onto one platform and made them publicly available to act as both a benchmark in plant disease deep learning research; they did this in 2015. The benchmark includes over 54,306 images showing healthy and diseased plant leaves from 14 different types of crops (for example: tomato, potato, grape, corn, apple and strawberry) that come from 38 different classes and cover 26 different diseases. The dataset is made up of high-quality pictures taken under controlled studio light on a grey background, which provides a consistent dataset to use for reproducible benchmarking and allows researchers to compare their results. Because of the high-quality controlled conditions of the PlantVillage dataset, rapid development of CNN-based classifiers has led to the emergence of high-performing classifiers for detecting plant diseases and aided the growth of AI research in the plant disease community. On the contrary, there are significant limitations concerning ecological validity when using the PlantVillage dataset for training models. That is, models built on only the PlantVillage dataset exhibited consistent and systematic generalization failure when deployed into the real-world environment and tested using the PlantDoc benchmark (which is comprised of field-acquired photographs). The photographs used to train the models (from PlantVillage) have an unchanging laboratory background, which serves as a very strong visual cue (the laboratory background does exist in agricultural production fields). Therefore, the models using the laboratory-based visual cue via shortcut learning (as identified through Grad-CAM) could not perform at all when deployed under realistic testing conditions [16]. As part of ongoing </w:t>
      </w:r>
      <w:r>
        <w:rPr>
          <w:rFonts w:ascii="Times New Roman" w:eastAsia="Arial" w:hAnsi="Times New Roman" w:cs="Times New Roman"/>
          <w:color w:val="000000" w:themeColor="text1"/>
          <w:sz w:val="24"/>
          <w:szCs w:val="24"/>
        </w:rPr>
        <w:lastRenderedPageBreak/>
        <w:t>development efforts, multiple augmented versions of PlantVillage have been developed: segmentation foregrounds, colour-adjusted variations, and simulated field conditions via background replacement/compositing methods; but they still face the same fundamental issue of a significant domain gap.</w:t>
      </w:r>
    </w:p>
    <w:p w14:paraId="05C5DA57"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4.2 Field-Acquired and Open-World Datasets</w:t>
      </w:r>
    </w:p>
    <w:p w14:paraId="1255EE0A" w14:textId="77777777" w:rsidR="00E62BE4" w:rsidRDefault="00E62BE4" w:rsidP="00E62BE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PlantDoc dataset created by Singh et al. [17] contains 2,569 photos taken from the internet with open-source licensing representing at least 27 different diseases across 13 distinct plant species depicted within natural field settings. The dataset has highly variable backgrounds, lighting and orientations of leaves as well as other compositional aspects making it a good benchmark for assessing real world generalisation. Many photos in PlantDoc contain bounding box annotations which allow both classification model and object detection frameworks to be evaluated on the same set of data. Although most deep learning models require large amounts of data; therefore, given that there are only 2,500-3,000 images in this dataset, cannot be used to train deep learning models from scratch but offer an excellent opportunity for transfer learning evaluations. </w:t>
      </w:r>
    </w:p>
    <w:p w14:paraId="0599A31C" w14:textId="77777777" w:rsidR="00E62BE4" w:rsidRDefault="00E62BE4" w:rsidP="00E62BE4">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Cassava Leaf Disease dataset — published as part of a Kaggle competition — contains 21,000+ field images of cassava leaves from within sub-Saharan Africa, which is an important food source for over 800 million people globally. As the largest dataset, field-realistic images of a major food insecurity crop, this dataset has become the primary benchmark used to evaluate deep learning in agricultural applications. Another major dataset is the 2018 AI Challenger dataset with approximately 53,744 field photographs of multi-class crops and their semantic segmentation labels allowing for the evaluation and comparison of both classification and segmentation models relative to each other. The 2018 FGVC8 Plant Pathology Competition introduced a new method for separate classes of the same type to be processed on one single image, in a way that reflects how a crop would commonly exhibit a number of overlapping diseases. This type of multi-class classification creates an issue with XAI attributions, since there needs to be separate attribution maps created and interpreted for each active label/class, this will also account for and need to measure the potential overlap in space of each of those located attributions and labels, for those multiple classes of the same type, and the resultant class labels.</w:t>
      </w:r>
    </w:p>
    <w:p w14:paraId="72131736"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4.3 Hyperspectral and Multi-Modal Imaging Datasets</w:t>
      </w:r>
    </w:p>
    <w:p w14:paraId="616E775A" w14:textId="77777777" w:rsidR="00190FDD" w:rsidRDefault="00190FDD" w:rsidP="00190FDD">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Morphenological and color indicators of disease visible in rgb images do not have the capacity to identify or determine biochemically based indicators of disease from spectral ranges of incidence present in imagery acquired through near infrared reflectance, chlorophyll fluorescence emission or thermal emission prior to becoming visually identifiable. </w:t>
      </w:r>
      <w:r>
        <w:rPr>
          <w:rFonts w:ascii="Times New Roman" w:eastAsia="Arial" w:hAnsi="Times New Roman" w:cs="Times New Roman"/>
          <w:color w:val="000000" w:themeColor="text1"/>
          <w:sz w:val="24"/>
          <w:szCs w:val="24"/>
        </w:rPr>
        <w:lastRenderedPageBreak/>
        <w:t>Identification of diseases when they are pre-symptomatic — i.e., prior to the presence of visible lesions — is an important goal of disease management because smaller pathogen populations are present during early stages of infection, intervention options (e.g., pesticide applications) tend to be greater, and treatment costs are lower. The hyperspectral data sets for plant disease produced by  UAV mounted pushbroom spectrometers acquired over plot locations contain hundreds of contiguous spectral bands that span the 400 to 2500 nanometer range and can provide attribution using shapley-based measures (shap) to diagnose and locate wavelengths associated with specific biochemical processes of disease. Changes in temperature resulting from pathogen damage may be detected through thermal infrared imaging, allowing for the pre-symptomatic identification of diseases affecting vascular plants (e.g., root diseases and vascular wilts) by obtaining temperature anomalies resulting from reduced stomatal conductance [12]. Three-dimensional plant canopy architecture changes resulting from diseased and damaged plants can be obtained from lidar and structured light scanning technologies. Developing new methods for integrating multiple modalities of data, including spectral imaging, thermal imaging and three-dimensional data, using deep learning architectures that employ feature extractors for each specific modality together with attention model mechanisms for cross-modal interactions represents a new area of research. In support of this multi-modal application, an understanding of the contribution of the different modalities to make a prediction is crucial in XAI to ensure that there are no examples in which the model is leveraging a single modality inappropriately if there is also modality that may support the prediction as a form of complementary evidence.</w:t>
      </w:r>
    </w:p>
    <w:p w14:paraId="65E59C2C" w14:textId="57B00AA8" w:rsidR="007F380D" w:rsidRDefault="00E45476">
      <w:pPr>
        <w:jc w:val="center"/>
      </w:pPr>
      <w:r>
        <w:rPr>
          <w:noProof/>
        </w:rPr>
        <w:drawing>
          <wp:inline distT="0" distB="0" distL="0" distR="0" wp14:anchorId="2131C133" wp14:editId="7397EC07">
            <wp:extent cx="5341620" cy="2766060"/>
            <wp:effectExtent l="0" t="0" r="0" b="0"/>
            <wp:docPr id="485275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1620" cy="2766060"/>
                    </a:xfrm>
                    <a:prstGeom prst="rect">
                      <a:avLst/>
                    </a:prstGeom>
                    <a:noFill/>
                    <a:ln>
                      <a:noFill/>
                    </a:ln>
                  </pic:spPr>
                </pic:pic>
              </a:graphicData>
            </a:graphic>
          </wp:inline>
        </w:drawing>
      </w:r>
    </w:p>
    <w:p w14:paraId="553F8C42" w14:textId="0227B8DC" w:rsidR="00E45476" w:rsidRDefault="00E45476">
      <w:pPr>
        <w:jc w:val="center"/>
        <w:rPr>
          <w:rFonts w:ascii="Times New Roman" w:hAnsi="Times New Roman" w:cs="Times New Roman"/>
          <w:b/>
          <w:bCs/>
        </w:rPr>
      </w:pPr>
      <w:r w:rsidRPr="00E45476">
        <w:rPr>
          <w:rFonts w:ascii="Times New Roman" w:hAnsi="Times New Roman" w:cs="Times New Roman"/>
          <w:b/>
          <w:bCs/>
        </w:rPr>
        <w:t>Figure 3: Benchmark Datasets for Plant Disease Deep Learning</w:t>
      </w:r>
    </w:p>
    <w:p w14:paraId="03D8216A" w14:textId="14C18D9B" w:rsidR="00E45476" w:rsidRPr="00E45476" w:rsidRDefault="00E45476" w:rsidP="00E45476">
      <w:pPr>
        <w:jc w:val="both"/>
        <w:rPr>
          <w:rFonts w:ascii="Times New Roman" w:hAnsi="Times New Roman" w:cs="Times New Roman"/>
          <w:sz w:val="24"/>
          <w:szCs w:val="24"/>
        </w:rPr>
      </w:pPr>
      <w:r w:rsidRPr="00E45476">
        <w:rPr>
          <w:rFonts w:ascii="Times New Roman" w:hAnsi="Times New Roman" w:cs="Times New Roman"/>
          <w:sz w:val="24"/>
          <w:szCs w:val="24"/>
        </w:rPr>
        <w:t>Figure 3</w:t>
      </w:r>
      <w:r>
        <w:rPr>
          <w:rFonts w:ascii="Times New Roman" w:hAnsi="Times New Roman" w:cs="Times New Roman"/>
          <w:sz w:val="24"/>
          <w:szCs w:val="24"/>
        </w:rPr>
        <w:t xml:space="preserve"> </w:t>
      </w:r>
      <w:r w:rsidR="00CA0D44" w:rsidRPr="00CA0D44">
        <w:rPr>
          <w:rFonts w:ascii="Times New Roman" w:hAnsi="Times New Roman" w:cs="Times New Roman"/>
          <w:sz w:val="24"/>
          <w:szCs w:val="24"/>
        </w:rPr>
        <w:t>describes both subplots to show the number of datasets and how these were acquired by acquisition method (lab, field, UAV/hyperspectral).</w:t>
      </w:r>
    </w:p>
    <w:p w14:paraId="34A53414" w14:textId="77777777" w:rsidR="00502199" w:rsidRPr="00633176" w:rsidRDefault="00502199" w:rsidP="00502199">
      <w:pPr>
        <w:spacing w:before="80" w:after="60"/>
        <w:jc w:val="center"/>
        <w:rPr>
          <w:rFonts w:ascii="Times New Roman" w:hAnsi="Times New Roman" w:cs="Times New Roman"/>
          <w:b/>
          <w:bCs/>
          <w:color w:val="000000" w:themeColor="text1"/>
        </w:rPr>
      </w:pPr>
      <w:r>
        <w:rPr>
          <w:rFonts w:ascii="Times New Roman" w:eastAsia="Arial" w:hAnsi="Times New Roman" w:cs="Times New Roman"/>
          <w:b/>
          <w:bCs/>
          <w:color w:val="000000" w:themeColor="text1"/>
        </w:rPr>
        <w:lastRenderedPageBreak/>
        <w:t>Table 3:  A summary of the benchmark datasets available for plant disease deep learning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8"/>
        <w:gridCol w:w="1363"/>
        <w:gridCol w:w="1237"/>
        <w:gridCol w:w="1666"/>
        <w:gridCol w:w="1566"/>
        <w:gridCol w:w="1580"/>
      </w:tblGrid>
      <w:tr w:rsidR="00502199" w:rsidRPr="00651093" w14:paraId="695F5AE0" w14:textId="77777777" w:rsidTr="00C72913">
        <w:tc>
          <w:tcPr>
            <w:tcW w:w="20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40CBB2EA"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Dataset</w:t>
            </w:r>
          </w:p>
        </w:tc>
        <w:tc>
          <w:tcPr>
            <w:tcW w:w="14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19B981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Images</w:t>
            </w:r>
          </w:p>
        </w:tc>
        <w:tc>
          <w:tcPr>
            <w:tcW w:w="12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2925B4F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Classes</w:t>
            </w:r>
          </w:p>
        </w:tc>
        <w:tc>
          <w:tcPr>
            <w:tcW w:w="17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269B698E"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Setting</w:t>
            </w:r>
          </w:p>
        </w:tc>
        <w:tc>
          <w:tcPr>
            <w:tcW w:w="16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332D248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Crop Coverage</w:t>
            </w:r>
          </w:p>
        </w:tc>
        <w:tc>
          <w:tcPr>
            <w:tcW w:w="14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5E04FB9"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Annotation</w:t>
            </w:r>
          </w:p>
        </w:tc>
      </w:tr>
      <w:tr w:rsidR="00502199" w:rsidRPr="00651093" w14:paraId="5A646903"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A2E281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PlantVillage</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7C465E7"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54,306</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4861234"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38</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675331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Laboratory</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935461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14 crops</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BCF4A5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Disease label</w:t>
            </w:r>
          </w:p>
        </w:tc>
      </w:tr>
      <w:tr w:rsidR="00502199" w:rsidRPr="00651093" w14:paraId="11E2A134"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91D7DE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PlantDoc</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B74747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2,569</w:t>
            </w:r>
          </w:p>
        </w:tc>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DA3E54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27</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39E85B1"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37BAF0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13 crops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1AF7076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BBox + label</w:t>
            </w:r>
          </w:p>
        </w:tc>
      </w:tr>
      <w:tr w:rsidR="00502199" w:rsidRPr="00651093" w14:paraId="3711E03D"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E4F0BA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Rice Disease DB</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97DDAC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10,845</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C3E11F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10</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443909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F0EA75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Rice</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0361D6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Disease label</w:t>
            </w:r>
          </w:p>
        </w:tc>
      </w:tr>
      <w:tr w:rsidR="00502199" w:rsidRPr="00651093" w14:paraId="1D482B3C"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3D4615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Cassava Leaf DB</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5A8603D"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21,367</w:t>
            </w:r>
          </w:p>
        </w:tc>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780DF1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5FC95B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6090F3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Cassava</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349A44A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Disease label</w:t>
            </w:r>
          </w:p>
        </w:tc>
      </w:tr>
      <w:tr w:rsidR="00502199" w:rsidRPr="00651093" w14:paraId="4822E568"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4AF6699"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AI Challenger 2018</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7FFF891"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53,744</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1EF8542"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18</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CD7D964"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FBBB5C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Multi-crop</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F3AA6E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Segmentation</w:t>
            </w:r>
          </w:p>
        </w:tc>
      </w:tr>
      <w:tr w:rsidR="00502199" w:rsidRPr="00651093" w14:paraId="471AC051"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DC7A4A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FGVC8-Plant Path.</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F04FE7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31,985</w:t>
            </w:r>
          </w:p>
        </w:tc>
        <w:tc>
          <w:tcPr>
            <w:tcW w:w="12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DA262D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6 (multi-label)</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9B581B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533EB74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Apple, grape…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80AF30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Multi-label</w:t>
            </w:r>
          </w:p>
        </w:tc>
      </w:tr>
      <w:tr w:rsidR="00502199" w:rsidRPr="00651093" w14:paraId="12BD7CBF" w14:textId="77777777" w:rsidTr="00C72913">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6850BCA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DeepWeeds (ref.)</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C62AC68"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15,007</w:t>
            </w:r>
          </w:p>
        </w:tc>
        <w:tc>
          <w:tcPr>
            <w:tcW w:w="12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707D0C23"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9</w:t>
            </w:r>
          </w:p>
        </w:tc>
        <w:tc>
          <w:tcPr>
            <w:tcW w:w="17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08478C63"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Field (UAV)</w:t>
            </w:r>
          </w:p>
        </w:tc>
        <w:tc>
          <w:tcPr>
            <w:tcW w:w="1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BE15435"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Weed species</w:t>
            </w:r>
          </w:p>
        </w:tc>
        <w:tc>
          <w:tcPr>
            <w:tcW w:w="14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E684F78"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Species label</w:t>
            </w:r>
          </w:p>
        </w:tc>
      </w:tr>
    </w:tbl>
    <w:p w14:paraId="0A67702D" w14:textId="77777777" w:rsidR="00502199" w:rsidRPr="00651093" w:rsidRDefault="00502199" w:rsidP="00502199">
      <w:pPr>
        <w:pStyle w:val="Heading1"/>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 Practical Challenges in Real-World Deployment</w:t>
      </w:r>
    </w:p>
    <w:p w14:paraId="3D471815"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5.1 Class Imbalance and Long-Tail Disease Distributions</w:t>
      </w:r>
    </w:p>
    <w:p w14:paraId="6B73BE22" w14:textId="77777777" w:rsidR="004469FB" w:rsidRDefault="004469FB" w:rsidP="004469FB">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 datasets used for agricultural diseases are heavily imbalanced in terms of examples from different classes and represent the current epidemiological situation of those diseases. Powdery mildew, early blight and downy mildew are among the most common and there are thousands of images showing them in the database; however, the greater proportion of economically important pathogen species that are not widely spread or are at lower levels of distrust, for example, newly invasive species, new forms of endemic disease, quarantine microbes — typically have fewer than 50 verified-field images available globally. Therefore, when we look at trained models using standard cross-entropy loss functions (all using the same data set) to evaluate their accuracy, the model optimisation will be biased towards the majority class and hence will not be sensitive to minority classes, which is most relevant for AI detection for food and biosecurity purposes. The most common methods of dealing with the class imbalance are loss function modifications, data resampling, and generative augmentation of data. Class-balanced focal loss [18] down-weights ‘easy’ or even ‘very easy’ examples of the majority class and focuses learning signal on ‘difficult’ or ‘very difficult’ examples in the minority class. Oversampling of the minority class using augmentation and undersampling of the majority class when creating batches provides some degree of alternative class rebalancing. Another </w:t>
      </w:r>
      <w:r>
        <w:rPr>
          <w:rFonts w:ascii="Times New Roman" w:eastAsia="Arial" w:hAnsi="Times New Roman" w:cs="Times New Roman"/>
          <w:color w:val="000000" w:themeColor="text1"/>
          <w:sz w:val="24"/>
          <w:szCs w:val="24"/>
        </w:rPr>
        <w:lastRenderedPageBreak/>
        <w:t>very promising method of generating additional training data for the minority class is to synthesise photorealistic synthetic disease images using Generative Adversarial Networks (GANs) and more recently via the new trend of diffusion models. Synthetic samples produced using these models might not occur with the pathological realism necessary to properly conduct XAI attribution analysis. Therefore, the integrity of synthetic training data should be evaluated as both a means of classification performance, as well as the plausibility of explanation.</w:t>
      </w:r>
    </w:p>
    <w:p w14:paraId="52521CC1"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5.2 Domain Shift and Generalisation to Unseen Environments</w:t>
      </w:r>
    </w:p>
    <w:p w14:paraId="33260270" w14:textId="77777777" w:rsidR="004469FB" w:rsidRDefault="004469FB" w:rsidP="004469FB">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The area of domain shift between the initial condition of training data and the field deployment context, represents the single most important barrier to the scalability of plant disease applications of AI. Domain shifts in illumination between the times of day, sensor characteristics between smartphone models, geographic variation in strain morphology and severity, and variation in the development of leaves from seedling to senescence and in composition between single leaf close-up images and whole plant views alters the marginal distributions of the input data in such a way as to negatively impact the performance of the classifier. More troublesome still than the aforementioned is the fact that domain shift effect XAI attribution may or may not produce any obvious degradation of classification accuracy in the training distribution; a model can exhibit a high average accuracy while relying on shifted spurious correlations that may produce misleading explanations in different environments. Domain generalization evaluation has become the proper evaluation framework for agricultural AI systems — by evaluating models on test data collected from geographic regions, growing seasons or sensor types that were completely absent from training. If a model performs well against standard PlantVillage [16] test splits but does not perform well against PlantDoc [17], Cassava or cross-geographic field collections, it is not considered to be ready to deploy. Beyond performance metrics, an additional diagnostic that can provide a more comprehensive assessment of model performance is XAI attribution stability analysis, which compares the stability of Grad-CAM [9] and/or SHAP [12] focus across domains to determine that the model continues to focus on pathologically relevant features as opposed to background features.</w:t>
      </w:r>
    </w:p>
    <w:p w14:paraId="543852DC"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5.3 On-Device Inference and Model Compression</w:t>
      </w:r>
    </w:p>
    <w:p w14:paraId="0FCFA967" w14:textId="77777777" w:rsidR="00502199" w:rsidRPr="00651093" w:rsidRDefault="00FB4DFF" w:rsidP="00FB4DFF">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To operate plant disease AI within smallholder farmer environments where Internet access is limited or sporadic, models must be deployed on consumer smartphones with no reliance on the internet. For this type of implementation, the use of consumer smartphones will necessitate that libraries exist to provide inference on-the-device; a full-precision ResNet-50 [3] model has more than 25 million parameters (and 98 MB of storage requirement), resulting in potential memory limitations within low-end Android devices, and slow inference times for field use (due to the lack of GPU reliance). Model compression methods (such as knowledge distillation, structured filter pruning, and post-training quantisation to either 8- or 4-bit integer arithmetic) </w:t>
      </w:r>
      <w:r>
        <w:rPr>
          <w:rFonts w:ascii="Times New Roman" w:eastAsia="Arial" w:hAnsi="Times New Roman" w:cs="Times New Roman"/>
          <w:color w:val="000000" w:themeColor="text1"/>
          <w:sz w:val="24"/>
          <w:szCs w:val="24"/>
        </w:rPr>
        <w:lastRenderedPageBreak/>
        <w:t>can reduce both the size and inference latency of these models such that they are appropriate for implementing mobile neural processing units. Optimised inference engines such as TensorFlow Lite and ONNX Runtime for Android/iOS utilize hardware-specific acceleration (ARM NEON SIMD, GPU compute shaders, and vendor-specific AI accelerators such as Qualcomm’s Hexagon NPU). However, there is usually some degree of accuracy or quality degradation associated with model compression techniques that have been applied to the model (and thereby would degrade XAI attribution). Specifically, integer quantisation introduces rounding variance/uncertainty into the gradient computation leading to poor Grad-CAM visualisation; structured pruning may eliminate convolutional channels, which contain pathologically relevant features (even if the average accuracy of the convolution is small); and knowledge distillation is unable to reliably transfer fidelity of the teacher model’s explanation to the student model. Research into XAI-based compression techniques to explicitly enhance the quality of the attribution maps while maintaining prediction accuracy is a developing area with immediate practical relevance to agricultural use.</w:t>
      </w:r>
    </w:p>
    <w:p w14:paraId="45854033" w14:textId="4E0B4E6E" w:rsidR="00340251" w:rsidRDefault="00340251">
      <w:pPr>
        <w:jc w:val="center"/>
      </w:pPr>
      <w:r w:rsidRPr="00340251">
        <w:rPr>
          <w:noProof/>
        </w:rPr>
        <w:drawing>
          <wp:inline distT="0" distB="0" distL="0" distR="0" wp14:anchorId="22CCBD1C" wp14:editId="237FAB46">
            <wp:extent cx="5700254" cy="4534293"/>
            <wp:effectExtent l="0" t="0" r="0" b="0"/>
            <wp:docPr id="72127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2893" name=""/>
                    <pic:cNvPicPr/>
                  </pic:nvPicPr>
                  <pic:blipFill>
                    <a:blip r:embed="rId11"/>
                    <a:stretch>
                      <a:fillRect/>
                    </a:stretch>
                  </pic:blipFill>
                  <pic:spPr>
                    <a:xfrm>
                      <a:off x="0" y="0"/>
                      <a:ext cx="5700254" cy="4534293"/>
                    </a:xfrm>
                    <a:prstGeom prst="rect">
                      <a:avLst/>
                    </a:prstGeom>
                  </pic:spPr>
                </pic:pic>
              </a:graphicData>
            </a:graphic>
          </wp:inline>
        </w:drawing>
      </w:r>
    </w:p>
    <w:p w14:paraId="2002D38F" w14:textId="5275969A" w:rsidR="00132C32" w:rsidRDefault="00132C32">
      <w:pPr>
        <w:jc w:val="center"/>
        <w:rPr>
          <w:rFonts w:ascii="Times New Roman" w:hAnsi="Times New Roman" w:cs="Times New Roman"/>
          <w:b/>
          <w:bCs/>
        </w:rPr>
      </w:pPr>
      <w:r w:rsidRPr="00340251">
        <w:rPr>
          <w:rFonts w:ascii="Times New Roman" w:hAnsi="Times New Roman" w:cs="Times New Roman"/>
          <w:b/>
          <w:bCs/>
        </w:rPr>
        <w:t xml:space="preserve">Figure 4: </w:t>
      </w:r>
      <w:r w:rsidR="00340251" w:rsidRPr="00340251">
        <w:rPr>
          <w:rFonts w:ascii="Times New Roman" w:hAnsi="Times New Roman" w:cs="Times New Roman"/>
          <w:b/>
          <w:bCs/>
        </w:rPr>
        <w:t>Multi-dimensional Comparison of XAI Methods</w:t>
      </w:r>
    </w:p>
    <w:p w14:paraId="117B6824" w14:textId="13BF2334" w:rsidR="00CA0D44" w:rsidRDefault="00CA0D44" w:rsidP="00CA0D44">
      <w:pPr>
        <w:spacing w:before="80" w:after="60"/>
        <w:jc w:val="both"/>
        <w:rPr>
          <w:rFonts w:ascii="Times New Roman" w:hAnsi="Times New Roman" w:cs="Times New Roman"/>
          <w:sz w:val="24"/>
          <w:szCs w:val="24"/>
        </w:rPr>
      </w:pPr>
      <w:r w:rsidRPr="00CA0D44">
        <w:rPr>
          <w:rFonts w:ascii="Times New Roman" w:hAnsi="Times New Roman" w:cs="Times New Roman"/>
          <w:sz w:val="24"/>
          <w:szCs w:val="24"/>
        </w:rPr>
        <w:t>Figure 4 illustrates all 5 axes of a radar plot and details the strengths and weaknesses of several types of Data-Agnostic / Data-Sensitive Explainability (e.g., LIME, SHAP, LRP).</w:t>
      </w:r>
    </w:p>
    <w:p w14:paraId="71611814" w14:textId="6F40514A" w:rsidR="00502199" w:rsidRPr="00633176" w:rsidRDefault="00502199" w:rsidP="00502199">
      <w:pPr>
        <w:spacing w:before="80" w:after="60"/>
        <w:jc w:val="center"/>
        <w:rPr>
          <w:rFonts w:ascii="Times New Roman" w:hAnsi="Times New Roman" w:cs="Times New Roman"/>
          <w:b/>
          <w:bCs/>
          <w:color w:val="000000" w:themeColor="text1"/>
        </w:rPr>
      </w:pPr>
      <w:r>
        <w:rPr>
          <w:rFonts w:ascii="Times New Roman" w:eastAsia="Arial" w:hAnsi="Times New Roman" w:cs="Times New Roman"/>
          <w:b/>
          <w:bCs/>
          <w:color w:val="000000" w:themeColor="text1"/>
        </w:rPr>
        <w:lastRenderedPageBreak/>
        <w:t>Table 4.  Effect of various model compression strategies on XAI in relation to their application for edge deployment.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560"/>
        <w:gridCol w:w="2600"/>
      </w:tblGrid>
      <w:tr w:rsidR="00502199" w:rsidRPr="00651093" w14:paraId="3746B1D0" w14:textId="77777777" w:rsidTr="00C72913">
        <w:tc>
          <w:tcPr>
            <w:tcW w:w="22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34E5A350"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Strategy</w:t>
            </w:r>
          </w:p>
        </w:tc>
        <w:tc>
          <w:tcPr>
            <w:tcW w:w="20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68B70B34"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Target Platform</w:t>
            </w:r>
          </w:p>
        </w:tc>
        <w:tc>
          <w:tcPr>
            <w:tcW w:w="256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5135AD3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Technique</w:t>
            </w:r>
          </w:p>
        </w:tc>
        <w:tc>
          <w:tcPr>
            <w:tcW w:w="2600" w:type="dxa"/>
            <w:tcBorders>
              <w:top w:val="single" w:sz="1" w:space="0" w:color="1A5C2A"/>
              <w:left w:val="single" w:sz="1" w:space="0" w:color="1A5C2A"/>
              <w:bottom w:val="single" w:sz="1" w:space="0" w:color="1A5C2A"/>
              <w:right w:val="single" w:sz="1" w:space="0" w:color="1A5C2A"/>
            </w:tcBorders>
            <w:shd w:val="clear" w:color="auto" w:fill="1A5C2A"/>
            <w:tcMar>
              <w:top w:w="100" w:type="dxa"/>
              <w:left w:w="130" w:type="dxa"/>
              <w:bottom w:w="100" w:type="dxa"/>
              <w:right w:w="130" w:type="dxa"/>
            </w:tcMar>
          </w:tcPr>
          <w:p w14:paraId="13441E2F" w14:textId="77777777" w:rsidR="00502199" w:rsidRPr="00651093" w:rsidRDefault="00502199" w:rsidP="00C72913">
            <w:pPr>
              <w:jc w:val="center"/>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XAI Impact</w:t>
            </w:r>
          </w:p>
        </w:tc>
      </w:tr>
      <w:tr w:rsidR="00502199" w:rsidRPr="00651093" w14:paraId="1E2419FB"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E205001"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Quantisation</w:t>
            </w:r>
          </w:p>
        </w:tc>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8AA0F3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Mobile CPU/NPU</w:t>
            </w:r>
          </w:p>
        </w:tc>
        <w:tc>
          <w:tcPr>
            <w:tcW w:w="2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F170E3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INT8 / INT4 post-training quantisation</w:t>
            </w:r>
          </w:p>
        </w:tc>
        <w:tc>
          <w:tcPr>
            <w:tcW w:w="2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528A491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Gradient noise may distort CAM maps</w:t>
            </w:r>
          </w:p>
        </w:tc>
      </w:tr>
      <w:tr w:rsidR="00502199" w:rsidRPr="00651093" w14:paraId="300729D5"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A05855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Pruning</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0D9BF5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Edge devices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C8F1B50"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Structured channel pruning + fine-tuning</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4917C5AC"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May remove channels critical to attribution</w:t>
            </w:r>
          </w:p>
        </w:tc>
      </w:tr>
      <w:tr w:rsidR="00502199" w:rsidRPr="00651093" w14:paraId="6DB57033"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1DDC9BC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Knowledge Distillation</w:t>
            </w:r>
          </w:p>
        </w:tc>
        <w:tc>
          <w:tcPr>
            <w:tcW w:w="20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335030FA"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Smartphone</w:t>
            </w:r>
          </w:p>
        </w:tc>
        <w:tc>
          <w:tcPr>
            <w:tcW w:w="256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2673B5F2"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Teacher–student training</w:t>
            </w:r>
          </w:p>
        </w:tc>
        <w:tc>
          <w:tcPr>
            <w:tcW w:w="2600" w:type="dxa"/>
            <w:tcBorders>
              <w:top w:val="single" w:sz="1" w:space="0" w:color="CCCCCC"/>
              <w:left w:val="single" w:sz="1" w:space="0" w:color="CCCCCC"/>
              <w:bottom w:val="single" w:sz="1" w:space="0" w:color="CCCCCC"/>
              <w:right w:val="single" w:sz="1" w:space="0" w:color="CCCCCC"/>
            </w:tcBorders>
            <w:shd w:val="clear" w:color="auto" w:fill="E8F0E9"/>
            <w:tcMar>
              <w:top w:w="90" w:type="dxa"/>
              <w:left w:w="130" w:type="dxa"/>
              <w:bottom w:w="90" w:type="dxa"/>
              <w:right w:w="130" w:type="dxa"/>
            </w:tcMar>
          </w:tcPr>
          <w:p w14:paraId="4017D78F"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Student explanations may differ from teacher</w:t>
            </w:r>
          </w:p>
        </w:tc>
      </w:tr>
      <w:tr w:rsidR="00502199" w:rsidRPr="00651093" w14:paraId="34EDDA78" w14:textId="77777777" w:rsidTr="00C72913">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49E39E7"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TFLite / ONNX RT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252049FB"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Android / iOS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2C2EDB6"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Format conversion + hardware delegation</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6B263C8D" w14:textId="77777777" w:rsidR="00502199" w:rsidRPr="00651093" w:rsidRDefault="00502199" w:rsidP="00C72913">
            <w:pPr>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XAI must be revalidated post-conversion</w:t>
            </w:r>
          </w:p>
        </w:tc>
      </w:tr>
    </w:tbl>
    <w:p w14:paraId="23E30124" w14:textId="77777777" w:rsidR="00502199" w:rsidRPr="00651093" w:rsidRDefault="00502199" w:rsidP="00502199">
      <w:pPr>
        <w:spacing w:after="200"/>
        <w:rPr>
          <w:rFonts w:ascii="Times New Roman" w:hAnsi="Times New Roman" w:cs="Times New Roman"/>
          <w:color w:val="000000" w:themeColor="text1"/>
          <w:sz w:val="24"/>
          <w:szCs w:val="24"/>
        </w:rPr>
      </w:pPr>
    </w:p>
    <w:p w14:paraId="56AF89DC"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5.4 Human–AI Interaction and Trust Calibration</w:t>
      </w:r>
    </w:p>
    <w:p w14:paraId="27489736" w14:textId="77777777" w:rsidR="00BC19C0" w:rsidRDefault="00BC19C0" w:rsidP="00BC19C0">
      <w:pPr>
        <w:spacing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AI's effectiveness in positively influencing agriculture through disease detection and diagnostic systems depends more on whether the explanations and outcomes from these systems lead to improved agricultural decision making than on laboratory performance accuracy. Research has examined human-computer interaction and established that the type of explanation presented with input into a system and type of output generated from that system has some type of variable, in addition to being non-monotonic, relationship with user levels of trust. When users receive accurate explanations that are relevant to the type of task they performed, those users will develop appropriately calibrated trust in the AI system and make proper use of that system's recommendations. Conversely, when users receive visually appealing explanations, but those explanations are inaccurate (i.e., technically unfaithful), those users can develop overtruste, which will suppress proper human oversight with regard to using the AI system and, therefore, will lead to outcomes that are generally worse than would result with no AI system in use. Similarly, when users receive explanations that are overly technical or provide excessive information, those users can completely disengage from the AI system. In user studies performed with farmers from Kenya and India using early prototype developments for AI-assisted prediction of possible plant diseases, key interaction design guidelines emerged: (1) spatial heat overlay on the captured picture of the leaf is easier for non-expert users to understand than rankings of abstract feature importance values; (2) descriptions of identified symptoms in the farmer's local language build trust and even motivate action to treat their plants; (3) distinct areas of expression of how confident in the predictions of the AI model </w:t>
      </w:r>
      <w:r>
        <w:rPr>
          <w:rFonts w:ascii="Times New Roman" w:eastAsia="Arial" w:hAnsi="Times New Roman" w:cs="Times New Roman"/>
          <w:color w:val="000000" w:themeColor="text1"/>
          <w:sz w:val="24"/>
          <w:szCs w:val="24"/>
        </w:rPr>
        <w:lastRenderedPageBreak/>
        <w:t>reduce farmers' over-confidence in predictions based on low levels of certainty surrounding the prediction; (4) providing an image of the planted crop to the farmer along with a reference image showing the symptoms of the identified disease establishes a contextual anchor for the non-literate farmer when visually validating the predictions made by the AI. These results will inform, in at least the same capacity as the underlying methodology used to produce the Explanation of the AI model outputs, the design of the human AI interface for users — what types of XAI mechanisms to provide, how to format them, and how to express uncertainty.</w:t>
      </w:r>
    </w:p>
    <w:p w14:paraId="25445E53" w14:textId="77777777" w:rsidR="00502199" w:rsidRPr="00651093" w:rsidRDefault="00502199" w:rsidP="00BC19C0">
      <w:pPr>
        <w:pStyle w:val="Heading1"/>
        <w:spacing w:before="0"/>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 Emerging Research Directions</w:t>
      </w:r>
    </w:p>
    <w:p w14:paraId="4AE366A0"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6.1 Foundation Models and Vision-Language Models</w:t>
      </w:r>
    </w:p>
    <w:p w14:paraId="10E4E51D" w14:textId="77777777" w:rsidR="00502199" w:rsidRPr="00651093" w:rsidRDefault="00BC19C0" w:rsidP="00502199">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The birth of large vision-la nguage foundation models such as CLIP [19] (Contrastive Language-Image Pre-training), Flamingo, InstructBLIP and GPT-4V, will allow plant disease detection to be accomplished in ways that would be impossible without a paradigm shift in how we approach and interact with plant disease. The vision-language foundation models can do this because they afford zero-shot inference; they can identify/classify diseases they had never seen while fine-tuning by utilizing rich cross-modality semantic representations that exist in their weights. For example, a CLIP based tomato leaf classifier can classify the disease epidemic associated with "an early blight lesion tomato leaf that had concentric rings and yellow-haloed lesions" with useful and meaningful accuracy in zero-shot classification versus if they had been developed through task specific fine-tuning before being deployed on the system (i.e. they are capable of being utilized to fast track deployment of newly emerging diseases that haven't been cataloged). Moreover, self-supervised pre-training techniques (e.g. SimCLR [20]) can also be used with negative sample identification to learn robust visual representations from unlabelled leaves through the use of contrastive methods in low label agricultural systems. Additionally, they can also produce natural language descriptions of the observed symptom(s) on a leaf for novel and linguistically describable purposes. By using prompt engineering and utilizing retrieval-augmented generation (i.e. conditioning the outputs of models on literature relevant to phytopathology) as a means to support the generation of symptom descriptions relative to existing knowledge of plant pathology, they further provide ways of generating aesthetically pleasing, accurate and usable outputs relative to diseases. Collaborative efforts between AI researchers and plant pathologists will be necessary to evaluate the factual correctness and agronomic relevance of the developed descriptions since this presents a significant interdisciplinary challenge for researchers.</w:t>
      </w:r>
    </w:p>
    <w:p w14:paraId="38364CF9"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6.2 Causal Explainability</w:t>
      </w:r>
    </w:p>
    <w:p w14:paraId="1633B238" w14:textId="77777777" w:rsidR="009D5289" w:rsidRDefault="00BC19C0" w:rsidP="009D5289">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Currently, the available XAI techniques are primarily for association (classifying based on co-occurring features) rather than being causative (classifying based on features which </w:t>
      </w:r>
      <w:r>
        <w:rPr>
          <w:rFonts w:ascii="Times New Roman" w:eastAsia="Arial" w:hAnsi="Times New Roman" w:cs="Times New Roman"/>
          <w:color w:val="000000" w:themeColor="text1"/>
          <w:sz w:val="24"/>
          <w:szCs w:val="24"/>
        </w:rPr>
        <w:lastRenderedPageBreak/>
        <w:t>generatively determine the output when examined through an appropriate understanding of the biology of the disease). The distinction between correlation and causation in plant pathology is important; for example, an AI model may appropriately generate a Grad-CAM heatmap showing the location of a lesion [8]. However, the model could rely upon a spurious correlation between the lesion area and an image acquisition artifact, resulting in a visually viable but non-informative explanation about the causal relationship between those regions. Causal XAI methods based on structural causal models, do-calculus interventions, and counterfactual reasoning provide a theoretically principled framework for establishing causal attributions that is superior to correlation-based approaches [15]. Plant disease applications require explicitly stated assumptions regarding cause and effect relations between image conditions, leaf appearances, pathogen attributes, and predictive capability of models (the assumptions will require verification by plant pathologists). Causal XAI provides an operational way to conduct causal attribution via twin network architectures. Specifically, these architectures provide counterfactual predictions via the intervention (manipulation) of some specific input variables while keeping others constant. This methodology is more computationally intensive and more theoretically complex than gradient-based approaches, but causal XAI has a substantially higher reliability than gradient-based approaches when current data differs from previous data and/or relationships between variables present as false correlations. For these reasons, causal XAI offers a preferable method of producing reliable, accurate causal explanations for adversarial use cases associated with agricultural AI.</w:t>
      </w:r>
    </w:p>
    <w:p w14:paraId="5848C5F0"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6.3 Federated Learning for Decentralised Collaboration</w:t>
      </w:r>
    </w:p>
    <w:p w14:paraId="7ADE7FD8" w14:textId="77777777" w:rsidR="00502199" w:rsidRPr="00651093" w:rsidRDefault="002F14C6" w:rsidP="002F14C6">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In any one geographic area, there is a shortage of images of diseases, especially rare diseases, newly emerging pathogens, and crops that are not well studied; this affects the development of good quality disease detection models and constitutes a structural impediment. Federated learning [21] overcomes this structural impediment to the creation of high quality data by providing a way for multiple organizations, researchers and individual users to collaboratively train model without aggregating the raw image data in one central location. In a federated learning scheme, the participating parties will each independently train a model (local model) on their own independent (private) data set, and only send the difference (model gradients, or model parameters) to a central aggregation server. The aggregation server will combine the contributions made by each federated learning participant by using a technique called federated averaging or other methods of sophisticated aggregation. The privacy of the data is preserved, as the raw images will never leave the facility from which it originated; this is particularly important when the data relates to a disease outbreak and the data is economically sensitive in nature, as the premature release of information about an outbreak could disrupt the commodities market and cause trade restrictions. The technical issues facing federated learning </w:t>
      </w:r>
      <w:r>
        <w:rPr>
          <w:rFonts w:ascii="Times New Roman" w:eastAsia="Arial" w:hAnsi="Times New Roman" w:cs="Times New Roman"/>
          <w:color w:val="000000" w:themeColor="text1"/>
          <w:sz w:val="24"/>
          <w:szCs w:val="24"/>
        </w:rPr>
        <w:lastRenderedPageBreak/>
        <w:t>for plant disease detection are different than those faced in other types of federated learning since agricultural datasets tend to be highly non-IID (not independent and identically distributed) across the different devices: with respect to the prevalence of diseases, pathogen strains, varieties of crops, and imaging conditions there is significant variability across geographic regions resulting in heterogeneous distributions at the client level and causing convergence problems. Personalised federated learning, which is a new type of federated learning, will enable the participants to maintain their own personal model components in addition to the global model components and thus provide a mechanism for addressing the heterogeneity of the agricultural datasets. In the federated setting, it is necessary to address the distributional heterogeneity of the datasets in order for Federated XAI recommendations to be useful for determining individual client Grad-CAM [9] or SHAP [12] results. These values cannot be directly mapped into the global aggregated model based on each client’s unique data distribution. Therefore, it is necessary to have federation-based XAI aggregation protocols that allow for the creation of globally representative Grad-CAM or SHAP values without the requirement for data centralisation.</w:t>
      </w:r>
    </w:p>
    <w:p w14:paraId="44DB84BE" w14:textId="77777777" w:rsidR="00502199" w:rsidRPr="00651093" w:rsidRDefault="00502199" w:rsidP="00502199">
      <w:pPr>
        <w:pStyle w:val="Heading2"/>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6.4 Continual Learning for Evolving Pathogen Landscapes</w:t>
      </w:r>
    </w:p>
    <w:p w14:paraId="34804FDB" w14:textId="77777777" w:rsidR="007044A2" w:rsidRDefault="007044A2" w:rsidP="007044A2">
      <w:pPr>
        <w:spacing w:before="100" w:after="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As dynamic systems subject to constant evolutionary forces, plant pathogens exhibit adaptability by accumulating pathogen strains with different levels of virulence, host range or appearance of symptom. Recombination, through mutation or horizontal gene transfer, continues to produce new strains that may have different levels of virulence, host range or symptom expression. Climate variability is expanding the geographic distribution of many plant pathogens, creating risk from the emergence of new disease/crop combinations as pathogens emerge into new areas where they did not previously exist (resulting in training data that are not representative of the new combination). The newly-emerged pathogen Xylella fastidiosa in olive groves of Europe, and wheat blast (Magnaporthe triticum pathotype triticum) in the wheat-growing regions of South Asia, illustrate the need for rapid, AI-based methods of pathogen identification that occur in a timeframe that does not permit retraining from scratch on newly accumulated samples. Frameworks for ongoing learning, also referred to as lifelong or incremental learning, allow for new disease classifications to be learned incrementally while avoiding catastrophic loss of previously learned disease classes. There are three categories of approaches to continual learning: methods based on regularisation (such as Elastic Weight Consolidation and Synaptic Intelligence), methods based on replay (such as generative replay and exemplar memory), and methods based on expansion (such as progressive neural networks and Packnet). Monitoring models through Explainable Artificial Intelligence (XAI) systems provides substantial benefits to the continual learning system by checking whether the continuous determination of the model's attribution map remains consistent for the disease </w:t>
      </w:r>
      <w:r>
        <w:rPr>
          <w:rFonts w:ascii="Times New Roman" w:eastAsia="Arial" w:hAnsi="Times New Roman" w:cs="Times New Roman"/>
          <w:color w:val="000000" w:themeColor="text1"/>
          <w:sz w:val="24"/>
          <w:szCs w:val="24"/>
        </w:rPr>
        <w:lastRenderedPageBreak/>
        <w:t>classes that it already knows as it learns new ones and breaks down error rate and loss distinctions (i.e., catastrophic forgetting vs. maintaining classification accuracy on held out benchmarks). EfficientNet [5] and ViT [6] backbones have exhibited notable potential as basis frameworks for continual learning due to their modular and re-usable nature.</w:t>
      </w:r>
    </w:p>
    <w:p w14:paraId="39844E70" w14:textId="77777777" w:rsidR="00502199" w:rsidRPr="00651093" w:rsidRDefault="00502199" w:rsidP="007044A2">
      <w:pPr>
        <w:pStyle w:val="Heading1"/>
        <w:spacing w:before="0"/>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7. Conclusion</w:t>
      </w:r>
    </w:p>
    <w:p w14:paraId="23C1FC46" w14:textId="77777777" w:rsidR="000214FC" w:rsidRPr="000214FC" w:rsidRDefault="000214FC" w:rsidP="000214FC">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Deep learning is being applied to the detection of plant diseases and has achieved tremendously high levels of performance technically where it has now exceeded specialist accuracy in a controlled environment and substantial real-world applications in the field, as well. The transition from using shallow CNNs, to using residual and dense architectures, to now using vision transformers has continuously advanced the accuracy levels for classifying plant images while simultaneously increasing the amount of representative features that are internally available for attribution analysis of these characteristics. Transfer learning, and domain adaptation techniques, and data augmentation techniques, have partially eliminated the difference between laboratory benchmark and the laboratory setting and field realism, while model compression approaches have improved overall development and deployment of deep learning applications on consumer-grade mobile devices. Even though this chapter's main point is that accuracy is an essential part of agricultural AI, it alone is not enough. In order to trust agricultural AI, to be held accountable for the decisions of agricultural AI and to provide the right level of oversight for its responsible usage, the agricultural AI must have explainability. The XAI landscape has a wide array of possible methods available, including gradient-based saliency mapping, perturbation-based probing, game-theory based attribution, intrinsic attention mechanism, backpropagation-based relevance propagation and counter factual reasoning, each method has its own strengths and weaknesses and use case in agricultural AI in relation to plant diseases. </w:t>
      </w:r>
    </w:p>
    <w:p w14:paraId="37160867" w14:textId="77777777" w:rsidR="000214FC" w:rsidRDefault="000214FC" w:rsidP="000214FC">
      <w:pPr>
        <w:spacing w:before="100" w:after="140" w:line="33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There are several urgent areas for research. First, the faithfulness evaluation of XAI methods must be standardised as part of the evaluation of plant disease AI systems, to ensure effectiveness/efficiency, in conjunction with classification accuracy. Secondly, user studies from farmers and agronomists must inform the human-centred design Interface for technical explainability, to assist users in practical decision making. By incorporating causal reasoning into XAI approaches, we can develop methods that have a greater chance of producing more consistent and generalizable outputs in the context of distribution shifts typical of agricultural deployment. Additionally, foundation models, federated learning, and continual learning are converging to produce AI systems that can be powerful, collaborative, privacy-preserving, and adaptive to constantly shifting threats from plant pathogens. Achieving success for explainable plant disease AI will require measurable impacts — not just on benchmark scores but also on crop yield, income and helping farmers around the world meet the challenges of producing </w:t>
      </w:r>
      <w:r>
        <w:rPr>
          <w:rFonts w:ascii="Times New Roman" w:eastAsia="Arial" w:hAnsi="Times New Roman" w:cs="Times New Roman"/>
          <w:color w:val="000000" w:themeColor="text1"/>
          <w:sz w:val="24"/>
          <w:szCs w:val="24"/>
        </w:rPr>
        <w:lastRenderedPageBreak/>
        <w:t>enough food sustainably. To have an impact, the field must integrate multiple disciplines — plant pathology, agriculture, computer vision, human-computer interaction and responsible AI — and a commitment to using technology that is both effective and genuinely trustworthy.</w:t>
      </w:r>
    </w:p>
    <w:p w14:paraId="634D3860" w14:textId="77777777" w:rsidR="00502199" w:rsidRPr="00651093" w:rsidRDefault="00502199" w:rsidP="000214FC">
      <w:pPr>
        <w:spacing w:before="100" w:after="140" w:line="330" w:lineRule="auto"/>
        <w:jc w:val="both"/>
        <w:rPr>
          <w:rFonts w:ascii="Times New Roman" w:hAnsi="Times New Roman" w:cs="Times New Roman"/>
          <w:color w:val="000000" w:themeColor="text1"/>
          <w:sz w:val="24"/>
          <w:szCs w:val="24"/>
        </w:rPr>
      </w:pPr>
      <w:r>
        <w:rPr>
          <w:rFonts w:ascii="Times New Roman" w:eastAsia="Arial" w:hAnsi="Times New Roman" w:cs="Times New Roman"/>
          <w:b/>
          <w:bCs/>
          <w:color w:val="000000" w:themeColor="text1"/>
          <w:sz w:val="24"/>
          <w:szCs w:val="24"/>
        </w:rPr>
        <w:t>References</w:t>
      </w:r>
    </w:p>
    <w:p w14:paraId="2478965D"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 Mohanty, S. P., Hughes, D. P., &amp; Salathé, M. (2016). Using deep learning for image-based plant disease detection. </w:t>
      </w:r>
      <w:r>
        <w:rPr>
          <w:rFonts w:ascii="Times New Roman" w:eastAsia="Arial" w:hAnsi="Times New Roman" w:cs="Times New Roman"/>
          <w:i/>
          <w:iCs/>
          <w:color w:val="000000" w:themeColor="text1"/>
          <w:sz w:val="24"/>
          <w:szCs w:val="24"/>
        </w:rPr>
        <w:t>Frontiers in Plant Science, 7</w:t>
      </w:r>
      <w:r>
        <w:rPr>
          <w:rFonts w:ascii="Times New Roman" w:eastAsia="Arial" w:hAnsi="Times New Roman" w:cs="Times New Roman"/>
          <w:color w:val="000000" w:themeColor="text1"/>
          <w:sz w:val="24"/>
          <w:szCs w:val="24"/>
        </w:rPr>
        <w:t xml:space="preserve">, Article 1419. </w:t>
      </w:r>
      <w:hyperlink r:id="rId12" w:tgtFrame="_new" w:history="1">
        <w:r>
          <w:rPr>
            <w:rStyle w:val="Hyperlink"/>
            <w:rFonts w:ascii="Times New Roman" w:eastAsia="Arial" w:hAnsi="Times New Roman" w:cs="Times New Roman"/>
            <w:sz w:val="24"/>
            <w:szCs w:val="24"/>
          </w:rPr>
          <w:t>https://doi.org/10.3389/fpls.2016.01419</w:t>
        </w:r>
      </w:hyperlink>
    </w:p>
    <w:p w14:paraId="412D3F4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 Simonyan, K., &amp; Zisserman, A. (2015). Very deep convolutional networks for large-scale image recognition. </w:t>
      </w:r>
      <w:r>
        <w:rPr>
          <w:rFonts w:ascii="Times New Roman" w:eastAsia="Arial" w:hAnsi="Times New Roman" w:cs="Times New Roman"/>
          <w:i/>
          <w:iCs/>
          <w:color w:val="000000" w:themeColor="text1"/>
          <w:sz w:val="24"/>
          <w:szCs w:val="24"/>
        </w:rPr>
        <w:t>International Conference on Learning Representations (ICLR)</w:t>
      </w:r>
      <w:r>
        <w:rPr>
          <w:rFonts w:ascii="Times New Roman" w:eastAsia="Arial" w:hAnsi="Times New Roman" w:cs="Times New Roman"/>
          <w:color w:val="000000" w:themeColor="text1"/>
          <w:sz w:val="24"/>
          <w:szCs w:val="24"/>
        </w:rPr>
        <w:t>.</w:t>
      </w:r>
    </w:p>
    <w:p w14:paraId="7FE28526"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[3] He, K., Zhang, X., Ren, S., &amp; Sun, J. (2016). Deep residual learning for image recognition.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770–778). </w:t>
      </w:r>
      <w:hyperlink r:id="rId13" w:tgtFrame="_new" w:history="1">
        <w:r>
          <w:rPr>
            <w:rStyle w:val="Hyperlink"/>
            <w:rFonts w:ascii="Times New Roman" w:eastAsia="Arial" w:hAnsi="Times New Roman" w:cs="Times New Roman"/>
            <w:sz w:val="24"/>
            <w:szCs w:val="24"/>
          </w:rPr>
          <w:t>https://doi.org/10.1109/CVPR.2016.90</w:t>
        </w:r>
      </w:hyperlink>
    </w:p>
    <w:p w14:paraId="301AFFA3"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[4] Huang, G., Liu, Z., Van Der Maaten, L., &amp; Weinberger, K. Q. (2017). Densely connected convolutional networks.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4700–4708). </w:t>
      </w:r>
      <w:hyperlink r:id="rId14" w:tgtFrame="_new" w:history="1">
        <w:r>
          <w:rPr>
            <w:rStyle w:val="Hyperlink"/>
            <w:rFonts w:ascii="Times New Roman" w:eastAsia="Arial" w:hAnsi="Times New Roman" w:cs="Times New Roman"/>
            <w:sz w:val="24"/>
            <w:szCs w:val="24"/>
          </w:rPr>
          <w:t>https://doi.org/10.1109/CVPR.2017.243</w:t>
        </w:r>
      </w:hyperlink>
    </w:p>
    <w:p w14:paraId="16CDDB5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[5] Tan, M., &amp; Le, Q. V. (2019). EfficientNet: Rethinking model scaling for convolutional neural networks. In </w:t>
      </w:r>
      <w:r>
        <w:rPr>
          <w:rFonts w:ascii="Times New Roman" w:eastAsia="Arial" w:hAnsi="Times New Roman" w:cs="Times New Roman"/>
          <w:i/>
          <w:iCs/>
          <w:color w:val="000000" w:themeColor="text1"/>
          <w:sz w:val="24"/>
          <w:szCs w:val="24"/>
        </w:rPr>
        <w:t>Proceedings of the 36th International Conference on Machine Learning</w:t>
      </w:r>
      <w:r>
        <w:rPr>
          <w:rFonts w:ascii="Times New Roman" w:eastAsia="Arial" w:hAnsi="Times New Roman" w:cs="Times New Roman"/>
          <w:color w:val="000000" w:themeColor="text1"/>
          <w:sz w:val="24"/>
          <w:szCs w:val="24"/>
        </w:rPr>
        <w:t xml:space="preserve"> (pp. 6105–6114).</w:t>
      </w:r>
    </w:p>
    <w:p w14:paraId="7265861A"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[6] Dosovitskiy, A., Beyer, L., Kolesnikov, A., Weissenborn, D., Zhai, X., Unterthiner, T., ... &amp; Houlsby, N. (2020). An image is worth 16×16 words: Transformers for image recognition at scale. </w:t>
      </w:r>
      <w:r>
        <w:rPr>
          <w:rFonts w:ascii="Times New Roman" w:eastAsia="Arial" w:hAnsi="Times New Roman" w:cs="Times New Roman"/>
          <w:i/>
          <w:iCs/>
          <w:color w:val="000000" w:themeColor="text1"/>
          <w:sz w:val="24"/>
          <w:szCs w:val="24"/>
        </w:rPr>
        <w:t>arXiv</w:t>
      </w:r>
      <w:r>
        <w:rPr>
          <w:rFonts w:ascii="Times New Roman" w:eastAsia="Arial" w:hAnsi="Times New Roman" w:cs="Times New Roman"/>
          <w:color w:val="000000" w:themeColor="text1"/>
          <w:sz w:val="24"/>
          <w:szCs w:val="24"/>
        </w:rPr>
        <w:t xml:space="preserve">. </w:t>
      </w:r>
      <w:hyperlink r:id="rId15" w:tgtFrame="_new" w:history="1">
        <w:r>
          <w:rPr>
            <w:rStyle w:val="Hyperlink"/>
            <w:rFonts w:ascii="Times New Roman" w:eastAsia="Arial" w:hAnsi="Times New Roman" w:cs="Times New Roman"/>
            <w:sz w:val="24"/>
            <w:szCs w:val="24"/>
          </w:rPr>
          <w:t>https://arxiv.org/abs/2010.11929</w:t>
        </w:r>
      </w:hyperlink>
    </w:p>
    <w:p w14:paraId="3BD6954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[7] Liu, Z., Lin, Y., Cao, Y., Hu, H., Wei, Y., Zhang, Z., ... &amp; Guo, B. (2021). Swin Transformer: Hierarchical vision transformer using shifted windows. In </w:t>
      </w:r>
      <w:r>
        <w:rPr>
          <w:rFonts w:ascii="Times New Roman" w:eastAsia="Arial" w:hAnsi="Times New Roman" w:cs="Times New Roman"/>
          <w:i/>
          <w:iCs/>
          <w:color w:val="000000" w:themeColor="text1"/>
          <w:sz w:val="24"/>
          <w:szCs w:val="24"/>
        </w:rPr>
        <w:t>Proceedings of the IEEE/CVF International Conference on Computer Vision</w:t>
      </w:r>
      <w:r>
        <w:rPr>
          <w:rFonts w:ascii="Times New Roman" w:eastAsia="Arial" w:hAnsi="Times New Roman" w:cs="Times New Roman"/>
          <w:color w:val="000000" w:themeColor="text1"/>
          <w:sz w:val="24"/>
          <w:szCs w:val="24"/>
        </w:rPr>
        <w:t xml:space="preserve"> (pp. 10012–10022). </w:t>
      </w:r>
      <w:hyperlink r:id="rId16" w:tgtFrame="_new" w:history="1">
        <w:r>
          <w:rPr>
            <w:rStyle w:val="Hyperlink"/>
            <w:rFonts w:ascii="Times New Roman" w:eastAsia="Arial" w:hAnsi="Times New Roman" w:cs="Times New Roman"/>
            <w:sz w:val="24"/>
            <w:szCs w:val="24"/>
          </w:rPr>
          <w:t>https://doi.org/10.1109/ICCV48922.2021.00986</w:t>
        </w:r>
      </w:hyperlink>
    </w:p>
    <w:p w14:paraId="322A5635"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[8] Doshi-Velez, F., &amp; Kim, B. (2017). Towards a rigorous science of interpretable machine learning. </w:t>
      </w:r>
      <w:r>
        <w:rPr>
          <w:rFonts w:ascii="Times New Roman" w:eastAsia="Arial" w:hAnsi="Times New Roman" w:cs="Times New Roman"/>
          <w:i/>
          <w:iCs/>
          <w:color w:val="000000" w:themeColor="text1"/>
          <w:sz w:val="24"/>
          <w:szCs w:val="24"/>
        </w:rPr>
        <w:t>arXiv</w:t>
      </w:r>
      <w:r>
        <w:rPr>
          <w:rFonts w:ascii="Times New Roman" w:eastAsia="Arial" w:hAnsi="Times New Roman" w:cs="Times New Roman"/>
          <w:color w:val="000000" w:themeColor="text1"/>
          <w:sz w:val="24"/>
          <w:szCs w:val="24"/>
        </w:rPr>
        <w:t xml:space="preserve">. </w:t>
      </w:r>
      <w:hyperlink r:id="rId17" w:tgtFrame="_new" w:history="1">
        <w:r>
          <w:rPr>
            <w:rStyle w:val="Hyperlink"/>
            <w:rFonts w:ascii="Times New Roman" w:eastAsia="Arial" w:hAnsi="Times New Roman" w:cs="Times New Roman"/>
            <w:sz w:val="24"/>
            <w:szCs w:val="24"/>
          </w:rPr>
          <w:t>https://arxiv.org/abs/1702.08608</w:t>
        </w:r>
      </w:hyperlink>
    </w:p>
    <w:p w14:paraId="1D3A01AD"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[9] Selvaraju, R. R., Cogswell, M., Das, A., Vedantam, R., Parikh, D., &amp; Batra, D. (2017). Grad-CAM: Visual explanations from deep networks via gradient-based localization. In </w:t>
      </w:r>
      <w:r>
        <w:rPr>
          <w:rFonts w:ascii="Times New Roman" w:eastAsia="Arial" w:hAnsi="Times New Roman" w:cs="Times New Roman"/>
          <w:i/>
          <w:iCs/>
          <w:color w:val="000000" w:themeColor="text1"/>
          <w:sz w:val="24"/>
          <w:szCs w:val="24"/>
        </w:rPr>
        <w:t>Proceedings of the IEEE International Conference on Computer Vision</w:t>
      </w:r>
      <w:r>
        <w:rPr>
          <w:rFonts w:ascii="Times New Roman" w:eastAsia="Arial" w:hAnsi="Times New Roman" w:cs="Times New Roman"/>
          <w:color w:val="000000" w:themeColor="text1"/>
          <w:sz w:val="24"/>
          <w:szCs w:val="24"/>
        </w:rPr>
        <w:t xml:space="preserve"> (pp. 618–626). </w:t>
      </w:r>
      <w:hyperlink r:id="rId18" w:tgtFrame="_new" w:history="1">
        <w:r>
          <w:rPr>
            <w:rStyle w:val="Hyperlink"/>
            <w:rFonts w:ascii="Times New Roman" w:eastAsia="Arial" w:hAnsi="Times New Roman" w:cs="Times New Roman"/>
            <w:sz w:val="24"/>
            <w:szCs w:val="24"/>
          </w:rPr>
          <w:t>https://doi.org/10.1109/ICCV.2017.74</w:t>
        </w:r>
      </w:hyperlink>
    </w:p>
    <w:p w14:paraId="555F1C31"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[10] Achanta, R., Shaji, A., Smith, K., Lucchi, A., Fua, P., &amp; Süsstrunk, S. (2012). SLIC superpixels compared to state-of-the-art superpixel methods. </w:t>
      </w:r>
      <w:r>
        <w:rPr>
          <w:rFonts w:ascii="Times New Roman" w:eastAsia="Arial" w:hAnsi="Times New Roman" w:cs="Times New Roman"/>
          <w:i/>
          <w:iCs/>
          <w:color w:val="000000" w:themeColor="text1"/>
          <w:sz w:val="24"/>
          <w:szCs w:val="24"/>
        </w:rPr>
        <w:t>IEEE Transactions on Pattern Analysis and Machine Intelligence, 34</w:t>
      </w:r>
      <w:r>
        <w:rPr>
          <w:rFonts w:ascii="Times New Roman" w:eastAsia="Arial" w:hAnsi="Times New Roman" w:cs="Times New Roman"/>
          <w:color w:val="000000" w:themeColor="text1"/>
          <w:sz w:val="24"/>
          <w:szCs w:val="24"/>
        </w:rPr>
        <w:t>(11), 2274–2282. https://doi.org/10.1109/TPAMI.2012.120</w:t>
      </w:r>
    </w:p>
    <w:p w14:paraId="3CC9758B"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[11] Ribeiro, M. T., Singh, S., &amp; Guestrin, C. (2016). “Why should I trust you?”: Explaining the predictions of any classifier. In </w:t>
      </w:r>
      <w:r>
        <w:rPr>
          <w:rFonts w:ascii="Times New Roman" w:eastAsia="Arial" w:hAnsi="Times New Roman" w:cs="Times New Roman"/>
          <w:i/>
          <w:iCs/>
          <w:color w:val="000000" w:themeColor="text1"/>
          <w:sz w:val="24"/>
          <w:szCs w:val="24"/>
        </w:rPr>
        <w:t>Proceedings of the 22nd ACM SIGKDD International Conference on Knowledge Discovery and Data Mining</w:t>
      </w:r>
      <w:r>
        <w:rPr>
          <w:rFonts w:ascii="Times New Roman" w:eastAsia="Arial" w:hAnsi="Times New Roman" w:cs="Times New Roman"/>
          <w:color w:val="000000" w:themeColor="text1"/>
          <w:sz w:val="24"/>
          <w:szCs w:val="24"/>
        </w:rPr>
        <w:t xml:space="preserve"> (pp. 1135–1144). </w:t>
      </w:r>
      <w:hyperlink r:id="rId19" w:tgtFrame="_new" w:history="1">
        <w:r>
          <w:rPr>
            <w:rStyle w:val="Hyperlink"/>
            <w:rFonts w:ascii="Times New Roman" w:eastAsia="Arial" w:hAnsi="Times New Roman" w:cs="Times New Roman"/>
            <w:sz w:val="24"/>
            <w:szCs w:val="24"/>
          </w:rPr>
          <w:t>https://doi.org/10.1145/2939672.2939778</w:t>
        </w:r>
      </w:hyperlink>
    </w:p>
    <w:p w14:paraId="17AF24F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 xml:space="preserve">[12] Lundberg, S. M., &amp; Lee, S. I. (2017). A unified approach to interpreting model predictions. In </w:t>
      </w:r>
      <w:r>
        <w:rPr>
          <w:rFonts w:ascii="Times New Roman" w:eastAsia="Arial" w:hAnsi="Times New Roman" w:cs="Times New Roman"/>
          <w:i/>
          <w:iCs/>
          <w:color w:val="000000" w:themeColor="text1"/>
          <w:sz w:val="24"/>
          <w:szCs w:val="24"/>
        </w:rPr>
        <w:t>Advances in Neural Information Processing Systems</w:t>
      </w:r>
      <w:r>
        <w:rPr>
          <w:rFonts w:ascii="Times New Roman" w:eastAsia="Arial" w:hAnsi="Times New Roman" w:cs="Times New Roman"/>
          <w:color w:val="000000" w:themeColor="text1"/>
          <w:sz w:val="24"/>
          <w:szCs w:val="24"/>
        </w:rPr>
        <w:t xml:space="preserve"> (Vol. 30, pp. 4765–4774).</w:t>
      </w:r>
    </w:p>
    <w:p w14:paraId="352B19C3"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[13] Abnar, S., &amp; Zuidema, W. (2020). Quantifying attention flow in transformers. In </w:t>
      </w:r>
      <w:r>
        <w:rPr>
          <w:rFonts w:ascii="Times New Roman" w:eastAsia="Arial" w:hAnsi="Times New Roman" w:cs="Times New Roman"/>
          <w:i/>
          <w:iCs/>
          <w:color w:val="000000" w:themeColor="text1"/>
          <w:sz w:val="24"/>
          <w:szCs w:val="24"/>
        </w:rPr>
        <w:t>Proceedings of the 58th Annual Meeting of the Association for Computational Linguistics</w:t>
      </w:r>
      <w:r>
        <w:rPr>
          <w:rFonts w:ascii="Times New Roman" w:eastAsia="Arial" w:hAnsi="Times New Roman" w:cs="Times New Roman"/>
          <w:color w:val="000000" w:themeColor="text1"/>
          <w:sz w:val="24"/>
          <w:szCs w:val="24"/>
        </w:rPr>
        <w:t xml:space="preserve"> (pp. 4190–4197). https://doi.org/10.18653/v1/2020.acl-main.385</w:t>
      </w:r>
    </w:p>
    <w:p w14:paraId="5188207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[14] Woo, S., Park, J., Lee, J. Y., &amp; Kweon, I. S. (2018). CBAM: Convolutional block attention module. In </w:t>
      </w:r>
      <w:r>
        <w:rPr>
          <w:rFonts w:ascii="Times New Roman" w:eastAsia="Arial" w:hAnsi="Times New Roman" w:cs="Times New Roman"/>
          <w:i/>
          <w:iCs/>
          <w:color w:val="000000" w:themeColor="text1"/>
          <w:sz w:val="24"/>
          <w:szCs w:val="24"/>
        </w:rPr>
        <w:t>Proceedings of the European Conference on Computer Vision</w:t>
      </w:r>
      <w:r>
        <w:rPr>
          <w:rFonts w:ascii="Times New Roman" w:eastAsia="Arial" w:hAnsi="Times New Roman" w:cs="Times New Roman"/>
          <w:color w:val="000000" w:themeColor="text1"/>
          <w:sz w:val="24"/>
          <w:szCs w:val="24"/>
        </w:rPr>
        <w:t xml:space="preserve"> (pp. 3–19). </w:t>
      </w:r>
      <w:hyperlink r:id="rId20" w:tgtFrame="_new" w:history="1">
        <w:r>
          <w:rPr>
            <w:rStyle w:val="Hyperlink"/>
            <w:rFonts w:ascii="Times New Roman" w:eastAsia="Arial" w:hAnsi="Times New Roman" w:cs="Times New Roman"/>
            <w:sz w:val="24"/>
            <w:szCs w:val="24"/>
          </w:rPr>
          <w:t>https://doi.org/10.1007/978-3-030-01234-2_1</w:t>
        </w:r>
      </w:hyperlink>
    </w:p>
    <w:p w14:paraId="6E531C4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[15] Samek, W., Montavon, G., Lapuschkin, S., Anders, C. J., &amp; Müller, K. R. (2021). Explaining deep neural networks and beyond: A review of methods and applications. </w:t>
      </w:r>
      <w:r>
        <w:rPr>
          <w:rFonts w:ascii="Times New Roman" w:eastAsia="Arial" w:hAnsi="Times New Roman" w:cs="Times New Roman"/>
          <w:i/>
          <w:iCs/>
          <w:color w:val="000000" w:themeColor="text1"/>
          <w:sz w:val="24"/>
          <w:szCs w:val="24"/>
        </w:rPr>
        <w:t>Proceedings of the IEEE, 109</w:t>
      </w:r>
      <w:r>
        <w:rPr>
          <w:rFonts w:ascii="Times New Roman" w:eastAsia="Arial" w:hAnsi="Times New Roman" w:cs="Times New Roman"/>
          <w:color w:val="000000" w:themeColor="text1"/>
          <w:sz w:val="24"/>
          <w:szCs w:val="24"/>
        </w:rPr>
        <w:t>(3), 247–278. https://doi.org/10.1109/JPROC.2021.3060483</w:t>
      </w:r>
    </w:p>
    <w:p w14:paraId="057174FE"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[16] Hughes, D. P., &amp; Salathé, M. (2015). An open access repository of images on plant health to enable the development of mobile disease diagnostics. </w:t>
      </w:r>
      <w:r>
        <w:rPr>
          <w:rFonts w:ascii="Times New Roman" w:eastAsia="Arial" w:hAnsi="Times New Roman" w:cs="Times New Roman"/>
          <w:i/>
          <w:iCs/>
          <w:color w:val="000000" w:themeColor="text1"/>
          <w:sz w:val="24"/>
          <w:szCs w:val="24"/>
        </w:rPr>
        <w:t>arXiv</w:t>
      </w:r>
      <w:r>
        <w:rPr>
          <w:rFonts w:ascii="Times New Roman" w:eastAsia="Arial" w:hAnsi="Times New Roman" w:cs="Times New Roman"/>
          <w:color w:val="000000" w:themeColor="text1"/>
          <w:sz w:val="24"/>
          <w:szCs w:val="24"/>
        </w:rPr>
        <w:t xml:space="preserve">. </w:t>
      </w:r>
      <w:hyperlink r:id="rId21" w:tgtFrame="_new" w:history="1">
        <w:r>
          <w:rPr>
            <w:rStyle w:val="Hyperlink"/>
            <w:rFonts w:ascii="Times New Roman" w:eastAsia="Arial" w:hAnsi="Times New Roman" w:cs="Times New Roman"/>
            <w:sz w:val="24"/>
            <w:szCs w:val="24"/>
          </w:rPr>
          <w:t>https://arxiv.org/abs/1511.08060</w:t>
        </w:r>
      </w:hyperlink>
    </w:p>
    <w:p w14:paraId="6CA1DE9B"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[17] Singh, D., Jain, N., Jain, P., Kayal, P., Kumawat, S., &amp; Batra, N. (2020). PlantDoc: A dataset for visual plant disease detection. In </w:t>
      </w:r>
      <w:r>
        <w:rPr>
          <w:rFonts w:ascii="Times New Roman" w:eastAsia="Arial" w:hAnsi="Times New Roman" w:cs="Times New Roman"/>
          <w:i/>
          <w:iCs/>
          <w:color w:val="000000" w:themeColor="text1"/>
          <w:sz w:val="24"/>
          <w:szCs w:val="24"/>
        </w:rPr>
        <w:t>Proceedings of the 7th ACM IKDD CoDS and 25th COMAD</w:t>
      </w:r>
      <w:r>
        <w:rPr>
          <w:rFonts w:ascii="Times New Roman" w:eastAsia="Arial" w:hAnsi="Times New Roman" w:cs="Times New Roman"/>
          <w:color w:val="000000" w:themeColor="text1"/>
          <w:sz w:val="24"/>
          <w:szCs w:val="24"/>
        </w:rPr>
        <w:t xml:space="preserve"> (pp. 249–253). </w:t>
      </w:r>
      <w:hyperlink r:id="rId22" w:tgtFrame="_new" w:history="1">
        <w:r>
          <w:rPr>
            <w:rStyle w:val="Hyperlink"/>
            <w:rFonts w:ascii="Times New Roman" w:eastAsia="Arial" w:hAnsi="Times New Roman" w:cs="Times New Roman"/>
            <w:sz w:val="24"/>
            <w:szCs w:val="24"/>
          </w:rPr>
          <w:t>https://doi.org/10.1145/3371158.3371196</w:t>
        </w:r>
      </w:hyperlink>
    </w:p>
    <w:p w14:paraId="18E5D234"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[18] Lin, T. Y., Goyal, P., Girshick, R., He, K., &amp; Dollár, P. (2017). Focal loss for dense object detection. In </w:t>
      </w:r>
      <w:r>
        <w:rPr>
          <w:rFonts w:ascii="Times New Roman" w:eastAsia="Arial" w:hAnsi="Times New Roman" w:cs="Times New Roman"/>
          <w:i/>
          <w:iCs/>
          <w:color w:val="000000" w:themeColor="text1"/>
          <w:sz w:val="24"/>
          <w:szCs w:val="24"/>
        </w:rPr>
        <w:t>Proceedings of the IEEE International Conference on Computer Vision</w:t>
      </w:r>
      <w:r>
        <w:rPr>
          <w:rFonts w:ascii="Times New Roman" w:eastAsia="Arial" w:hAnsi="Times New Roman" w:cs="Times New Roman"/>
          <w:color w:val="000000" w:themeColor="text1"/>
          <w:sz w:val="24"/>
          <w:szCs w:val="24"/>
        </w:rPr>
        <w:t xml:space="preserve"> (pp. 2980–2988). https://doi.org/10.1109/ICCV.2017.324</w:t>
      </w:r>
    </w:p>
    <w:p w14:paraId="43BDCBF7"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[19] Radford, A., Kim, J. W., Hallacy, C., Ramesh, A., Goh, G., Agarwal, S., ... &amp; Sutskever, I. (2021). Learning transferable visual models from natural language supervision. In </w:t>
      </w:r>
      <w:r>
        <w:rPr>
          <w:rFonts w:ascii="Times New Roman" w:eastAsia="Arial" w:hAnsi="Times New Roman" w:cs="Times New Roman"/>
          <w:i/>
          <w:iCs/>
          <w:color w:val="000000" w:themeColor="text1"/>
          <w:sz w:val="24"/>
          <w:szCs w:val="24"/>
        </w:rPr>
        <w:t>Proceedings of the 38th International Conference on Machine Learning</w:t>
      </w:r>
      <w:r>
        <w:rPr>
          <w:rFonts w:ascii="Times New Roman" w:eastAsia="Arial" w:hAnsi="Times New Roman" w:cs="Times New Roman"/>
          <w:color w:val="000000" w:themeColor="text1"/>
          <w:sz w:val="24"/>
          <w:szCs w:val="24"/>
        </w:rPr>
        <w:t xml:space="preserve"> (pp. 8748–8763).</w:t>
      </w:r>
    </w:p>
    <w:p w14:paraId="6346899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[20] Chen, T., Kornblith, S., Norouzi, M., &amp; Hinton, G. (2020). A simple framework for contrastive learning of visual representations. In </w:t>
      </w:r>
      <w:r>
        <w:rPr>
          <w:rFonts w:ascii="Times New Roman" w:eastAsia="Arial" w:hAnsi="Times New Roman" w:cs="Times New Roman"/>
          <w:i/>
          <w:iCs/>
          <w:color w:val="000000" w:themeColor="text1"/>
          <w:sz w:val="24"/>
          <w:szCs w:val="24"/>
        </w:rPr>
        <w:t>Proceedings of the 37th International Conference on Machine Learning</w:t>
      </w:r>
      <w:r>
        <w:rPr>
          <w:rFonts w:ascii="Times New Roman" w:eastAsia="Arial" w:hAnsi="Times New Roman" w:cs="Times New Roman"/>
          <w:color w:val="000000" w:themeColor="text1"/>
          <w:sz w:val="24"/>
          <w:szCs w:val="24"/>
        </w:rPr>
        <w:t xml:space="preserve"> (pp. 1597–1607).</w:t>
      </w:r>
    </w:p>
    <w:p w14:paraId="241A1F6F"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[21] McMahan, B., Moore, E., Ramage, D., Hampson, S., &amp; Agüera y Arcas, B. (2017). Communication-efficient learning of deep networks from decentralized data. In </w:t>
      </w:r>
      <w:r>
        <w:rPr>
          <w:rFonts w:ascii="Times New Roman" w:eastAsia="Arial" w:hAnsi="Times New Roman" w:cs="Times New Roman"/>
          <w:i/>
          <w:iCs/>
          <w:color w:val="000000" w:themeColor="text1"/>
          <w:sz w:val="24"/>
          <w:szCs w:val="24"/>
        </w:rPr>
        <w:t>Proceedings of the 20th International Conference on Artificial Intelligence and Statistics</w:t>
      </w:r>
      <w:r>
        <w:rPr>
          <w:rFonts w:ascii="Times New Roman" w:eastAsia="Arial" w:hAnsi="Times New Roman" w:cs="Times New Roman"/>
          <w:color w:val="000000" w:themeColor="text1"/>
          <w:sz w:val="24"/>
          <w:szCs w:val="24"/>
        </w:rPr>
        <w:t xml:space="preserve"> (pp. 1273–1282).</w:t>
      </w:r>
    </w:p>
    <w:p w14:paraId="19349F2C" w14:textId="77777777" w:rsidR="0063281D" w:rsidRPr="0063281D" w:rsidRDefault="0063281D" w:rsidP="0063281D">
      <w:pPr>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[22] Chollet, F. (2017). Xception: Deep learning with depthwise separable convolutions.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1251–1258). https://doi.org/10.1109/CVPR.2017.195</w:t>
      </w:r>
    </w:p>
    <w:p w14:paraId="12CB1728" w14:textId="77777777" w:rsidR="00502199" w:rsidRPr="0063281D" w:rsidRDefault="0063281D" w:rsidP="00502199">
      <w:pPr>
        <w:jc w:val="both"/>
        <w:rPr>
          <w:rFonts w:ascii="Times New Roman" w:hAnsi="Times New Roman" w:cs="Times New Roman"/>
          <w:color w:val="000000" w:themeColor="text1"/>
          <w:sz w:val="24"/>
          <w:szCs w:val="24"/>
          <w:lang w:val="en-US"/>
        </w:rPr>
      </w:pPr>
      <w:r>
        <w:rPr>
          <w:rFonts w:ascii="Times New Roman" w:eastAsia="Arial" w:hAnsi="Times New Roman" w:cs="Times New Roman"/>
          <w:color w:val="000000" w:themeColor="text1"/>
          <w:sz w:val="24"/>
          <w:szCs w:val="24"/>
        </w:rPr>
        <w:t xml:space="preserve">[23] Zhou, B., Khosla, A., Lapedriza, A., Oliva, A., &amp; Torralba, A. (2016). Learning deep features for discriminative localization. In </w:t>
      </w:r>
      <w:r>
        <w:rPr>
          <w:rFonts w:ascii="Times New Roman" w:eastAsia="Arial" w:hAnsi="Times New Roman" w:cs="Times New Roman"/>
          <w:i/>
          <w:iCs/>
          <w:color w:val="000000" w:themeColor="text1"/>
          <w:sz w:val="24"/>
          <w:szCs w:val="24"/>
        </w:rPr>
        <w:t>Proceedings of the IEEE Conference on Computer Vision and Pattern Recognition</w:t>
      </w:r>
      <w:r>
        <w:rPr>
          <w:rFonts w:ascii="Times New Roman" w:eastAsia="Arial" w:hAnsi="Times New Roman" w:cs="Times New Roman"/>
          <w:color w:val="000000" w:themeColor="text1"/>
          <w:sz w:val="24"/>
          <w:szCs w:val="24"/>
        </w:rPr>
        <w:t xml:space="preserve"> (pp. 2921–2929). https://doi.org/10.1109/CVPR.2016.319</w:t>
      </w:r>
    </w:p>
    <w:sectPr w:rsidR="00502199" w:rsidRPr="00632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13CCD"/>
    <w:multiLevelType w:val="multilevel"/>
    <w:tmpl w:val="AE0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38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99"/>
    <w:rsid w:val="00021390"/>
    <w:rsid w:val="000214FC"/>
    <w:rsid w:val="000364C6"/>
    <w:rsid w:val="00057533"/>
    <w:rsid w:val="00081F0E"/>
    <w:rsid w:val="00132C32"/>
    <w:rsid w:val="00190FDD"/>
    <w:rsid w:val="001C0AC9"/>
    <w:rsid w:val="00207B49"/>
    <w:rsid w:val="002C78BD"/>
    <w:rsid w:val="002D5E4E"/>
    <w:rsid w:val="002F14C6"/>
    <w:rsid w:val="00340251"/>
    <w:rsid w:val="003C0419"/>
    <w:rsid w:val="00411EDC"/>
    <w:rsid w:val="00435806"/>
    <w:rsid w:val="004469FB"/>
    <w:rsid w:val="004943C5"/>
    <w:rsid w:val="00502199"/>
    <w:rsid w:val="00502F3D"/>
    <w:rsid w:val="00531832"/>
    <w:rsid w:val="005D21ED"/>
    <w:rsid w:val="0063281D"/>
    <w:rsid w:val="00633176"/>
    <w:rsid w:val="00651093"/>
    <w:rsid w:val="007044A2"/>
    <w:rsid w:val="007066FC"/>
    <w:rsid w:val="00722436"/>
    <w:rsid w:val="00793422"/>
    <w:rsid w:val="007A4F42"/>
    <w:rsid w:val="007F380D"/>
    <w:rsid w:val="00813A9A"/>
    <w:rsid w:val="00846A18"/>
    <w:rsid w:val="00874F6C"/>
    <w:rsid w:val="00907057"/>
    <w:rsid w:val="00965128"/>
    <w:rsid w:val="009C5624"/>
    <w:rsid w:val="009C618D"/>
    <w:rsid w:val="009D00CE"/>
    <w:rsid w:val="009D5289"/>
    <w:rsid w:val="00B064EA"/>
    <w:rsid w:val="00BA04B8"/>
    <w:rsid w:val="00BC19C0"/>
    <w:rsid w:val="00C66142"/>
    <w:rsid w:val="00CA0D44"/>
    <w:rsid w:val="00D668A7"/>
    <w:rsid w:val="00DB2F7A"/>
    <w:rsid w:val="00E45476"/>
    <w:rsid w:val="00E62BE4"/>
    <w:rsid w:val="00F01DFC"/>
    <w:rsid w:val="00F63616"/>
    <w:rsid w:val="00FA0A04"/>
    <w:rsid w:val="00FB4D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6305"/>
  <w15:chartTrackingRefBased/>
  <w15:docId w15:val="{E9FF1915-0F84-443C-A4F7-99DD5A7A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199"/>
    <w:rPr>
      <w:rFonts w:eastAsiaTheme="majorEastAsia" w:cstheme="majorBidi"/>
      <w:color w:val="272727" w:themeColor="text1" w:themeTint="D8"/>
    </w:rPr>
  </w:style>
  <w:style w:type="paragraph" w:styleId="Title">
    <w:name w:val="Title"/>
    <w:basedOn w:val="Normal"/>
    <w:next w:val="Normal"/>
    <w:link w:val="TitleChar"/>
    <w:uiPriority w:val="10"/>
    <w:qFormat/>
    <w:rsid w:val="0050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199"/>
    <w:pPr>
      <w:spacing w:before="160"/>
      <w:jc w:val="center"/>
    </w:pPr>
    <w:rPr>
      <w:i/>
      <w:iCs/>
      <w:color w:val="404040" w:themeColor="text1" w:themeTint="BF"/>
    </w:rPr>
  </w:style>
  <w:style w:type="character" w:customStyle="1" w:styleId="QuoteChar">
    <w:name w:val="Quote Char"/>
    <w:basedOn w:val="DefaultParagraphFont"/>
    <w:link w:val="Quote"/>
    <w:uiPriority w:val="29"/>
    <w:rsid w:val="00502199"/>
    <w:rPr>
      <w:i/>
      <w:iCs/>
      <w:color w:val="404040" w:themeColor="text1" w:themeTint="BF"/>
    </w:rPr>
  </w:style>
  <w:style w:type="paragraph" w:styleId="ListParagraph">
    <w:name w:val="List Paragraph"/>
    <w:basedOn w:val="Normal"/>
    <w:uiPriority w:val="34"/>
    <w:qFormat/>
    <w:rsid w:val="00502199"/>
    <w:pPr>
      <w:ind w:left="720"/>
      <w:contextualSpacing/>
    </w:pPr>
  </w:style>
  <w:style w:type="character" w:styleId="IntenseEmphasis">
    <w:name w:val="Intense Emphasis"/>
    <w:basedOn w:val="DefaultParagraphFont"/>
    <w:uiPriority w:val="21"/>
    <w:qFormat/>
    <w:rsid w:val="00502199"/>
    <w:rPr>
      <w:i/>
      <w:iCs/>
      <w:color w:val="2F5496" w:themeColor="accent1" w:themeShade="BF"/>
    </w:rPr>
  </w:style>
  <w:style w:type="paragraph" w:styleId="IntenseQuote">
    <w:name w:val="Intense Quote"/>
    <w:basedOn w:val="Normal"/>
    <w:next w:val="Normal"/>
    <w:link w:val="IntenseQuoteChar"/>
    <w:uiPriority w:val="30"/>
    <w:qFormat/>
    <w:rsid w:val="00502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199"/>
    <w:rPr>
      <w:i/>
      <w:iCs/>
      <w:color w:val="2F5496" w:themeColor="accent1" w:themeShade="BF"/>
    </w:rPr>
  </w:style>
  <w:style w:type="character" w:styleId="IntenseReference">
    <w:name w:val="Intense Reference"/>
    <w:basedOn w:val="DefaultParagraphFont"/>
    <w:uiPriority w:val="32"/>
    <w:qFormat/>
    <w:rsid w:val="00502199"/>
    <w:rPr>
      <w:b/>
      <w:bCs/>
      <w:smallCaps/>
      <w:color w:val="2F5496" w:themeColor="accent1" w:themeShade="BF"/>
      <w:spacing w:val="5"/>
    </w:rPr>
  </w:style>
  <w:style w:type="character" w:styleId="Hyperlink">
    <w:name w:val="Hyperlink"/>
    <w:uiPriority w:val="99"/>
    <w:unhideWhenUsed/>
    <w:rsid w:val="00F63616"/>
    <w:rPr>
      <w:color w:val="0563C1"/>
      <w:u w:val="single"/>
    </w:rPr>
  </w:style>
  <w:style w:type="paragraph" w:customStyle="1" w:styleId="Author">
    <w:name w:val="Author"/>
    <w:rsid w:val="00F63616"/>
    <w:pPr>
      <w:spacing w:before="360" w:after="40" w:line="240" w:lineRule="auto"/>
      <w:jc w:val="center"/>
    </w:pPr>
    <w:rPr>
      <w:rFonts w:ascii="Times New Roman" w:eastAsia="SimSun" w:hAnsi="Times New Roman" w:cs="Times New Roman"/>
      <w:noProof/>
      <w:kern w:val="0"/>
      <w:lang w:val="en-US"/>
      <w14:ligatures w14:val="none"/>
    </w:rPr>
  </w:style>
  <w:style w:type="character" w:styleId="UnresolvedMention">
    <w:name w:val="Unresolved Mention"/>
    <w:basedOn w:val="DefaultParagraphFont"/>
    <w:uiPriority w:val="99"/>
    <w:semiHidden/>
    <w:unhideWhenUsed/>
    <w:rsid w:val="00632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9/CVPR.2016.90" TargetMode="External"/><Relationship Id="rId18" Type="http://schemas.openxmlformats.org/officeDocument/2006/relationships/hyperlink" Target="https://doi.org/10.1109/ICCV.2017.74" TargetMode="External"/><Relationship Id="rId3" Type="http://schemas.openxmlformats.org/officeDocument/2006/relationships/settings" Target="settings.xml"/><Relationship Id="rId21" Type="http://schemas.openxmlformats.org/officeDocument/2006/relationships/hyperlink" Target="https://arxiv.org/abs/1511.08060" TargetMode="External"/><Relationship Id="rId7" Type="http://schemas.openxmlformats.org/officeDocument/2006/relationships/hyperlink" Target="mailto:rajnibedi@lkcengg.edu.in" TargetMode="External"/><Relationship Id="rId12" Type="http://schemas.openxmlformats.org/officeDocument/2006/relationships/hyperlink" Target="https://doi.org/10.3389/fpls.2016.01419" TargetMode="External"/><Relationship Id="rId17" Type="http://schemas.openxmlformats.org/officeDocument/2006/relationships/hyperlink" Target="https://arxiv.org/abs/1702.08608" TargetMode="External"/><Relationship Id="rId2" Type="http://schemas.openxmlformats.org/officeDocument/2006/relationships/styles" Target="styles.xml"/><Relationship Id="rId16" Type="http://schemas.openxmlformats.org/officeDocument/2006/relationships/hyperlink" Target="https://doi.org/10.1109/ICCV48922.2021.00986" TargetMode="External"/><Relationship Id="rId20" Type="http://schemas.openxmlformats.org/officeDocument/2006/relationships/hyperlink" Target="https://doi.org/10.1007/978-3-030-01234-2_1" TargetMode="External"/><Relationship Id="rId1" Type="http://schemas.openxmlformats.org/officeDocument/2006/relationships/numbering" Target="numbering.xml"/><Relationship Id="rId6" Type="http://schemas.openxmlformats.org/officeDocument/2006/relationships/hyperlink" Target="mailto:heslyngah@gmail.com"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hyperlink" Target="mailto:pallavi.sharma@gnauniversity.edu.in" TargetMode="External"/><Relationship Id="rId15" Type="http://schemas.openxmlformats.org/officeDocument/2006/relationships/hyperlink" Target="https://arxiv.org/abs/2010.11929"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145/2939672.293977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9/CVPR.2017.243" TargetMode="External"/><Relationship Id="rId22" Type="http://schemas.openxmlformats.org/officeDocument/2006/relationships/hyperlink" Target="https://doi.org/10.1145/3371158.3371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26</Pages>
  <Words>10904</Words>
  <Characters>62158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Sharma</dc:creator>
  <cp:keywords/>
  <dc:description/>
  <cp:lastModifiedBy>Pallavi Sharma</cp:lastModifiedBy>
  <cp:revision>45</cp:revision>
  <dcterms:created xsi:type="dcterms:W3CDTF">2026-05-15T04:13:00Z</dcterms:created>
  <dcterms:modified xsi:type="dcterms:W3CDTF">2026-05-15T08:44:00Z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789cfaff-43b4-418a-b706-f3e38637c406</vt:lpwstr>
  </property>
</Properties>
</file>