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FA8A5" w14:textId="77777777" w:rsidR="00241B0B" w:rsidRDefault="00000000">
      <w:pPr>
        <w:tabs>
          <w:tab w:val="left" w:pos="791"/>
        </w:tabs>
        <w:spacing w:before="228" w:line="360" w:lineRule="auto"/>
        <w:rPr>
          <w:b/>
          <w:sz w:val="24"/>
          <w:szCs w:val="24"/>
        </w:rPr>
      </w:pPr>
      <w:r>
        <w:rPr>
          <w:b/>
          <w:sz w:val="24"/>
          <w:szCs w:val="24"/>
        </w:rPr>
        <w:t>An Evaluation of the Social Value-Action Gap in the Governance of the Nairobi River System</w:t>
      </w:r>
    </w:p>
    <w:p w14:paraId="73457052" w14:textId="77777777" w:rsidR="00241B0B" w:rsidRDefault="00000000">
      <w:pPr>
        <w:tabs>
          <w:tab w:val="left" w:pos="791"/>
        </w:tabs>
        <w:spacing w:before="225" w:line="360" w:lineRule="auto"/>
        <w:rPr>
          <w:b/>
          <w:sz w:val="24"/>
          <w:szCs w:val="24"/>
        </w:rPr>
      </w:pPr>
      <w:r>
        <w:rPr>
          <w:b/>
          <w:sz w:val="24"/>
          <w:szCs w:val="24"/>
        </w:rPr>
        <w:t/>
      </w:r>
    </w:p>
    <w:p w14:paraId="49F2E456" w14:textId="77777777" w:rsidR="00241B0B" w:rsidRDefault="00000000">
      <w:pPr>
        <w:tabs>
          <w:tab w:val="left" w:pos="791"/>
        </w:tabs>
        <w:spacing w:before="221" w:line="360" w:lineRule="auto"/>
        <w:rPr>
          <w:sz w:val="24"/>
          <w:szCs w:val="24"/>
        </w:rPr>
      </w:pPr>
      <w:r>
        <w:rPr>
          <w:sz w:val="24"/>
          <w:szCs w:val="24"/>
        </w:rPr>
        <w:t/>
      </w:r>
      <w:r>
        <w:rPr>
          <w:spacing w:val="11"/>
          <w:sz w:val="24"/>
          <w:szCs w:val="24"/>
        </w:rPr>
        <w:t xml:space="preserve"/>
      </w:r>
      <w:r>
        <w:rPr>
          <w:sz w:val="24"/>
          <w:szCs w:val="24"/>
        </w:rPr>
        <w:t/>
      </w:r>
      <w:r>
        <w:rPr>
          <w:spacing w:val="14"/>
          <w:sz w:val="24"/>
          <w:szCs w:val="24"/>
        </w:rPr>
        <w:t xml:space="preserve"/>
      </w:r>
    </w:p>
    <w:p w14:paraId="062E9C79" w14:textId="77777777" w:rsidR="00241B0B" w:rsidRDefault="00000000">
      <w:pPr>
        <w:tabs>
          <w:tab w:val="left" w:pos="791"/>
        </w:tabs>
        <w:spacing w:before="228" w:after="240" w:line="360" w:lineRule="auto"/>
        <w:rPr>
          <w:i/>
          <w:spacing w:val="-2"/>
          <w:sz w:val="24"/>
          <w:szCs w:val="24"/>
        </w:rPr>
      </w:pPr>
      <w:r>
        <w:rPr>
          <w:b/>
          <w:sz w:val="24"/>
          <w:szCs w:val="24"/>
        </w:rPr>
        <w:t/>
      </w:r>
      <w:r>
        <w:rPr>
          <w:b/>
          <w:spacing w:val="13"/>
          <w:sz w:val="24"/>
          <w:szCs w:val="24"/>
        </w:rPr>
        <w:t xml:space="preserve"/>
      </w:r>
      <w:hyperlink r:id="rId8" w:history="1">
        <w:r w:rsidR="00241B0B">
          <w:rPr>
            <w:rStyle w:val="Hyperlink"/>
            <w:i/>
            <w:spacing w:val="-2"/>
            <w:sz w:val="24"/>
            <w:szCs w:val="24"/>
          </w:rPr>
          <w:t/>
        </w:r>
      </w:hyperlink>
    </w:p>
    <w:p w14:paraId="453590A5" w14:textId="77777777" w:rsidR="00241B0B" w:rsidRDefault="00000000">
      <w:pPr>
        <w:pStyle w:val="Heading1"/>
        <w:spacing w:line="360" w:lineRule="auto"/>
        <w:ind w:left="549"/>
        <w:rPr>
          <w:i/>
          <w:sz w:val="24"/>
          <w:szCs w:val="24"/>
        </w:rPr>
      </w:pPr>
      <w:r>
        <w:rPr>
          <w:sz w:val="24"/>
          <w:szCs w:val="24"/>
        </w:rPr>
        <w:t/>
      </w:r>
      <w:r>
        <w:rPr>
          <w:spacing w:val="79"/>
          <w:sz w:val="24"/>
          <w:szCs w:val="24"/>
        </w:rPr>
        <w:t xml:space="preserve"/>
      </w:r>
      <w:hyperlink r:id="rId9" w:history="1">
        <w:r w:rsidR="00241B0B">
          <w:rPr>
            <w:rStyle w:val="Hyperlink"/>
            <w:sz w:val="24"/>
            <w:szCs w:val="24"/>
          </w:rPr>
          <w:t/>
        </w:r>
      </w:hyperlink>
    </w:p>
    <w:p w14:paraId="32FAD6BE" w14:textId="77777777" w:rsidR="00241B0B" w:rsidRDefault="00000000">
      <w:pPr>
        <w:tabs>
          <w:tab w:val="left" w:pos="791"/>
        </w:tabs>
        <w:spacing w:before="228" w:line="360" w:lineRule="auto"/>
        <w:rPr>
          <w:b/>
          <w:sz w:val="24"/>
          <w:szCs w:val="24"/>
        </w:rPr>
      </w:pPr>
      <w:r>
        <w:rPr>
          <w:b/>
          <w:sz w:val="24"/>
          <w:szCs w:val="24"/>
        </w:rPr>
        <w:t/>
      </w:r>
    </w:p>
    <w:p w14:paraId="5C0D17D4" w14:textId="77777777" w:rsidR="00241B0B" w:rsidRDefault="00000000">
      <w:pPr>
        <w:tabs>
          <w:tab w:val="left" w:pos="791"/>
        </w:tabs>
        <w:spacing w:before="218" w:line="360" w:lineRule="auto"/>
        <w:rPr>
          <w:i/>
          <w:sz w:val="24"/>
          <w:szCs w:val="24"/>
        </w:rPr>
      </w:pPr>
      <w:r>
        <w:rPr>
          <w:sz w:val="24"/>
          <w:szCs w:val="24"/>
        </w:rPr>
        <w:t/>
      </w:r>
      <w:r>
        <w:rPr>
          <w:spacing w:val="15"/>
          <w:sz w:val="24"/>
          <w:szCs w:val="24"/>
        </w:rPr>
        <w:t xml:space="preserve"/>
      </w:r>
      <w:r>
        <w:rPr>
          <w:sz w:val="24"/>
          <w:szCs w:val="24"/>
        </w:rPr>
        <w:t/>
      </w:r>
      <w:r>
        <w:rPr>
          <w:spacing w:val="17"/>
          <w:sz w:val="24"/>
          <w:szCs w:val="24"/>
        </w:rPr>
        <w:t xml:space="preserve"/>
      </w:r>
      <w:r>
        <w:rPr>
          <w:sz w:val="24"/>
          <w:szCs w:val="24"/>
        </w:rPr>
        <w:t/>
      </w:r>
    </w:p>
    <w:p w14:paraId="7D5813ED" w14:textId="77777777" w:rsidR="00241B0B" w:rsidRDefault="00000000">
      <w:pPr>
        <w:tabs>
          <w:tab w:val="left" w:pos="791"/>
        </w:tabs>
        <w:spacing w:before="218" w:line="360" w:lineRule="auto"/>
        <w:rPr>
          <w:i/>
          <w:sz w:val="24"/>
          <w:szCs w:val="24"/>
        </w:rPr>
      </w:pPr>
      <w:r>
        <w:rPr>
          <w:b/>
          <w:sz w:val="24"/>
          <w:szCs w:val="24"/>
        </w:rPr>
        <w:t/>
      </w:r>
      <w:r>
        <w:rPr>
          <w:b/>
          <w:spacing w:val="13"/>
          <w:sz w:val="24"/>
          <w:szCs w:val="24"/>
        </w:rPr>
        <w:t xml:space="preserve"/>
      </w:r>
      <w:hyperlink r:id="rId10" w:history="1">
        <w:r w:rsidR="00241B0B">
          <w:rPr>
            <w:rStyle w:val="Hyperlink"/>
            <w:i/>
            <w:spacing w:val="-2"/>
            <w:sz w:val="24"/>
            <w:szCs w:val="24"/>
          </w:rPr>
          <w:t/>
        </w:r>
      </w:hyperlink>
    </w:p>
    <w:p w14:paraId="37016B3A" w14:textId="77777777" w:rsidR="00241B0B" w:rsidRDefault="00000000">
      <w:pPr>
        <w:pStyle w:val="Heading1"/>
        <w:tabs>
          <w:tab w:val="left" w:pos="791"/>
        </w:tabs>
        <w:spacing w:before="235" w:line="360" w:lineRule="auto"/>
        <w:ind w:left="-105" w:firstLine="0"/>
        <w:rPr>
          <w:sz w:val="24"/>
          <w:szCs w:val="24"/>
        </w:rPr>
      </w:pPr>
      <w:r>
        <w:rPr>
          <w:sz w:val="24"/>
          <w:szCs w:val="24"/>
        </w:rPr>
        <w:t/>
      </w:r>
      <w:r>
        <w:rPr>
          <w:spacing w:val="79"/>
          <w:sz w:val="24"/>
          <w:szCs w:val="24"/>
        </w:rPr>
        <w:t xml:space="preserve"/>
      </w:r>
      <w:r>
        <w:rPr>
          <w:color w:val="0000FF"/>
          <w:sz w:val="24"/>
          <w:szCs w:val="24"/>
          <w:u w:val="single" w:color="0000FF"/>
        </w:rPr>
        <w:t/>
      </w:r>
    </w:p>
    <w:p w14:paraId="4C7B5AEC" w14:textId="77777777" w:rsidR="00241B0B" w:rsidRDefault="00000000">
      <w:pPr>
        <w:tabs>
          <w:tab w:val="left" w:pos="791"/>
        </w:tabs>
        <w:spacing w:before="226" w:line="360" w:lineRule="auto"/>
        <w:rPr>
          <w:b/>
          <w:sz w:val="24"/>
          <w:szCs w:val="24"/>
        </w:rPr>
      </w:pPr>
      <w:r>
        <w:rPr>
          <w:b/>
          <w:sz w:val="24"/>
          <w:szCs w:val="24"/>
        </w:rPr>
        <w:t xml:space="preserve"/>
      </w:r>
      <w:proofErr w:type="spellStart"/>
      <w:r>
        <w:rPr>
          <w:b/>
          <w:sz w:val="24"/>
          <w:szCs w:val="24"/>
        </w:rPr>
        <w:t/>
      </w:r>
      <w:proofErr w:type="spellEnd"/>
      <w:r>
        <w:rPr>
          <w:b/>
          <w:sz w:val="24"/>
          <w:szCs w:val="24"/>
        </w:rPr>
        <w:t xml:space="preserve"/>
      </w:r>
    </w:p>
    <w:p w14:paraId="335BFB2F" w14:textId="77777777" w:rsidR="00241B0B" w:rsidRDefault="00000000">
      <w:pPr>
        <w:tabs>
          <w:tab w:val="left" w:pos="791"/>
        </w:tabs>
        <w:spacing w:before="226" w:line="360" w:lineRule="auto"/>
        <w:rPr>
          <w:b/>
          <w:sz w:val="24"/>
          <w:szCs w:val="24"/>
        </w:rPr>
      </w:pPr>
      <w:r>
        <w:rPr>
          <w:sz w:val="24"/>
          <w:szCs w:val="24"/>
        </w:rPr>
        <w:t/>
      </w:r>
    </w:p>
    <w:p w14:paraId="6ABFFFAE" w14:textId="77777777" w:rsidR="00241B0B" w:rsidRDefault="00000000">
      <w:pPr>
        <w:pStyle w:val="Heading1"/>
        <w:tabs>
          <w:tab w:val="left" w:pos="791"/>
        </w:tabs>
        <w:spacing w:before="233" w:line="360" w:lineRule="auto"/>
        <w:ind w:left="0" w:firstLine="0"/>
        <w:rPr>
          <w:sz w:val="24"/>
          <w:szCs w:val="24"/>
        </w:rPr>
      </w:pPr>
      <w:r>
        <w:rPr>
          <w:sz w:val="24"/>
          <w:szCs w:val="24"/>
        </w:rPr>
        <w:t/>
      </w:r>
      <w:r>
        <w:rPr>
          <w:spacing w:val="79"/>
          <w:sz w:val="24"/>
          <w:szCs w:val="24"/>
        </w:rPr>
        <w:t xml:space="preserve"/>
      </w:r>
      <w:r>
        <w:rPr>
          <w:color w:val="0000FF"/>
          <w:sz w:val="24"/>
          <w:szCs w:val="24"/>
          <w:u w:val="single" w:color="0000FF"/>
        </w:rPr>
        <w:t/>
      </w:r>
    </w:p>
    <w:p w14:paraId="62C0AC99" w14:textId="77777777" w:rsidR="00241B0B" w:rsidRDefault="00000000">
      <w:pPr>
        <w:tabs>
          <w:tab w:val="left" w:pos="791"/>
        </w:tabs>
        <w:spacing w:before="228" w:after="240" w:line="360" w:lineRule="auto"/>
        <w:rPr>
          <w:b/>
          <w:i/>
          <w:sz w:val="24"/>
          <w:szCs w:val="24"/>
        </w:rPr>
      </w:pPr>
      <w:r>
        <w:rPr>
          <w:b/>
          <w:sz w:val="24"/>
          <w:szCs w:val="24"/>
        </w:rPr>
        <w:t/>
      </w:r>
      <w:r>
        <w:rPr>
          <w:b/>
          <w:spacing w:val="13"/>
          <w:sz w:val="24"/>
          <w:szCs w:val="24"/>
        </w:rPr>
        <w:t xml:space="preserve"/>
      </w:r>
      <w:hyperlink r:id="rId11" w:history="1">
        <w:r w:rsidR="00241B0B">
          <w:rPr>
            <w:rStyle w:val="Hyperlink"/>
            <w:b/>
            <w:i/>
            <w:spacing w:val="-2"/>
            <w:sz w:val="24"/>
            <w:szCs w:val="24"/>
          </w:rPr>
          <w:t/>
        </w:r>
      </w:hyperlink>
    </w:p>
    <w:p w14:paraId="14AA4320" w14:textId="313F875B" w:rsidR="00241B0B" w:rsidRPr="00C90731" w:rsidRDefault="00000000">
      <w:pPr>
        <w:pStyle w:val="Heading1"/>
        <w:tabs>
          <w:tab w:val="left" w:pos="791"/>
        </w:tabs>
        <w:spacing w:before="228" w:line="360" w:lineRule="auto"/>
        <w:ind w:left="0" w:firstLine="0"/>
        <w:rPr>
          <w:sz w:val="24"/>
          <w:szCs w:val="24"/>
          <w:u w:val="single"/>
        </w:rPr>
      </w:pPr>
      <w:r w:rsidRPr="00C90731">
        <w:rPr>
          <w:sz w:val="24"/>
          <w:szCs w:val="24"/>
          <w:u w:val="single"/>
        </w:rPr>
        <w:t/>
      </w:r>
      <w:r w:rsidRPr="00C90731">
        <w:rPr>
          <w:spacing w:val="20"/>
          <w:sz w:val="24"/>
          <w:szCs w:val="24"/>
          <w:u w:val="single"/>
        </w:rPr>
        <w:t xml:space="preserve"/>
      </w:r>
      <w:r w:rsidR="00C90731">
        <w:rPr>
          <w:spacing w:val="20"/>
          <w:sz w:val="24"/>
          <w:szCs w:val="24"/>
          <w:u w:val="single"/>
        </w:rPr>
        <w:t/>
      </w:r>
      <w:r w:rsidRPr="00C90731">
        <w:rPr>
          <w:sz w:val="24"/>
          <w:szCs w:val="24"/>
          <w:u w:val="single"/>
        </w:rPr>
        <w:t/>
      </w:r>
      <w:r w:rsidRPr="00C90731">
        <w:rPr>
          <w:spacing w:val="23"/>
          <w:sz w:val="24"/>
          <w:szCs w:val="24"/>
          <w:u w:val="single"/>
        </w:rPr>
        <w:t xml:space="preserve"/>
      </w:r>
      <w:r w:rsidRPr="00C90731">
        <w:rPr>
          <w:spacing w:val="-2"/>
          <w:sz w:val="24"/>
          <w:szCs w:val="24"/>
          <w:u w:val="single"/>
        </w:rPr>
        <w:t/>
      </w:r>
      <w:r w:rsidR="00C90731">
        <w:rPr>
          <w:spacing w:val="-2"/>
          <w:sz w:val="24"/>
          <w:szCs w:val="24"/>
          <w:u w:val="single"/>
        </w:rPr>
        <w:t/>
      </w:r>
    </w:p>
    <w:p w14:paraId="62DDD86C" w14:textId="77777777" w:rsidR="00241B0B" w:rsidRDefault="00000000">
      <w:pPr>
        <w:tabs>
          <w:tab w:val="left" w:pos="791"/>
        </w:tabs>
        <w:spacing w:before="226" w:line="360" w:lineRule="auto"/>
        <w:rPr>
          <w:b/>
          <w:sz w:val="24"/>
          <w:szCs w:val="24"/>
        </w:rPr>
      </w:pPr>
      <w:r>
        <w:rPr>
          <w:b/>
          <w:sz w:val="24"/>
          <w:szCs w:val="24"/>
        </w:rPr>
        <w:t/>
      </w:r>
      <w:r>
        <w:rPr>
          <w:b/>
          <w:spacing w:val="16"/>
          <w:sz w:val="24"/>
          <w:szCs w:val="24"/>
        </w:rPr>
        <w:t xml:space="preserve"/>
      </w:r>
    </w:p>
    <w:p w14:paraId="73C4911B" w14:textId="77777777" w:rsidR="00241B0B" w:rsidRDefault="00000000">
      <w:pPr>
        <w:tabs>
          <w:tab w:val="left" w:pos="791"/>
        </w:tabs>
        <w:spacing w:before="221" w:line="360" w:lineRule="auto"/>
        <w:rPr>
          <w:sz w:val="24"/>
          <w:szCs w:val="24"/>
        </w:rPr>
      </w:pPr>
      <w:r>
        <w:rPr>
          <w:b/>
          <w:sz w:val="24"/>
          <w:szCs w:val="24"/>
        </w:rPr>
        <w:t/>
      </w:r>
      <w:r>
        <w:rPr>
          <w:b/>
          <w:spacing w:val="13"/>
          <w:sz w:val="24"/>
          <w:szCs w:val="24"/>
        </w:rPr>
        <w:t xml:space="preserve"/>
      </w:r>
      <w:r>
        <w:rPr>
          <w:sz w:val="24"/>
          <w:szCs w:val="24"/>
        </w:rPr>
        <w:t/>
      </w:r>
    </w:p>
    <w:p w14:paraId="56FFABE6" w14:textId="77777777" w:rsidR="00241B0B" w:rsidRDefault="00000000">
      <w:pPr>
        <w:tabs>
          <w:tab w:val="left" w:pos="791"/>
        </w:tabs>
        <w:spacing w:before="221" w:line="360" w:lineRule="auto"/>
        <w:rPr>
          <w:sz w:val="24"/>
          <w:szCs w:val="24"/>
        </w:rPr>
      </w:pPr>
      <w:r>
        <w:rPr>
          <w:sz w:val="24"/>
          <w:szCs w:val="24"/>
        </w:rPr>
        <w:t/>
      </w:r>
      <w:r>
        <w:rPr>
          <w:spacing w:val="14"/>
          <w:sz w:val="24"/>
          <w:szCs w:val="24"/>
        </w:rPr>
        <w:t xml:space="preserve"/>
      </w:r>
      <w:r>
        <w:rPr>
          <w:sz w:val="24"/>
          <w:szCs w:val="24"/>
        </w:rPr>
        <w:t/>
      </w:r>
      <w:r>
        <w:rPr>
          <w:spacing w:val="18"/>
          <w:sz w:val="24"/>
          <w:szCs w:val="24"/>
        </w:rPr>
        <w:t xml:space="preserve"/>
      </w:r>
    </w:p>
    <w:p w14:paraId="29727065" w14:textId="77777777" w:rsidR="00241B0B" w:rsidRDefault="00000000">
      <w:pPr>
        <w:tabs>
          <w:tab w:val="left" w:pos="791"/>
        </w:tabs>
        <w:spacing w:before="235" w:line="360" w:lineRule="auto"/>
        <w:rPr>
          <w:b/>
          <w:i/>
          <w:sz w:val="24"/>
          <w:szCs w:val="24"/>
        </w:rPr>
      </w:pPr>
      <w:r>
        <w:rPr>
          <w:b/>
          <w:sz w:val="24"/>
          <w:szCs w:val="24"/>
        </w:rPr>
        <w:t/>
      </w:r>
      <w:r>
        <w:rPr>
          <w:b/>
          <w:spacing w:val="13"/>
          <w:sz w:val="24"/>
          <w:szCs w:val="24"/>
        </w:rPr>
        <w:t xml:space="preserve"/>
      </w:r>
      <w:hyperlink r:id="rId12" w:history="1">
        <w:r w:rsidR="00241B0B">
          <w:rPr>
            <w:rStyle w:val="Hyperlink"/>
            <w:b/>
            <w:i/>
            <w:spacing w:val="-2"/>
            <w:sz w:val="24"/>
            <w:szCs w:val="24"/>
          </w:rPr>
          <w:t/>
        </w:r>
      </w:hyperlink>
    </w:p>
    <w:p w14:paraId="32045D2D" w14:textId="77777777" w:rsidR="00241B0B" w:rsidRDefault="00241B0B">
      <w:pPr>
        <w:rPr>
          <w:rFonts w:ascii="Calibri"/>
          <w:sz w:val="20"/>
        </w:rPr>
        <w:sectPr w:rsidR="00241B0B" w:rsidSect="00C90731">
          <w:footerReference w:type="default" r:id="rId13"/>
          <w:type w:val="continuous"/>
          <w:pgSz w:w="12240" w:h="15840"/>
          <w:pgMar w:top="1280" w:right="1440" w:bottom="1138" w:left="1080" w:header="0" w:footer="950" w:gutter="0"/>
          <w:pgNumType w:start="1"/>
          <w:cols w:space="720"/>
          <w:docGrid w:linePitch="299"/>
        </w:sectPr>
      </w:pPr>
    </w:p>
    <w:p w14:paraId="6C775592" w14:textId="77777777" w:rsidR="00241B0B" w:rsidRDefault="00000000">
      <w:pPr>
        <w:pStyle w:val="Heading1"/>
        <w:tabs>
          <w:tab w:val="left" w:pos="791"/>
        </w:tabs>
        <w:spacing w:before="77" w:line="360" w:lineRule="auto"/>
        <w:ind w:left="242" w:firstLine="0"/>
        <w:rPr>
          <w:sz w:val="24"/>
          <w:szCs w:val="24"/>
        </w:rPr>
      </w:pPr>
      <w:r>
        <w:rPr>
          <w:sz w:val="24"/>
          <w:szCs w:val="24"/>
        </w:rPr>
        <w:lastRenderedPageBreak/>
        <w:t/>
      </w:r>
      <w:r>
        <w:rPr>
          <w:spacing w:val="15"/>
          <w:sz w:val="24"/>
          <w:szCs w:val="24"/>
        </w:rPr>
        <w:t xml:space="preserve"/>
      </w:r>
      <w:r>
        <w:rPr>
          <w:spacing w:val="-2"/>
          <w:sz w:val="24"/>
          <w:szCs w:val="24"/>
        </w:rPr>
        <w:t/>
      </w: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0"/>
        <w:gridCol w:w="2098"/>
        <w:gridCol w:w="3052"/>
        <w:gridCol w:w="2910"/>
      </w:tblGrid>
      <w:tr w:rsidR="00241B0B" w14:paraId="5F41FC25" w14:textId="77777777" w:rsidTr="006B30CC">
        <w:trPr>
          <w:trHeight w:val="257"/>
        </w:trPr>
        <w:tc>
          <w:tcPr>
            <w:tcW w:w="1150" w:type="dxa"/>
          </w:tcPr>
          <w:p w14:paraId="391AB428" w14:textId="77777777" w:rsidR="00241B0B" w:rsidRDefault="00000000">
            <w:pPr>
              <w:pStyle w:val="TableParagraph"/>
              <w:spacing w:before="1" w:line="360" w:lineRule="auto"/>
              <w:ind w:left="100"/>
              <w:rPr>
                <w:b/>
                <w:sz w:val="24"/>
                <w:szCs w:val="24"/>
              </w:rPr>
            </w:pPr>
            <w:r>
              <w:rPr>
                <w:b/>
                <w:spacing w:val="-5"/>
                <w:sz w:val="24"/>
                <w:szCs w:val="24"/>
              </w:rPr>
              <w:t/>
            </w:r>
          </w:p>
        </w:tc>
        <w:tc>
          <w:tcPr>
            <w:tcW w:w="2098" w:type="dxa"/>
          </w:tcPr>
          <w:p w14:paraId="507E2E95" w14:textId="77777777" w:rsidR="00241B0B" w:rsidRDefault="00000000">
            <w:pPr>
              <w:pStyle w:val="TableParagraph"/>
              <w:spacing w:before="1" w:line="360" w:lineRule="auto"/>
              <w:ind w:left="101"/>
              <w:rPr>
                <w:b/>
                <w:sz w:val="24"/>
                <w:szCs w:val="24"/>
              </w:rPr>
            </w:pPr>
            <w:r>
              <w:rPr>
                <w:b/>
                <w:sz w:val="24"/>
                <w:szCs w:val="24"/>
              </w:rPr>
              <w:t/>
            </w:r>
            <w:r>
              <w:rPr>
                <w:b/>
                <w:spacing w:val="12"/>
                <w:sz w:val="24"/>
                <w:szCs w:val="24"/>
              </w:rPr>
              <w:t xml:space="preserve"/>
            </w:r>
            <w:r>
              <w:rPr>
                <w:b/>
                <w:sz w:val="24"/>
                <w:szCs w:val="24"/>
              </w:rPr>
              <w:t/>
            </w:r>
            <w:r>
              <w:rPr>
                <w:b/>
                <w:spacing w:val="4"/>
                <w:sz w:val="24"/>
                <w:szCs w:val="24"/>
              </w:rPr>
              <w:t xml:space="preserve"/>
            </w:r>
            <w:r>
              <w:rPr>
                <w:b/>
                <w:sz w:val="24"/>
                <w:szCs w:val="24"/>
              </w:rPr>
              <w:t/>
            </w:r>
            <w:r>
              <w:rPr>
                <w:b/>
                <w:spacing w:val="9"/>
                <w:sz w:val="24"/>
                <w:szCs w:val="24"/>
              </w:rPr>
              <w:t xml:space="preserve"/>
            </w:r>
            <w:r>
              <w:rPr>
                <w:b/>
                <w:spacing w:val="-2"/>
                <w:sz w:val="24"/>
                <w:szCs w:val="24"/>
              </w:rPr>
              <w:t/>
            </w:r>
          </w:p>
        </w:tc>
        <w:tc>
          <w:tcPr>
            <w:tcW w:w="3052" w:type="dxa"/>
          </w:tcPr>
          <w:p w14:paraId="13CDF1FC" w14:textId="77777777" w:rsidR="00241B0B" w:rsidRDefault="00000000">
            <w:pPr>
              <w:pStyle w:val="TableParagraph"/>
              <w:spacing w:before="1" w:line="360" w:lineRule="auto"/>
              <w:rPr>
                <w:b/>
                <w:sz w:val="24"/>
                <w:szCs w:val="24"/>
              </w:rPr>
            </w:pPr>
            <w:r>
              <w:rPr>
                <w:b/>
                <w:spacing w:val="-2"/>
                <w:sz w:val="24"/>
                <w:szCs w:val="24"/>
              </w:rPr>
              <w:t/>
            </w:r>
          </w:p>
        </w:tc>
        <w:tc>
          <w:tcPr>
            <w:tcW w:w="2910" w:type="dxa"/>
          </w:tcPr>
          <w:p w14:paraId="5EC8FA95" w14:textId="77777777" w:rsidR="00241B0B" w:rsidRDefault="00000000">
            <w:pPr>
              <w:pStyle w:val="TableParagraph"/>
              <w:spacing w:before="1" w:line="360" w:lineRule="auto"/>
              <w:ind w:left="101"/>
              <w:rPr>
                <w:b/>
                <w:sz w:val="24"/>
                <w:szCs w:val="24"/>
              </w:rPr>
            </w:pPr>
            <w:r>
              <w:rPr>
                <w:b/>
                <w:spacing w:val="-4"/>
                <w:sz w:val="24"/>
                <w:szCs w:val="24"/>
              </w:rPr>
              <w:t/>
            </w:r>
          </w:p>
        </w:tc>
      </w:tr>
      <w:tr w:rsidR="00241B0B" w14:paraId="4F2CBDD7" w14:textId="77777777" w:rsidTr="006B30CC">
        <w:trPr>
          <w:trHeight w:val="518"/>
        </w:trPr>
        <w:tc>
          <w:tcPr>
            <w:tcW w:w="1150" w:type="dxa"/>
          </w:tcPr>
          <w:p w14:paraId="0173055E" w14:textId="77777777" w:rsidR="00241B0B" w:rsidRDefault="00000000">
            <w:pPr>
              <w:pStyle w:val="TableParagraph"/>
              <w:spacing w:before="2" w:line="360" w:lineRule="auto"/>
              <w:ind w:left="100"/>
              <w:rPr>
                <w:b/>
                <w:sz w:val="24"/>
                <w:szCs w:val="24"/>
              </w:rPr>
            </w:pPr>
            <w:r>
              <w:rPr>
                <w:b/>
                <w:spacing w:val="-10"/>
                <w:sz w:val="24"/>
                <w:szCs w:val="24"/>
              </w:rPr>
              <w:t/>
            </w:r>
          </w:p>
        </w:tc>
        <w:tc>
          <w:tcPr>
            <w:tcW w:w="2098" w:type="dxa"/>
          </w:tcPr>
          <w:p w14:paraId="34A1862B" w14:textId="77777777" w:rsidR="00241B0B" w:rsidRDefault="00000000">
            <w:pPr>
              <w:pStyle w:val="TableParagraph"/>
              <w:spacing w:before="2" w:line="360" w:lineRule="auto"/>
              <w:ind w:left="101"/>
              <w:rPr>
                <w:b/>
                <w:sz w:val="24"/>
                <w:szCs w:val="24"/>
              </w:rPr>
            </w:pPr>
            <w:proofErr w:type="spellStart"/>
            <w:r>
              <w:rPr>
                <w:b/>
                <w:sz w:val="24"/>
                <w:szCs w:val="24"/>
              </w:rPr>
              <w:t/>
            </w:r>
            <w:proofErr w:type="spellEnd"/>
            <w:r>
              <w:rPr>
                <w:b/>
                <w:sz w:val="24"/>
                <w:szCs w:val="24"/>
              </w:rPr>
              <w:t xml:space="preserve"/>
            </w:r>
          </w:p>
        </w:tc>
        <w:tc>
          <w:tcPr>
            <w:tcW w:w="3052" w:type="dxa"/>
          </w:tcPr>
          <w:p w14:paraId="33A5011B" w14:textId="65761831" w:rsidR="00241B0B" w:rsidRDefault="00000000" w:rsidP="006B30CC">
            <w:pPr>
              <w:pStyle w:val="TableParagraph"/>
              <w:tabs>
                <w:tab w:val="left" w:pos="1539"/>
                <w:tab w:val="left" w:pos="2496"/>
              </w:tabs>
              <w:spacing w:line="360" w:lineRule="auto"/>
              <w:jc w:val="both"/>
              <w:rPr>
                <w:sz w:val="24"/>
                <w:szCs w:val="24"/>
              </w:rPr>
            </w:pPr>
            <w:r>
              <w:rPr>
                <w:spacing w:val="-2"/>
                <w:sz w:val="24"/>
                <w:szCs w:val="24"/>
              </w:rPr>
              <w:t/>
            </w:r>
            <w:r w:rsidR="006B30CC">
              <w:rPr>
                <w:sz w:val="24"/>
                <w:szCs w:val="24"/>
              </w:rPr>
              <w:t xml:space="preserve"/>
            </w:r>
            <w:r w:rsidR="006B30CC">
              <w:rPr>
                <w:spacing w:val="-2"/>
                <w:sz w:val="24"/>
                <w:szCs w:val="24"/>
              </w:rPr>
              <w:t xml:space="preserve"/>
            </w:r>
            <w:r>
              <w:rPr>
                <w:spacing w:val="-2"/>
                <w:sz w:val="24"/>
                <w:szCs w:val="24"/>
              </w:rPr>
              <w:t/>
            </w:r>
          </w:p>
          <w:p w14:paraId="5C2833D9" w14:textId="6FCAE106" w:rsidR="00241B0B" w:rsidRDefault="00000000" w:rsidP="006B30CC">
            <w:pPr>
              <w:pStyle w:val="TableParagraph"/>
              <w:spacing w:before="6" w:line="360" w:lineRule="auto"/>
              <w:jc w:val="both"/>
              <w:rPr>
                <w:sz w:val="24"/>
                <w:szCs w:val="24"/>
              </w:rPr>
            </w:pPr>
            <w:r>
              <w:rPr>
                <w:sz w:val="24"/>
                <w:szCs w:val="24"/>
              </w:rPr>
              <w:t/>
            </w:r>
            <w:r>
              <w:rPr>
                <w:spacing w:val="7"/>
                <w:sz w:val="24"/>
                <w:szCs w:val="24"/>
              </w:rPr>
              <w:t xml:space="preserve"/>
            </w:r>
            <w:r>
              <w:rPr>
                <w:sz w:val="24"/>
                <w:szCs w:val="24"/>
              </w:rPr>
              <w:t/>
            </w:r>
            <w:r w:rsidR="006B30CC">
              <w:rPr>
                <w:sz w:val="24"/>
                <w:szCs w:val="24"/>
              </w:rPr>
              <w:t xml:space="preserve"/>
            </w:r>
          </w:p>
        </w:tc>
        <w:tc>
          <w:tcPr>
            <w:tcW w:w="2910" w:type="dxa"/>
          </w:tcPr>
          <w:p w14:paraId="0D59F586" w14:textId="77777777" w:rsidR="00241B0B" w:rsidRDefault="00000000">
            <w:pPr>
              <w:pStyle w:val="TableParagraph"/>
              <w:spacing w:line="360" w:lineRule="auto"/>
              <w:ind w:left="128"/>
              <w:rPr>
                <w:szCs w:val="24"/>
              </w:rPr>
            </w:pPr>
            <w:r>
              <w:rPr>
                <w:noProof/>
                <w:sz w:val="24"/>
                <w:szCs w:val="24"/>
              </w:rPr>
              <w:drawing>
                <wp:inline distT="0" distB="0" distL="0" distR="0" wp14:anchorId="50AD11E3" wp14:editId="62234995">
                  <wp:extent cx="1537970" cy="401236"/>
                  <wp:effectExtent l="0" t="0" r="5080" b="0"/>
                  <wp:docPr id="293489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89077" name="Picture 1"/>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1543217" cy="402605"/>
                          </a:xfrm>
                          <a:prstGeom prst="rect">
                            <a:avLst/>
                          </a:prstGeom>
                        </pic:spPr>
                      </pic:pic>
                    </a:graphicData>
                  </a:graphic>
                </wp:inline>
              </w:drawing>
            </w:r>
          </w:p>
        </w:tc>
      </w:tr>
      <w:tr w:rsidR="00241B0B" w14:paraId="3DDC9076" w14:textId="77777777" w:rsidTr="006B30CC">
        <w:trPr>
          <w:trHeight w:val="516"/>
        </w:trPr>
        <w:tc>
          <w:tcPr>
            <w:tcW w:w="1150" w:type="dxa"/>
          </w:tcPr>
          <w:p w14:paraId="027BC8BC" w14:textId="77777777" w:rsidR="00241B0B" w:rsidRDefault="00000000">
            <w:pPr>
              <w:pStyle w:val="TableParagraph"/>
              <w:spacing w:before="2" w:line="360" w:lineRule="auto"/>
              <w:ind w:left="100"/>
              <w:rPr>
                <w:b/>
                <w:sz w:val="24"/>
                <w:szCs w:val="24"/>
              </w:rPr>
            </w:pPr>
            <w:r>
              <w:rPr>
                <w:b/>
                <w:spacing w:val="-10"/>
                <w:sz w:val="24"/>
                <w:szCs w:val="24"/>
              </w:rPr>
              <w:t/>
            </w:r>
          </w:p>
        </w:tc>
        <w:tc>
          <w:tcPr>
            <w:tcW w:w="2098" w:type="dxa"/>
          </w:tcPr>
          <w:p w14:paraId="61D08FCA" w14:textId="77777777" w:rsidR="00241B0B" w:rsidRDefault="00000000">
            <w:pPr>
              <w:pStyle w:val="TableParagraph"/>
              <w:spacing w:before="4" w:line="360" w:lineRule="auto"/>
              <w:ind w:left="100"/>
              <w:rPr>
                <w:b/>
                <w:sz w:val="24"/>
                <w:szCs w:val="24"/>
              </w:rPr>
            </w:pPr>
            <w:r>
              <w:rPr>
                <w:b/>
                <w:sz w:val="24"/>
                <w:szCs w:val="24"/>
              </w:rPr>
              <w:t/>
            </w:r>
          </w:p>
        </w:tc>
        <w:tc>
          <w:tcPr>
            <w:tcW w:w="3052" w:type="dxa"/>
          </w:tcPr>
          <w:p w14:paraId="19291AC5" w14:textId="25E3D32C" w:rsidR="00241B0B" w:rsidRDefault="00000000">
            <w:pPr>
              <w:pStyle w:val="TableParagraph"/>
              <w:spacing w:line="360" w:lineRule="auto"/>
              <w:rPr>
                <w:sz w:val="24"/>
                <w:szCs w:val="24"/>
              </w:rPr>
            </w:pPr>
            <w:r>
              <w:rPr>
                <w:sz w:val="24"/>
                <w:szCs w:val="24"/>
              </w:rPr>
              <w:t xml:space="preserve"/>
            </w:r>
            <w:r w:rsidR="006B30CC">
              <w:rPr>
                <w:sz w:val="24"/>
                <w:szCs w:val="24"/>
              </w:rPr>
              <w:t/>
            </w:r>
            <w:r>
              <w:rPr>
                <w:sz w:val="24"/>
                <w:szCs w:val="24"/>
              </w:rPr>
              <w:t/>
            </w:r>
            <w:r>
              <w:rPr>
                <w:spacing w:val="32"/>
                <w:sz w:val="24"/>
                <w:szCs w:val="24"/>
              </w:rPr>
              <w:t xml:space="preserve"/>
            </w:r>
            <w:r>
              <w:rPr>
                <w:spacing w:val="-2"/>
                <w:sz w:val="24"/>
                <w:szCs w:val="24"/>
              </w:rPr>
              <w:t/>
            </w:r>
            <w:r w:rsidR="006B30CC">
              <w:rPr>
                <w:spacing w:val="-2"/>
                <w:sz w:val="24"/>
                <w:szCs w:val="24"/>
              </w:rPr>
              <w:t xml:space="preserve"/>
            </w:r>
          </w:p>
        </w:tc>
        <w:tc>
          <w:tcPr>
            <w:tcW w:w="2910" w:type="dxa"/>
          </w:tcPr>
          <w:p w14:paraId="58F4AEA3" w14:textId="77777777" w:rsidR="00241B0B" w:rsidRDefault="00000000">
            <w:pPr>
              <w:pStyle w:val="TableParagraph"/>
              <w:spacing w:line="360" w:lineRule="auto"/>
              <w:ind w:left="128"/>
              <w:rPr>
                <w:szCs w:val="24"/>
              </w:rPr>
            </w:pPr>
            <w:r>
              <w:rPr>
                <w:noProof/>
                <w:sz w:val="24"/>
                <w:szCs w:val="24"/>
              </w:rPr>
              <w:drawing>
                <wp:inline distT="0" distB="0" distL="0" distR="0" wp14:anchorId="3DC75265" wp14:editId="7ECABAFB">
                  <wp:extent cx="1259389" cy="607060"/>
                  <wp:effectExtent l="0" t="0" r="0" b="2540"/>
                  <wp:docPr id="1151435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35005" name="Picture 1"/>
                          <pic:cNvPicPr>
                            <a:picLocks noChangeAspect="1"/>
                          </pic:cNvPicPr>
                        </pic:nvPicPr>
                        <pic:blipFill rotWithShape="1">
                          <a:blip r:embed="rId15" cstate="email">
                            <a:extLst>
                              <a:ext uri="{28A0092B-C50C-407E-A947-70E740481C1C}">
                                <a14:useLocalDpi xmlns:a14="http://schemas.microsoft.com/office/drawing/2010/main"/>
                              </a:ext>
                            </a:extLst>
                          </a:blip>
                          <a:srcRect l="4337"/>
                          <a:stretch>
                            <a:fillRect/>
                          </a:stretch>
                        </pic:blipFill>
                        <pic:spPr bwMode="auto">
                          <a:xfrm>
                            <a:off x="0" y="0"/>
                            <a:ext cx="1270023" cy="612186"/>
                          </a:xfrm>
                          <a:prstGeom prst="rect">
                            <a:avLst/>
                          </a:prstGeom>
                          <a:ln>
                            <a:noFill/>
                          </a:ln>
                          <a:extLst>
                            <a:ext uri="{53640926-AAD7-44D8-BBD7-CCE9431645EC}">
                              <a14:shadowObscured xmlns:a14="http://schemas.microsoft.com/office/drawing/2010/main"/>
                            </a:ext>
                          </a:extLst>
                        </pic:spPr>
                      </pic:pic>
                    </a:graphicData>
                  </a:graphic>
                </wp:inline>
              </w:drawing>
            </w:r>
          </w:p>
        </w:tc>
      </w:tr>
      <w:tr w:rsidR="00241B0B" w14:paraId="5B4BB3BB" w14:textId="77777777" w:rsidTr="00606ED1">
        <w:trPr>
          <w:trHeight w:val="889"/>
        </w:trPr>
        <w:tc>
          <w:tcPr>
            <w:tcW w:w="1150" w:type="dxa"/>
          </w:tcPr>
          <w:p w14:paraId="519ED243" w14:textId="77777777" w:rsidR="00241B0B" w:rsidRDefault="00000000">
            <w:pPr>
              <w:pStyle w:val="TableParagraph"/>
              <w:spacing w:before="5" w:line="360" w:lineRule="auto"/>
              <w:ind w:left="100"/>
              <w:rPr>
                <w:b/>
                <w:sz w:val="24"/>
                <w:szCs w:val="24"/>
              </w:rPr>
            </w:pPr>
            <w:r>
              <w:rPr>
                <w:b/>
                <w:spacing w:val="-10"/>
                <w:sz w:val="24"/>
                <w:szCs w:val="24"/>
              </w:rPr>
              <w:t/>
            </w:r>
          </w:p>
        </w:tc>
        <w:tc>
          <w:tcPr>
            <w:tcW w:w="2098" w:type="dxa"/>
          </w:tcPr>
          <w:p w14:paraId="54F5348C" w14:textId="77777777" w:rsidR="00241B0B" w:rsidRDefault="00000000">
            <w:pPr>
              <w:pStyle w:val="TableParagraph"/>
              <w:spacing w:before="5" w:line="360" w:lineRule="auto"/>
              <w:ind w:left="101"/>
              <w:rPr>
                <w:b/>
                <w:sz w:val="24"/>
                <w:szCs w:val="24"/>
              </w:rPr>
            </w:pPr>
            <w:r>
              <w:rPr>
                <w:b/>
                <w:sz w:val="24"/>
                <w:szCs w:val="24"/>
              </w:rPr>
              <w:t/>
            </w:r>
          </w:p>
        </w:tc>
        <w:tc>
          <w:tcPr>
            <w:tcW w:w="3052" w:type="dxa"/>
          </w:tcPr>
          <w:p w14:paraId="5DEDC163" w14:textId="77777777" w:rsidR="00241B0B" w:rsidRDefault="00000000">
            <w:pPr>
              <w:pStyle w:val="TableParagraph"/>
              <w:spacing w:line="360" w:lineRule="auto"/>
              <w:rPr>
                <w:sz w:val="24"/>
                <w:szCs w:val="24"/>
              </w:rPr>
            </w:pPr>
            <w:r>
              <w:rPr>
                <w:sz w:val="24"/>
                <w:szCs w:val="24"/>
              </w:rPr>
              <w:t/>
            </w:r>
            <w:r>
              <w:rPr>
                <w:spacing w:val="65"/>
                <w:w w:val="150"/>
                <w:sz w:val="24"/>
                <w:szCs w:val="24"/>
              </w:rPr>
              <w:t xml:space="preserve"/>
            </w:r>
            <w:r>
              <w:rPr>
                <w:spacing w:val="-2"/>
                <w:sz w:val="24"/>
                <w:szCs w:val="24"/>
              </w:rPr>
              <w:t xml:space="preserve"/>
            </w:r>
            <w:r>
              <w:rPr>
                <w:sz w:val="24"/>
                <w:szCs w:val="24"/>
              </w:rPr>
              <w:t/>
            </w:r>
            <w:r>
              <w:rPr>
                <w:spacing w:val="12"/>
                <w:sz w:val="24"/>
                <w:szCs w:val="24"/>
              </w:rPr>
              <w:t xml:space="preserve"/>
            </w:r>
            <w:r>
              <w:rPr>
                <w:sz w:val="24"/>
                <w:szCs w:val="24"/>
              </w:rPr>
              <w:t/>
            </w:r>
            <w:r>
              <w:rPr>
                <w:spacing w:val="13"/>
                <w:sz w:val="24"/>
                <w:szCs w:val="24"/>
              </w:rPr>
              <w:t xml:space="preserve"/>
            </w:r>
            <w:r>
              <w:rPr>
                <w:spacing w:val="-2"/>
                <w:sz w:val="24"/>
                <w:szCs w:val="24"/>
              </w:rPr>
              <w:t/>
            </w:r>
          </w:p>
        </w:tc>
        <w:tc>
          <w:tcPr>
            <w:tcW w:w="2910" w:type="dxa"/>
          </w:tcPr>
          <w:p w14:paraId="0520EDB4" w14:textId="77777777" w:rsidR="00241B0B" w:rsidRDefault="00000000">
            <w:pPr>
              <w:pStyle w:val="TableParagraph"/>
              <w:spacing w:line="360" w:lineRule="auto"/>
              <w:ind w:left="128"/>
              <w:rPr>
                <w:szCs w:val="24"/>
              </w:rPr>
            </w:pPr>
            <w:r>
              <w:rPr>
                <w:noProof/>
                <w:sz w:val="24"/>
                <w:szCs w:val="24"/>
              </w:rPr>
              <w:drawing>
                <wp:inline distT="0" distB="0" distL="0" distR="0" wp14:anchorId="71DFCB09" wp14:editId="29BEFBE4">
                  <wp:extent cx="1076325" cy="555568"/>
                  <wp:effectExtent l="0" t="0" r="0" b="0"/>
                  <wp:docPr id="1342896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896429" name="Picture 1"/>
                          <pic:cNvPicPr>
                            <a:picLocks noChangeAspect="1"/>
                          </pic:cNvPicPr>
                        </pic:nvPicPr>
                        <pic:blipFill rotWithShape="1">
                          <a:blip r:embed="rId16" cstate="email">
                            <a:extLst>
                              <a:ext uri="{28A0092B-C50C-407E-A947-70E740481C1C}">
                                <a14:useLocalDpi xmlns:a14="http://schemas.microsoft.com/office/drawing/2010/main"/>
                              </a:ext>
                            </a:extLst>
                          </a:blip>
                          <a:srcRect/>
                          <a:stretch>
                            <a:fillRect/>
                          </a:stretch>
                        </pic:blipFill>
                        <pic:spPr bwMode="auto">
                          <a:xfrm>
                            <a:off x="0" y="0"/>
                            <a:ext cx="1084097" cy="5595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23B069F" w14:textId="77777777" w:rsidR="00241B0B" w:rsidRDefault="00241B0B">
      <w:pPr>
        <w:spacing w:before="15" w:after="240"/>
        <w:ind w:left="242"/>
        <w:rPr>
          <w:rFonts w:ascii="Calibri"/>
          <w:sz w:val="20"/>
        </w:rPr>
      </w:pPr>
    </w:p>
    <w:p w14:paraId="2D79B4A4" w14:textId="77777777" w:rsidR="00241B0B" w:rsidRDefault="00000000">
      <w:pPr>
        <w:pStyle w:val="Heading1"/>
        <w:tabs>
          <w:tab w:val="left" w:pos="791"/>
        </w:tabs>
        <w:spacing w:line="360" w:lineRule="auto"/>
        <w:ind w:left="0" w:firstLine="0"/>
        <w:rPr>
          <w:sz w:val="24"/>
          <w:szCs w:val="24"/>
        </w:rPr>
      </w:pPr>
      <w:r>
        <w:rPr>
          <w:sz w:val="24"/>
          <w:szCs w:val="24"/>
        </w:rPr>
        <w:t>Abstract</w:t>
      </w:r>
    </w:p>
    <w:p w14:paraId="3113B7DF" w14:textId="2FB85A97" w:rsidR="00241B0B" w:rsidRDefault="00F427E5">
      <w:pPr>
        <w:tabs>
          <w:tab w:val="left" w:pos="791"/>
        </w:tabs>
        <w:spacing w:after="240" w:line="360" w:lineRule="auto"/>
        <w:jc w:val="both"/>
        <w:rPr>
          <w:sz w:val="24"/>
          <w:szCs w:val="24"/>
          <w:lang w:bidi="en-US"/>
        </w:rPr>
      </w:pPr>
      <w:r>
        <w:rPr>
          <w:sz w:val="24"/>
          <w:szCs w:val="24"/>
        </w:rPr>
        <w:t xml:space="preserve">The restoration of </w:t>
      </w:r>
      <w:r>
        <w:rPr>
          <w:sz w:val="24"/>
          <w:szCs w:val="24"/>
          <w:lang w:bidi="en-US"/>
        </w:rPr>
        <w:t>urban river ecosystems in Nairobi faces persistent challenges stemming from a disconnect between communities’ environmental values and actions</w:t>
      </w:r>
      <w:r w:rsidRPr="00F427E5">
        <w:rPr>
          <w:sz w:val="24"/>
          <w:szCs w:val="24"/>
        </w:rPr>
        <w:t xml:space="preserve"> </w:t>
      </w:r>
      <w:r>
        <w:rPr>
          <w:sz w:val="24"/>
          <w:szCs w:val="24"/>
        </w:rPr>
        <w:t>despite the robust legal structure governing environmental management</w:t>
      </w:r>
      <w:r>
        <w:rPr>
          <w:sz w:val="24"/>
          <w:szCs w:val="24"/>
          <w:lang w:bidi="en-US"/>
        </w:rPr>
        <w:t xml:space="preserve">. This study quantifies the Social Value-Action Gap among 400 respondents in riparian communities along the Nairobi River system, by assessing individual social value orientations, disposal/sanitation practices and participation in governance. Using a mixed-methods, cross-sectional research design, data were collected from a stratified random sample across the dominant land uses; residential, commercial, agricultural, and industrial. </w:t>
      </w:r>
      <w:r w:rsidR="008C7B38">
        <w:rPr>
          <w:sz w:val="24"/>
          <w:szCs w:val="24"/>
          <w:lang w:bidi="en-US"/>
        </w:rPr>
        <w:t>To contextualize and complement the quantitative data, key i</w:t>
      </w:r>
      <w:r>
        <w:rPr>
          <w:sz w:val="24"/>
          <w:szCs w:val="24"/>
          <w:lang w:bidi="en-US"/>
        </w:rPr>
        <w:t>nformant interviews</w:t>
      </w:r>
      <w:r w:rsidR="008C7B38">
        <w:rPr>
          <w:sz w:val="24"/>
          <w:szCs w:val="24"/>
          <w:lang w:bidi="en-US"/>
        </w:rPr>
        <w:t xml:space="preserve"> with </w:t>
      </w:r>
      <w:r>
        <w:rPr>
          <w:sz w:val="24"/>
          <w:szCs w:val="24"/>
          <w:lang w:bidi="en-US"/>
        </w:rPr>
        <w:t xml:space="preserve">relevant line authorities </w:t>
      </w:r>
      <w:r w:rsidR="008C7B38">
        <w:rPr>
          <w:sz w:val="24"/>
          <w:szCs w:val="24"/>
          <w:lang w:bidi="en-US"/>
        </w:rPr>
        <w:t xml:space="preserve">were also </w:t>
      </w:r>
      <w:r>
        <w:rPr>
          <w:sz w:val="24"/>
          <w:szCs w:val="24"/>
          <w:lang w:bidi="en-US"/>
        </w:rPr>
        <w:t>co</w:t>
      </w:r>
      <w:r w:rsidR="008C7B38">
        <w:rPr>
          <w:sz w:val="24"/>
          <w:szCs w:val="24"/>
          <w:lang w:bidi="en-US"/>
        </w:rPr>
        <w:t>nducted</w:t>
      </w:r>
      <w:r>
        <w:rPr>
          <w:sz w:val="24"/>
          <w:szCs w:val="24"/>
          <w:lang w:bidi="en-US"/>
        </w:rPr>
        <w:t xml:space="preserve">. Psychometric </w:t>
      </w:r>
      <w:r w:rsidR="008C7B38">
        <w:rPr>
          <w:sz w:val="24"/>
          <w:szCs w:val="24"/>
          <w:lang w:bidi="en-US"/>
        </w:rPr>
        <w:t xml:space="preserve">assessments were used to </w:t>
      </w:r>
      <w:r>
        <w:rPr>
          <w:sz w:val="24"/>
          <w:szCs w:val="24"/>
          <w:lang w:bidi="en-US"/>
        </w:rPr>
        <w:t xml:space="preserve">evaluate environmental concern and </w:t>
      </w:r>
      <w:r w:rsidR="008C7B38">
        <w:rPr>
          <w:sz w:val="24"/>
          <w:szCs w:val="24"/>
          <w:lang w:bidi="en-US"/>
        </w:rPr>
        <w:t xml:space="preserve">the levels of </w:t>
      </w:r>
      <w:r>
        <w:rPr>
          <w:sz w:val="24"/>
          <w:szCs w:val="24"/>
          <w:lang w:bidi="en-US"/>
        </w:rPr>
        <w:t xml:space="preserve">participation in governance. </w:t>
      </w:r>
      <w:r w:rsidR="008C7B38">
        <w:rPr>
          <w:sz w:val="24"/>
          <w:szCs w:val="24"/>
          <w:lang w:bidi="en-US"/>
        </w:rPr>
        <w:t xml:space="preserve">The descriptive analysis provided a baseline for the </w:t>
      </w:r>
      <w:r>
        <w:rPr>
          <w:sz w:val="24"/>
          <w:szCs w:val="24"/>
          <w:lang w:bidi="en-US"/>
        </w:rPr>
        <w:t>significant levels of environmental apathy</w:t>
      </w:r>
      <w:r w:rsidR="008C7B38">
        <w:rPr>
          <w:sz w:val="24"/>
          <w:szCs w:val="24"/>
          <w:lang w:bidi="en-US"/>
        </w:rPr>
        <w:t xml:space="preserve"> within the population</w:t>
      </w:r>
      <w:r>
        <w:rPr>
          <w:sz w:val="24"/>
          <w:szCs w:val="24"/>
          <w:lang w:bidi="en-US"/>
        </w:rPr>
        <w:t xml:space="preserve">. </w:t>
      </w:r>
      <w:r w:rsidR="00F4447E">
        <w:rPr>
          <w:sz w:val="24"/>
          <w:szCs w:val="24"/>
          <w:lang w:bidi="en-US"/>
        </w:rPr>
        <w:t>B</w:t>
      </w:r>
      <w:r w:rsidR="008C7B38">
        <w:rPr>
          <w:sz w:val="24"/>
          <w:szCs w:val="24"/>
          <w:lang w:bidi="en-US"/>
        </w:rPr>
        <w:t xml:space="preserve">ased on </w:t>
      </w:r>
      <w:r w:rsidR="00F4447E">
        <w:rPr>
          <w:sz w:val="24"/>
          <w:szCs w:val="24"/>
          <w:lang w:bidi="en-US"/>
        </w:rPr>
        <w:t>measures</w:t>
      </w:r>
      <w:r w:rsidR="008C7B38">
        <w:rPr>
          <w:sz w:val="24"/>
          <w:szCs w:val="24"/>
          <w:lang w:bidi="en-US"/>
        </w:rPr>
        <w:t xml:space="preserve"> from </w:t>
      </w:r>
      <w:r>
        <w:rPr>
          <w:sz w:val="24"/>
          <w:szCs w:val="24"/>
          <w:lang w:bidi="en-US"/>
        </w:rPr>
        <w:t xml:space="preserve">the Value-Belief-Norm theory, </w:t>
      </w:r>
      <w:r w:rsidR="00F4447E">
        <w:rPr>
          <w:sz w:val="24"/>
          <w:szCs w:val="24"/>
          <w:lang w:bidi="en-US"/>
        </w:rPr>
        <w:t xml:space="preserve">results </w:t>
      </w:r>
      <w:r w:rsidR="008C7B38">
        <w:rPr>
          <w:sz w:val="24"/>
          <w:szCs w:val="24"/>
          <w:lang w:bidi="en-US"/>
        </w:rPr>
        <w:t xml:space="preserve">showed predominantly </w:t>
      </w:r>
      <w:r>
        <w:rPr>
          <w:sz w:val="24"/>
          <w:szCs w:val="24"/>
          <w:lang w:bidi="en-US"/>
        </w:rPr>
        <w:t xml:space="preserve">self-enhancing </w:t>
      </w:r>
      <w:r w:rsidR="008C7B38">
        <w:rPr>
          <w:sz w:val="24"/>
          <w:szCs w:val="24"/>
          <w:lang w:bidi="en-US"/>
        </w:rPr>
        <w:t xml:space="preserve">values among individuals </w:t>
      </w:r>
      <w:r>
        <w:rPr>
          <w:sz w:val="24"/>
          <w:szCs w:val="24"/>
          <w:lang w:bidi="en-US"/>
        </w:rPr>
        <w:t xml:space="preserve">with </w:t>
      </w:r>
      <w:r w:rsidR="008C7B38">
        <w:rPr>
          <w:sz w:val="24"/>
          <w:szCs w:val="24"/>
          <w:lang w:bidi="en-US"/>
        </w:rPr>
        <w:t xml:space="preserve">78.7% not keen on waste segregation, </w:t>
      </w:r>
      <w:r>
        <w:rPr>
          <w:sz w:val="24"/>
          <w:szCs w:val="24"/>
          <w:lang w:bidi="en-US"/>
        </w:rPr>
        <w:t xml:space="preserve">60.8% prioritizing economic growth over </w:t>
      </w:r>
      <w:r w:rsidR="008C7B38">
        <w:rPr>
          <w:sz w:val="24"/>
          <w:szCs w:val="24"/>
          <w:lang w:bidi="en-US"/>
        </w:rPr>
        <w:t>environmental stewardship</w:t>
      </w:r>
      <w:r>
        <w:rPr>
          <w:sz w:val="24"/>
          <w:szCs w:val="24"/>
          <w:lang w:bidi="en-US"/>
        </w:rPr>
        <w:t xml:space="preserve">, </w:t>
      </w:r>
      <w:r w:rsidR="008C7B38">
        <w:rPr>
          <w:sz w:val="24"/>
          <w:szCs w:val="24"/>
          <w:lang w:bidi="en-US"/>
        </w:rPr>
        <w:t xml:space="preserve">and </w:t>
      </w:r>
      <w:r>
        <w:rPr>
          <w:sz w:val="24"/>
          <w:szCs w:val="24"/>
          <w:lang w:bidi="en-US"/>
        </w:rPr>
        <w:t>61.1% viewing waste management as solely a government obligation</w:t>
      </w:r>
      <w:r w:rsidR="008C7B38">
        <w:rPr>
          <w:sz w:val="24"/>
          <w:szCs w:val="24"/>
          <w:lang w:bidi="en-US"/>
        </w:rPr>
        <w:t xml:space="preserve"> among other </w:t>
      </w:r>
      <w:r w:rsidR="00F4447E">
        <w:rPr>
          <w:sz w:val="24"/>
          <w:szCs w:val="24"/>
          <w:lang w:bidi="en-US"/>
        </w:rPr>
        <w:t>actions</w:t>
      </w:r>
      <w:r>
        <w:rPr>
          <w:sz w:val="24"/>
          <w:szCs w:val="24"/>
          <w:lang w:bidi="en-US"/>
        </w:rPr>
        <w:t xml:space="preserve">. Active civic engagement was critically low, with a marginal 5.6% engaging in direct communication with authorities and only 6.6% </w:t>
      </w:r>
      <w:r w:rsidR="00F4447E">
        <w:rPr>
          <w:sz w:val="24"/>
          <w:szCs w:val="24"/>
          <w:lang w:bidi="en-US"/>
        </w:rPr>
        <w:t xml:space="preserve">involved with </w:t>
      </w:r>
      <w:r>
        <w:rPr>
          <w:sz w:val="24"/>
          <w:szCs w:val="24"/>
          <w:lang w:bidi="en-US"/>
        </w:rPr>
        <w:t xml:space="preserve">environmental groups. Inferential analyses confirmed that age and education significantly influence ecological </w:t>
      </w:r>
      <w:r w:rsidR="00F4447E">
        <w:rPr>
          <w:sz w:val="24"/>
          <w:szCs w:val="24"/>
          <w:lang w:bidi="en-US"/>
        </w:rPr>
        <w:t>p</w:t>
      </w:r>
      <w:r>
        <w:rPr>
          <w:sz w:val="24"/>
          <w:szCs w:val="24"/>
          <w:lang w:bidi="en-US"/>
        </w:rPr>
        <w:t xml:space="preserve">rofiles (p &lt; .001), with young adults (ages 18–34) displaying the highest levels of environmental apathy. Furthermore, Spearman’s rank-order correlation revealed a </w:t>
      </w:r>
      <w:r>
        <w:rPr>
          <w:sz w:val="24"/>
          <w:szCs w:val="24"/>
          <w:lang w:bidi="en-US"/>
        </w:rPr>
        <w:lastRenderedPageBreak/>
        <w:t>statistically significant, strong negative correlation (</w:t>
      </w:r>
      <w:proofErr w:type="spellStart"/>
      <w:r>
        <w:rPr>
          <w:sz w:val="24"/>
          <w:szCs w:val="24"/>
          <w:lang w:bidi="en-US"/>
        </w:rPr>
        <w:t>r</w:t>
      </w:r>
      <w:r>
        <w:rPr>
          <w:sz w:val="24"/>
          <w:szCs w:val="24"/>
          <w:vertAlign w:val="subscript"/>
          <w:lang w:bidi="en-US"/>
        </w:rPr>
        <w:t>s</w:t>
      </w:r>
      <w:proofErr w:type="spellEnd"/>
      <w:r>
        <w:rPr>
          <w:sz w:val="24"/>
          <w:szCs w:val="24"/>
          <w:lang w:bidi="en-US"/>
        </w:rPr>
        <w:t xml:space="preserve"> = -.72, p &lt; .001) between environmental apathy and local governance participation, alongside a moderate to strong positive correlation (</w:t>
      </w:r>
      <w:proofErr w:type="spellStart"/>
      <w:r>
        <w:rPr>
          <w:sz w:val="24"/>
          <w:szCs w:val="24"/>
          <w:lang w:bidi="en-US"/>
        </w:rPr>
        <w:t>r</w:t>
      </w:r>
      <w:r>
        <w:rPr>
          <w:sz w:val="24"/>
          <w:szCs w:val="24"/>
          <w:vertAlign w:val="subscript"/>
          <w:lang w:bidi="en-US"/>
        </w:rPr>
        <w:t>s</w:t>
      </w:r>
      <w:proofErr w:type="spellEnd"/>
      <w:r>
        <w:rPr>
          <w:sz w:val="24"/>
          <w:szCs w:val="24"/>
          <w:lang w:bidi="en-US"/>
        </w:rPr>
        <w:t xml:space="preserve"> = .4989, p &lt; .001) linking environmental apathy to unsustainable waste disposal/sanitation practices. These findings </w:t>
      </w:r>
      <w:r w:rsidR="008275B4">
        <w:rPr>
          <w:sz w:val="24"/>
          <w:szCs w:val="24"/>
          <w:lang w:bidi="en-US"/>
        </w:rPr>
        <w:t>affirm t</w:t>
      </w:r>
      <w:r>
        <w:rPr>
          <w:sz w:val="24"/>
          <w:szCs w:val="24"/>
          <w:lang w:bidi="en-US"/>
        </w:rPr>
        <w:t xml:space="preserve">he </w:t>
      </w:r>
      <w:r w:rsidR="008275B4">
        <w:rPr>
          <w:sz w:val="24"/>
          <w:szCs w:val="24"/>
          <w:lang w:bidi="en-US"/>
        </w:rPr>
        <w:t xml:space="preserve">ineffectiveness of </w:t>
      </w:r>
      <w:r>
        <w:rPr>
          <w:sz w:val="24"/>
          <w:szCs w:val="24"/>
          <w:lang w:bidi="en-US"/>
        </w:rPr>
        <w:t xml:space="preserve">conventional approaches towards environmental governance </w:t>
      </w:r>
      <w:r w:rsidR="008275B4">
        <w:rPr>
          <w:sz w:val="24"/>
          <w:szCs w:val="24"/>
          <w:lang w:bidi="en-US"/>
        </w:rPr>
        <w:t xml:space="preserve">as they fail to account for social values </w:t>
      </w:r>
      <w:r>
        <w:rPr>
          <w:sz w:val="24"/>
          <w:szCs w:val="24"/>
          <w:lang w:bidi="en-US"/>
        </w:rPr>
        <w:t>and meaningful integration of riparian communities into both formal and informal governance frameworks.</w:t>
      </w:r>
    </w:p>
    <w:p w14:paraId="5C81AAA5" w14:textId="77777777" w:rsidR="00241B0B" w:rsidRDefault="00000000">
      <w:pPr>
        <w:tabs>
          <w:tab w:val="left" w:pos="791"/>
        </w:tabs>
        <w:spacing w:before="2" w:after="240" w:line="360" w:lineRule="auto"/>
        <w:rPr>
          <w:sz w:val="24"/>
          <w:szCs w:val="24"/>
        </w:rPr>
      </w:pPr>
      <w:r>
        <w:rPr>
          <w:b/>
          <w:sz w:val="24"/>
          <w:szCs w:val="24"/>
        </w:rPr>
        <w:t>Key</w:t>
      </w:r>
      <w:r>
        <w:rPr>
          <w:b/>
          <w:spacing w:val="54"/>
          <w:sz w:val="24"/>
          <w:szCs w:val="24"/>
        </w:rPr>
        <w:t xml:space="preserve"> </w:t>
      </w:r>
      <w:r>
        <w:rPr>
          <w:b/>
          <w:sz w:val="24"/>
          <w:szCs w:val="24"/>
        </w:rPr>
        <w:t>words:</w:t>
      </w:r>
      <w:r>
        <w:rPr>
          <w:b/>
          <w:spacing w:val="58"/>
          <w:sz w:val="24"/>
          <w:szCs w:val="24"/>
        </w:rPr>
        <w:t xml:space="preserve"> </w:t>
      </w:r>
      <w:r>
        <w:rPr>
          <w:sz w:val="24"/>
          <w:szCs w:val="24"/>
        </w:rPr>
        <w:t>Environmental Governance, Nairobi River, Pro-environmental Behavior, Urban riparian communities, Social Value-Action Gap</w:t>
      </w:r>
      <w:r>
        <w:rPr>
          <w:spacing w:val="57"/>
          <w:sz w:val="24"/>
          <w:szCs w:val="24"/>
        </w:rPr>
        <w:t xml:space="preserve"> </w:t>
      </w:r>
    </w:p>
    <w:p w14:paraId="757C6477" w14:textId="77777777" w:rsidR="00241B0B" w:rsidRDefault="00241B0B">
      <w:pPr>
        <w:spacing w:before="22"/>
        <w:rPr>
          <w:rFonts w:ascii="Calibri"/>
          <w:sz w:val="20"/>
        </w:rPr>
      </w:pPr>
    </w:p>
    <w:p w14:paraId="402711FB" w14:textId="77777777" w:rsidR="00241B0B" w:rsidRDefault="00000000">
      <w:pPr>
        <w:pStyle w:val="Heading1"/>
        <w:tabs>
          <w:tab w:val="left" w:pos="791"/>
        </w:tabs>
        <w:spacing w:before="1" w:line="360" w:lineRule="auto"/>
        <w:ind w:left="0" w:firstLine="0"/>
        <w:rPr>
          <w:sz w:val="24"/>
          <w:szCs w:val="24"/>
        </w:rPr>
      </w:pPr>
      <w:r>
        <w:rPr>
          <w:spacing w:val="-2"/>
          <w:sz w:val="24"/>
          <w:szCs w:val="24"/>
        </w:rPr>
        <w:t>Introduction</w:t>
      </w:r>
    </w:p>
    <w:p w14:paraId="35E9A1A0" w14:textId="77777777" w:rsidR="00241B0B" w:rsidRDefault="00000000">
      <w:pPr>
        <w:pStyle w:val="EJG31text"/>
        <w:spacing w:after="240" w:line="360" w:lineRule="auto"/>
        <w:ind w:firstLine="0"/>
        <w:rPr>
          <w:rFonts w:ascii="Times New Roman" w:hAnsi="Times New Roman"/>
          <w:sz w:val="24"/>
          <w:szCs w:val="24"/>
        </w:rPr>
      </w:pPr>
      <w:r>
        <w:rPr>
          <w:rFonts w:ascii="Times New Roman" w:hAnsi="Times New Roman"/>
          <w:sz w:val="24"/>
          <w:szCs w:val="24"/>
        </w:rPr>
        <w:t xml:space="preserve">While urbanization has historically been linked with advancements in human development and societal progress (Opoku and </w:t>
      </w:r>
      <w:proofErr w:type="spellStart"/>
      <w:r>
        <w:rPr>
          <w:rFonts w:ascii="Times New Roman" w:hAnsi="Times New Roman"/>
          <w:sz w:val="24"/>
          <w:szCs w:val="24"/>
        </w:rPr>
        <w:t>Akotia</w:t>
      </w:r>
      <w:proofErr w:type="spellEnd"/>
      <w:r>
        <w:rPr>
          <w:rFonts w:ascii="Times New Roman" w:hAnsi="Times New Roman"/>
          <w:sz w:val="24"/>
          <w:szCs w:val="24"/>
        </w:rPr>
        <w:t xml:space="preserve">, 2020; UN-Habitat, 2016), recent research indicates that urban environments have contributed to notable socio-economic disparities and environmental decline (Van Ham et al., 2021). On account of the pressing global environmental challenges, there is an increasing demand for substantial and revolutionary modifications to anthropogenic attitudes, behavior and the mechanisms that support our existence on Earth. This transformation necessitates transitioning from unsustainable methods to sustainable ones like integrating green technologies and embracing the principles of a circular economy in production. In cognizance of this, governments worldwide have made significant efforts towards regulating the debilitating impacts of human activity. However, most countries in Africa have not been able to effectively manage their ecological dynamics for sustainable development.  In turn, the impacts of urbanization have led to massive pollution and depletion of natural resources.  </w:t>
      </w:r>
    </w:p>
    <w:p w14:paraId="5EEA4FFD" w14:textId="77777777" w:rsidR="00241B0B" w:rsidRDefault="00000000">
      <w:pPr>
        <w:pStyle w:val="EJG31text"/>
        <w:spacing w:after="240" w:line="360" w:lineRule="auto"/>
        <w:ind w:firstLine="0"/>
        <w:rPr>
          <w:rFonts w:ascii="Times New Roman" w:hAnsi="Times New Roman"/>
          <w:sz w:val="24"/>
          <w:szCs w:val="24"/>
        </w:rPr>
      </w:pPr>
      <w:r>
        <w:rPr>
          <w:rFonts w:ascii="Times New Roman" w:hAnsi="Times New Roman"/>
          <w:sz w:val="24"/>
          <w:szCs w:val="24"/>
        </w:rPr>
        <w:t xml:space="preserve">Water is universally acknowledged as the planet's most crucial natural asset that supports life and drives development. Nonetheless, Vörösmarty et al., (2010) point out that freshwater ecosystems are increasingly facing direct threats from human activities and are poised to undergo additional impacts due to human-induced climate change. Africa is home to the largest freshwater systems on Earth (Papa et al., 2023), distinguished by a vast spatial distribution and diversity of surface waters holding immense significance for global climate and water systems. Over recent decades, the cumulative impact of human action and climate change has elevated freshwater availability to a significant global concern. As African economies expand rapidly, the growing need for fresh water to support burgeoning urban populations, agricultural activities, and industrial growth is now placing </w:t>
      </w:r>
      <w:r>
        <w:rPr>
          <w:rFonts w:ascii="Times New Roman" w:hAnsi="Times New Roman"/>
          <w:sz w:val="24"/>
          <w:szCs w:val="24"/>
        </w:rPr>
        <w:lastRenderedPageBreak/>
        <w:t xml:space="preserve">considerable strain on existing natural water resources (Papa et al., 2023; </w:t>
      </w:r>
      <w:proofErr w:type="spellStart"/>
      <w:r>
        <w:rPr>
          <w:rFonts w:ascii="Times New Roman" w:hAnsi="Times New Roman"/>
          <w:sz w:val="24"/>
          <w:szCs w:val="24"/>
        </w:rPr>
        <w:t>Etikala</w:t>
      </w:r>
      <w:proofErr w:type="spellEnd"/>
      <w:r>
        <w:rPr>
          <w:rFonts w:ascii="Times New Roman" w:hAnsi="Times New Roman"/>
          <w:sz w:val="24"/>
          <w:szCs w:val="24"/>
        </w:rPr>
        <w:t xml:space="preserve"> et al., 2022; Mehran et al., 2017; Steffen et al., 2015). The susceptibility of water systems to human influences both within their ecosystems and beyond, particularly in urban areas, underscores the imperative for adopting an integrated approach to environmental management aimed at ensuring sustainability. </w:t>
      </w:r>
    </w:p>
    <w:p w14:paraId="5E0B8715" w14:textId="77777777" w:rsidR="00241B0B" w:rsidRDefault="00000000">
      <w:pPr>
        <w:pStyle w:val="EJG31text"/>
        <w:spacing w:after="240" w:line="360" w:lineRule="auto"/>
        <w:ind w:firstLine="0"/>
        <w:rPr>
          <w:rFonts w:ascii="Times New Roman" w:hAnsi="Times New Roman"/>
          <w:sz w:val="24"/>
          <w:szCs w:val="24"/>
        </w:rPr>
      </w:pPr>
      <w:r>
        <w:rPr>
          <w:rFonts w:ascii="Times New Roman" w:hAnsi="Times New Roman"/>
          <w:sz w:val="24"/>
          <w:szCs w:val="24"/>
        </w:rPr>
        <w:t xml:space="preserve">The governance of urban water systems is complicated by the plethora of competing economic land uses and social values.  It is increasingly recognized that barriers to achieving sustainable development in the water sector are often caused by socio-institutional challenges (Hoffman and Jennings, 2015) rather than technical issues, a lack of knowledge or resources, or financial constraints (Franco-Torres et al., 2021; Dijk, 2012). Environmental changes like land use shifts, water resource depletion and quality deterioration, combined with ineffective governance of local and shared river systems, has rendered African populations especially susceptible to fluctuations in weather and climate, as well as to prospective alterations in the hydrological cycle. Considering the trends in water resource management in Africa, there has been a growing recognition of the importance of sustainable water governance practices to enhance the resilience of water systems by resolving the primary threats to the quality of urban water systems. Further, consensus generally holds that the river basin level serves as the basic natural context for addressing and solving water challenges, incorporating planning and management activities as essential elements of water governance. </w:t>
      </w:r>
    </w:p>
    <w:p w14:paraId="7B4A193A" w14:textId="239375EE" w:rsidR="00241B0B" w:rsidRDefault="00F427E5">
      <w:pPr>
        <w:pStyle w:val="EJG31text"/>
        <w:spacing w:line="360" w:lineRule="auto"/>
        <w:ind w:firstLine="0"/>
        <w:rPr>
          <w:rFonts w:ascii="Times New Roman" w:hAnsi="Times New Roman"/>
          <w:sz w:val="24"/>
          <w:szCs w:val="24"/>
        </w:rPr>
      </w:pPr>
      <w:r w:rsidRPr="00F427E5">
        <w:rPr>
          <w:rFonts w:ascii="Times New Roman" w:hAnsi="Times New Roman"/>
          <w:sz w:val="24"/>
          <w:szCs w:val="24"/>
        </w:rPr>
        <w:t xml:space="preserve">Kenya’s urban conglomerates are frequently evolving without the benefit of the necessary governance interventions or investments capable of addressing the urbanization challenges. </w:t>
      </w:r>
      <w:r>
        <w:rPr>
          <w:rFonts w:ascii="Times New Roman" w:hAnsi="Times New Roman"/>
          <w:sz w:val="24"/>
          <w:szCs w:val="24"/>
        </w:rPr>
        <w:t xml:space="preserve">Nairobi city's environmental outlook is a classic example of the pernicious impacts of unregulated urbanization on natural resources. The city presents complicated and diversified development challenges, characterized by urbanization pressures, limited infrastructure, and natural resource management difficulties (Nairobi City County, 2014; Ogutu et al., 2021). The status of the Nairobi River system demonstrates a failure in governance of urban water systems in Kenya despite various attempts to rehabilitate it throughout various political regimes. Besides the critical levels of pollution of the river, Karangi, (2017) observed that between 1988 and 2014, there was a significant increase in the extent of built-up areas encroaching upon its 30-meter riparian buffer zone (Environmental Management and Coordination Act, 1999). This, coupled with weak enforcement of environmental regulations, has no less vitiated the river’s ecotone. A considerable portion of the research into regulatory enforcement has overlooked the significance of social dynamics in policy implementation, resulting in insufficient and disjointed engagement of stakeholders. Nonetheless, emerging systematic social research reveals </w:t>
      </w:r>
      <w:r>
        <w:rPr>
          <w:rFonts w:ascii="Times New Roman" w:hAnsi="Times New Roman"/>
          <w:sz w:val="24"/>
          <w:szCs w:val="24"/>
        </w:rPr>
        <w:lastRenderedPageBreak/>
        <w:t>that the effectiveness of implementing environmental policies relies heavily on providing practical mechanisms for community engagement; and the endorsement and adherence of the public (</w:t>
      </w:r>
      <w:proofErr w:type="spellStart"/>
      <w:r>
        <w:rPr>
          <w:rFonts w:ascii="Times New Roman" w:hAnsi="Times New Roman"/>
          <w:sz w:val="24"/>
          <w:szCs w:val="24"/>
        </w:rPr>
        <w:t>Syahputra</w:t>
      </w:r>
      <w:proofErr w:type="spellEnd"/>
      <w:r>
        <w:rPr>
          <w:rFonts w:ascii="Times New Roman" w:hAnsi="Times New Roman"/>
          <w:sz w:val="24"/>
          <w:szCs w:val="24"/>
        </w:rPr>
        <w:t xml:space="preserve"> et al., 2023; De Vries, 2020; Muhar et al., 2018; Pahl-</w:t>
      </w:r>
      <w:proofErr w:type="spellStart"/>
      <w:r>
        <w:rPr>
          <w:rFonts w:ascii="Times New Roman" w:hAnsi="Times New Roman"/>
          <w:sz w:val="24"/>
          <w:szCs w:val="24"/>
        </w:rPr>
        <w:t>Wostl</w:t>
      </w:r>
      <w:proofErr w:type="spellEnd"/>
      <w:r>
        <w:rPr>
          <w:rFonts w:ascii="Times New Roman" w:hAnsi="Times New Roman"/>
          <w:sz w:val="24"/>
          <w:szCs w:val="24"/>
        </w:rPr>
        <w:t xml:space="preserve"> et al., 2011; </w:t>
      </w:r>
      <w:proofErr w:type="spellStart"/>
      <w:r>
        <w:rPr>
          <w:rFonts w:ascii="Times New Roman" w:hAnsi="Times New Roman"/>
          <w:sz w:val="24"/>
          <w:szCs w:val="24"/>
        </w:rPr>
        <w:t>Viviroli</w:t>
      </w:r>
      <w:proofErr w:type="spellEnd"/>
      <w:r>
        <w:rPr>
          <w:rFonts w:ascii="Times New Roman" w:hAnsi="Times New Roman"/>
          <w:sz w:val="24"/>
          <w:szCs w:val="24"/>
        </w:rPr>
        <w:t xml:space="preserve"> et al., 2011). Existing studies on natural resource management have failed to account for the effectiveness of social values and environmental behavior transformation in Kenya. This research seeks to establish the significance of the gap between the communities’ social values and the actual environmental actions within the governance framework of natural resources in Kenya. </w:t>
      </w:r>
    </w:p>
    <w:p w14:paraId="64B6B5C9" w14:textId="77777777" w:rsidR="00241B0B" w:rsidRDefault="00241B0B">
      <w:pPr>
        <w:pStyle w:val="EJG31text"/>
        <w:ind w:firstLine="0"/>
      </w:pPr>
    </w:p>
    <w:p w14:paraId="5068D9A1" w14:textId="77777777" w:rsidR="00241B0B" w:rsidRDefault="00000000">
      <w:pPr>
        <w:pStyle w:val="Heading1"/>
        <w:tabs>
          <w:tab w:val="left" w:pos="791"/>
        </w:tabs>
        <w:spacing w:after="240" w:line="256" w:lineRule="exact"/>
        <w:ind w:left="0" w:firstLine="0"/>
        <w:rPr>
          <w:sz w:val="24"/>
          <w:szCs w:val="24"/>
        </w:rPr>
      </w:pPr>
      <w:r>
        <w:rPr>
          <w:sz w:val="24"/>
          <w:szCs w:val="24"/>
        </w:rPr>
        <w:t>Material</w:t>
      </w:r>
      <w:r>
        <w:rPr>
          <w:spacing w:val="13"/>
          <w:sz w:val="24"/>
          <w:szCs w:val="24"/>
        </w:rPr>
        <w:t xml:space="preserve"> </w:t>
      </w:r>
      <w:r>
        <w:rPr>
          <w:sz w:val="24"/>
          <w:szCs w:val="24"/>
        </w:rPr>
        <w:t>and</w:t>
      </w:r>
      <w:r>
        <w:rPr>
          <w:spacing w:val="12"/>
          <w:sz w:val="24"/>
          <w:szCs w:val="24"/>
        </w:rPr>
        <w:t xml:space="preserve"> </w:t>
      </w:r>
      <w:r>
        <w:rPr>
          <w:spacing w:val="-2"/>
          <w:sz w:val="24"/>
          <w:szCs w:val="24"/>
        </w:rPr>
        <w:t>Methods</w:t>
      </w:r>
    </w:p>
    <w:p w14:paraId="6171C7C2" w14:textId="52E46F4D" w:rsidR="00241B0B" w:rsidRDefault="002B4AA6">
      <w:pPr>
        <w:spacing w:before="22" w:after="240" w:line="360" w:lineRule="auto"/>
        <w:jc w:val="both"/>
        <w:rPr>
          <w:sz w:val="24"/>
          <w:szCs w:val="24"/>
          <w:lang w:bidi="en-US"/>
        </w:rPr>
      </w:pPr>
      <w:r>
        <w:rPr>
          <w:sz w:val="24"/>
          <w:szCs w:val="24"/>
          <w:lang w:bidi="en-US"/>
        </w:rPr>
        <w:t xml:space="preserve">This study employed a mixed-methods research design, </w:t>
      </w:r>
      <w:r w:rsidR="00F427E5">
        <w:rPr>
          <w:sz w:val="24"/>
          <w:szCs w:val="24"/>
          <w:lang w:bidi="en-US"/>
        </w:rPr>
        <w:t xml:space="preserve">where </w:t>
      </w:r>
      <w:r>
        <w:rPr>
          <w:sz w:val="24"/>
          <w:szCs w:val="24"/>
          <w:lang w:bidi="en-US"/>
        </w:rPr>
        <w:t xml:space="preserve">quantitative data pertaining to socio-ecological attitudes </w:t>
      </w:r>
      <w:r w:rsidR="00F427E5">
        <w:rPr>
          <w:sz w:val="24"/>
          <w:szCs w:val="24"/>
          <w:lang w:bidi="en-US"/>
        </w:rPr>
        <w:t xml:space="preserve">was gathered </w:t>
      </w:r>
      <w:r>
        <w:rPr>
          <w:sz w:val="24"/>
          <w:szCs w:val="24"/>
          <w:lang w:bidi="en-US"/>
        </w:rPr>
        <w:t xml:space="preserve">from psychometric assessments and demographic profiles to establish a </w:t>
      </w:r>
      <w:r w:rsidR="00430789">
        <w:rPr>
          <w:sz w:val="24"/>
          <w:szCs w:val="24"/>
          <w:lang w:bidi="en-US"/>
        </w:rPr>
        <w:t xml:space="preserve">baseline </w:t>
      </w:r>
      <w:r>
        <w:rPr>
          <w:sz w:val="24"/>
          <w:szCs w:val="24"/>
          <w:lang w:bidi="en-US"/>
        </w:rPr>
        <w:t xml:space="preserve">for </w:t>
      </w:r>
      <w:r w:rsidR="00430789">
        <w:rPr>
          <w:sz w:val="24"/>
          <w:szCs w:val="24"/>
          <w:lang w:bidi="en-US"/>
        </w:rPr>
        <w:t xml:space="preserve">determining the </w:t>
      </w:r>
      <w:r>
        <w:rPr>
          <w:sz w:val="24"/>
          <w:szCs w:val="24"/>
          <w:lang w:bidi="en-US"/>
        </w:rPr>
        <w:t xml:space="preserve">participants' social value orientations. </w:t>
      </w:r>
      <w:r w:rsidR="00430789">
        <w:rPr>
          <w:sz w:val="24"/>
          <w:szCs w:val="24"/>
          <w:lang w:bidi="en-US"/>
        </w:rPr>
        <w:t>Further, q</w:t>
      </w:r>
      <w:r>
        <w:rPr>
          <w:sz w:val="24"/>
          <w:szCs w:val="24"/>
          <w:lang w:bidi="en-US"/>
        </w:rPr>
        <w:t xml:space="preserve">ualitative </w:t>
      </w:r>
      <w:r w:rsidR="00430789">
        <w:rPr>
          <w:sz w:val="24"/>
          <w:szCs w:val="24"/>
          <w:lang w:bidi="en-US"/>
        </w:rPr>
        <w:t>data</w:t>
      </w:r>
      <w:r>
        <w:rPr>
          <w:sz w:val="24"/>
          <w:szCs w:val="24"/>
          <w:lang w:bidi="en-US"/>
        </w:rPr>
        <w:t xml:space="preserve"> were </w:t>
      </w:r>
      <w:r w:rsidR="00430789">
        <w:rPr>
          <w:sz w:val="24"/>
          <w:szCs w:val="24"/>
          <w:lang w:bidi="en-US"/>
        </w:rPr>
        <w:t>obtained from</w:t>
      </w:r>
      <w:r>
        <w:rPr>
          <w:sz w:val="24"/>
          <w:szCs w:val="24"/>
          <w:lang w:bidi="en-US"/>
        </w:rPr>
        <w:t xml:space="preserve"> self-reported </w:t>
      </w:r>
      <w:r w:rsidR="00430789">
        <w:rPr>
          <w:sz w:val="24"/>
          <w:szCs w:val="24"/>
          <w:lang w:bidi="en-US"/>
        </w:rPr>
        <w:t>waste management practices</w:t>
      </w:r>
      <w:r>
        <w:rPr>
          <w:sz w:val="24"/>
          <w:szCs w:val="24"/>
          <w:lang w:bidi="en-US"/>
        </w:rPr>
        <w:t xml:space="preserve">, </w:t>
      </w:r>
      <w:r w:rsidR="00430789">
        <w:rPr>
          <w:sz w:val="24"/>
          <w:szCs w:val="24"/>
          <w:lang w:bidi="en-US"/>
        </w:rPr>
        <w:t xml:space="preserve">environmental </w:t>
      </w:r>
      <w:r>
        <w:rPr>
          <w:sz w:val="24"/>
          <w:szCs w:val="24"/>
          <w:lang w:bidi="en-US"/>
        </w:rPr>
        <w:t xml:space="preserve">knowledge and perceptions regarding prevailing governance frameworks and institutional arrangements. The limitations of the </w:t>
      </w:r>
      <w:r w:rsidR="004A0922">
        <w:rPr>
          <w:sz w:val="24"/>
          <w:szCs w:val="24"/>
          <w:lang w:bidi="en-US"/>
        </w:rPr>
        <w:t xml:space="preserve">primary data collection tools </w:t>
      </w:r>
      <w:r>
        <w:rPr>
          <w:sz w:val="24"/>
          <w:szCs w:val="24"/>
          <w:lang w:bidi="en-US"/>
        </w:rPr>
        <w:t xml:space="preserve">were effectively addressed through supplementary dialogues conducted with representatives from </w:t>
      </w:r>
      <w:r w:rsidR="004A0922">
        <w:rPr>
          <w:sz w:val="24"/>
          <w:szCs w:val="24"/>
          <w:lang w:bidi="en-US"/>
        </w:rPr>
        <w:t>relevant</w:t>
      </w:r>
      <w:r>
        <w:rPr>
          <w:sz w:val="24"/>
          <w:szCs w:val="24"/>
          <w:lang w:bidi="en-US"/>
        </w:rPr>
        <w:t xml:space="preserve"> government agencies and</w:t>
      </w:r>
      <w:r w:rsidR="004A0922">
        <w:rPr>
          <w:sz w:val="24"/>
          <w:szCs w:val="24"/>
          <w:lang w:bidi="en-US"/>
        </w:rPr>
        <w:t xml:space="preserve"> non-governmental actors. </w:t>
      </w:r>
      <w:r>
        <w:rPr>
          <w:sz w:val="24"/>
          <w:szCs w:val="24"/>
          <w:lang w:bidi="en-US"/>
        </w:rPr>
        <w:t xml:space="preserve"> </w:t>
      </w:r>
      <w:r w:rsidR="00F07D67">
        <w:rPr>
          <w:sz w:val="24"/>
          <w:szCs w:val="24"/>
          <w:lang w:bidi="en-US"/>
        </w:rPr>
        <w:t xml:space="preserve">Expert engagements also provided </w:t>
      </w:r>
      <w:r>
        <w:rPr>
          <w:sz w:val="24"/>
          <w:szCs w:val="24"/>
          <w:lang w:bidi="en-US"/>
        </w:rPr>
        <w:t xml:space="preserve">a comprehensive overview of </w:t>
      </w:r>
      <w:r w:rsidR="00F07D67">
        <w:rPr>
          <w:sz w:val="24"/>
          <w:szCs w:val="24"/>
          <w:lang w:bidi="en-US"/>
        </w:rPr>
        <w:t>the</w:t>
      </w:r>
      <w:r>
        <w:rPr>
          <w:sz w:val="24"/>
          <w:szCs w:val="24"/>
          <w:lang w:bidi="en-US"/>
        </w:rPr>
        <w:t xml:space="preserve"> </w:t>
      </w:r>
      <w:r w:rsidR="00F07D67">
        <w:rPr>
          <w:sz w:val="24"/>
          <w:szCs w:val="24"/>
          <w:lang w:bidi="en-US"/>
        </w:rPr>
        <w:t>current and historical natural</w:t>
      </w:r>
      <w:r>
        <w:rPr>
          <w:sz w:val="24"/>
          <w:szCs w:val="24"/>
          <w:lang w:bidi="en-US"/>
        </w:rPr>
        <w:t xml:space="preserve"> resource </w:t>
      </w:r>
      <w:r w:rsidR="00F07D67">
        <w:rPr>
          <w:sz w:val="24"/>
          <w:szCs w:val="24"/>
          <w:lang w:bidi="en-US"/>
        </w:rPr>
        <w:t xml:space="preserve">governance </w:t>
      </w:r>
      <w:r>
        <w:rPr>
          <w:sz w:val="24"/>
          <w:szCs w:val="24"/>
          <w:lang w:bidi="en-US"/>
        </w:rPr>
        <w:t xml:space="preserve">approaches, </w:t>
      </w:r>
      <w:r w:rsidR="00F07D67">
        <w:rPr>
          <w:sz w:val="24"/>
          <w:szCs w:val="24"/>
          <w:lang w:bidi="en-US"/>
        </w:rPr>
        <w:t xml:space="preserve">as </w:t>
      </w:r>
      <w:r>
        <w:rPr>
          <w:sz w:val="24"/>
          <w:szCs w:val="24"/>
          <w:lang w:bidi="en-US"/>
        </w:rPr>
        <w:t>secondary</w:t>
      </w:r>
      <w:r w:rsidR="00F07D67">
        <w:rPr>
          <w:sz w:val="24"/>
          <w:szCs w:val="24"/>
          <w:lang w:bidi="en-US"/>
        </w:rPr>
        <w:t xml:space="preserve"> literature review</w:t>
      </w:r>
      <w:r>
        <w:rPr>
          <w:sz w:val="24"/>
          <w:szCs w:val="24"/>
          <w:lang w:bidi="en-US"/>
        </w:rPr>
        <w:t xml:space="preserve"> </w:t>
      </w:r>
      <w:r w:rsidR="00F07D67">
        <w:rPr>
          <w:sz w:val="24"/>
          <w:szCs w:val="24"/>
          <w:lang w:bidi="en-US"/>
        </w:rPr>
        <w:t xml:space="preserve">completed knowledge of </w:t>
      </w:r>
      <w:r>
        <w:rPr>
          <w:sz w:val="24"/>
          <w:szCs w:val="24"/>
          <w:lang w:bidi="en-US"/>
        </w:rPr>
        <w:t>document</w:t>
      </w:r>
      <w:r w:rsidR="00F07D67">
        <w:rPr>
          <w:sz w:val="24"/>
          <w:szCs w:val="24"/>
          <w:lang w:bidi="en-US"/>
        </w:rPr>
        <w:t>ed</w:t>
      </w:r>
      <w:r>
        <w:rPr>
          <w:sz w:val="24"/>
          <w:szCs w:val="24"/>
          <w:lang w:bidi="en-US"/>
        </w:rPr>
        <w:t xml:space="preserve"> pollution concentrations and temporal patterns </w:t>
      </w:r>
      <w:r w:rsidR="00F07D67">
        <w:rPr>
          <w:sz w:val="24"/>
          <w:szCs w:val="24"/>
          <w:lang w:bidi="en-US"/>
        </w:rPr>
        <w:t xml:space="preserve">to conduct </w:t>
      </w:r>
      <w:r>
        <w:rPr>
          <w:sz w:val="24"/>
          <w:szCs w:val="24"/>
          <w:lang w:bidi="en-US"/>
        </w:rPr>
        <w:t xml:space="preserve">situational assessment of the Nairobi River's </w:t>
      </w:r>
      <w:r w:rsidR="00F07D67">
        <w:rPr>
          <w:sz w:val="24"/>
          <w:szCs w:val="24"/>
          <w:lang w:bidi="en-US"/>
        </w:rPr>
        <w:t xml:space="preserve">physiological </w:t>
      </w:r>
      <w:r>
        <w:rPr>
          <w:sz w:val="24"/>
          <w:szCs w:val="24"/>
          <w:lang w:bidi="en-US"/>
        </w:rPr>
        <w:t>condition</w:t>
      </w:r>
      <w:r w:rsidR="00F07D67">
        <w:rPr>
          <w:sz w:val="24"/>
          <w:szCs w:val="24"/>
          <w:lang w:bidi="en-US"/>
        </w:rPr>
        <w:t>s</w:t>
      </w:r>
      <w:r>
        <w:rPr>
          <w:sz w:val="24"/>
          <w:szCs w:val="24"/>
          <w:lang w:bidi="en-US"/>
        </w:rPr>
        <w:t xml:space="preserve"> and </w:t>
      </w:r>
      <w:r w:rsidR="00F07D67">
        <w:rPr>
          <w:sz w:val="24"/>
          <w:szCs w:val="24"/>
          <w:lang w:bidi="en-US"/>
        </w:rPr>
        <w:t>determine oversight deficiencies</w:t>
      </w:r>
      <w:r>
        <w:rPr>
          <w:sz w:val="24"/>
          <w:szCs w:val="24"/>
          <w:lang w:bidi="en-US"/>
        </w:rPr>
        <w:t xml:space="preserve">. </w:t>
      </w:r>
      <w:r w:rsidR="00F07D67">
        <w:rPr>
          <w:sz w:val="24"/>
          <w:szCs w:val="24"/>
          <w:lang w:bidi="en-US"/>
        </w:rPr>
        <w:t>The extent of riparian community engagement in the governance of the river system was demonstrated through an i</w:t>
      </w:r>
      <w:r>
        <w:rPr>
          <w:sz w:val="24"/>
          <w:szCs w:val="24"/>
          <w:lang w:bidi="en-US"/>
        </w:rPr>
        <w:t>ntegrat</w:t>
      </w:r>
      <w:r w:rsidR="00F07D67">
        <w:rPr>
          <w:sz w:val="24"/>
          <w:szCs w:val="24"/>
          <w:lang w:bidi="en-US"/>
        </w:rPr>
        <w:t xml:space="preserve">ion of </w:t>
      </w:r>
      <w:r>
        <w:rPr>
          <w:sz w:val="24"/>
          <w:szCs w:val="24"/>
          <w:lang w:bidi="en-US"/>
        </w:rPr>
        <w:t xml:space="preserve">descriptive and inferential statistical </w:t>
      </w:r>
      <w:r w:rsidR="00F07D67">
        <w:rPr>
          <w:sz w:val="24"/>
          <w:szCs w:val="24"/>
          <w:lang w:bidi="en-US"/>
        </w:rPr>
        <w:t>analyses</w:t>
      </w:r>
      <w:r>
        <w:rPr>
          <w:sz w:val="24"/>
          <w:szCs w:val="24"/>
          <w:lang w:bidi="en-US"/>
        </w:rPr>
        <w:t xml:space="preserve">, while the </w:t>
      </w:r>
      <w:r w:rsidR="00F07D67">
        <w:rPr>
          <w:sz w:val="24"/>
          <w:szCs w:val="24"/>
          <w:lang w:bidi="en-US"/>
        </w:rPr>
        <w:t xml:space="preserve">basis of the data collection </w:t>
      </w:r>
      <w:r>
        <w:rPr>
          <w:sz w:val="24"/>
          <w:szCs w:val="24"/>
          <w:lang w:bidi="en-US"/>
        </w:rPr>
        <w:t xml:space="preserve">design underpinned the targeted exploration of </w:t>
      </w:r>
      <w:r w:rsidR="00F07D67">
        <w:rPr>
          <w:sz w:val="24"/>
          <w:szCs w:val="24"/>
          <w:lang w:bidi="en-US"/>
        </w:rPr>
        <w:t xml:space="preserve">various aspects of </w:t>
      </w:r>
      <w:r>
        <w:rPr>
          <w:sz w:val="24"/>
          <w:szCs w:val="24"/>
          <w:lang w:bidi="en-US"/>
        </w:rPr>
        <w:t xml:space="preserve">the </w:t>
      </w:r>
      <w:r w:rsidR="00F07D67">
        <w:rPr>
          <w:sz w:val="24"/>
          <w:szCs w:val="24"/>
          <w:lang w:bidi="en-US"/>
        </w:rPr>
        <w:t xml:space="preserve">observed and reported </w:t>
      </w:r>
      <w:r>
        <w:rPr>
          <w:sz w:val="24"/>
          <w:szCs w:val="24"/>
          <w:lang w:bidi="en-US"/>
        </w:rPr>
        <w:t xml:space="preserve">environmental </w:t>
      </w:r>
      <w:r w:rsidR="00F07D67">
        <w:rPr>
          <w:sz w:val="24"/>
          <w:szCs w:val="24"/>
          <w:lang w:bidi="en-US"/>
        </w:rPr>
        <w:t xml:space="preserve">practices and attitudes. </w:t>
      </w:r>
      <w:r>
        <w:rPr>
          <w:sz w:val="24"/>
          <w:szCs w:val="24"/>
          <w:lang w:bidi="en-US"/>
        </w:rPr>
        <w:t xml:space="preserve"> </w:t>
      </w:r>
    </w:p>
    <w:p w14:paraId="6509483F" w14:textId="77777777" w:rsidR="00241B0B" w:rsidRDefault="00000000">
      <w:pPr>
        <w:spacing w:before="22" w:line="360" w:lineRule="auto"/>
        <w:jc w:val="both"/>
        <w:rPr>
          <w:b/>
          <w:bCs/>
          <w:i/>
          <w:iCs/>
          <w:sz w:val="24"/>
          <w:szCs w:val="24"/>
          <w:lang w:bidi="en-US"/>
        </w:rPr>
      </w:pPr>
      <w:r>
        <w:rPr>
          <w:b/>
          <w:bCs/>
          <w:i/>
          <w:iCs/>
          <w:sz w:val="24"/>
          <w:szCs w:val="24"/>
          <w:lang w:bidi="en-US"/>
        </w:rPr>
        <w:t>Sampling Procedure</w:t>
      </w:r>
    </w:p>
    <w:p w14:paraId="302592DF" w14:textId="4635792A" w:rsidR="00241B0B" w:rsidRDefault="00000000">
      <w:pPr>
        <w:spacing w:before="22" w:after="240" w:line="360" w:lineRule="auto"/>
        <w:jc w:val="both"/>
        <w:rPr>
          <w:sz w:val="24"/>
          <w:szCs w:val="24"/>
          <w:lang w:bidi="en-US"/>
        </w:rPr>
      </w:pPr>
      <w:r>
        <w:rPr>
          <w:sz w:val="24"/>
          <w:szCs w:val="24"/>
          <w:lang w:bidi="en-US"/>
        </w:rPr>
        <w:t xml:space="preserve">The </w:t>
      </w:r>
      <w:r w:rsidR="007F56B0">
        <w:rPr>
          <w:sz w:val="24"/>
          <w:szCs w:val="24"/>
          <w:lang w:bidi="en-US"/>
        </w:rPr>
        <w:t xml:space="preserve">study drew its </w:t>
      </w:r>
      <w:r>
        <w:rPr>
          <w:sz w:val="24"/>
          <w:szCs w:val="24"/>
          <w:lang w:bidi="en-US"/>
        </w:rPr>
        <w:t xml:space="preserve">participants from both upstream and downstream </w:t>
      </w:r>
      <w:r w:rsidR="007F56B0">
        <w:rPr>
          <w:sz w:val="24"/>
          <w:szCs w:val="24"/>
          <w:lang w:bidi="en-US"/>
        </w:rPr>
        <w:t xml:space="preserve">riparian </w:t>
      </w:r>
      <w:r>
        <w:rPr>
          <w:sz w:val="24"/>
          <w:szCs w:val="24"/>
          <w:lang w:bidi="en-US"/>
        </w:rPr>
        <w:t xml:space="preserve">sections of the Nairobi River system, </w:t>
      </w:r>
      <w:r w:rsidR="007F56B0">
        <w:rPr>
          <w:sz w:val="24"/>
          <w:szCs w:val="24"/>
          <w:lang w:bidi="en-US"/>
        </w:rPr>
        <w:t>following a stratification of the</w:t>
      </w:r>
      <w:r>
        <w:rPr>
          <w:sz w:val="24"/>
          <w:szCs w:val="24"/>
          <w:lang w:bidi="en-US"/>
        </w:rPr>
        <w:t xml:space="preserve"> prevailing land use configurations, </w:t>
      </w:r>
      <w:r w:rsidR="007F56B0">
        <w:rPr>
          <w:sz w:val="24"/>
          <w:szCs w:val="24"/>
          <w:lang w:bidi="en-US"/>
        </w:rPr>
        <w:t xml:space="preserve">documented pollution hotspots and </w:t>
      </w:r>
      <w:r>
        <w:rPr>
          <w:sz w:val="24"/>
          <w:szCs w:val="24"/>
          <w:lang w:bidi="en-US"/>
        </w:rPr>
        <w:t xml:space="preserve">demographic profiles. The </w:t>
      </w:r>
      <w:r w:rsidR="00E22B4C">
        <w:rPr>
          <w:sz w:val="24"/>
          <w:szCs w:val="24"/>
          <w:lang w:bidi="en-US"/>
        </w:rPr>
        <w:t xml:space="preserve">sample size was </w:t>
      </w:r>
      <w:r>
        <w:rPr>
          <w:sz w:val="24"/>
          <w:szCs w:val="24"/>
          <w:lang w:bidi="en-US"/>
        </w:rPr>
        <w:t>determin</w:t>
      </w:r>
      <w:r w:rsidR="00E22B4C">
        <w:rPr>
          <w:sz w:val="24"/>
          <w:szCs w:val="24"/>
          <w:lang w:bidi="en-US"/>
        </w:rPr>
        <w:t xml:space="preserve">ed using </w:t>
      </w:r>
      <w:r>
        <w:rPr>
          <w:sz w:val="24"/>
          <w:szCs w:val="24"/>
          <w:lang w:bidi="en-US"/>
        </w:rPr>
        <w:t xml:space="preserve">Taro Yamane’s statistical formula (Yamane, 1973), </w:t>
      </w:r>
      <w:r w:rsidR="00035D91">
        <w:rPr>
          <w:sz w:val="24"/>
          <w:szCs w:val="24"/>
          <w:lang w:bidi="en-US"/>
        </w:rPr>
        <w:t xml:space="preserve">at </w:t>
      </w:r>
      <w:r>
        <w:rPr>
          <w:sz w:val="24"/>
          <w:szCs w:val="24"/>
          <w:lang w:bidi="en-US"/>
        </w:rPr>
        <w:t xml:space="preserve">a </w:t>
      </w:r>
      <w:r w:rsidR="00035D91">
        <w:rPr>
          <w:sz w:val="24"/>
          <w:szCs w:val="24"/>
          <w:lang w:bidi="en-US"/>
        </w:rPr>
        <w:t>c</w:t>
      </w:r>
      <w:r>
        <w:rPr>
          <w:sz w:val="24"/>
          <w:szCs w:val="24"/>
          <w:lang w:bidi="en-US"/>
        </w:rPr>
        <w:t>onfidence interval</w:t>
      </w:r>
      <w:r w:rsidR="00035D91">
        <w:rPr>
          <w:sz w:val="24"/>
          <w:szCs w:val="24"/>
          <w:lang w:bidi="en-US"/>
        </w:rPr>
        <w:t xml:space="preserve"> of 95</w:t>
      </w:r>
      <w:r w:rsidR="00041AC8">
        <w:rPr>
          <w:sz w:val="24"/>
          <w:szCs w:val="24"/>
          <w:lang w:bidi="en-US"/>
        </w:rPr>
        <w:t>% estimating</w:t>
      </w:r>
      <w:r w:rsidR="00035D91">
        <w:rPr>
          <w:sz w:val="24"/>
          <w:szCs w:val="24"/>
          <w:lang w:bidi="en-US"/>
        </w:rPr>
        <w:t xml:space="preserve"> a </w:t>
      </w:r>
      <w:r>
        <w:rPr>
          <w:sz w:val="24"/>
          <w:szCs w:val="24"/>
          <w:lang w:bidi="en-US"/>
        </w:rPr>
        <w:t xml:space="preserve">target population of </w:t>
      </w:r>
      <w:r w:rsidR="00035D91">
        <w:rPr>
          <w:sz w:val="24"/>
          <w:szCs w:val="24"/>
          <w:lang w:bidi="en-US"/>
        </w:rPr>
        <w:t>about</w:t>
      </w:r>
      <w:r>
        <w:rPr>
          <w:sz w:val="24"/>
          <w:szCs w:val="24"/>
          <w:lang w:bidi="en-US"/>
        </w:rPr>
        <w:t xml:space="preserve"> 2,000,000 individuals dwelling along the </w:t>
      </w:r>
      <w:r w:rsidR="00035D91">
        <w:rPr>
          <w:sz w:val="24"/>
          <w:szCs w:val="24"/>
          <w:lang w:bidi="en-US"/>
        </w:rPr>
        <w:t xml:space="preserve">banks of the </w:t>
      </w:r>
      <w:r w:rsidR="00041AC8">
        <w:rPr>
          <w:sz w:val="24"/>
          <w:szCs w:val="24"/>
          <w:lang w:bidi="en-US"/>
        </w:rPr>
        <w:t>Nairobi River</w:t>
      </w:r>
      <w:r w:rsidR="00035D91">
        <w:rPr>
          <w:sz w:val="24"/>
          <w:szCs w:val="24"/>
          <w:lang w:bidi="en-US"/>
        </w:rPr>
        <w:t xml:space="preserve"> within Nairobi County</w:t>
      </w:r>
      <w:r>
        <w:rPr>
          <w:sz w:val="24"/>
          <w:szCs w:val="24"/>
          <w:lang w:bidi="en-US"/>
        </w:rPr>
        <w:t xml:space="preserve"> (Nyika, 2017). Th</w:t>
      </w:r>
      <w:r w:rsidR="00041AC8">
        <w:rPr>
          <w:sz w:val="24"/>
          <w:szCs w:val="24"/>
          <w:lang w:bidi="en-US"/>
        </w:rPr>
        <w:t>e</w:t>
      </w:r>
      <w:r>
        <w:rPr>
          <w:sz w:val="24"/>
          <w:szCs w:val="24"/>
          <w:lang w:bidi="en-US"/>
        </w:rPr>
        <w:t xml:space="preserve"> calculation yielded a sample size of approximately 400 respondents. A stratified </w:t>
      </w:r>
      <w:r>
        <w:rPr>
          <w:sz w:val="24"/>
          <w:szCs w:val="24"/>
          <w:lang w:bidi="en-US"/>
        </w:rPr>
        <w:lastRenderedPageBreak/>
        <w:t xml:space="preserve">random sampling technique was implemented, whereby the total sample was proportionally allocated across four primary subpopulations reflecting the predominant land use categories within the Nairobi River Basin: residential, commercial, agricultural, and industrial. </w:t>
      </w:r>
    </w:p>
    <w:p w14:paraId="2C8043C3" w14:textId="77777777" w:rsidR="00241B0B" w:rsidRDefault="00000000">
      <w:pPr>
        <w:spacing w:before="22" w:line="360" w:lineRule="auto"/>
        <w:jc w:val="both"/>
        <w:rPr>
          <w:b/>
          <w:bCs/>
          <w:sz w:val="24"/>
          <w:szCs w:val="24"/>
          <w:lang w:bidi="en-US"/>
        </w:rPr>
      </w:pPr>
      <w:r>
        <w:rPr>
          <w:b/>
          <w:bCs/>
          <w:sz w:val="24"/>
          <w:szCs w:val="24"/>
          <w:lang w:bidi="en-US"/>
        </w:rPr>
        <w:t>Data collection</w:t>
      </w:r>
    </w:p>
    <w:p w14:paraId="4FB46602" w14:textId="77777777" w:rsidR="00241B0B" w:rsidRDefault="00000000">
      <w:pPr>
        <w:spacing w:before="22" w:after="240" w:line="360" w:lineRule="auto"/>
        <w:jc w:val="both"/>
        <w:rPr>
          <w:sz w:val="24"/>
          <w:szCs w:val="24"/>
          <w:lang w:bidi="en-US"/>
        </w:rPr>
      </w:pPr>
      <w:r>
        <w:rPr>
          <w:sz w:val="24"/>
          <w:szCs w:val="24"/>
          <w:lang w:bidi="en-US"/>
        </w:rPr>
        <w:t>A cross-sectional survey design was used to investigate the social value orientations and participation levels of participants living within the riparian areas of the Nairobi River. Data was collected through self-administered questionnaires containing both demographic questions and psychometric assessments _ a helpful tool for measuring social value differences between individuals or groups of persons (</w:t>
      </w:r>
      <w:proofErr w:type="spellStart"/>
      <w:r>
        <w:rPr>
          <w:sz w:val="24"/>
          <w:szCs w:val="24"/>
          <w:lang w:bidi="en-US"/>
        </w:rPr>
        <w:t>Wijsen</w:t>
      </w:r>
      <w:proofErr w:type="spellEnd"/>
      <w:r>
        <w:rPr>
          <w:sz w:val="24"/>
          <w:szCs w:val="24"/>
          <w:lang w:bidi="en-US"/>
        </w:rPr>
        <w:t xml:space="preserve"> </w:t>
      </w:r>
      <w:r>
        <w:rPr>
          <w:i/>
          <w:iCs/>
          <w:sz w:val="24"/>
          <w:szCs w:val="24"/>
          <w:lang w:bidi="en-US"/>
        </w:rPr>
        <w:t>et al</w:t>
      </w:r>
      <w:r>
        <w:rPr>
          <w:sz w:val="24"/>
          <w:szCs w:val="24"/>
          <w:lang w:bidi="en-US"/>
        </w:rPr>
        <w:t xml:space="preserve">., 2022). The survey items were adapted from validated instruments in existing literature (Chin et al., 2019; Franco-Torres et al., 2021; Jones et al., 2016; Kendal &amp; Raymond, 2019; </w:t>
      </w:r>
      <w:proofErr w:type="spellStart"/>
      <w:r>
        <w:rPr>
          <w:sz w:val="24"/>
          <w:szCs w:val="24"/>
          <w:lang w:bidi="en-US"/>
        </w:rPr>
        <w:t>Milfont</w:t>
      </w:r>
      <w:proofErr w:type="spellEnd"/>
      <w:r>
        <w:rPr>
          <w:sz w:val="24"/>
          <w:szCs w:val="24"/>
          <w:lang w:bidi="en-US"/>
        </w:rPr>
        <w:t xml:space="preserve"> &amp; </w:t>
      </w:r>
      <w:proofErr w:type="spellStart"/>
      <w:r>
        <w:rPr>
          <w:sz w:val="24"/>
          <w:szCs w:val="24"/>
          <w:lang w:bidi="en-US"/>
        </w:rPr>
        <w:t>Duckitt</w:t>
      </w:r>
      <w:proofErr w:type="spellEnd"/>
      <w:r>
        <w:rPr>
          <w:sz w:val="24"/>
          <w:szCs w:val="24"/>
          <w:lang w:bidi="en-US"/>
        </w:rPr>
        <w:t xml:space="preserve">, 2010; Nahar et al., 2023). More specifically, the questions adapted from the NEP (Dunlap et al., 2000), and the General Environmental Behavior Scale (Kaiser, 2020) and modified to the context of the study area were used to assess the social value orientation and participation in governance. The survey made use of two subscales: environmental concern _ to assess individual inclinations toward self-transcendence versus self-enhancement; and participation in governance. Further, sanitation practices and policy awareness of the participants were documented. To address information gaps regarding policy execution, primary survey data were complemented by key informant interviews with various sectoral authorities. </w:t>
      </w:r>
    </w:p>
    <w:p w14:paraId="56BA3038" w14:textId="77777777" w:rsidR="00241B0B" w:rsidRDefault="00000000">
      <w:pPr>
        <w:spacing w:before="22" w:line="360" w:lineRule="auto"/>
        <w:jc w:val="both"/>
        <w:rPr>
          <w:b/>
          <w:bCs/>
          <w:sz w:val="24"/>
          <w:szCs w:val="24"/>
          <w:lang w:bidi="en-US"/>
        </w:rPr>
      </w:pPr>
      <w:r>
        <w:rPr>
          <w:b/>
          <w:bCs/>
          <w:sz w:val="24"/>
          <w:szCs w:val="24"/>
          <w:lang w:bidi="en-US"/>
        </w:rPr>
        <w:t>Study Area</w:t>
      </w:r>
    </w:p>
    <w:p w14:paraId="3FD8B7D9" w14:textId="684C66F2" w:rsidR="00241B0B" w:rsidRDefault="00000000">
      <w:pPr>
        <w:spacing w:before="22" w:after="240" w:line="360" w:lineRule="auto"/>
        <w:jc w:val="both"/>
        <w:rPr>
          <w:sz w:val="24"/>
          <w:szCs w:val="24"/>
          <w:lang w:bidi="en-US"/>
        </w:rPr>
      </w:pPr>
      <w:r>
        <w:rPr>
          <w:sz w:val="24"/>
          <w:szCs w:val="24"/>
          <w:lang w:bidi="en-US"/>
        </w:rPr>
        <w:t xml:space="preserve">The research </w:t>
      </w:r>
      <w:r w:rsidR="00A36469">
        <w:rPr>
          <w:sz w:val="24"/>
          <w:szCs w:val="24"/>
          <w:lang w:bidi="en-US"/>
        </w:rPr>
        <w:t xml:space="preserve">participants </w:t>
      </w:r>
      <w:r w:rsidR="000A2359">
        <w:rPr>
          <w:sz w:val="24"/>
          <w:szCs w:val="24"/>
          <w:lang w:bidi="en-US"/>
        </w:rPr>
        <w:t xml:space="preserve">comprised of the </w:t>
      </w:r>
      <w:r w:rsidR="00A36469">
        <w:rPr>
          <w:sz w:val="24"/>
          <w:szCs w:val="24"/>
          <w:lang w:bidi="en-US"/>
        </w:rPr>
        <w:t xml:space="preserve">riparian communities </w:t>
      </w:r>
      <w:r w:rsidR="000A2359">
        <w:rPr>
          <w:sz w:val="24"/>
          <w:szCs w:val="24"/>
          <w:lang w:bidi="en-US"/>
        </w:rPr>
        <w:t xml:space="preserve">along </w:t>
      </w:r>
      <w:r w:rsidR="00A36469">
        <w:rPr>
          <w:sz w:val="24"/>
          <w:szCs w:val="24"/>
          <w:lang w:bidi="en-US"/>
        </w:rPr>
        <w:t xml:space="preserve">the </w:t>
      </w:r>
      <w:r>
        <w:rPr>
          <w:sz w:val="24"/>
          <w:szCs w:val="24"/>
          <w:lang w:bidi="en-US"/>
        </w:rPr>
        <w:t>Nairobi River system within Nairobi County (</w:t>
      </w:r>
      <w:r>
        <w:rPr>
          <w:sz w:val="24"/>
          <w:szCs w:val="24"/>
          <w:lang w:bidi="en-US"/>
        </w:rPr>
        <w:fldChar w:fldCharType="begin"/>
      </w:r>
      <w:r>
        <w:rPr>
          <w:sz w:val="24"/>
          <w:szCs w:val="24"/>
          <w:lang w:bidi="en-US"/>
        </w:rPr>
        <w:instrText xml:space="preserve"> REF _Ref230338001 \h </w:instrText>
      </w:r>
      <w:r>
        <w:rPr>
          <w:sz w:val="24"/>
          <w:szCs w:val="24"/>
          <w:lang w:bidi="en-US"/>
        </w:rPr>
      </w:r>
      <w:r>
        <w:rPr>
          <w:sz w:val="24"/>
          <w:szCs w:val="24"/>
          <w:lang w:bidi="en-US"/>
        </w:rPr>
        <w:fldChar w:fldCharType="separate"/>
      </w:r>
      <w:r>
        <w:rPr>
          <w:sz w:val="20"/>
          <w:szCs w:val="20"/>
        </w:rPr>
        <w:t>Figure 1</w:t>
      </w:r>
      <w:r>
        <w:rPr>
          <w:sz w:val="24"/>
          <w:szCs w:val="24"/>
          <w:lang w:bidi="en-US"/>
        </w:rPr>
        <w:fldChar w:fldCharType="end"/>
      </w:r>
      <w:r>
        <w:rPr>
          <w:sz w:val="24"/>
          <w:szCs w:val="24"/>
          <w:lang w:bidi="en-US"/>
        </w:rPr>
        <w:t xml:space="preserve">), </w:t>
      </w:r>
      <w:r w:rsidR="000A2359">
        <w:rPr>
          <w:sz w:val="24"/>
          <w:szCs w:val="24"/>
          <w:lang w:bidi="en-US"/>
        </w:rPr>
        <w:t xml:space="preserve">selected from </w:t>
      </w:r>
      <w:r>
        <w:rPr>
          <w:sz w:val="24"/>
          <w:szCs w:val="24"/>
          <w:lang w:bidi="en-US"/>
        </w:rPr>
        <w:t>residential,</w:t>
      </w:r>
      <w:r w:rsidR="00A36469">
        <w:rPr>
          <w:sz w:val="24"/>
          <w:szCs w:val="24"/>
          <w:lang w:bidi="en-US"/>
        </w:rPr>
        <w:t xml:space="preserve"> </w:t>
      </w:r>
      <w:r>
        <w:rPr>
          <w:sz w:val="24"/>
          <w:szCs w:val="24"/>
          <w:lang w:bidi="en-US"/>
        </w:rPr>
        <w:t xml:space="preserve">commercial </w:t>
      </w:r>
      <w:r w:rsidR="00A36469">
        <w:rPr>
          <w:sz w:val="24"/>
          <w:szCs w:val="24"/>
          <w:lang w:bidi="en-US"/>
        </w:rPr>
        <w:t xml:space="preserve">and industrial </w:t>
      </w:r>
      <w:r>
        <w:rPr>
          <w:sz w:val="24"/>
          <w:szCs w:val="24"/>
          <w:lang w:bidi="en-US"/>
        </w:rPr>
        <w:t>e</w:t>
      </w:r>
      <w:r w:rsidR="00A36469">
        <w:rPr>
          <w:sz w:val="24"/>
          <w:szCs w:val="24"/>
          <w:lang w:bidi="en-US"/>
        </w:rPr>
        <w:t>stablishments</w:t>
      </w:r>
      <w:r>
        <w:rPr>
          <w:sz w:val="24"/>
          <w:szCs w:val="24"/>
          <w:lang w:bidi="en-US"/>
        </w:rPr>
        <w:t xml:space="preserve"> proximate to the river. The Nairobi River </w:t>
      </w:r>
      <w:r w:rsidR="00A36469">
        <w:rPr>
          <w:sz w:val="24"/>
          <w:szCs w:val="24"/>
          <w:lang w:bidi="en-US"/>
        </w:rPr>
        <w:t xml:space="preserve">cuts through various </w:t>
      </w:r>
      <w:r>
        <w:rPr>
          <w:sz w:val="24"/>
          <w:szCs w:val="24"/>
          <w:lang w:bidi="en-US"/>
        </w:rPr>
        <w:t>urban neighborhoods</w:t>
      </w:r>
      <w:r w:rsidR="000A2359">
        <w:rPr>
          <w:sz w:val="24"/>
          <w:szCs w:val="24"/>
          <w:lang w:bidi="en-US"/>
        </w:rPr>
        <w:t xml:space="preserve"> across Kenya’s capital</w:t>
      </w:r>
      <w:r>
        <w:rPr>
          <w:sz w:val="24"/>
          <w:szCs w:val="24"/>
          <w:lang w:bidi="en-US"/>
        </w:rPr>
        <w:t xml:space="preserve">, including the </w:t>
      </w:r>
      <w:r w:rsidR="000A2359">
        <w:rPr>
          <w:sz w:val="24"/>
          <w:szCs w:val="24"/>
          <w:lang w:bidi="en-US"/>
        </w:rPr>
        <w:t>CBD (</w:t>
      </w:r>
      <w:r>
        <w:rPr>
          <w:sz w:val="24"/>
          <w:szCs w:val="24"/>
          <w:lang w:bidi="en-US"/>
        </w:rPr>
        <w:t>Central Business District</w:t>
      </w:r>
      <w:r w:rsidR="000A2359">
        <w:rPr>
          <w:sz w:val="24"/>
          <w:szCs w:val="24"/>
          <w:lang w:bidi="en-US"/>
        </w:rPr>
        <w:t>)</w:t>
      </w:r>
      <w:r>
        <w:rPr>
          <w:sz w:val="24"/>
          <w:szCs w:val="24"/>
          <w:lang w:bidi="en-US"/>
        </w:rPr>
        <w:t xml:space="preserve">, </w:t>
      </w:r>
      <w:proofErr w:type="spellStart"/>
      <w:r w:rsidR="000A2359">
        <w:rPr>
          <w:sz w:val="24"/>
          <w:szCs w:val="24"/>
          <w:lang w:bidi="en-US"/>
        </w:rPr>
        <w:t>Dandora</w:t>
      </w:r>
      <w:proofErr w:type="spellEnd"/>
      <w:r w:rsidR="000A2359">
        <w:rPr>
          <w:sz w:val="24"/>
          <w:szCs w:val="24"/>
          <w:lang w:bidi="en-US"/>
        </w:rPr>
        <w:t xml:space="preserve">, </w:t>
      </w:r>
      <w:proofErr w:type="spellStart"/>
      <w:r>
        <w:rPr>
          <w:sz w:val="24"/>
          <w:szCs w:val="24"/>
          <w:lang w:bidi="en-US"/>
        </w:rPr>
        <w:t>Mathare</w:t>
      </w:r>
      <w:proofErr w:type="spellEnd"/>
      <w:r>
        <w:rPr>
          <w:sz w:val="24"/>
          <w:szCs w:val="24"/>
          <w:lang w:bidi="en-US"/>
        </w:rPr>
        <w:t>, and Kibera</w:t>
      </w:r>
      <w:r w:rsidR="004A42B0">
        <w:rPr>
          <w:sz w:val="24"/>
          <w:szCs w:val="24"/>
          <w:lang w:bidi="en-US"/>
        </w:rPr>
        <w:t xml:space="preserve"> often </w:t>
      </w:r>
      <w:r w:rsidR="000A2359">
        <w:rPr>
          <w:sz w:val="24"/>
          <w:szCs w:val="24"/>
          <w:lang w:bidi="en-US"/>
        </w:rPr>
        <w:t xml:space="preserve">classified </w:t>
      </w:r>
      <w:r w:rsidR="004A42B0">
        <w:rPr>
          <w:sz w:val="24"/>
          <w:szCs w:val="24"/>
          <w:lang w:bidi="en-US"/>
        </w:rPr>
        <w:t xml:space="preserve">as </w:t>
      </w:r>
      <w:r>
        <w:rPr>
          <w:sz w:val="24"/>
          <w:szCs w:val="24"/>
          <w:lang w:bidi="en-US"/>
        </w:rPr>
        <w:t xml:space="preserve">Africa's largest informal settlement (UN-Habitat, 2020). </w:t>
      </w:r>
      <w:r w:rsidR="000A2359">
        <w:rPr>
          <w:sz w:val="24"/>
          <w:szCs w:val="24"/>
          <w:lang w:bidi="en-US"/>
        </w:rPr>
        <w:t xml:space="preserve">The system features </w:t>
      </w:r>
      <w:r>
        <w:rPr>
          <w:sz w:val="24"/>
          <w:szCs w:val="24"/>
          <w:lang w:bidi="en-US"/>
        </w:rPr>
        <w:t xml:space="preserve">tributaries </w:t>
      </w:r>
      <w:r w:rsidR="000A2359">
        <w:rPr>
          <w:sz w:val="24"/>
          <w:szCs w:val="24"/>
          <w:lang w:bidi="en-US"/>
        </w:rPr>
        <w:t xml:space="preserve">like </w:t>
      </w:r>
      <w:r>
        <w:rPr>
          <w:sz w:val="24"/>
          <w:szCs w:val="24"/>
          <w:lang w:bidi="en-US"/>
        </w:rPr>
        <w:t xml:space="preserve">the Ngong River, </w:t>
      </w:r>
      <w:proofErr w:type="spellStart"/>
      <w:r>
        <w:rPr>
          <w:sz w:val="24"/>
          <w:szCs w:val="24"/>
          <w:lang w:bidi="en-US"/>
        </w:rPr>
        <w:t>Mathare</w:t>
      </w:r>
      <w:proofErr w:type="spellEnd"/>
      <w:r>
        <w:rPr>
          <w:sz w:val="24"/>
          <w:szCs w:val="24"/>
          <w:lang w:bidi="en-US"/>
        </w:rPr>
        <w:t xml:space="preserve"> River, and </w:t>
      </w:r>
      <w:proofErr w:type="spellStart"/>
      <w:r>
        <w:rPr>
          <w:sz w:val="24"/>
          <w:szCs w:val="24"/>
          <w:lang w:bidi="en-US"/>
        </w:rPr>
        <w:t>Motoine</w:t>
      </w:r>
      <w:proofErr w:type="spellEnd"/>
      <w:r>
        <w:rPr>
          <w:sz w:val="24"/>
          <w:szCs w:val="24"/>
          <w:lang w:bidi="en-US"/>
        </w:rPr>
        <w:t xml:space="preserve"> River </w:t>
      </w:r>
      <w:r w:rsidR="000A2359">
        <w:rPr>
          <w:sz w:val="24"/>
          <w:szCs w:val="24"/>
          <w:lang w:bidi="en-US"/>
        </w:rPr>
        <w:t xml:space="preserve">which </w:t>
      </w:r>
      <w:r>
        <w:rPr>
          <w:sz w:val="24"/>
          <w:szCs w:val="24"/>
          <w:lang w:bidi="en-US"/>
        </w:rPr>
        <w:t xml:space="preserve">converge </w:t>
      </w:r>
      <w:r w:rsidR="000A2359">
        <w:rPr>
          <w:sz w:val="24"/>
          <w:szCs w:val="24"/>
          <w:lang w:bidi="en-US"/>
        </w:rPr>
        <w:t xml:space="preserve">to the </w:t>
      </w:r>
      <w:r>
        <w:rPr>
          <w:sz w:val="24"/>
          <w:szCs w:val="24"/>
          <w:lang w:bidi="en-US"/>
        </w:rPr>
        <w:t>eastern periphery</w:t>
      </w:r>
      <w:r w:rsidR="000A2359">
        <w:rPr>
          <w:sz w:val="24"/>
          <w:szCs w:val="24"/>
          <w:lang w:bidi="en-US"/>
        </w:rPr>
        <w:t xml:space="preserve"> of Nairobi</w:t>
      </w:r>
      <w:r>
        <w:rPr>
          <w:sz w:val="24"/>
          <w:szCs w:val="24"/>
          <w:lang w:bidi="en-US"/>
        </w:rPr>
        <w:t>, forming the expansive Athi River, which ultimately d</w:t>
      </w:r>
      <w:r w:rsidR="000A2359">
        <w:rPr>
          <w:sz w:val="24"/>
          <w:szCs w:val="24"/>
          <w:lang w:bidi="en-US"/>
        </w:rPr>
        <w:t>rain</w:t>
      </w:r>
      <w:r>
        <w:rPr>
          <w:sz w:val="24"/>
          <w:szCs w:val="24"/>
          <w:lang w:bidi="en-US"/>
        </w:rPr>
        <w:t xml:space="preserve">s into the Indian Ocean. </w:t>
      </w:r>
      <w:r w:rsidR="000A2359">
        <w:rPr>
          <w:sz w:val="24"/>
          <w:szCs w:val="24"/>
          <w:lang w:bidi="en-US"/>
        </w:rPr>
        <w:t>Loca</w:t>
      </w:r>
      <w:r>
        <w:rPr>
          <w:sz w:val="24"/>
          <w:szCs w:val="24"/>
          <w:lang w:bidi="en-US"/>
        </w:rPr>
        <w:t xml:space="preserve">ted between coordinates 1°11’59"S and 37°9’26"E, the river's primary channel </w:t>
      </w:r>
      <w:r w:rsidR="000A2359">
        <w:rPr>
          <w:sz w:val="24"/>
          <w:szCs w:val="24"/>
          <w:lang w:bidi="en-US"/>
        </w:rPr>
        <w:t>separates</w:t>
      </w:r>
      <w:r>
        <w:rPr>
          <w:sz w:val="24"/>
          <w:szCs w:val="24"/>
          <w:lang w:bidi="en-US"/>
        </w:rPr>
        <w:t xml:space="preserve"> the northern edge of the city center, </w:t>
      </w:r>
      <w:r w:rsidR="000A2359">
        <w:rPr>
          <w:sz w:val="24"/>
          <w:szCs w:val="24"/>
          <w:lang w:bidi="en-US"/>
        </w:rPr>
        <w:t xml:space="preserve">marked by </w:t>
      </w:r>
      <w:r>
        <w:rPr>
          <w:sz w:val="24"/>
          <w:szCs w:val="24"/>
          <w:lang w:bidi="en-US"/>
        </w:rPr>
        <w:t xml:space="preserve">severe pollution from </w:t>
      </w:r>
      <w:r w:rsidR="000A2359">
        <w:rPr>
          <w:sz w:val="24"/>
          <w:szCs w:val="24"/>
          <w:lang w:bidi="en-US"/>
        </w:rPr>
        <w:t xml:space="preserve">improper solid waste management, </w:t>
      </w:r>
      <w:r>
        <w:rPr>
          <w:sz w:val="24"/>
          <w:szCs w:val="24"/>
          <w:lang w:bidi="en-US"/>
        </w:rPr>
        <w:t>agricultural runoff</w:t>
      </w:r>
      <w:r w:rsidR="000A2359">
        <w:rPr>
          <w:sz w:val="24"/>
          <w:szCs w:val="24"/>
          <w:lang w:bidi="en-US"/>
        </w:rPr>
        <w:t xml:space="preserve"> from the upstream sections of the neighboring county</w:t>
      </w:r>
      <w:r>
        <w:rPr>
          <w:sz w:val="24"/>
          <w:szCs w:val="24"/>
          <w:lang w:bidi="en-US"/>
        </w:rPr>
        <w:t xml:space="preserve">, and untreated domestic and industrial effluents as it progresses </w:t>
      </w:r>
      <w:r w:rsidR="000A2359">
        <w:rPr>
          <w:sz w:val="24"/>
          <w:szCs w:val="24"/>
          <w:lang w:bidi="en-US"/>
        </w:rPr>
        <w:t>to the east</w:t>
      </w:r>
      <w:r>
        <w:rPr>
          <w:sz w:val="24"/>
          <w:szCs w:val="24"/>
          <w:lang w:bidi="en-US"/>
        </w:rPr>
        <w:t xml:space="preserve"> (</w:t>
      </w:r>
      <w:proofErr w:type="spellStart"/>
      <w:r>
        <w:rPr>
          <w:sz w:val="24"/>
          <w:szCs w:val="24"/>
          <w:lang w:bidi="en-US"/>
        </w:rPr>
        <w:t>Kageche</w:t>
      </w:r>
      <w:proofErr w:type="spellEnd"/>
      <w:r>
        <w:rPr>
          <w:sz w:val="24"/>
          <w:szCs w:val="24"/>
          <w:lang w:bidi="en-US"/>
        </w:rPr>
        <w:t xml:space="preserve"> &amp; Kipkirui, 2020). </w:t>
      </w:r>
      <w:r w:rsidR="000A2359">
        <w:rPr>
          <w:sz w:val="24"/>
          <w:szCs w:val="24"/>
          <w:lang w:bidi="en-US"/>
        </w:rPr>
        <w:t xml:space="preserve">Previous </w:t>
      </w:r>
      <w:r w:rsidR="00D230F3">
        <w:rPr>
          <w:sz w:val="24"/>
          <w:szCs w:val="24"/>
          <w:lang w:bidi="en-US"/>
        </w:rPr>
        <w:t xml:space="preserve">situational analyses </w:t>
      </w:r>
      <w:r>
        <w:rPr>
          <w:sz w:val="24"/>
          <w:szCs w:val="24"/>
          <w:lang w:bidi="en-US"/>
        </w:rPr>
        <w:t xml:space="preserve">confirm that </w:t>
      </w:r>
      <w:r w:rsidR="00D230F3">
        <w:rPr>
          <w:sz w:val="24"/>
          <w:szCs w:val="24"/>
          <w:lang w:bidi="en-US"/>
        </w:rPr>
        <w:t xml:space="preserve">the </w:t>
      </w:r>
      <w:r>
        <w:rPr>
          <w:sz w:val="24"/>
          <w:szCs w:val="24"/>
          <w:lang w:bidi="en-US"/>
        </w:rPr>
        <w:t xml:space="preserve">riparian communities </w:t>
      </w:r>
      <w:r w:rsidR="00D230F3">
        <w:rPr>
          <w:sz w:val="24"/>
          <w:szCs w:val="24"/>
          <w:lang w:bidi="en-US"/>
        </w:rPr>
        <w:t xml:space="preserve">of the system </w:t>
      </w:r>
      <w:r>
        <w:rPr>
          <w:sz w:val="24"/>
          <w:szCs w:val="24"/>
          <w:lang w:bidi="en-US"/>
        </w:rPr>
        <w:t xml:space="preserve">are predominantly informal settlements inhabited by low-income </w:t>
      </w:r>
      <w:r>
        <w:rPr>
          <w:sz w:val="24"/>
          <w:szCs w:val="24"/>
          <w:lang w:bidi="en-US"/>
        </w:rPr>
        <w:lastRenderedPageBreak/>
        <w:t xml:space="preserve">households, with </w:t>
      </w:r>
      <w:r w:rsidR="00D230F3">
        <w:rPr>
          <w:sz w:val="24"/>
          <w:szCs w:val="24"/>
          <w:lang w:bidi="en-US"/>
        </w:rPr>
        <w:t>over 50</w:t>
      </w:r>
      <w:r>
        <w:rPr>
          <w:sz w:val="24"/>
          <w:szCs w:val="24"/>
          <w:lang w:bidi="en-US"/>
        </w:rPr>
        <w:t xml:space="preserve">% deriving </w:t>
      </w:r>
      <w:r w:rsidR="00D230F3">
        <w:rPr>
          <w:sz w:val="24"/>
          <w:szCs w:val="24"/>
          <w:lang w:bidi="en-US"/>
        </w:rPr>
        <w:t>their sustenance</w:t>
      </w:r>
      <w:r>
        <w:rPr>
          <w:sz w:val="24"/>
          <w:szCs w:val="24"/>
          <w:lang w:bidi="en-US"/>
        </w:rPr>
        <w:t xml:space="preserve"> from </w:t>
      </w:r>
      <w:r w:rsidR="00D230F3">
        <w:rPr>
          <w:sz w:val="24"/>
          <w:szCs w:val="24"/>
          <w:lang w:bidi="en-US"/>
        </w:rPr>
        <w:t xml:space="preserve">the </w:t>
      </w:r>
      <w:r>
        <w:rPr>
          <w:sz w:val="24"/>
          <w:szCs w:val="24"/>
          <w:lang w:bidi="en-US"/>
        </w:rPr>
        <w:t xml:space="preserve">informal sector activities, including </w:t>
      </w:r>
      <w:r w:rsidR="00D230F3">
        <w:rPr>
          <w:sz w:val="24"/>
          <w:szCs w:val="24"/>
          <w:lang w:bidi="en-US"/>
        </w:rPr>
        <w:t xml:space="preserve">micro to </w:t>
      </w:r>
      <w:r>
        <w:rPr>
          <w:sz w:val="24"/>
          <w:szCs w:val="24"/>
          <w:lang w:bidi="en-US"/>
        </w:rPr>
        <w:t xml:space="preserve">small-scale enterprises situated </w:t>
      </w:r>
      <w:r w:rsidR="00D230F3">
        <w:rPr>
          <w:sz w:val="24"/>
          <w:szCs w:val="24"/>
          <w:lang w:bidi="en-US"/>
        </w:rPr>
        <w:t>along these riverbanks</w:t>
      </w:r>
      <w:r>
        <w:rPr>
          <w:sz w:val="24"/>
          <w:szCs w:val="24"/>
          <w:lang w:bidi="en-US"/>
        </w:rPr>
        <w:t xml:space="preserve"> or within the city (Ngatia et al., 2023; Nyika, 2017; </w:t>
      </w:r>
      <w:proofErr w:type="spellStart"/>
      <w:r>
        <w:rPr>
          <w:sz w:val="24"/>
          <w:szCs w:val="24"/>
          <w:lang w:bidi="en-US"/>
        </w:rPr>
        <w:t>Alukwe</w:t>
      </w:r>
      <w:proofErr w:type="spellEnd"/>
      <w:r>
        <w:rPr>
          <w:sz w:val="24"/>
          <w:szCs w:val="24"/>
          <w:lang w:bidi="en-US"/>
        </w:rPr>
        <w:t xml:space="preserve">, 2016). </w:t>
      </w:r>
    </w:p>
    <w:p w14:paraId="7811E20F" w14:textId="77777777" w:rsidR="00241B0B" w:rsidRDefault="00000000">
      <w:pPr>
        <w:keepNext/>
        <w:spacing w:before="22" w:after="240" w:line="360" w:lineRule="auto"/>
        <w:jc w:val="both"/>
      </w:pPr>
      <w:r>
        <w:rPr>
          <w:noProof/>
          <w:sz w:val="24"/>
          <w:szCs w:val="24"/>
          <w:lang w:bidi="en-US"/>
        </w:rPr>
        <w:drawing>
          <wp:inline distT="0" distB="0" distL="0" distR="0" wp14:anchorId="22DF3CA5" wp14:editId="02B87EB3">
            <wp:extent cx="6428740" cy="4352290"/>
            <wp:effectExtent l="19050" t="19050" r="10160" b="10160"/>
            <wp:docPr id="1764179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79919" name="Picture 2"/>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a:xfrm>
                      <a:off x="0" y="0"/>
                      <a:ext cx="6428740" cy="4352290"/>
                    </a:xfrm>
                    <a:prstGeom prst="rect">
                      <a:avLst/>
                    </a:prstGeom>
                    <a:noFill/>
                    <a:ln>
                      <a:solidFill>
                        <a:schemeClr val="tx1"/>
                      </a:solidFill>
                    </a:ln>
                  </pic:spPr>
                </pic:pic>
              </a:graphicData>
            </a:graphic>
          </wp:inline>
        </w:drawing>
      </w:r>
    </w:p>
    <w:p w14:paraId="611A5EAC" w14:textId="496CD03E" w:rsidR="00241B0B" w:rsidRDefault="00000000">
      <w:pPr>
        <w:pStyle w:val="Caption"/>
        <w:jc w:val="both"/>
        <w:rPr>
          <w:sz w:val="28"/>
          <w:szCs w:val="28"/>
          <w:lang w:bidi="en-US"/>
        </w:rPr>
      </w:pPr>
      <w:bookmarkStart w:id="0" w:name="_Ref230338001"/>
      <w:r>
        <w:rPr>
          <w:sz w:val="20"/>
          <w:szCs w:val="20"/>
        </w:rPr>
        <w:t xml:space="preserve">Figure </w:t>
      </w:r>
      <w:r>
        <w:rPr>
          <w:sz w:val="20"/>
          <w:szCs w:val="20"/>
        </w:rPr>
        <w:fldChar w:fldCharType="begin"/>
      </w:r>
      <w:r>
        <w:rPr>
          <w:sz w:val="20"/>
          <w:szCs w:val="20"/>
        </w:rPr>
        <w:instrText xml:space="preserve"> SEQ Figure \* ARABIC </w:instrText>
      </w:r>
      <w:r>
        <w:rPr>
          <w:sz w:val="20"/>
          <w:szCs w:val="20"/>
        </w:rPr>
        <w:fldChar w:fldCharType="separate"/>
      </w:r>
      <w:r w:rsidR="0045644F">
        <w:rPr>
          <w:noProof/>
          <w:sz w:val="20"/>
          <w:szCs w:val="20"/>
        </w:rPr>
        <w:t>1</w:t>
      </w:r>
      <w:r>
        <w:rPr>
          <w:sz w:val="20"/>
          <w:szCs w:val="20"/>
        </w:rPr>
        <w:fldChar w:fldCharType="end"/>
      </w:r>
      <w:bookmarkEnd w:id="0"/>
      <w:r>
        <w:rPr>
          <w:sz w:val="20"/>
          <w:szCs w:val="20"/>
        </w:rPr>
        <w:t>: A map of the study area</w:t>
      </w:r>
    </w:p>
    <w:p w14:paraId="4BAEC4D3" w14:textId="77777777" w:rsidR="00241B0B" w:rsidRDefault="00000000">
      <w:pPr>
        <w:spacing w:before="22" w:line="360" w:lineRule="auto"/>
        <w:jc w:val="both"/>
        <w:rPr>
          <w:b/>
          <w:bCs/>
          <w:sz w:val="24"/>
          <w:szCs w:val="24"/>
          <w:lang w:bidi="en-US"/>
        </w:rPr>
      </w:pPr>
      <w:r>
        <w:rPr>
          <w:b/>
          <w:bCs/>
          <w:sz w:val="24"/>
          <w:szCs w:val="24"/>
          <w:lang w:bidi="en-US"/>
        </w:rPr>
        <w:t>Data analysis</w:t>
      </w:r>
    </w:p>
    <w:p w14:paraId="0AC1B26A" w14:textId="200F9C17" w:rsidR="00241B0B" w:rsidRDefault="00AB6DA2">
      <w:pPr>
        <w:spacing w:before="22" w:after="240" w:line="360" w:lineRule="auto"/>
        <w:jc w:val="both"/>
        <w:rPr>
          <w:sz w:val="24"/>
          <w:szCs w:val="24"/>
          <w:lang w:bidi="en-US"/>
        </w:rPr>
      </w:pPr>
      <w:r>
        <w:rPr>
          <w:sz w:val="24"/>
          <w:szCs w:val="24"/>
          <w:lang w:bidi="en-US"/>
        </w:rPr>
        <w:t xml:space="preserve">The study utilized both descriptive and inferential statistical methods, with a set significance level of 5% for all hypothesis testing. Descriptive statistics provided the basis for the </w:t>
      </w:r>
      <w:r w:rsidR="00F1104E">
        <w:rPr>
          <w:sz w:val="24"/>
          <w:szCs w:val="24"/>
          <w:lang w:bidi="en-US"/>
        </w:rPr>
        <w:t xml:space="preserve">qualitative analysis </w:t>
      </w:r>
      <w:r>
        <w:rPr>
          <w:sz w:val="24"/>
          <w:szCs w:val="24"/>
          <w:lang w:bidi="en-US"/>
        </w:rPr>
        <w:t xml:space="preserve">by summarizing the overall demographic attributes of interest, waste management/sanitation practices and psychometric responses for environmental concern and participation in governance. Inferential analyses </w:t>
      </w:r>
      <w:r w:rsidR="00F1104E">
        <w:rPr>
          <w:sz w:val="24"/>
          <w:szCs w:val="24"/>
          <w:lang w:bidi="en-US"/>
        </w:rPr>
        <w:t xml:space="preserve">then followed </w:t>
      </w:r>
      <w:r>
        <w:rPr>
          <w:sz w:val="24"/>
          <w:szCs w:val="24"/>
          <w:lang w:bidi="en-US"/>
        </w:rPr>
        <w:t xml:space="preserve">by </w:t>
      </w:r>
      <w:r w:rsidR="00F1104E">
        <w:rPr>
          <w:sz w:val="24"/>
          <w:szCs w:val="24"/>
          <w:lang w:bidi="en-US"/>
        </w:rPr>
        <w:t xml:space="preserve">first </w:t>
      </w:r>
      <w:r>
        <w:rPr>
          <w:sz w:val="24"/>
          <w:szCs w:val="24"/>
          <w:lang w:bidi="en-US"/>
        </w:rPr>
        <w:t xml:space="preserve">conducting the Kolmogorov-Smirnov test to </w:t>
      </w:r>
      <w:r w:rsidR="00277510">
        <w:rPr>
          <w:sz w:val="24"/>
          <w:szCs w:val="24"/>
          <w:lang w:bidi="en-US"/>
        </w:rPr>
        <w:t>determine the normality of data for</w:t>
      </w:r>
      <w:r>
        <w:rPr>
          <w:sz w:val="24"/>
          <w:szCs w:val="24"/>
          <w:lang w:bidi="en-US"/>
        </w:rPr>
        <w:t xml:space="preserve"> appropriate </w:t>
      </w:r>
      <w:r w:rsidR="00277510">
        <w:rPr>
          <w:sz w:val="24"/>
          <w:szCs w:val="24"/>
          <w:lang w:bidi="en-US"/>
        </w:rPr>
        <w:t xml:space="preserve">choice of </w:t>
      </w:r>
      <w:r>
        <w:rPr>
          <w:sz w:val="24"/>
          <w:szCs w:val="24"/>
          <w:lang w:bidi="en-US"/>
        </w:rPr>
        <w:t xml:space="preserve">statistical methods. </w:t>
      </w:r>
      <w:r w:rsidR="00277510">
        <w:rPr>
          <w:sz w:val="24"/>
          <w:szCs w:val="24"/>
          <w:lang w:bidi="en-US"/>
        </w:rPr>
        <w:t>For this study, e</w:t>
      </w:r>
      <w:r>
        <w:rPr>
          <w:sz w:val="24"/>
          <w:szCs w:val="24"/>
          <w:lang w:bidi="en-US"/>
        </w:rPr>
        <w:t>nvironmental concern was used as a scale for determining the social value orientation</w:t>
      </w:r>
      <w:r w:rsidR="00277510">
        <w:rPr>
          <w:sz w:val="24"/>
          <w:szCs w:val="24"/>
          <w:lang w:bidi="en-US"/>
        </w:rPr>
        <w:t xml:space="preserve"> where a </w:t>
      </w:r>
      <w:r>
        <w:rPr>
          <w:sz w:val="24"/>
          <w:szCs w:val="24"/>
          <w:lang w:bidi="en-US"/>
        </w:rPr>
        <w:t xml:space="preserve">composite score </w:t>
      </w:r>
      <w:r w:rsidR="00277510">
        <w:rPr>
          <w:sz w:val="24"/>
          <w:szCs w:val="24"/>
          <w:lang w:bidi="en-US"/>
        </w:rPr>
        <w:t xml:space="preserve">was </w:t>
      </w:r>
      <w:r>
        <w:rPr>
          <w:sz w:val="24"/>
          <w:szCs w:val="24"/>
          <w:lang w:bidi="en-US"/>
        </w:rPr>
        <w:t xml:space="preserve">derived from the five survey items in that subscale. The scale was tested for internal consistency </w:t>
      </w:r>
      <w:r w:rsidR="0067792E">
        <w:rPr>
          <w:sz w:val="24"/>
          <w:szCs w:val="24"/>
          <w:lang w:bidi="en-US"/>
        </w:rPr>
        <w:t xml:space="preserve">resulting in a </w:t>
      </w:r>
      <w:r>
        <w:rPr>
          <w:sz w:val="24"/>
          <w:szCs w:val="24"/>
          <w:lang w:bidi="en-US"/>
        </w:rPr>
        <w:t xml:space="preserve">Cronbach’s </w:t>
      </w:r>
      <w:r w:rsidR="00277510">
        <w:rPr>
          <w:sz w:val="24"/>
          <w:szCs w:val="24"/>
          <w:lang w:bidi="en-US"/>
        </w:rPr>
        <w:t>α</w:t>
      </w:r>
      <w:r>
        <w:rPr>
          <w:sz w:val="24"/>
          <w:szCs w:val="24"/>
          <w:lang w:bidi="en-US"/>
        </w:rPr>
        <w:t xml:space="preserve"> = 0.859 to ascertain the reliability of the scale</w:t>
      </w:r>
      <w:r w:rsidR="00277510">
        <w:rPr>
          <w:sz w:val="24"/>
          <w:szCs w:val="24"/>
          <w:lang w:bidi="en-US"/>
        </w:rPr>
        <w:t xml:space="preserve"> and measured on a four</w:t>
      </w:r>
      <w:r w:rsidR="0067792E">
        <w:rPr>
          <w:sz w:val="24"/>
          <w:szCs w:val="24"/>
          <w:lang w:bidi="en-US"/>
        </w:rPr>
        <w:t>-</w:t>
      </w:r>
      <w:r w:rsidR="00277510">
        <w:rPr>
          <w:sz w:val="24"/>
          <w:szCs w:val="24"/>
          <w:lang w:bidi="en-US"/>
        </w:rPr>
        <w:t>point Likert scale</w:t>
      </w:r>
      <w:r>
        <w:rPr>
          <w:sz w:val="24"/>
          <w:szCs w:val="24"/>
          <w:lang w:bidi="en-US"/>
        </w:rPr>
        <w:t xml:space="preserve">.  </w:t>
      </w:r>
      <w:r>
        <w:rPr>
          <w:sz w:val="24"/>
          <w:szCs w:val="24"/>
          <w:lang w:bidi="en-US"/>
        </w:rPr>
        <w:lastRenderedPageBreak/>
        <w:t xml:space="preserve">Similarly, </w:t>
      </w:r>
      <w:r w:rsidR="0067792E">
        <w:rPr>
          <w:sz w:val="24"/>
          <w:szCs w:val="24"/>
          <w:lang w:bidi="en-US"/>
        </w:rPr>
        <w:t xml:space="preserve">a composite score was derived using median ranks from an 8-item scale for </w:t>
      </w:r>
      <w:r>
        <w:rPr>
          <w:sz w:val="24"/>
          <w:szCs w:val="24"/>
          <w:lang w:bidi="en-US"/>
        </w:rPr>
        <w:t>participation in environmental governance</w:t>
      </w:r>
      <w:r w:rsidR="0067792E">
        <w:rPr>
          <w:sz w:val="24"/>
          <w:szCs w:val="24"/>
          <w:lang w:bidi="en-US"/>
        </w:rPr>
        <w:t xml:space="preserve">. This was also tested for consistency and reliability to yield a </w:t>
      </w:r>
      <w:r>
        <w:rPr>
          <w:sz w:val="24"/>
          <w:szCs w:val="24"/>
          <w:lang w:bidi="en-US"/>
        </w:rPr>
        <w:t xml:space="preserve">Cronbach’s </w:t>
      </w:r>
      <w:r w:rsidR="0067792E">
        <w:rPr>
          <w:sz w:val="24"/>
          <w:szCs w:val="24"/>
          <w:lang w:bidi="en-US"/>
        </w:rPr>
        <w:t xml:space="preserve">α </w:t>
      </w:r>
      <w:r>
        <w:rPr>
          <w:sz w:val="24"/>
          <w:szCs w:val="24"/>
          <w:lang w:bidi="en-US"/>
        </w:rPr>
        <w:t xml:space="preserve">= 0.924. </w:t>
      </w:r>
    </w:p>
    <w:p w14:paraId="43E6453B" w14:textId="34AA2F86" w:rsidR="00241B0B" w:rsidRDefault="0067792E">
      <w:pPr>
        <w:spacing w:before="22" w:after="240" w:line="360" w:lineRule="auto"/>
        <w:jc w:val="both"/>
        <w:rPr>
          <w:sz w:val="24"/>
          <w:szCs w:val="24"/>
          <w:lang w:bidi="en-US"/>
        </w:rPr>
      </w:pPr>
      <w:r>
        <w:rPr>
          <w:sz w:val="24"/>
          <w:szCs w:val="24"/>
          <w:lang w:bidi="en-US"/>
        </w:rPr>
        <w:t xml:space="preserve">The relationships within the study variables were evaluated through several non-parametric analyses. The Spearman’s rank correlation was utilized to explore the relationships between environmental concern, governance participation, and sanitation practices. For the categorical variables, the Mann-Whitney U test was utilized to assess differences in environmental concern, and participation levels based on gender while the Kruskal-Wallis H test was performed to evaluate the influence of age and education levels on participation, environmental concern, and sanitation practices. </w:t>
      </w:r>
    </w:p>
    <w:p w14:paraId="731ECA14" w14:textId="77777777" w:rsidR="00241B0B" w:rsidRDefault="00000000">
      <w:pPr>
        <w:pStyle w:val="Heading1"/>
        <w:spacing w:after="240"/>
        <w:ind w:left="549"/>
        <w:rPr>
          <w:sz w:val="24"/>
          <w:szCs w:val="24"/>
          <w:lang w:bidi="en-US"/>
        </w:rPr>
      </w:pPr>
      <w:r>
        <w:rPr>
          <w:sz w:val="24"/>
          <w:szCs w:val="24"/>
          <w:lang w:bidi="en-US"/>
        </w:rPr>
        <w:t>Results and Discussion</w:t>
      </w:r>
    </w:p>
    <w:p w14:paraId="7F3B49C9" w14:textId="77777777" w:rsidR="00241B0B" w:rsidRDefault="00000000">
      <w:pPr>
        <w:spacing w:before="22" w:line="360" w:lineRule="auto"/>
        <w:jc w:val="both"/>
        <w:rPr>
          <w:b/>
          <w:bCs/>
          <w:i/>
          <w:iCs/>
          <w:sz w:val="24"/>
          <w:szCs w:val="24"/>
          <w:lang w:bidi="en-US"/>
        </w:rPr>
      </w:pPr>
      <w:r>
        <w:rPr>
          <w:b/>
          <w:bCs/>
          <w:i/>
          <w:iCs/>
          <w:sz w:val="24"/>
          <w:szCs w:val="24"/>
          <w:lang w:bidi="en-US"/>
        </w:rPr>
        <w:t>Demographic Outlook</w:t>
      </w:r>
    </w:p>
    <w:p w14:paraId="208AB336" w14:textId="2724AC88" w:rsidR="00241B0B" w:rsidRDefault="0069506C">
      <w:pPr>
        <w:spacing w:before="22" w:after="240" w:line="360" w:lineRule="auto"/>
        <w:jc w:val="both"/>
        <w:rPr>
          <w:sz w:val="24"/>
          <w:szCs w:val="24"/>
          <w:lang w:bidi="en-US"/>
        </w:rPr>
      </w:pPr>
      <w:r>
        <w:rPr>
          <w:sz w:val="24"/>
          <w:szCs w:val="24"/>
          <w:lang w:bidi="en-US"/>
        </w:rPr>
        <w:t xml:space="preserve">From the 400 participants in this study, 63 respondents (15.8%) fell within the 18-24 age group, while the 25-34 cohort represented the largest portion with 143 participants (35.8%). The 35-44 age group comprised 27.8% of the sample, followed by 45-54 (15.8%), 55-64 (3.8%), and those aged 65 and above (1.3%, n=5). Educational attainment showed secondary education as most prevalent (45.0%), followed by tertiary (35.8%) and primary (19.3%). Occupationally, the analysis affirmed the dominance of the informal sector as 236 participants (59.0%) fell within this group, with formal employment accounting for 27.8%, students 6.8%, and the unemployed were 6.5%. </w:t>
      </w:r>
    </w:p>
    <w:p w14:paraId="0409D698" w14:textId="77777777" w:rsidR="00241B0B" w:rsidRDefault="00000000">
      <w:pPr>
        <w:spacing w:before="22" w:line="360" w:lineRule="auto"/>
        <w:jc w:val="both"/>
        <w:rPr>
          <w:b/>
          <w:bCs/>
          <w:i/>
          <w:iCs/>
          <w:sz w:val="24"/>
          <w:szCs w:val="24"/>
          <w:lang w:bidi="en-US"/>
        </w:rPr>
      </w:pPr>
      <w:r>
        <w:rPr>
          <w:b/>
          <w:bCs/>
          <w:i/>
          <w:iCs/>
          <w:sz w:val="24"/>
          <w:szCs w:val="24"/>
          <w:lang w:bidi="en-US"/>
        </w:rPr>
        <w:t>Social Value Orientations</w:t>
      </w:r>
    </w:p>
    <w:p w14:paraId="087A2CA2" w14:textId="77777777" w:rsidR="00241B0B" w:rsidRDefault="00000000">
      <w:pPr>
        <w:spacing w:after="240" w:line="360" w:lineRule="auto"/>
        <w:jc w:val="both"/>
        <w:rPr>
          <w:sz w:val="24"/>
          <w:szCs w:val="24"/>
          <w:lang w:bidi="en-US"/>
        </w:rPr>
      </w:pPr>
      <w:r>
        <w:rPr>
          <w:sz w:val="24"/>
          <w:szCs w:val="24"/>
          <w:lang w:bidi="en-US"/>
        </w:rPr>
        <w:t xml:space="preserve">In this study, environmental concern is used as a determinant of an individual’s social value orientation depicting the environmental attitude that determines the intention of an individual to act in a certain way towards their environment, hence their motivation to participate in governance or comply with set environmental regulations. </w:t>
      </w:r>
      <w:r>
        <w:rPr>
          <w:sz w:val="24"/>
          <w:szCs w:val="24"/>
          <w:lang w:bidi="en-US"/>
        </w:rPr>
        <w:fldChar w:fldCharType="begin"/>
      </w:r>
      <w:r>
        <w:rPr>
          <w:sz w:val="24"/>
          <w:szCs w:val="24"/>
          <w:lang w:bidi="en-US"/>
        </w:rPr>
        <w:instrText xml:space="preserve"> REF _Ref230338001 \h </w:instrText>
      </w:r>
      <w:r>
        <w:rPr>
          <w:sz w:val="24"/>
          <w:szCs w:val="24"/>
          <w:lang w:bidi="en-US"/>
        </w:rPr>
      </w:r>
      <w:r>
        <w:rPr>
          <w:sz w:val="24"/>
          <w:szCs w:val="24"/>
          <w:lang w:bidi="en-US"/>
        </w:rPr>
        <w:fldChar w:fldCharType="separate"/>
      </w:r>
      <w:r>
        <w:rPr>
          <w:sz w:val="20"/>
          <w:szCs w:val="20"/>
        </w:rPr>
        <w:fldChar w:fldCharType="begin"/>
      </w:r>
      <w:r>
        <w:rPr>
          <w:sz w:val="20"/>
          <w:szCs w:val="20"/>
        </w:rPr>
        <w:instrText xml:space="preserve"> REF _Ref230338952 \h </w:instrText>
      </w:r>
      <w:r>
        <w:rPr>
          <w:sz w:val="20"/>
          <w:szCs w:val="20"/>
        </w:rPr>
      </w:r>
      <w:r>
        <w:rPr>
          <w:sz w:val="20"/>
          <w:szCs w:val="20"/>
        </w:rPr>
        <w:fldChar w:fldCharType="separate"/>
      </w:r>
      <w:r>
        <w:t>Figure 2</w:t>
      </w:r>
      <w:r>
        <w:rPr>
          <w:sz w:val="20"/>
          <w:szCs w:val="20"/>
        </w:rPr>
        <w:fldChar w:fldCharType="end"/>
      </w:r>
      <w:r>
        <w:rPr>
          <w:sz w:val="20"/>
          <w:szCs w:val="20"/>
        </w:rPr>
        <w:t xml:space="preserve"> </w:t>
      </w:r>
      <w:r>
        <w:rPr>
          <w:sz w:val="24"/>
          <w:szCs w:val="24"/>
          <w:lang w:bidi="en-US"/>
        </w:rPr>
        <w:fldChar w:fldCharType="end"/>
      </w:r>
      <w:r>
        <w:rPr>
          <w:sz w:val="24"/>
          <w:szCs w:val="24"/>
          <w:lang w:bidi="en-US"/>
        </w:rPr>
        <w:t xml:space="preserve">displays percentage responses to survey items that collectively measure various environmental attitudes resulting to an understanding of the levels environmental concern on a 4-point Likert scale, ranging from Strongly Disagree to Strongly Agree (N = 400). </w:t>
      </w:r>
    </w:p>
    <w:p w14:paraId="520F0B28" w14:textId="77777777" w:rsidR="00241B0B" w:rsidRDefault="00000000">
      <w:pPr>
        <w:keepNext/>
        <w:spacing w:before="22" w:after="240" w:line="360" w:lineRule="auto"/>
        <w:jc w:val="both"/>
      </w:pPr>
      <w:r>
        <w:rPr>
          <w:noProof/>
        </w:rPr>
        <w:lastRenderedPageBreak/>
        <w:drawing>
          <wp:inline distT="0" distB="0" distL="0" distR="0" wp14:anchorId="7E7D811D" wp14:editId="2987F24D">
            <wp:extent cx="5867400" cy="2971800"/>
            <wp:effectExtent l="0" t="0" r="0" b="0"/>
            <wp:docPr id="7191817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62BE23D" w14:textId="51CB5A56" w:rsidR="00241B0B" w:rsidRDefault="00000000">
      <w:pPr>
        <w:pStyle w:val="Caption"/>
        <w:jc w:val="both"/>
      </w:pPr>
      <w:bookmarkStart w:id="1" w:name="_Ref230338952"/>
      <w:r>
        <w:t xml:space="preserve">Figure </w:t>
      </w:r>
      <w:fldSimple w:instr=" SEQ Figure \* ARABIC ">
        <w:r w:rsidR="0045644F">
          <w:rPr>
            <w:noProof/>
          </w:rPr>
          <w:t>2</w:t>
        </w:r>
      </w:fldSimple>
      <w:bookmarkEnd w:id="1"/>
      <w:r>
        <w:t>: Bar Chart displaying levels of concern</w:t>
      </w:r>
    </w:p>
    <w:p w14:paraId="7C92F66E" w14:textId="77777777" w:rsidR="00241B0B" w:rsidRDefault="00000000">
      <w:pPr>
        <w:spacing w:after="240" w:line="360" w:lineRule="auto"/>
        <w:jc w:val="both"/>
        <w:rPr>
          <w:sz w:val="24"/>
          <w:szCs w:val="24"/>
        </w:rPr>
      </w:pPr>
      <w:r>
        <w:rPr>
          <w:sz w:val="24"/>
          <w:szCs w:val="24"/>
        </w:rPr>
        <w:t xml:space="preserve">From the data, approximately 61.1% of respondents agree or strongly agree that waste management is entirely the government's responsibility, and 78.7% admit they do not segregate waste because they feel it is not their duty. A majority 60.8% of participants prioritize economic growth over environmental protection. 70% of respondents feel there is no point in individual action unless there is collective participation, indicating a perceived lack of individual efficacy. While other areas show negative environmental attitudes, most participants (65.5%) disagree that environmental problems are exaggerated, showing that they do recognize the reality of the crisis even if they do not feel personally responsible for fixing it. Evaluating this sample population through the psychological framework of social value orientations specifically as described by Stern’s (2000) Value-Belief-Norm theory of environmentalism this population would be classified as predominantly self-enhancing rather than self-transcendent. </w:t>
      </w:r>
    </w:p>
    <w:p w14:paraId="2D04C39C" w14:textId="77777777" w:rsidR="00241B0B" w:rsidRDefault="00000000">
      <w:pPr>
        <w:spacing w:after="240" w:line="360" w:lineRule="auto"/>
        <w:jc w:val="both"/>
        <w:rPr>
          <w:b/>
          <w:bCs/>
          <w:i/>
          <w:iCs/>
          <w:sz w:val="24"/>
          <w:szCs w:val="24"/>
        </w:rPr>
      </w:pPr>
      <w:r>
        <w:rPr>
          <w:b/>
          <w:bCs/>
          <w:i/>
          <w:iCs/>
          <w:sz w:val="24"/>
          <w:szCs w:val="24"/>
        </w:rPr>
        <w:t>Waste Disposal and Sanitation Practices</w:t>
      </w:r>
    </w:p>
    <w:p w14:paraId="2AD11602" w14:textId="77777777" w:rsidR="00241B0B" w:rsidRDefault="00000000">
      <w:pPr>
        <w:keepNext/>
        <w:spacing w:after="240" w:line="360" w:lineRule="auto"/>
        <w:jc w:val="both"/>
      </w:pPr>
      <w:r>
        <w:rPr>
          <w:noProof/>
        </w:rPr>
        <w:lastRenderedPageBreak/>
        <w:drawing>
          <wp:inline distT="0" distB="0" distL="0" distR="0" wp14:anchorId="37FD6B7C" wp14:editId="3C2679D0">
            <wp:extent cx="5981700" cy="3171825"/>
            <wp:effectExtent l="0" t="0" r="0" b="9525"/>
            <wp:docPr id="160881304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2461881" w14:textId="5BCA14DF" w:rsidR="00241B0B" w:rsidRDefault="00000000">
      <w:pPr>
        <w:pStyle w:val="Caption"/>
        <w:jc w:val="both"/>
        <w:rPr>
          <w:sz w:val="24"/>
          <w:szCs w:val="24"/>
        </w:rPr>
      </w:pPr>
      <w:bookmarkStart w:id="2" w:name="_Ref230339256"/>
      <w:r>
        <w:t xml:space="preserve">Figure </w:t>
      </w:r>
      <w:fldSimple w:instr=" SEQ Figure \* ARABIC ">
        <w:r w:rsidR="0045644F">
          <w:rPr>
            <w:noProof/>
          </w:rPr>
          <w:t>3</w:t>
        </w:r>
      </w:fldSimple>
      <w:bookmarkEnd w:id="2"/>
      <w:r>
        <w:t>: Common waste disposal and sanitation practices</w:t>
      </w:r>
    </w:p>
    <w:p w14:paraId="4626D52B" w14:textId="080B4BEE" w:rsidR="00241B0B" w:rsidRDefault="00000000">
      <w:pPr>
        <w:spacing w:after="240" w:line="360" w:lineRule="auto"/>
        <w:jc w:val="both"/>
        <w:rPr>
          <w:sz w:val="24"/>
          <w:szCs w:val="24"/>
        </w:rPr>
      </w:pPr>
      <w:r>
        <w:rPr>
          <w:sz w:val="24"/>
          <w:szCs w:val="24"/>
        </w:rPr>
        <w:fldChar w:fldCharType="begin"/>
      </w:r>
      <w:r>
        <w:rPr>
          <w:sz w:val="24"/>
          <w:szCs w:val="24"/>
        </w:rPr>
        <w:instrText xml:space="preserve"> REF _Ref230339256 \h </w:instrText>
      </w:r>
      <w:r>
        <w:rPr>
          <w:sz w:val="24"/>
          <w:szCs w:val="24"/>
        </w:rPr>
      </w:r>
      <w:r>
        <w:rPr>
          <w:sz w:val="24"/>
          <w:szCs w:val="24"/>
        </w:rPr>
        <w:fldChar w:fldCharType="separate"/>
      </w:r>
      <w:r>
        <w:t>Figure 3</w:t>
      </w:r>
      <w:r>
        <w:rPr>
          <w:sz w:val="24"/>
          <w:szCs w:val="24"/>
        </w:rPr>
        <w:fldChar w:fldCharType="end"/>
      </w:r>
      <w:r>
        <w:rPr>
          <w:sz w:val="24"/>
          <w:szCs w:val="24"/>
        </w:rPr>
        <w:t xml:space="preserve"> depicts a summary of prevalent waste disposal and sanitation practices as undertaken or observed by participants. Washing cars and clothes by the river is the most widely acknowledged practice, with 82.8% of respondents agreeing or strongly agreeing that it is a common occurrence. A significant majority of 78.8% </w:t>
      </w:r>
      <w:r w:rsidR="0011373D">
        <w:rPr>
          <w:sz w:val="24"/>
          <w:szCs w:val="24"/>
        </w:rPr>
        <w:t>view waste dump</w:t>
      </w:r>
      <w:r>
        <w:rPr>
          <w:sz w:val="24"/>
          <w:szCs w:val="24"/>
        </w:rPr>
        <w:t xml:space="preserve">ing </w:t>
      </w:r>
      <w:r w:rsidR="0011373D">
        <w:rPr>
          <w:sz w:val="24"/>
          <w:szCs w:val="24"/>
        </w:rPr>
        <w:t xml:space="preserve">in the river to be the </w:t>
      </w:r>
      <w:r>
        <w:rPr>
          <w:sz w:val="24"/>
          <w:szCs w:val="24"/>
        </w:rPr>
        <w:t>cheaper option</w:t>
      </w:r>
      <w:r w:rsidR="0011373D">
        <w:rPr>
          <w:sz w:val="24"/>
          <w:szCs w:val="24"/>
        </w:rPr>
        <w:t xml:space="preserve"> for waste disposal</w:t>
      </w:r>
      <w:r>
        <w:rPr>
          <w:sz w:val="24"/>
          <w:szCs w:val="24"/>
        </w:rPr>
        <w:t xml:space="preserve">, </w:t>
      </w:r>
      <w:r w:rsidR="0011373D">
        <w:rPr>
          <w:sz w:val="24"/>
          <w:szCs w:val="24"/>
        </w:rPr>
        <w:t xml:space="preserve">signaling the role of </w:t>
      </w:r>
      <w:r>
        <w:rPr>
          <w:sz w:val="24"/>
          <w:szCs w:val="24"/>
        </w:rPr>
        <w:t xml:space="preserve">economic constraints and/or a lack of affordable waste management alternatives. 66% of participants </w:t>
      </w:r>
      <w:r w:rsidR="0011373D">
        <w:rPr>
          <w:sz w:val="24"/>
          <w:szCs w:val="24"/>
        </w:rPr>
        <w:t xml:space="preserve">had observed or </w:t>
      </w:r>
      <w:r>
        <w:rPr>
          <w:sz w:val="24"/>
          <w:szCs w:val="24"/>
        </w:rPr>
        <w:t xml:space="preserve">personally know people who dispose of waste in the river, </w:t>
      </w:r>
      <w:r w:rsidR="0011373D">
        <w:rPr>
          <w:sz w:val="24"/>
          <w:szCs w:val="24"/>
        </w:rPr>
        <w:t>while</w:t>
      </w:r>
      <w:r>
        <w:rPr>
          <w:sz w:val="24"/>
          <w:szCs w:val="24"/>
        </w:rPr>
        <w:t xml:space="preserve"> 74.6% have witnessed </w:t>
      </w:r>
      <w:r w:rsidR="0011373D">
        <w:rPr>
          <w:sz w:val="24"/>
          <w:szCs w:val="24"/>
        </w:rPr>
        <w:t xml:space="preserve">river dumping </w:t>
      </w:r>
      <w:r>
        <w:rPr>
          <w:sz w:val="24"/>
          <w:szCs w:val="24"/>
        </w:rPr>
        <w:t>but felt a lack of agency</w:t>
      </w:r>
      <w:r w:rsidR="0011373D">
        <w:rPr>
          <w:sz w:val="24"/>
          <w:szCs w:val="24"/>
        </w:rPr>
        <w:t xml:space="preserve"> or incentive</w:t>
      </w:r>
      <w:r>
        <w:rPr>
          <w:sz w:val="24"/>
          <w:szCs w:val="24"/>
        </w:rPr>
        <w:t xml:space="preserve"> to intervene. Similarly, 63.5% of participants acknowledge that open defecation near the river </w:t>
      </w:r>
      <w:r w:rsidR="0011373D">
        <w:rPr>
          <w:sz w:val="24"/>
          <w:szCs w:val="24"/>
        </w:rPr>
        <w:t>a</w:t>
      </w:r>
      <w:r>
        <w:rPr>
          <w:sz w:val="24"/>
          <w:szCs w:val="24"/>
        </w:rPr>
        <w:t xml:space="preserve">s a common practice, </w:t>
      </w:r>
      <w:r w:rsidR="00E45E85">
        <w:rPr>
          <w:sz w:val="24"/>
          <w:szCs w:val="24"/>
        </w:rPr>
        <w:t>implying</w:t>
      </w:r>
      <w:r>
        <w:rPr>
          <w:sz w:val="24"/>
          <w:szCs w:val="24"/>
        </w:rPr>
        <w:t xml:space="preserve"> a failure</w:t>
      </w:r>
      <w:r w:rsidR="0011373D">
        <w:rPr>
          <w:sz w:val="24"/>
          <w:szCs w:val="24"/>
        </w:rPr>
        <w:t xml:space="preserve"> of</w:t>
      </w:r>
      <w:r>
        <w:rPr>
          <w:sz w:val="24"/>
          <w:szCs w:val="24"/>
        </w:rPr>
        <w:t xml:space="preserve"> </w:t>
      </w:r>
      <w:r w:rsidR="0011373D">
        <w:rPr>
          <w:sz w:val="24"/>
          <w:szCs w:val="24"/>
        </w:rPr>
        <w:t xml:space="preserve">governance mechanisms </w:t>
      </w:r>
      <w:r>
        <w:rPr>
          <w:sz w:val="24"/>
          <w:szCs w:val="24"/>
        </w:rPr>
        <w:t>in the area.</w:t>
      </w:r>
    </w:p>
    <w:p w14:paraId="5ACCB753" w14:textId="77777777" w:rsidR="00241B0B" w:rsidRDefault="00000000">
      <w:pPr>
        <w:spacing w:line="360" w:lineRule="auto"/>
        <w:rPr>
          <w:b/>
          <w:bCs/>
          <w:i/>
          <w:iCs/>
          <w:sz w:val="24"/>
          <w:szCs w:val="24"/>
        </w:rPr>
      </w:pPr>
      <w:r>
        <w:rPr>
          <w:b/>
          <w:bCs/>
          <w:i/>
          <w:iCs/>
          <w:sz w:val="24"/>
          <w:szCs w:val="24"/>
        </w:rPr>
        <w:t>Participation in Environmental Governance</w:t>
      </w:r>
    </w:p>
    <w:p w14:paraId="7AA1C9C9" w14:textId="2603BCC1" w:rsidR="00241B0B" w:rsidRDefault="00903921">
      <w:pPr>
        <w:spacing w:line="360" w:lineRule="auto"/>
        <w:jc w:val="both"/>
        <w:rPr>
          <w:sz w:val="24"/>
          <w:szCs w:val="24"/>
        </w:rPr>
      </w:pPr>
      <w:r>
        <w:rPr>
          <w:sz w:val="24"/>
          <w:szCs w:val="24"/>
        </w:rPr>
        <w:t xml:space="preserve">An analysis of the levels of Participation in Governance revealed a generally low level of active engagement among the surveyed participants. Most respondents tended toward "Disagree" or "Strongly Disagree" for most survey items in the governance scale as shown in Figure 4. </w:t>
      </w:r>
    </w:p>
    <w:p w14:paraId="2BC70DAC" w14:textId="77777777" w:rsidR="00241B0B" w:rsidRDefault="00000000">
      <w:pPr>
        <w:keepNext/>
        <w:spacing w:line="360" w:lineRule="auto"/>
        <w:jc w:val="both"/>
      </w:pPr>
      <w:r>
        <w:rPr>
          <w:noProof/>
        </w:rPr>
        <w:lastRenderedPageBreak/>
        <w:drawing>
          <wp:inline distT="0" distB="0" distL="0" distR="0" wp14:anchorId="010B847B" wp14:editId="32FFFF0D">
            <wp:extent cx="6105525" cy="3314700"/>
            <wp:effectExtent l="0" t="0" r="9525" b="0"/>
            <wp:docPr id="143175153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E643776" w14:textId="227FE650" w:rsidR="00241B0B" w:rsidRDefault="00000000">
      <w:pPr>
        <w:pStyle w:val="Caption"/>
        <w:jc w:val="both"/>
        <w:rPr>
          <w:sz w:val="24"/>
          <w:szCs w:val="24"/>
        </w:rPr>
      </w:pPr>
      <w:r>
        <w:t xml:space="preserve">Figure </w:t>
      </w:r>
      <w:fldSimple w:instr=" SEQ Figure \* ARABIC ">
        <w:r w:rsidR="0045644F">
          <w:rPr>
            <w:noProof/>
          </w:rPr>
          <w:t>4</w:t>
        </w:r>
      </w:fldSimple>
      <w:r>
        <w:t xml:space="preserve">: </w:t>
      </w:r>
      <w:r w:rsidR="00BB7681">
        <w:t>A b</w:t>
      </w:r>
      <w:r>
        <w:t>ar chart showing levels of participation</w:t>
      </w:r>
      <w:r w:rsidR="00BB7681">
        <w:t>.</w:t>
      </w:r>
    </w:p>
    <w:p w14:paraId="35B05148" w14:textId="7F0486C2" w:rsidR="00241B0B" w:rsidRDefault="007D46A6">
      <w:pPr>
        <w:spacing w:line="360" w:lineRule="auto"/>
        <w:jc w:val="both"/>
        <w:rPr>
          <w:sz w:val="24"/>
          <w:szCs w:val="24"/>
        </w:rPr>
      </w:pPr>
      <w:r>
        <w:rPr>
          <w:sz w:val="24"/>
          <w:szCs w:val="24"/>
        </w:rPr>
        <w:t xml:space="preserve">From the data, active engagement remains exceptionally low among the participants. </w:t>
      </w:r>
      <w:proofErr w:type="gramStart"/>
      <w:r>
        <w:rPr>
          <w:sz w:val="24"/>
          <w:szCs w:val="24"/>
        </w:rPr>
        <w:t>A  marginal</w:t>
      </w:r>
      <w:proofErr w:type="gramEnd"/>
      <w:r>
        <w:rPr>
          <w:sz w:val="24"/>
          <w:szCs w:val="24"/>
        </w:rPr>
        <w:t xml:space="preserve"> 5.6% engage in direct forms of advocacy and structured involvement, close to 5% reported direct communication with authorities on matters environmental governance participants who engage in direct communication with authorities and the 6.6% who maintain active membership in environmental groups. Additionally, only about 18% would consider voting for pro-environmental political candidates and 17.8% take part in residential clean-up initiatives. Over 80% of the participants also never bothered with signing pro-environmental petitions. This only goes further to suggest that while there is widespread awareness of the river's degradation, such knowledge d</w:t>
      </w:r>
      <w:r w:rsidR="00341792">
        <w:rPr>
          <w:sz w:val="24"/>
          <w:szCs w:val="24"/>
        </w:rPr>
        <w:t>o</w:t>
      </w:r>
      <w:r>
        <w:rPr>
          <w:sz w:val="24"/>
          <w:szCs w:val="24"/>
        </w:rPr>
        <w:t xml:space="preserve">es not necessarily translate into meaningful participation in environmental governance and management. </w:t>
      </w:r>
    </w:p>
    <w:p w14:paraId="482AFF76" w14:textId="77777777" w:rsidR="00241B0B" w:rsidRDefault="00241B0B">
      <w:pPr>
        <w:spacing w:line="360" w:lineRule="auto"/>
        <w:rPr>
          <w:sz w:val="24"/>
          <w:szCs w:val="24"/>
        </w:rPr>
      </w:pPr>
    </w:p>
    <w:p w14:paraId="34973692" w14:textId="77777777" w:rsidR="00241B0B" w:rsidRDefault="00000000">
      <w:pPr>
        <w:spacing w:before="22" w:line="360" w:lineRule="auto"/>
        <w:jc w:val="both"/>
        <w:rPr>
          <w:b/>
          <w:bCs/>
          <w:i/>
          <w:sz w:val="24"/>
          <w:szCs w:val="24"/>
          <w:lang w:bidi="en-US"/>
        </w:rPr>
      </w:pPr>
      <w:r>
        <w:rPr>
          <w:b/>
          <w:bCs/>
          <w:i/>
          <w:sz w:val="24"/>
          <w:szCs w:val="24"/>
          <w:lang w:bidi="en-US"/>
        </w:rPr>
        <w:t>Social Value-Action Gap Analysis</w:t>
      </w:r>
    </w:p>
    <w:p w14:paraId="28155DAD" w14:textId="0FA19655" w:rsidR="00241B0B" w:rsidRDefault="00341792">
      <w:pPr>
        <w:spacing w:before="22" w:after="240" w:line="360" w:lineRule="auto"/>
        <w:jc w:val="both"/>
        <w:rPr>
          <w:sz w:val="24"/>
          <w:szCs w:val="24"/>
          <w:lang w:bidi="en-US"/>
        </w:rPr>
      </w:pPr>
      <w:r>
        <w:rPr>
          <w:sz w:val="24"/>
          <w:szCs w:val="24"/>
          <w:lang w:bidi="en-US"/>
        </w:rPr>
        <w:t>Fundamentally, this study reveals the disconnect between the riparian communities’ concern for their environment and the</w:t>
      </w:r>
      <w:r w:rsidR="00C47198">
        <w:rPr>
          <w:sz w:val="24"/>
          <w:szCs w:val="24"/>
          <w:lang w:bidi="en-US"/>
        </w:rPr>
        <w:t xml:space="preserve"> actual</w:t>
      </w:r>
      <w:r>
        <w:rPr>
          <w:sz w:val="24"/>
          <w:szCs w:val="24"/>
          <w:lang w:bidi="en-US"/>
        </w:rPr>
        <w:t xml:space="preserve"> environmental practices. To quantify that</w:t>
      </w:r>
      <w:r w:rsidR="00C47198">
        <w:rPr>
          <w:sz w:val="24"/>
          <w:szCs w:val="24"/>
          <w:lang w:bidi="en-US"/>
        </w:rPr>
        <w:t xml:space="preserve"> disparity</w:t>
      </w:r>
      <w:r>
        <w:rPr>
          <w:sz w:val="24"/>
          <w:szCs w:val="24"/>
          <w:lang w:bidi="en-US"/>
        </w:rPr>
        <w:t xml:space="preserve">, the study utilized various </w:t>
      </w:r>
      <w:r w:rsidR="00C47198">
        <w:rPr>
          <w:sz w:val="24"/>
          <w:szCs w:val="24"/>
          <w:lang w:bidi="en-US"/>
        </w:rPr>
        <w:t xml:space="preserve">non- parametric </w:t>
      </w:r>
      <w:r>
        <w:rPr>
          <w:sz w:val="24"/>
          <w:szCs w:val="24"/>
          <w:lang w:bidi="en-US"/>
        </w:rPr>
        <w:t>statistical inferences where relationships between variables were tested for significance.</w:t>
      </w:r>
    </w:p>
    <w:p w14:paraId="56B77922" w14:textId="77777777" w:rsidR="00241B0B" w:rsidRDefault="00000000">
      <w:pPr>
        <w:spacing w:before="22" w:after="240" w:line="360" w:lineRule="auto"/>
        <w:jc w:val="both"/>
        <w:rPr>
          <w:i/>
          <w:iCs/>
          <w:sz w:val="24"/>
          <w:szCs w:val="24"/>
          <w:lang w:bidi="en-US"/>
        </w:rPr>
      </w:pPr>
      <w:r>
        <w:rPr>
          <w:i/>
          <w:iCs/>
          <w:sz w:val="24"/>
          <w:szCs w:val="24"/>
          <w:lang w:bidi="en-US"/>
        </w:rPr>
        <w:t>Demographic aspects of Environmental Concern</w:t>
      </w:r>
    </w:p>
    <w:p w14:paraId="57AEEB89" w14:textId="15DA340D" w:rsidR="00241B0B" w:rsidRDefault="00000000">
      <w:pPr>
        <w:spacing w:before="22" w:after="240" w:line="360" w:lineRule="auto"/>
        <w:jc w:val="both"/>
        <w:rPr>
          <w:sz w:val="24"/>
          <w:szCs w:val="24"/>
          <w:lang w:bidi="en-US"/>
        </w:rPr>
      </w:pPr>
      <w:r>
        <w:rPr>
          <w:sz w:val="24"/>
          <w:szCs w:val="24"/>
          <w:lang w:bidi="en-US"/>
        </w:rPr>
        <w:t xml:space="preserve">To evaluate how environmental concern varies across different age groups, a Kruskal-Wallis H test </w:t>
      </w:r>
      <w:r>
        <w:rPr>
          <w:sz w:val="24"/>
          <w:szCs w:val="24"/>
          <w:lang w:bidi="en-US"/>
        </w:rPr>
        <w:lastRenderedPageBreak/>
        <w:t xml:space="preserve">was performed. A composite score was computed for environmental concern and used to test variation across various age groups. The </w:t>
      </w:r>
      <w:r w:rsidR="00341792">
        <w:rPr>
          <w:sz w:val="24"/>
          <w:szCs w:val="24"/>
          <w:lang w:bidi="en-US"/>
        </w:rPr>
        <w:t xml:space="preserve">following </w:t>
      </w:r>
      <w:r>
        <w:rPr>
          <w:sz w:val="24"/>
          <w:szCs w:val="24"/>
          <w:lang w:bidi="en-US"/>
        </w:rPr>
        <w:t xml:space="preserve">hypotheses were </w:t>
      </w:r>
      <w:r w:rsidR="00341792">
        <w:rPr>
          <w:sz w:val="24"/>
          <w:szCs w:val="24"/>
          <w:lang w:bidi="en-US"/>
        </w:rPr>
        <w:t>tested</w:t>
      </w:r>
      <w:r>
        <w:rPr>
          <w:sz w:val="24"/>
          <w:szCs w:val="24"/>
          <w:lang w:bidi="en-US"/>
        </w:rPr>
        <w:t>:</w:t>
      </w:r>
    </w:p>
    <w:p w14:paraId="6C8ECCF8" w14:textId="77777777" w:rsidR="00241B0B" w:rsidRDefault="00000000">
      <w:pPr>
        <w:spacing w:before="22" w:after="240" w:line="360" w:lineRule="auto"/>
        <w:jc w:val="both"/>
        <w:rPr>
          <w:lang w:bidi="en-US"/>
        </w:rPr>
      </w:pPr>
      <w:r>
        <w:rPr>
          <w:b/>
          <w:bCs/>
          <w:lang w:bidi="en-US"/>
        </w:rPr>
        <w:t>H</w:t>
      </w:r>
      <w:r>
        <w:rPr>
          <w:b/>
          <w:bCs/>
          <w:vertAlign w:val="subscript"/>
          <w:lang w:bidi="en-US"/>
        </w:rPr>
        <w:t>0</w:t>
      </w:r>
      <w:r>
        <w:rPr>
          <w:b/>
          <w:bCs/>
          <w:lang w:bidi="en-US"/>
        </w:rPr>
        <w:t xml:space="preserve">: </w:t>
      </w:r>
      <w:r>
        <w:rPr>
          <w:lang w:bidi="en-US"/>
        </w:rPr>
        <w:t>There is no significant difference in the distribution of environmental concern composite scores across different age groups.</w:t>
      </w:r>
    </w:p>
    <w:p w14:paraId="3D5A3D01" w14:textId="77777777" w:rsidR="00241B0B" w:rsidRDefault="00000000">
      <w:pPr>
        <w:spacing w:before="22" w:after="240" w:line="360" w:lineRule="auto"/>
        <w:jc w:val="both"/>
        <w:rPr>
          <w:sz w:val="24"/>
          <w:szCs w:val="24"/>
          <w:lang w:bidi="en-US"/>
        </w:rPr>
      </w:pPr>
      <w:r>
        <w:rPr>
          <w:b/>
          <w:bCs/>
          <w:sz w:val="24"/>
          <w:szCs w:val="24"/>
          <w:lang w:bidi="en-US"/>
        </w:rPr>
        <w:t>H</w:t>
      </w:r>
      <w:r>
        <w:rPr>
          <w:b/>
          <w:bCs/>
          <w:sz w:val="24"/>
          <w:szCs w:val="24"/>
          <w:vertAlign w:val="subscript"/>
          <w:lang w:bidi="en-US"/>
        </w:rPr>
        <w:t>1</w:t>
      </w:r>
      <w:r>
        <w:rPr>
          <w:b/>
          <w:bCs/>
          <w:sz w:val="24"/>
          <w:szCs w:val="24"/>
          <w:lang w:bidi="en-US"/>
        </w:rPr>
        <w:t>:</w:t>
      </w:r>
      <w:r>
        <w:rPr>
          <w:sz w:val="24"/>
          <w:szCs w:val="24"/>
          <w:lang w:bidi="en-US"/>
        </w:rPr>
        <w:t xml:space="preserve"> There is a statistically significant difference in environmental concern composite scores across different age groups.</w:t>
      </w:r>
    </w:p>
    <w:p w14:paraId="49E33364" w14:textId="7BA4CDA1" w:rsidR="00241B0B" w:rsidRDefault="00000000">
      <w:pPr>
        <w:pStyle w:val="Caption"/>
        <w:keepNext/>
      </w:pPr>
      <w:r>
        <w:t xml:space="preserve">Table </w:t>
      </w:r>
      <w:fldSimple w:instr=" SEQ Table \* ARABIC ">
        <w:r w:rsidR="009227FC">
          <w:rPr>
            <w:noProof/>
          </w:rPr>
          <w:t>1</w:t>
        </w:r>
      </w:fldSimple>
      <w:r>
        <w:t>: Environmental Concern across age groups</w:t>
      </w:r>
    </w:p>
    <w:tbl>
      <w:tblPr>
        <w:tblStyle w:val="TableGrid"/>
        <w:tblW w:w="0" w:type="auto"/>
        <w:tblLook w:val="04A0" w:firstRow="1" w:lastRow="0" w:firstColumn="1" w:lastColumn="0" w:noHBand="0" w:noVBand="1"/>
      </w:tblPr>
      <w:tblGrid>
        <w:gridCol w:w="1416"/>
        <w:gridCol w:w="1803"/>
        <w:gridCol w:w="803"/>
        <w:gridCol w:w="2750"/>
        <w:gridCol w:w="1683"/>
      </w:tblGrid>
      <w:tr w:rsidR="00241B0B" w14:paraId="2F86637B" w14:textId="77777777" w:rsidTr="00C90731">
        <w:tc>
          <w:tcPr>
            <w:tcW w:w="0" w:type="auto"/>
          </w:tcPr>
          <w:p w14:paraId="2C376FFA" w14:textId="77777777" w:rsidR="00241B0B" w:rsidRDefault="00000000" w:rsidP="00C90731">
            <w:pPr>
              <w:spacing w:before="22" w:after="240" w:line="276" w:lineRule="auto"/>
              <w:jc w:val="both"/>
              <w:rPr>
                <w:sz w:val="24"/>
                <w:szCs w:val="24"/>
                <w:lang w:bidi="en-US"/>
              </w:rPr>
            </w:pPr>
            <w:r>
              <w:rPr>
                <w:b/>
                <w:bCs/>
                <w:sz w:val="24"/>
                <w:szCs w:val="24"/>
                <w:lang w:bidi="en-US"/>
              </w:rPr>
              <w:t>Age Group</w:t>
            </w:r>
          </w:p>
        </w:tc>
        <w:tc>
          <w:tcPr>
            <w:tcW w:w="0" w:type="auto"/>
          </w:tcPr>
          <w:p w14:paraId="65CF8BD5" w14:textId="77777777" w:rsidR="00241B0B" w:rsidRDefault="00000000" w:rsidP="00C90731">
            <w:pPr>
              <w:spacing w:before="22" w:after="240" w:line="276" w:lineRule="auto"/>
              <w:jc w:val="both"/>
              <w:rPr>
                <w:sz w:val="24"/>
                <w:szCs w:val="24"/>
                <w:lang w:bidi="en-US"/>
              </w:rPr>
            </w:pPr>
            <w:r>
              <w:rPr>
                <w:b/>
                <w:bCs/>
                <w:sz w:val="24"/>
                <w:szCs w:val="24"/>
                <w:lang w:bidi="en-US"/>
              </w:rPr>
              <w:t>Sample Size (n)</w:t>
            </w:r>
          </w:p>
        </w:tc>
        <w:tc>
          <w:tcPr>
            <w:tcW w:w="0" w:type="auto"/>
          </w:tcPr>
          <w:p w14:paraId="66344531" w14:textId="77777777" w:rsidR="00241B0B" w:rsidRDefault="00000000" w:rsidP="00C90731">
            <w:pPr>
              <w:spacing w:before="22" w:after="240" w:line="276" w:lineRule="auto"/>
              <w:jc w:val="both"/>
              <w:rPr>
                <w:sz w:val="24"/>
                <w:szCs w:val="24"/>
                <w:lang w:bidi="en-US"/>
              </w:rPr>
            </w:pPr>
            <w:r>
              <w:rPr>
                <w:b/>
                <w:bCs/>
                <w:sz w:val="24"/>
                <w:szCs w:val="24"/>
                <w:lang w:bidi="en-US"/>
              </w:rPr>
              <w:t xml:space="preserve">Mean </w:t>
            </w:r>
          </w:p>
        </w:tc>
        <w:tc>
          <w:tcPr>
            <w:tcW w:w="0" w:type="auto"/>
          </w:tcPr>
          <w:p w14:paraId="7E4F4855" w14:textId="77777777" w:rsidR="00241B0B" w:rsidRDefault="00000000" w:rsidP="00C90731">
            <w:pPr>
              <w:spacing w:before="22" w:after="240" w:line="276" w:lineRule="auto"/>
              <w:jc w:val="both"/>
              <w:rPr>
                <w:sz w:val="24"/>
                <w:szCs w:val="24"/>
                <w:lang w:bidi="en-US"/>
              </w:rPr>
            </w:pPr>
            <w:r>
              <w:rPr>
                <w:b/>
                <w:bCs/>
                <w:sz w:val="24"/>
                <w:szCs w:val="24"/>
                <w:lang w:bidi="en-US"/>
              </w:rPr>
              <w:t>Standard Deviation (SD)</w:t>
            </w:r>
          </w:p>
        </w:tc>
        <w:tc>
          <w:tcPr>
            <w:tcW w:w="1683" w:type="dxa"/>
          </w:tcPr>
          <w:p w14:paraId="4296D56C" w14:textId="77777777" w:rsidR="00241B0B" w:rsidRDefault="00000000" w:rsidP="00C90731">
            <w:pPr>
              <w:spacing w:before="22" w:after="240" w:line="276" w:lineRule="auto"/>
              <w:jc w:val="both"/>
              <w:rPr>
                <w:sz w:val="24"/>
                <w:szCs w:val="24"/>
                <w:lang w:bidi="en-US"/>
              </w:rPr>
            </w:pPr>
            <w:r>
              <w:rPr>
                <w:b/>
                <w:bCs/>
                <w:sz w:val="24"/>
                <w:szCs w:val="24"/>
                <w:lang w:bidi="en-US"/>
              </w:rPr>
              <w:t>Median</w:t>
            </w:r>
          </w:p>
        </w:tc>
      </w:tr>
      <w:tr w:rsidR="00241B0B" w14:paraId="76E2A660" w14:textId="77777777" w:rsidTr="00C90731">
        <w:tc>
          <w:tcPr>
            <w:tcW w:w="0" w:type="auto"/>
          </w:tcPr>
          <w:p w14:paraId="51A337F4" w14:textId="77777777" w:rsidR="00241B0B" w:rsidRDefault="00000000" w:rsidP="00C90731">
            <w:pPr>
              <w:spacing w:before="22" w:after="240" w:line="276" w:lineRule="auto"/>
              <w:jc w:val="both"/>
              <w:rPr>
                <w:sz w:val="24"/>
                <w:szCs w:val="24"/>
                <w:lang w:bidi="en-US"/>
              </w:rPr>
            </w:pPr>
            <w:r>
              <w:rPr>
                <w:b/>
                <w:bCs/>
                <w:sz w:val="24"/>
                <w:szCs w:val="24"/>
                <w:lang w:bidi="en-US"/>
              </w:rPr>
              <w:t>18–24</w:t>
            </w:r>
          </w:p>
        </w:tc>
        <w:tc>
          <w:tcPr>
            <w:tcW w:w="0" w:type="auto"/>
          </w:tcPr>
          <w:p w14:paraId="7DA67669" w14:textId="77777777" w:rsidR="00241B0B" w:rsidRDefault="00000000" w:rsidP="00C90731">
            <w:pPr>
              <w:spacing w:before="22" w:after="240" w:line="276" w:lineRule="auto"/>
              <w:jc w:val="both"/>
              <w:rPr>
                <w:sz w:val="24"/>
                <w:szCs w:val="24"/>
                <w:lang w:bidi="en-US"/>
              </w:rPr>
            </w:pPr>
            <w:r>
              <w:rPr>
                <w:sz w:val="24"/>
                <w:szCs w:val="24"/>
                <w:lang w:bidi="en-US"/>
              </w:rPr>
              <w:t>63</w:t>
            </w:r>
          </w:p>
        </w:tc>
        <w:tc>
          <w:tcPr>
            <w:tcW w:w="0" w:type="auto"/>
          </w:tcPr>
          <w:p w14:paraId="76199420" w14:textId="77777777" w:rsidR="00241B0B" w:rsidRDefault="00000000" w:rsidP="00C90731">
            <w:pPr>
              <w:spacing w:before="22" w:after="240" w:line="276" w:lineRule="auto"/>
              <w:jc w:val="both"/>
              <w:rPr>
                <w:sz w:val="24"/>
                <w:szCs w:val="24"/>
                <w:lang w:bidi="en-US"/>
              </w:rPr>
            </w:pPr>
            <w:r>
              <w:rPr>
                <w:sz w:val="24"/>
                <w:szCs w:val="24"/>
                <w:lang w:bidi="en-US"/>
              </w:rPr>
              <w:t>18.62</w:t>
            </w:r>
          </w:p>
        </w:tc>
        <w:tc>
          <w:tcPr>
            <w:tcW w:w="0" w:type="auto"/>
          </w:tcPr>
          <w:p w14:paraId="4E5484BD" w14:textId="77777777" w:rsidR="00241B0B" w:rsidRDefault="00000000" w:rsidP="00C90731">
            <w:pPr>
              <w:spacing w:before="22" w:after="240" w:line="276" w:lineRule="auto"/>
              <w:jc w:val="both"/>
              <w:rPr>
                <w:sz w:val="24"/>
                <w:szCs w:val="24"/>
                <w:lang w:bidi="en-US"/>
              </w:rPr>
            </w:pPr>
            <w:r>
              <w:rPr>
                <w:sz w:val="24"/>
                <w:szCs w:val="24"/>
                <w:lang w:bidi="en-US"/>
              </w:rPr>
              <w:t>3.95</w:t>
            </w:r>
          </w:p>
        </w:tc>
        <w:tc>
          <w:tcPr>
            <w:tcW w:w="1683" w:type="dxa"/>
          </w:tcPr>
          <w:p w14:paraId="1B751CE8" w14:textId="77777777" w:rsidR="00241B0B" w:rsidRDefault="00000000" w:rsidP="00C90731">
            <w:pPr>
              <w:spacing w:before="22" w:after="240" w:line="276" w:lineRule="auto"/>
              <w:jc w:val="both"/>
              <w:rPr>
                <w:sz w:val="24"/>
                <w:szCs w:val="24"/>
                <w:lang w:bidi="en-US"/>
              </w:rPr>
            </w:pPr>
            <w:r>
              <w:rPr>
                <w:sz w:val="24"/>
                <w:szCs w:val="24"/>
                <w:lang w:bidi="en-US"/>
              </w:rPr>
              <w:t>19.0</w:t>
            </w:r>
          </w:p>
        </w:tc>
      </w:tr>
      <w:tr w:rsidR="00241B0B" w14:paraId="7690132A" w14:textId="77777777" w:rsidTr="00C90731">
        <w:tc>
          <w:tcPr>
            <w:tcW w:w="0" w:type="auto"/>
          </w:tcPr>
          <w:p w14:paraId="7015B69F" w14:textId="77777777" w:rsidR="00241B0B" w:rsidRDefault="00000000" w:rsidP="00C90731">
            <w:pPr>
              <w:spacing w:before="22" w:after="240" w:line="276" w:lineRule="auto"/>
              <w:jc w:val="both"/>
              <w:rPr>
                <w:sz w:val="24"/>
                <w:szCs w:val="24"/>
                <w:lang w:bidi="en-US"/>
              </w:rPr>
            </w:pPr>
            <w:r>
              <w:rPr>
                <w:b/>
                <w:bCs/>
                <w:sz w:val="24"/>
                <w:szCs w:val="24"/>
                <w:lang w:bidi="en-US"/>
              </w:rPr>
              <w:t>25–34</w:t>
            </w:r>
          </w:p>
        </w:tc>
        <w:tc>
          <w:tcPr>
            <w:tcW w:w="0" w:type="auto"/>
          </w:tcPr>
          <w:p w14:paraId="0C0BD472" w14:textId="77777777" w:rsidR="00241B0B" w:rsidRDefault="00000000" w:rsidP="00C90731">
            <w:pPr>
              <w:spacing w:before="22" w:after="240" w:line="276" w:lineRule="auto"/>
              <w:jc w:val="both"/>
              <w:rPr>
                <w:sz w:val="24"/>
                <w:szCs w:val="24"/>
                <w:lang w:bidi="en-US"/>
              </w:rPr>
            </w:pPr>
            <w:r>
              <w:rPr>
                <w:sz w:val="24"/>
                <w:szCs w:val="24"/>
                <w:lang w:bidi="en-US"/>
              </w:rPr>
              <w:t>143</w:t>
            </w:r>
          </w:p>
        </w:tc>
        <w:tc>
          <w:tcPr>
            <w:tcW w:w="0" w:type="auto"/>
          </w:tcPr>
          <w:p w14:paraId="3CE1D56F" w14:textId="77777777" w:rsidR="00241B0B" w:rsidRDefault="00000000" w:rsidP="00C90731">
            <w:pPr>
              <w:spacing w:before="22" w:after="240" w:line="276" w:lineRule="auto"/>
              <w:jc w:val="both"/>
              <w:rPr>
                <w:sz w:val="24"/>
                <w:szCs w:val="24"/>
                <w:lang w:bidi="en-US"/>
              </w:rPr>
            </w:pPr>
            <w:r>
              <w:rPr>
                <w:b/>
                <w:bCs/>
                <w:sz w:val="24"/>
                <w:szCs w:val="24"/>
                <w:lang w:bidi="en-US"/>
              </w:rPr>
              <w:t>19.21</w:t>
            </w:r>
          </w:p>
        </w:tc>
        <w:tc>
          <w:tcPr>
            <w:tcW w:w="0" w:type="auto"/>
          </w:tcPr>
          <w:p w14:paraId="3EC5C9C2" w14:textId="77777777" w:rsidR="00241B0B" w:rsidRDefault="00000000" w:rsidP="00C90731">
            <w:pPr>
              <w:spacing w:before="22" w:after="240" w:line="276" w:lineRule="auto"/>
              <w:jc w:val="both"/>
              <w:rPr>
                <w:sz w:val="24"/>
                <w:szCs w:val="24"/>
                <w:lang w:bidi="en-US"/>
              </w:rPr>
            </w:pPr>
            <w:r>
              <w:rPr>
                <w:sz w:val="24"/>
                <w:szCs w:val="24"/>
                <w:lang w:bidi="en-US"/>
              </w:rPr>
              <w:t>4.08</w:t>
            </w:r>
          </w:p>
        </w:tc>
        <w:tc>
          <w:tcPr>
            <w:tcW w:w="1683" w:type="dxa"/>
          </w:tcPr>
          <w:p w14:paraId="44D9E76D" w14:textId="77777777" w:rsidR="00241B0B" w:rsidRDefault="00000000" w:rsidP="00C90731">
            <w:pPr>
              <w:spacing w:before="22" w:after="240" w:line="276" w:lineRule="auto"/>
              <w:jc w:val="both"/>
              <w:rPr>
                <w:sz w:val="24"/>
                <w:szCs w:val="24"/>
                <w:lang w:bidi="en-US"/>
              </w:rPr>
            </w:pPr>
            <w:r>
              <w:rPr>
                <w:b/>
                <w:bCs/>
                <w:sz w:val="24"/>
                <w:szCs w:val="24"/>
                <w:lang w:bidi="en-US"/>
              </w:rPr>
              <w:t>20.0</w:t>
            </w:r>
          </w:p>
        </w:tc>
      </w:tr>
      <w:tr w:rsidR="00241B0B" w14:paraId="3554A592" w14:textId="77777777" w:rsidTr="00C90731">
        <w:tc>
          <w:tcPr>
            <w:tcW w:w="0" w:type="auto"/>
          </w:tcPr>
          <w:p w14:paraId="103C38E8" w14:textId="77777777" w:rsidR="00241B0B" w:rsidRDefault="00000000" w:rsidP="00C90731">
            <w:pPr>
              <w:spacing w:before="22" w:after="240" w:line="276" w:lineRule="auto"/>
              <w:jc w:val="both"/>
              <w:rPr>
                <w:sz w:val="24"/>
                <w:szCs w:val="24"/>
                <w:lang w:bidi="en-US"/>
              </w:rPr>
            </w:pPr>
            <w:r>
              <w:rPr>
                <w:b/>
                <w:bCs/>
                <w:sz w:val="24"/>
                <w:szCs w:val="24"/>
                <w:lang w:bidi="en-US"/>
              </w:rPr>
              <w:t>35–44</w:t>
            </w:r>
          </w:p>
        </w:tc>
        <w:tc>
          <w:tcPr>
            <w:tcW w:w="0" w:type="auto"/>
          </w:tcPr>
          <w:p w14:paraId="715FDF7D" w14:textId="77777777" w:rsidR="00241B0B" w:rsidRDefault="00000000" w:rsidP="00C90731">
            <w:pPr>
              <w:spacing w:before="22" w:after="240" w:line="276" w:lineRule="auto"/>
              <w:jc w:val="both"/>
              <w:rPr>
                <w:sz w:val="24"/>
                <w:szCs w:val="24"/>
                <w:lang w:bidi="en-US"/>
              </w:rPr>
            </w:pPr>
            <w:r>
              <w:rPr>
                <w:sz w:val="24"/>
                <w:szCs w:val="24"/>
                <w:lang w:bidi="en-US"/>
              </w:rPr>
              <w:t>111</w:t>
            </w:r>
          </w:p>
        </w:tc>
        <w:tc>
          <w:tcPr>
            <w:tcW w:w="0" w:type="auto"/>
          </w:tcPr>
          <w:p w14:paraId="060DBBFE" w14:textId="77777777" w:rsidR="00241B0B" w:rsidRDefault="00000000" w:rsidP="00C90731">
            <w:pPr>
              <w:spacing w:before="22" w:after="240" w:line="276" w:lineRule="auto"/>
              <w:jc w:val="both"/>
              <w:rPr>
                <w:sz w:val="24"/>
                <w:szCs w:val="24"/>
                <w:lang w:bidi="en-US"/>
              </w:rPr>
            </w:pPr>
            <w:r>
              <w:rPr>
                <w:sz w:val="24"/>
                <w:szCs w:val="24"/>
                <w:lang w:bidi="en-US"/>
              </w:rPr>
              <w:t>16.01</w:t>
            </w:r>
          </w:p>
        </w:tc>
        <w:tc>
          <w:tcPr>
            <w:tcW w:w="0" w:type="auto"/>
          </w:tcPr>
          <w:p w14:paraId="57F1C33B" w14:textId="77777777" w:rsidR="00241B0B" w:rsidRDefault="00000000" w:rsidP="00C90731">
            <w:pPr>
              <w:spacing w:before="22" w:after="240" w:line="276" w:lineRule="auto"/>
              <w:jc w:val="both"/>
              <w:rPr>
                <w:sz w:val="24"/>
                <w:szCs w:val="24"/>
                <w:lang w:bidi="en-US"/>
              </w:rPr>
            </w:pPr>
            <w:r>
              <w:rPr>
                <w:sz w:val="24"/>
                <w:szCs w:val="24"/>
                <w:lang w:bidi="en-US"/>
              </w:rPr>
              <w:t>5.21</w:t>
            </w:r>
          </w:p>
        </w:tc>
        <w:tc>
          <w:tcPr>
            <w:tcW w:w="1683" w:type="dxa"/>
          </w:tcPr>
          <w:p w14:paraId="70DBA4F8" w14:textId="77777777" w:rsidR="00241B0B" w:rsidRDefault="00000000" w:rsidP="00C90731">
            <w:pPr>
              <w:spacing w:before="22" w:after="240" w:line="276" w:lineRule="auto"/>
              <w:jc w:val="both"/>
              <w:rPr>
                <w:sz w:val="24"/>
                <w:szCs w:val="24"/>
                <w:lang w:bidi="en-US"/>
              </w:rPr>
            </w:pPr>
            <w:r>
              <w:rPr>
                <w:sz w:val="24"/>
                <w:szCs w:val="24"/>
                <w:lang w:bidi="en-US"/>
              </w:rPr>
              <w:t>16.0</w:t>
            </w:r>
          </w:p>
        </w:tc>
      </w:tr>
      <w:tr w:rsidR="00241B0B" w14:paraId="48D9ED9A" w14:textId="77777777" w:rsidTr="00C90731">
        <w:tc>
          <w:tcPr>
            <w:tcW w:w="0" w:type="auto"/>
          </w:tcPr>
          <w:p w14:paraId="0B60A60A" w14:textId="77777777" w:rsidR="00241B0B" w:rsidRDefault="00000000" w:rsidP="00C90731">
            <w:pPr>
              <w:spacing w:before="22" w:after="240" w:line="276" w:lineRule="auto"/>
              <w:jc w:val="both"/>
              <w:rPr>
                <w:sz w:val="24"/>
                <w:szCs w:val="24"/>
                <w:lang w:bidi="en-US"/>
              </w:rPr>
            </w:pPr>
            <w:r>
              <w:rPr>
                <w:b/>
                <w:bCs/>
                <w:sz w:val="24"/>
                <w:szCs w:val="24"/>
                <w:lang w:bidi="en-US"/>
              </w:rPr>
              <w:t>45–54</w:t>
            </w:r>
          </w:p>
        </w:tc>
        <w:tc>
          <w:tcPr>
            <w:tcW w:w="0" w:type="auto"/>
          </w:tcPr>
          <w:p w14:paraId="15CE7280" w14:textId="77777777" w:rsidR="00241B0B" w:rsidRDefault="00000000" w:rsidP="00C90731">
            <w:pPr>
              <w:spacing w:before="22" w:after="240" w:line="276" w:lineRule="auto"/>
              <w:jc w:val="both"/>
              <w:rPr>
                <w:sz w:val="24"/>
                <w:szCs w:val="24"/>
                <w:lang w:bidi="en-US"/>
              </w:rPr>
            </w:pPr>
            <w:r>
              <w:rPr>
                <w:sz w:val="24"/>
                <w:szCs w:val="24"/>
                <w:lang w:bidi="en-US"/>
              </w:rPr>
              <w:t>63</w:t>
            </w:r>
          </w:p>
        </w:tc>
        <w:tc>
          <w:tcPr>
            <w:tcW w:w="0" w:type="auto"/>
          </w:tcPr>
          <w:p w14:paraId="2C0B5A10" w14:textId="77777777" w:rsidR="00241B0B" w:rsidRDefault="00000000" w:rsidP="00C90731">
            <w:pPr>
              <w:spacing w:before="22" w:after="240" w:line="276" w:lineRule="auto"/>
              <w:jc w:val="both"/>
              <w:rPr>
                <w:sz w:val="24"/>
                <w:szCs w:val="24"/>
                <w:lang w:bidi="en-US"/>
              </w:rPr>
            </w:pPr>
            <w:r>
              <w:rPr>
                <w:sz w:val="24"/>
                <w:szCs w:val="24"/>
                <w:lang w:bidi="en-US"/>
              </w:rPr>
              <w:t>13.70</w:t>
            </w:r>
          </w:p>
        </w:tc>
        <w:tc>
          <w:tcPr>
            <w:tcW w:w="0" w:type="auto"/>
          </w:tcPr>
          <w:p w14:paraId="4A8AEF2E" w14:textId="77777777" w:rsidR="00241B0B" w:rsidRDefault="00000000" w:rsidP="00C90731">
            <w:pPr>
              <w:spacing w:before="22" w:after="240" w:line="276" w:lineRule="auto"/>
              <w:jc w:val="both"/>
              <w:rPr>
                <w:sz w:val="24"/>
                <w:szCs w:val="24"/>
                <w:lang w:bidi="en-US"/>
              </w:rPr>
            </w:pPr>
            <w:r>
              <w:rPr>
                <w:sz w:val="24"/>
                <w:szCs w:val="24"/>
                <w:lang w:bidi="en-US"/>
              </w:rPr>
              <w:t>5.33</w:t>
            </w:r>
          </w:p>
        </w:tc>
        <w:tc>
          <w:tcPr>
            <w:tcW w:w="1683" w:type="dxa"/>
          </w:tcPr>
          <w:p w14:paraId="4F06899B" w14:textId="77777777" w:rsidR="00241B0B" w:rsidRDefault="00000000" w:rsidP="00C90731">
            <w:pPr>
              <w:spacing w:before="22" w:after="240" w:line="276" w:lineRule="auto"/>
              <w:jc w:val="both"/>
              <w:rPr>
                <w:sz w:val="24"/>
                <w:szCs w:val="24"/>
                <w:lang w:bidi="en-US"/>
              </w:rPr>
            </w:pPr>
            <w:r>
              <w:rPr>
                <w:sz w:val="24"/>
                <w:szCs w:val="24"/>
                <w:lang w:bidi="en-US"/>
              </w:rPr>
              <w:t>12.0</w:t>
            </w:r>
          </w:p>
        </w:tc>
      </w:tr>
      <w:tr w:rsidR="00241B0B" w14:paraId="29FFA788" w14:textId="77777777" w:rsidTr="00C90731">
        <w:tc>
          <w:tcPr>
            <w:tcW w:w="0" w:type="auto"/>
          </w:tcPr>
          <w:p w14:paraId="6B7D152B" w14:textId="77777777" w:rsidR="00241B0B" w:rsidRDefault="00000000" w:rsidP="00C90731">
            <w:pPr>
              <w:spacing w:before="22" w:after="240" w:line="276" w:lineRule="auto"/>
              <w:jc w:val="both"/>
              <w:rPr>
                <w:sz w:val="24"/>
                <w:szCs w:val="24"/>
                <w:lang w:bidi="en-US"/>
              </w:rPr>
            </w:pPr>
            <w:r>
              <w:rPr>
                <w:b/>
                <w:bCs/>
                <w:sz w:val="24"/>
                <w:szCs w:val="24"/>
                <w:lang w:bidi="en-US"/>
              </w:rPr>
              <w:t>55–64</w:t>
            </w:r>
          </w:p>
        </w:tc>
        <w:tc>
          <w:tcPr>
            <w:tcW w:w="0" w:type="auto"/>
          </w:tcPr>
          <w:p w14:paraId="38A205DD" w14:textId="77777777" w:rsidR="00241B0B" w:rsidRDefault="00000000" w:rsidP="00C90731">
            <w:pPr>
              <w:spacing w:before="22" w:after="240" w:line="276" w:lineRule="auto"/>
              <w:jc w:val="both"/>
              <w:rPr>
                <w:sz w:val="24"/>
                <w:szCs w:val="24"/>
                <w:lang w:bidi="en-US"/>
              </w:rPr>
            </w:pPr>
            <w:r>
              <w:rPr>
                <w:sz w:val="24"/>
                <w:szCs w:val="24"/>
                <w:lang w:bidi="en-US"/>
              </w:rPr>
              <w:t>15</w:t>
            </w:r>
          </w:p>
        </w:tc>
        <w:tc>
          <w:tcPr>
            <w:tcW w:w="0" w:type="auto"/>
          </w:tcPr>
          <w:p w14:paraId="3AC7B0D9" w14:textId="77777777" w:rsidR="00241B0B" w:rsidRDefault="00000000" w:rsidP="00C90731">
            <w:pPr>
              <w:spacing w:before="22" w:after="240" w:line="276" w:lineRule="auto"/>
              <w:jc w:val="both"/>
              <w:rPr>
                <w:sz w:val="24"/>
                <w:szCs w:val="24"/>
                <w:lang w:bidi="en-US"/>
              </w:rPr>
            </w:pPr>
            <w:r>
              <w:rPr>
                <w:b/>
                <w:bCs/>
                <w:sz w:val="24"/>
                <w:szCs w:val="24"/>
                <w:lang w:bidi="en-US"/>
              </w:rPr>
              <w:t>12.27</w:t>
            </w:r>
          </w:p>
        </w:tc>
        <w:tc>
          <w:tcPr>
            <w:tcW w:w="0" w:type="auto"/>
          </w:tcPr>
          <w:p w14:paraId="19D84C33" w14:textId="77777777" w:rsidR="00241B0B" w:rsidRDefault="00000000" w:rsidP="00C90731">
            <w:pPr>
              <w:spacing w:before="22" w:after="240" w:line="276" w:lineRule="auto"/>
              <w:jc w:val="both"/>
              <w:rPr>
                <w:sz w:val="24"/>
                <w:szCs w:val="24"/>
                <w:lang w:bidi="en-US"/>
              </w:rPr>
            </w:pPr>
            <w:r>
              <w:rPr>
                <w:sz w:val="24"/>
                <w:szCs w:val="24"/>
                <w:lang w:bidi="en-US"/>
              </w:rPr>
              <w:t>4.99</w:t>
            </w:r>
          </w:p>
        </w:tc>
        <w:tc>
          <w:tcPr>
            <w:tcW w:w="1683" w:type="dxa"/>
          </w:tcPr>
          <w:p w14:paraId="19F0126D" w14:textId="77777777" w:rsidR="00241B0B" w:rsidRDefault="00000000" w:rsidP="00C90731">
            <w:pPr>
              <w:spacing w:before="22" w:after="240" w:line="276" w:lineRule="auto"/>
              <w:jc w:val="both"/>
              <w:rPr>
                <w:sz w:val="24"/>
                <w:szCs w:val="24"/>
                <w:lang w:bidi="en-US"/>
              </w:rPr>
            </w:pPr>
            <w:r>
              <w:rPr>
                <w:b/>
                <w:bCs/>
                <w:sz w:val="24"/>
                <w:szCs w:val="24"/>
                <w:lang w:bidi="en-US"/>
              </w:rPr>
              <w:t>10.0</w:t>
            </w:r>
          </w:p>
        </w:tc>
      </w:tr>
      <w:tr w:rsidR="00241B0B" w14:paraId="3B47BF45" w14:textId="77777777" w:rsidTr="00C90731">
        <w:trPr>
          <w:trHeight w:val="349"/>
        </w:trPr>
        <w:tc>
          <w:tcPr>
            <w:tcW w:w="0" w:type="auto"/>
          </w:tcPr>
          <w:p w14:paraId="4FCACE45" w14:textId="77777777" w:rsidR="00241B0B" w:rsidRDefault="00000000" w:rsidP="00C90731">
            <w:pPr>
              <w:spacing w:before="22" w:after="240" w:line="276" w:lineRule="auto"/>
              <w:jc w:val="both"/>
              <w:rPr>
                <w:sz w:val="24"/>
                <w:szCs w:val="24"/>
                <w:lang w:bidi="en-US"/>
              </w:rPr>
            </w:pPr>
            <w:r>
              <w:rPr>
                <w:b/>
                <w:bCs/>
                <w:sz w:val="24"/>
                <w:szCs w:val="24"/>
                <w:lang w:bidi="en-US"/>
              </w:rPr>
              <w:t>65 and over</w:t>
            </w:r>
          </w:p>
        </w:tc>
        <w:tc>
          <w:tcPr>
            <w:tcW w:w="0" w:type="auto"/>
          </w:tcPr>
          <w:p w14:paraId="3257F9F2" w14:textId="77777777" w:rsidR="00241B0B" w:rsidRDefault="00000000" w:rsidP="00C90731">
            <w:pPr>
              <w:spacing w:before="22" w:after="240" w:line="276" w:lineRule="auto"/>
              <w:jc w:val="both"/>
              <w:rPr>
                <w:sz w:val="24"/>
                <w:szCs w:val="24"/>
                <w:lang w:bidi="en-US"/>
              </w:rPr>
            </w:pPr>
            <w:r>
              <w:rPr>
                <w:sz w:val="24"/>
                <w:szCs w:val="24"/>
                <w:lang w:bidi="en-US"/>
              </w:rPr>
              <w:t>5</w:t>
            </w:r>
          </w:p>
        </w:tc>
        <w:tc>
          <w:tcPr>
            <w:tcW w:w="0" w:type="auto"/>
          </w:tcPr>
          <w:p w14:paraId="741C7A53" w14:textId="77777777" w:rsidR="00241B0B" w:rsidRDefault="00000000" w:rsidP="00C90731">
            <w:pPr>
              <w:spacing w:before="22" w:after="240" w:line="276" w:lineRule="auto"/>
              <w:jc w:val="both"/>
              <w:rPr>
                <w:sz w:val="24"/>
                <w:szCs w:val="24"/>
                <w:lang w:bidi="en-US"/>
              </w:rPr>
            </w:pPr>
            <w:r>
              <w:rPr>
                <w:sz w:val="24"/>
                <w:szCs w:val="24"/>
                <w:lang w:bidi="en-US"/>
              </w:rPr>
              <w:t>16.60</w:t>
            </w:r>
          </w:p>
        </w:tc>
        <w:tc>
          <w:tcPr>
            <w:tcW w:w="0" w:type="auto"/>
          </w:tcPr>
          <w:p w14:paraId="038DB1F3" w14:textId="77777777" w:rsidR="00241B0B" w:rsidRDefault="00000000" w:rsidP="00C90731">
            <w:pPr>
              <w:spacing w:before="22" w:after="240" w:line="276" w:lineRule="auto"/>
              <w:jc w:val="both"/>
              <w:rPr>
                <w:sz w:val="24"/>
                <w:szCs w:val="24"/>
                <w:lang w:bidi="en-US"/>
              </w:rPr>
            </w:pPr>
            <w:r>
              <w:rPr>
                <w:sz w:val="24"/>
                <w:szCs w:val="24"/>
                <w:lang w:bidi="en-US"/>
              </w:rPr>
              <w:t>4.72</w:t>
            </w:r>
          </w:p>
        </w:tc>
        <w:tc>
          <w:tcPr>
            <w:tcW w:w="1683" w:type="dxa"/>
          </w:tcPr>
          <w:p w14:paraId="6DF06B0D" w14:textId="77777777" w:rsidR="00241B0B" w:rsidRDefault="00000000" w:rsidP="00C90731">
            <w:pPr>
              <w:spacing w:before="22" w:after="240" w:line="276" w:lineRule="auto"/>
              <w:jc w:val="both"/>
              <w:rPr>
                <w:sz w:val="24"/>
                <w:szCs w:val="24"/>
                <w:lang w:bidi="en-US"/>
              </w:rPr>
            </w:pPr>
            <w:r>
              <w:rPr>
                <w:sz w:val="24"/>
                <w:szCs w:val="24"/>
                <w:lang w:bidi="en-US"/>
              </w:rPr>
              <w:t>15.0</w:t>
            </w:r>
          </w:p>
        </w:tc>
      </w:tr>
    </w:tbl>
    <w:p w14:paraId="659019EC" w14:textId="77777777" w:rsidR="00241B0B" w:rsidRDefault="00000000" w:rsidP="00C90731">
      <w:pPr>
        <w:spacing w:before="240" w:after="240" w:line="360" w:lineRule="auto"/>
        <w:jc w:val="both"/>
        <w:rPr>
          <w:sz w:val="24"/>
          <w:szCs w:val="24"/>
          <w:lang w:bidi="en-US"/>
        </w:rPr>
      </w:pPr>
      <w:r>
        <w:rPr>
          <w:sz w:val="24"/>
          <w:szCs w:val="24"/>
          <w:lang w:bidi="en-US"/>
        </w:rPr>
        <w:t xml:space="preserve">The results show that young adults (18-34) exhibit the highest levels of environmental apathy, peaking in the 25–34 category with a Median = 20.0. on the other hand, older residents score significantly lower on the apathy index Median = 12.0 and 10.0, indicating a stronger sense of personal accountability and higher overall environmental concern therefore rejecting the null hypothesis. </w:t>
      </w:r>
    </w:p>
    <w:p w14:paraId="643F4E85" w14:textId="77777777" w:rsidR="00241B0B" w:rsidRDefault="00000000">
      <w:pPr>
        <w:spacing w:before="22" w:after="240" w:line="360" w:lineRule="auto"/>
        <w:jc w:val="both"/>
        <w:rPr>
          <w:sz w:val="24"/>
          <w:szCs w:val="24"/>
          <w:lang w:bidi="en-US"/>
        </w:rPr>
      </w:pPr>
      <w:r>
        <w:rPr>
          <w:sz w:val="24"/>
          <w:szCs w:val="24"/>
          <w:lang w:bidi="en-US"/>
        </w:rPr>
        <w:t xml:space="preserve">A Kruskal-Wallis H test revealed a statistically significant difference in environmental concern composite scores across the different age groups, </w:t>
      </w:r>
      <w:r>
        <w:rPr>
          <w:i/>
          <w:iCs/>
          <w:sz w:val="24"/>
          <w:szCs w:val="24"/>
          <w:lang w:bidi="en-US"/>
        </w:rPr>
        <w:t xml:space="preserve">H </w:t>
      </w:r>
      <w:r>
        <w:rPr>
          <w:sz w:val="24"/>
          <w:szCs w:val="24"/>
          <w:lang w:bidi="en-US"/>
        </w:rPr>
        <w:t xml:space="preserve">(5) = 65.44, </w:t>
      </w:r>
      <w:r>
        <w:rPr>
          <w:i/>
          <w:iCs/>
          <w:sz w:val="24"/>
          <w:szCs w:val="24"/>
          <w:lang w:bidi="en-US"/>
        </w:rPr>
        <w:t>p</w:t>
      </w:r>
      <w:r>
        <w:rPr>
          <w:sz w:val="24"/>
          <w:szCs w:val="24"/>
          <w:lang w:bidi="en-US"/>
        </w:rPr>
        <w:t xml:space="preserve"> &lt; .001. This result indicates that a participant’s age is a significant factor in determining their environmental attitude profile.</w:t>
      </w:r>
    </w:p>
    <w:p w14:paraId="6BB431B6" w14:textId="77777777" w:rsidR="00241B0B" w:rsidRDefault="00000000">
      <w:pPr>
        <w:spacing w:before="22" w:after="240" w:line="360" w:lineRule="auto"/>
        <w:jc w:val="both"/>
        <w:rPr>
          <w:sz w:val="24"/>
          <w:szCs w:val="24"/>
          <w:lang w:bidi="en-US"/>
        </w:rPr>
      </w:pPr>
      <w:r>
        <w:rPr>
          <w:sz w:val="24"/>
          <w:szCs w:val="24"/>
          <w:lang w:bidi="en-US"/>
        </w:rPr>
        <w:t xml:space="preserve">To assess whether levels of environmental concern differ significantly between genders within the study area, the Environmental Concern composite score ranging from 5 (highest level of concern) to 25 (lowest level of concern) was computed between genders. </w:t>
      </w:r>
    </w:p>
    <w:p w14:paraId="7AE3F472" w14:textId="77777777" w:rsidR="00241B0B" w:rsidRDefault="00241B0B">
      <w:pPr>
        <w:spacing w:before="22" w:after="240" w:line="360" w:lineRule="auto"/>
        <w:jc w:val="both"/>
        <w:rPr>
          <w:sz w:val="24"/>
          <w:szCs w:val="24"/>
          <w:lang w:bidi="en-US"/>
        </w:rPr>
      </w:pPr>
    </w:p>
    <w:p w14:paraId="443E30A9" w14:textId="77777777" w:rsidR="0045644F" w:rsidRDefault="00000000" w:rsidP="0045644F">
      <w:pPr>
        <w:keepNext/>
        <w:spacing w:before="22" w:after="240" w:line="360" w:lineRule="auto"/>
        <w:jc w:val="both"/>
      </w:pPr>
      <w:r>
        <w:rPr>
          <w:rFonts w:ascii="Calibri" w:eastAsia="Calibri" w:hAnsi="Calibri"/>
          <w:noProof/>
          <w:kern w:val="2"/>
          <w:sz w:val="24"/>
          <w:szCs w:val="24"/>
          <w14:ligatures w14:val="standardContextual"/>
        </w:rPr>
        <w:lastRenderedPageBreak/>
        <w:drawing>
          <wp:inline distT="0" distB="0" distL="0" distR="0" wp14:anchorId="61466794" wp14:editId="650075A3">
            <wp:extent cx="5181600" cy="3352165"/>
            <wp:effectExtent l="0" t="0" r="0" b="635"/>
            <wp:docPr id="1698038419" name="Chart 1"/>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1698038419" name="Chart 1"/>
                    <pic:cNvPicPr>
                      <a:picLocks noGrp="1" noChangeAspect="1" noMove="1" noResize="1" noEditPoints="1" noAdjustHandles="1" noChangeArrowheads="1" noChangeShapeType="1"/>
                    </pic:cNvPicPr>
                  </pic:nvPicPr>
                  <pic:blipFill>
                    <a:blip r:embed="rId21"/>
                    <a:stretch>
                      <a:fillRect/>
                    </a:stretch>
                  </pic:blipFill>
                  <pic:spPr>
                    <a:xfrm>
                      <a:off x="0" y="0"/>
                      <a:ext cx="5181600" cy="3352165"/>
                    </a:xfrm>
                    <a:prstGeom prst="rect">
                      <a:avLst/>
                    </a:prstGeom>
                  </pic:spPr>
                </pic:pic>
              </a:graphicData>
            </a:graphic>
          </wp:inline>
        </w:drawing>
      </w:r>
    </w:p>
    <w:p w14:paraId="1625B7D2" w14:textId="1CEA35BC" w:rsidR="00241B0B" w:rsidRDefault="0045644F" w:rsidP="0045644F">
      <w:pPr>
        <w:pStyle w:val="Caption"/>
        <w:jc w:val="both"/>
        <w:rPr>
          <w:sz w:val="24"/>
          <w:szCs w:val="24"/>
          <w:lang w:bidi="en-US"/>
        </w:rPr>
      </w:pPr>
      <w:r>
        <w:t xml:space="preserve">Figure </w:t>
      </w:r>
      <w:fldSimple w:instr=" SEQ Figure \* ARABIC ">
        <w:r>
          <w:rPr>
            <w:noProof/>
          </w:rPr>
          <w:t>5</w:t>
        </w:r>
      </w:fldSimple>
      <w:r>
        <w:t>: A graph showing a gendered perspective of environmental concern</w:t>
      </w:r>
    </w:p>
    <w:p w14:paraId="4009B740" w14:textId="77777777" w:rsidR="00241B0B" w:rsidRDefault="00000000">
      <w:pPr>
        <w:spacing w:before="22" w:after="240" w:line="360" w:lineRule="auto"/>
        <w:jc w:val="both"/>
        <w:rPr>
          <w:sz w:val="24"/>
          <w:szCs w:val="24"/>
          <w:lang w:bidi="en-US"/>
        </w:rPr>
      </w:pPr>
      <w:r>
        <w:rPr>
          <w:b/>
          <w:bCs/>
          <w:sz w:val="24"/>
          <w:szCs w:val="24"/>
          <w:lang w:bidi="en-US"/>
        </w:rPr>
        <w:t>Mann-Whitney U test</w:t>
      </w:r>
      <w:r>
        <w:rPr>
          <w:sz w:val="24"/>
          <w:szCs w:val="24"/>
          <w:lang w:bidi="en-US"/>
        </w:rPr>
        <w:t xml:space="preserve"> was conducted to evaluate if the distributions of environmental concern differ significantly by gender.</w:t>
      </w:r>
    </w:p>
    <w:p w14:paraId="4FC7E26C" w14:textId="77777777" w:rsidR="00241B0B" w:rsidRDefault="00000000">
      <w:pPr>
        <w:spacing w:before="22" w:after="240" w:line="360" w:lineRule="auto"/>
        <w:jc w:val="both"/>
        <w:rPr>
          <w:sz w:val="24"/>
          <w:szCs w:val="24"/>
          <w:lang w:bidi="en-US"/>
        </w:rPr>
      </w:pPr>
      <w:r>
        <w:rPr>
          <w:b/>
          <w:bCs/>
          <w:sz w:val="24"/>
          <w:szCs w:val="24"/>
          <w:lang w:bidi="en-US"/>
        </w:rPr>
        <w:t>H</w:t>
      </w:r>
      <w:r>
        <w:rPr>
          <w:b/>
          <w:bCs/>
          <w:sz w:val="24"/>
          <w:szCs w:val="24"/>
          <w:vertAlign w:val="subscript"/>
          <w:lang w:bidi="en-US"/>
        </w:rPr>
        <w:t>0</w:t>
      </w:r>
      <w:r>
        <w:rPr>
          <w:b/>
          <w:bCs/>
          <w:sz w:val="24"/>
          <w:szCs w:val="24"/>
          <w:lang w:bidi="en-US"/>
        </w:rPr>
        <w:t>:</w:t>
      </w:r>
      <w:r>
        <w:rPr>
          <w:sz w:val="24"/>
          <w:szCs w:val="24"/>
          <w:lang w:bidi="en-US"/>
        </w:rPr>
        <w:t xml:space="preserve"> There is no significant difference in the distribution of environmental concern composite scores between male and female participants.</w:t>
      </w:r>
    </w:p>
    <w:p w14:paraId="424630B6" w14:textId="77777777" w:rsidR="00241B0B" w:rsidRDefault="00000000">
      <w:pPr>
        <w:spacing w:before="22" w:after="240" w:line="360" w:lineRule="auto"/>
        <w:jc w:val="both"/>
        <w:rPr>
          <w:sz w:val="24"/>
          <w:szCs w:val="24"/>
          <w:lang w:bidi="en-US"/>
        </w:rPr>
      </w:pPr>
      <w:r>
        <w:rPr>
          <w:b/>
          <w:bCs/>
          <w:sz w:val="24"/>
          <w:szCs w:val="24"/>
          <w:lang w:bidi="en-US"/>
        </w:rPr>
        <w:t>H</w:t>
      </w:r>
      <w:r>
        <w:rPr>
          <w:b/>
          <w:bCs/>
          <w:sz w:val="24"/>
          <w:szCs w:val="24"/>
          <w:vertAlign w:val="subscript"/>
          <w:lang w:bidi="en-US"/>
        </w:rPr>
        <w:t>1</w:t>
      </w:r>
      <w:r>
        <w:rPr>
          <w:b/>
          <w:bCs/>
          <w:sz w:val="24"/>
          <w:szCs w:val="24"/>
          <w:lang w:bidi="en-US"/>
        </w:rPr>
        <w:t>:</w:t>
      </w:r>
      <w:r>
        <w:rPr>
          <w:sz w:val="24"/>
          <w:szCs w:val="24"/>
          <w:lang w:bidi="en-US"/>
        </w:rPr>
        <w:t xml:space="preserve"> There is a statistically significant difference in environmental concern composite scores between male and female participants.</w:t>
      </w:r>
    </w:p>
    <w:p w14:paraId="19C78A0A" w14:textId="77777777" w:rsidR="00241B0B" w:rsidRDefault="00000000">
      <w:pPr>
        <w:spacing w:before="22" w:after="240" w:line="360" w:lineRule="auto"/>
        <w:jc w:val="both"/>
        <w:rPr>
          <w:sz w:val="24"/>
          <w:szCs w:val="24"/>
          <w:lang w:bidi="en-US"/>
        </w:rPr>
      </w:pPr>
      <w:r>
        <w:rPr>
          <w:sz w:val="24"/>
          <w:szCs w:val="24"/>
          <w:lang w:bidi="en-US"/>
        </w:rPr>
        <w:t>The test indicated that there was no statistically significant difference in environmental concern composite scores between female participants (Median = 19.0) and male participants (Median = 19.0), U = 19231.0, p = .994. Individual item-level Mann-Whitney U tests also confirmed no significant variations between genders on any single statement (all item p-values &gt; .25). Therefore, we fail to reject the null hypothesis.</w:t>
      </w:r>
    </w:p>
    <w:p w14:paraId="170765E5" w14:textId="4FFC29F0" w:rsidR="00241B0B" w:rsidRDefault="00000000">
      <w:pPr>
        <w:spacing w:before="22" w:after="240" w:line="360" w:lineRule="auto"/>
        <w:jc w:val="both"/>
        <w:rPr>
          <w:sz w:val="24"/>
          <w:szCs w:val="24"/>
          <w:lang w:bidi="en-US"/>
        </w:rPr>
      </w:pPr>
      <w:r>
        <w:rPr>
          <w:sz w:val="24"/>
          <w:szCs w:val="24"/>
          <w:lang w:bidi="en-US"/>
        </w:rPr>
        <w:t>To evaluate how environmental concern differs across educational levels within the riparian community, a Kruskal-Wallis H test was performed. The s</w:t>
      </w:r>
      <w:r w:rsidR="00C47198">
        <w:rPr>
          <w:sz w:val="24"/>
          <w:szCs w:val="24"/>
          <w:lang w:bidi="en-US"/>
        </w:rPr>
        <w:t xml:space="preserve">tudy measured education levels in three </w:t>
      </w:r>
      <w:r>
        <w:rPr>
          <w:sz w:val="24"/>
          <w:szCs w:val="24"/>
          <w:lang w:bidi="en-US"/>
        </w:rPr>
        <w:t>tiers: primary, secondary and tertiary. The composite score summary</w:t>
      </w:r>
      <w:r w:rsidR="00C47198">
        <w:rPr>
          <w:sz w:val="24"/>
          <w:szCs w:val="24"/>
          <w:lang w:bidi="en-US"/>
        </w:rPr>
        <w:t xml:space="preserve"> features </w:t>
      </w:r>
      <w:r>
        <w:rPr>
          <w:sz w:val="24"/>
          <w:szCs w:val="24"/>
          <w:lang w:bidi="en-US"/>
        </w:rPr>
        <w:t>reverse coded responses</w:t>
      </w:r>
      <w:r w:rsidR="00C47198">
        <w:rPr>
          <w:sz w:val="24"/>
          <w:szCs w:val="24"/>
          <w:lang w:bidi="en-US"/>
        </w:rPr>
        <w:t xml:space="preserve"> that show</w:t>
      </w:r>
      <w:r>
        <w:rPr>
          <w:sz w:val="24"/>
          <w:szCs w:val="24"/>
          <w:lang w:bidi="en-US"/>
        </w:rPr>
        <w:t xml:space="preserve"> a</w:t>
      </w:r>
      <w:r w:rsidR="00C47198">
        <w:rPr>
          <w:sz w:val="24"/>
          <w:szCs w:val="24"/>
          <w:lang w:bidi="en-US"/>
        </w:rPr>
        <w:t xml:space="preserve">n increasing </w:t>
      </w:r>
      <w:r>
        <w:rPr>
          <w:sz w:val="24"/>
          <w:szCs w:val="24"/>
          <w:lang w:bidi="en-US"/>
        </w:rPr>
        <w:t>trend in environmental concern as education level increases</w:t>
      </w:r>
      <w:r w:rsidR="00C47198">
        <w:rPr>
          <w:sz w:val="24"/>
          <w:szCs w:val="24"/>
          <w:lang w:bidi="en-US"/>
        </w:rPr>
        <w:t xml:space="preserve"> among </w:t>
      </w:r>
      <w:r w:rsidR="00C47198">
        <w:rPr>
          <w:sz w:val="24"/>
          <w:szCs w:val="24"/>
          <w:lang w:bidi="en-US"/>
        </w:rPr>
        <w:lastRenderedPageBreak/>
        <w:t>participants</w:t>
      </w:r>
      <w:r>
        <w:rPr>
          <w:sz w:val="24"/>
          <w:szCs w:val="24"/>
          <w:lang w:bidi="en-US"/>
        </w:rPr>
        <w:t xml:space="preserve">. A high </w:t>
      </w:r>
      <w:r w:rsidR="00C47198">
        <w:rPr>
          <w:sz w:val="24"/>
          <w:szCs w:val="24"/>
          <w:lang w:bidi="en-US"/>
        </w:rPr>
        <w:t xml:space="preserve">score </w:t>
      </w:r>
      <w:r>
        <w:rPr>
          <w:sz w:val="24"/>
          <w:szCs w:val="24"/>
          <w:lang w:bidi="en-US"/>
        </w:rPr>
        <w:t>rang</w:t>
      </w:r>
      <w:r w:rsidR="00C47198">
        <w:rPr>
          <w:sz w:val="24"/>
          <w:szCs w:val="24"/>
          <w:lang w:bidi="en-US"/>
        </w:rPr>
        <w:t xml:space="preserve">ing between </w:t>
      </w:r>
      <w:r>
        <w:rPr>
          <w:sz w:val="24"/>
          <w:szCs w:val="24"/>
          <w:lang w:bidi="en-US"/>
        </w:rPr>
        <w:t>5</w:t>
      </w:r>
      <w:r w:rsidR="00C47198">
        <w:rPr>
          <w:sz w:val="24"/>
          <w:szCs w:val="24"/>
          <w:lang w:bidi="en-US"/>
        </w:rPr>
        <w:t xml:space="preserve"> and </w:t>
      </w:r>
      <w:r>
        <w:rPr>
          <w:sz w:val="24"/>
          <w:szCs w:val="24"/>
          <w:lang w:bidi="en-US"/>
        </w:rPr>
        <w:t>25 represent</w:t>
      </w:r>
      <w:r w:rsidR="00C47198">
        <w:rPr>
          <w:sz w:val="24"/>
          <w:szCs w:val="24"/>
          <w:lang w:bidi="en-US"/>
        </w:rPr>
        <w:t xml:space="preserve">ed </w:t>
      </w:r>
      <w:r>
        <w:rPr>
          <w:sz w:val="24"/>
          <w:szCs w:val="24"/>
          <w:lang w:bidi="en-US"/>
        </w:rPr>
        <w:t xml:space="preserve">higher </w:t>
      </w:r>
      <w:r w:rsidR="00C47198">
        <w:rPr>
          <w:sz w:val="24"/>
          <w:szCs w:val="24"/>
          <w:lang w:bidi="en-US"/>
        </w:rPr>
        <w:t xml:space="preserve">levels of </w:t>
      </w:r>
      <w:r>
        <w:rPr>
          <w:sz w:val="24"/>
          <w:szCs w:val="24"/>
          <w:lang w:bidi="en-US"/>
        </w:rPr>
        <w:t xml:space="preserve">environmental </w:t>
      </w:r>
      <w:r w:rsidR="00C47198">
        <w:rPr>
          <w:sz w:val="24"/>
          <w:szCs w:val="24"/>
          <w:lang w:bidi="en-US"/>
        </w:rPr>
        <w:t>indifference</w:t>
      </w:r>
      <w:r>
        <w:rPr>
          <w:sz w:val="24"/>
          <w:szCs w:val="24"/>
          <w:lang w:bidi="en-US"/>
        </w:rPr>
        <w:t>, wh</w:t>
      </w:r>
      <w:r w:rsidR="00C47198">
        <w:rPr>
          <w:sz w:val="24"/>
          <w:szCs w:val="24"/>
          <w:lang w:bidi="en-US"/>
        </w:rPr>
        <w:t>ile</w:t>
      </w:r>
      <w:r>
        <w:rPr>
          <w:sz w:val="24"/>
          <w:szCs w:val="24"/>
          <w:lang w:bidi="en-US"/>
        </w:rPr>
        <w:t xml:space="preserve"> a lower score signifi</w:t>
      </w:r>
      <w:r w:rsidR="00C47198">
        <w:rPr>
          <w:sz w:val="24"/>
          <w:szCs w:val="24"/>
          <w:lang w:bidi="en-US"/>
        </w:rPr>
        <w:t>ed</w:t>
      </w:r>
      <w:r>
        <w:rPr>
          <w:sz w:val="24"/>
          <w:szCs w:val="24"/>
          <w:lang w:bidi="en-US"/>
        </w:rPr>
        <w:t xml:space="preserve"> a higher sense of </w:t>
      </w:r>
      <w:r w:rsidR="00C47198">
        <w:rPr>
          <w:sz w:val="24"/>
          <w:szCs w:val="24"/>
          <w:lang w:bidi="en-US"/>
        </w:rPr>
        <w:t>concern and personal feeling of responsibility towards the environment</w:t>
      </w:r>
      <w:r w:rsidR="009227FC">
        <w:rPr>
          <w:sz w:val="24"/>
          <w:szCs w:val="24"/>
          <w:lang w:bidi="en-US"/>
        </w:rPr>
        <w:t xml:space="preserve"> as shown in </w:t>
      </w:r>
      <w:r w:rsidR="009227FC">
        <w:rPr>
          <w:sz w:val="24"/>
          <w:szCs w:val="24"/>
          <w:lang w:bidi="en-US"/>
        </w:rPr>
        <w:fldChar w:fldCharType="begin"/>
      </w:r>
      <w:r w:rsidR="009227FC">
        <w:rPr>
          <w:sz w:val="24"/>
          <w:szCs w:val="24"/>
          <w:lang w:bidi="en-US"/>
        </w:rPr>
        <w:instrText xml:space="preserve"> REF _Ref231295930 \h </w:instrText>
      </w:r>
      <w:r w:rsidR="009227FC">
        <w:rPr>
          <w:sz w:val="24"/>
          <w:szCs w:val="24"/>
          <w:lang w:bidi="en-US"/>
        </w:rPr>
      </w:r>
      <w:r w:rsidR="009227FC">
        <w:rPr>
          <w:sz w:val="24"/>
          <w:szCs w:val="24"/>
          <w:lang w:bidi="en-US"/>
        </w:rPr>
        <w:fldChar w:fldCharType="separate"/>
      </w:r>
      <w:r w:rsidR="009227FC">
        <w:t xml:space="preserve">Table </w:t>
      </w:r>
      <w:r w:rsidR="009227FC">
        <w:rPr>
          <w:noProof/>
        </w:rPr>
        <w:t>2</w:t>
      </w:r>
      <w:r w:rsidR="009227FC">
        <w:rPr>
          <w:sz w:val="24"/>
          <w:szCs w:val="24"/>
          <w:lang w:bidi="en-US"/>
        </w:rPr>
        <w:fldChar w:fldCharType="end"/>
      </w:r>
    </w:p>
    <w:p w14:paraId="6319D6D2" w14:textId="160EE136" w:rsidR="0045644F" w:rsidRDefault="0045644F" w:rsidP="0045644F">
      <w:pPr>
        <w:pStyle w:val="Caption"/>
        <w:keepNext/>
      </w:pPr>
      <w:bookmarkStart w:id="3" w:name="_Ref231295930"/>
      <w:r>
        <w:t xml:space="preserve">Table </w:t>
      </w:r>
      <w:fldSimple w:instr=" SEQ Table \* ARABIC ">
        <w:r w:rsidR="009227FC">
          <w:rPr>
            <w:noProof/>
          </w:rPr>
          <w:t>2</w:t>
        </w:r>
      </w:fldSimple>
      <w:bookmarkEnd w:id="3"/>
      <w:r>
        <w:t>: Results of the environmental concern composite scores across educational levels</w:t>
      </w:r>
    </w:p>
    <w:tbl>
      <w:tblPr>
        <w:tblStyle w:val="TableGrid"/>
        <w:tblW w:w="0" w:type="auto"/>
        <w:tblLook w:val="04A0" w:firstRow="1" w:lastRow="0" w:firstColumn="1" w:lastColumn="0" w:noHBand="0" w:noVBand="1"/>
      </w:tblPr>
      <w:tblGrid>
        <w:gridCol w:w="1615"/>
        <w:gridCol w:w="1350"/>
        <w:gridCol w:w="1350"/>
        <w:gridCol w:w="1800"/>
        <w:gridCol w:w="2790"/>
      </w:tblGrid>
      <w:tr w:rsidR="00241B0B" w14:paraId="1A653ABB" w14:textId="77777777" w:rsidTr="00C90731">
        <w:tc>
          <w:tcPr>
            <w:tcW w:w="1615" w:type="dxa"/>
          </w:tcPr>
          <w:p w14:paraId="11DCC7E1" w14:textId="77777777" w:rsidR="00241B0B" w:rsidRDefault="00000000" w:rsidP="00C90731">
            <w:pPr>
              <w:spacing w:before="22" w:after="240" w:line="276" w:lineRule="auto"/>
              <w:jc w:val="both"/>
              <w:rPr>
                <w:sz w:val="24"/>
                <w:szCs w:val="24"/>
                <w:lang w:bidi="en-US"/>
              </w:rPr>
            </w:pPr>
            <w:r>
              <w:rPr>
                <w:b/>
                <w:bCs/>
                <w:sz w:val="24"/>
                <w:szCs w:val="24"/>
                <w:lang w:bidi="en-US"/>
              </w:rPr>
              <w:t>Education Level</w:t>
            </w:r>
          </w:p>
        </w:tc>
        <w:tc>
          <w:tcPr>
            <w:tcW w:w="1350" w:type="dxa"/>
          </w:tcPr>
          <w:p w14:paraId="5DECB35E" w14:textId="77777777" w:rsidR="00241B0B" w:rsidRDefault="00000000" w:rsidP="00C90731">
            <w:pPr>
              <w:spacing w:before="22" w:after="240" w:line="276" w:lineRule="auto"/>
              <w:jc w:val="both"/>
              <w:rPr>
                <w:sz w:val="24"/>
                <w:szCs w:val="24"/>
                <w:lang w:bidi="en-US"/>
              </w:rPr>
            </w:pPr>
            <w:r>
              <w:rPr>
                <w:b/>
                <w:bCs/>
                <w:sz w:val="24"/>
                <w:szCs w:val="24"/>
                <w:lang w:bidi="en-US"/>
              </w:rPr>
              <w:t>Sample Size (n)</w:t>
            </w:r>
          </w:p>
        </w:tc>
        <w:tc>
          <w:tcPr>
            <w:tcW w:w="1350" w:type="dxa"/>
          </w:tcPr>
          <w:p w14:paraId="5CA9F291" w14:textId="77777777" w:rsidR="00241B0B" w:rsidRDefault="00000000" w:rsidP="00C90731">
            <w:pPr>
              <w:spacing w:before="22" w:after="240" w:line="276" w:lineRule="auto"/>
              <w:jc w:val="both"/>
              <w:rPr>
                <w:sz w:val="24"/>
                <w:szCs w:val="24"/>
                <w:lang w:bidi="en-US"/>
              </w:rPr>
            </w:pPr>
            <w:r>
              <w:rPr>
                <w:b/>
                <w:bCs/>
                <w:sz w:val="24"/>
                <w:szCs w:val="24"/>
                <w:lang w:bidi="en-US"/>
              </w:rPr>
              <w:t>Mean Score (xˉ)</w:t>
            </w:r>
          </w:p>
        </w:tc>
        <w:tc>
          <w:tcPr>
            <w:tcW w:w="1800" w:type="dxa"/>
          </w:tcPr>
          <w:p w14:paraId="7ECB8135" w14:textId="77777777" w:rsidR="00241B0B" w:rsidRDefault="00000000" w:rsidP="00C90731">
            <w:pPr>
              <w:spacing w:before="22" w:after="240" w:line="276" w:lineRule="auto"/>
              <w:jc w:val="both"/>
              <w:rPr>
                <w:sz w:val="24"/>
                <w:szCs w:val="24"/>
                <w:lang w:bidi="en-US"/>
              </w:rPr>
            </w:pPr>
            <w:r>
              <w:rPr>
                <w:b/>
                <w:bCs/>
                <w:sz w:val="24"/>
                <w:szCs w:val="24"/>
                <w:lang w:bidi="en-US"/>
              </w:rPr>
              <w:t>Standard Deviation (SD)</w:t>
            </w:r>
          </w:p>
        </w:tc>
        <w:tc>
          <w:tcPr>
            <w:tcW w:w="2790" w:type="dxa"/>
          </w:tcPr>
          <w:p w14:paraId="6028DAF8" w14:textId="77777777" w:rsidR="00241B0B" w:rsidRDefault="00000000" w:rsidP="00C90731">
            <w:pPr>
              <w:spacing w:before="22" w:after="240" w:line="276" w:lineRule="auto"/>
              <w:jc w:val="both"/>
              <w:rPr>
                <w:sz w:val="24"/>
                <w:szCs w:val="24"/>
                <w:lang w:bidi="en-US"/>
              </w:rPr>
            </w:pPr>
            <w:r>
              <w:rPr>
                <w:b/>
                <w:bCs/>
                <w:sz w:val="24"/>
                <w:szCs w:val="24"/>
                <w:lang w:bidi="en-US"/>
              </w:rPr>
              <w:t>Median Score</w:t>
            </w:r>
          </w:p>
        </w:tc>
      </w:tr>
      <w:tr w:rsidR="00241B0B" w14:paraId="39E28679" w14:textId="77777777" w:rsidTr="00C90731">
        <w:tc>
          <w:tcPr>
            <w:tcW w:w="1615" w:type="dxa"/>
          </w:tcPr>
          <w:p w14:paraId="388ADB38" w14:textId="77777777" w:rsidR="00241B0B" w:rsidRDefault="00000000" w:rsidP="00C90731">
            <w:pPr>
              <w:spacing w:before="22" w:after="240" w:line="276" w:lineRule="auto"/>
              <w:jc w:val="both"/>
              <w:rPr>
                <w:sz w:val="24"/>
                <w:szCs w:val="24"/>
                <w:lang w:bidi="en-US"/>
              </w:rPr>
            </w:pPr>
            <w:r>
              <w:rPr>
                <w:b/>
                <w:bCs/>
                <w:sz w:val="24"/>
                <w:szCs w:val="24"/>
                <w:lang w:bidi="en-US"/>
              </w:rPr>
              <w:t>Primary</w:t>
            </w:r>
          </w:p>
        </w:tc>
        <w:tc>
          <w:tcPr>
            <w:tcW w:w="1350" w:type="dxa"/>
          </w:tcPr>
          <w:p w14:paraId="4208D187" w14:textId="77777777" w:rsidR="00241B0B" w:rsidRDefault="00000000" w:rsidP="00C90731">
            <w:pPr>
              <w:spacing w:before="22" w:after="240" w:line="276" w:lineRule="auto"/>
              <w:jc w:val="both"/>
              <w:rPr>
                <w:sz w:val="24"/>
                <w:szCs w:val="24"/>
                <w:lang w:bidi="en-US"/>
              </w:rPr>
            </w:pPr>
            <w:r>
              <w:rPr>
                <w:sz w:val="24"/>
                <w:szCs w:val="24"/>
                <w:lang w:bidi="en-US"/>
              </w:rPr>
              <w:t>77</w:t>
            </w:r>
          </w:p>
        </w:tc>
        <w:tc>
          <w:tcPr>
            <w:tcW w:w="1350" w:type="dxa"/>
          </w:tcPr>
          <w:p w14:paraId="675B0E3E" w14:textId="77777777" w:rsidR="00241B0B" w:rsidRDefault="00000000" w:rsidP="00C90731">
            <w:pPr>
              <w:spacing w:before="22" w:after="240" w:line="276" w:lineRule="auto"/>
              <w:jc w:val="both"/>
              <w:rPr>
                <w:sz w:val="24"/>
                <w:szCs w:val="24"/>
                <w:lang w:bidi="en-US"/>
              </w:rPr>
            </w:pPr>
            <w:r>
              <w:rPr>
                <w:sz w:val="24"/>
                <w:szCs w:val="24"/>
                <w:lang w:bidi="en-US"/>
              </w:rPr>
              <w:t>20.14</w:t>
            </w:r>
          </w:p>
        </w:tc>
        <w:tc>
          <w:tcPr>
            <w:tcW w:w="1800" w:type="dxa"/>
          </w:tcPr>
          <w:p w14:paraId="2B3E5770" w14:textId="77777777" w:rsidR="00241B0B" w:rsidRDefault="00000000" w:rsidP="00C90731">
            <w:pPr>
              <w:spacing w:before="22" w:after="240" w:line="276" w:lineRule="auto"/>
              <w:jc w:val="both"/>
              <w:rPr>
                <w:sz w:val="24"/>
                <w:szCs w:val="24"/>
                <w:lang w:bidi="en-US"/>
              </w:rPr>
            </w:pPr>
            <w:r>
              <w:rPr>
                <w:sz w:val="24"/>
                <w:szCs w:val="24"/>
                <w:lang w:bidi="en-US"/>
              </w:rPr>
              <w:t>3.39</w:t>
            </w:r>
          </w:p>
        </w:tc>
        <w:tc>
          <w:tcPr>
            <w:tcW w:w="2790" w:type="dxa"/>
          </w:tcPr>
          <w:p w14:paraId="11AD2148" w14:textId="77777777" w:rsidR="00241B0B" w:rsidRDefault="00000000" w:rsidP="00C90731">
            <w:pPr>
              <w:spacing w:before="22" w:after="240" w:line="276" w:lineRule="auto"/>
              <w:jc w:val="both"/>
              <w:rPr>
                <w:sz w:val="24"/>
                <w:szCs w:val="24"/>
                <w:lang w:bidi="en-US"/>
              </w:rPr>
            </w:pPr>
            <w:r>
              <w:rPr>
                <w:b/>
                <w:bCs/>
                <w:sz w:val="24"/>
                <w:szCs w:val="24"/>
                <w:lang w:bidi="en-US"/>
              </w:rPr>
              <w:t>21.0</w:t>
            </w:r>
            <w:r>
              <w:rPr>
                <w:sz w:val="24"/>
                <w:szCs w:val="24"/>
                <w:lang w:bidi="en-US"/>
              </w:rPr>
              <w:t xml:space="preserve"> (Lowest Concern)</w:t>
            </w:r>
          </w:p>
        </w:tc>
      </w:tr>
      <w:tr w:rsidR="00241B0B" w14:paraId="1B8D3A79" w14:textId="77777777" w:rsidTr="00C90731">
        <w:tc>
          <w:tcPr>
            <w:tcW w:w="1615" w:type="dxa"/>
          </w:tcPr>
          <w:p w14:paraId="424D9617" w14:textId="77777777" w:rsidR="00241B0B" w:rsidRDefault="00000000" w:rsidP="00C90731">
            <w:pPr>
              <w:spacing w:before="22" w:after="240" w:line="276" w:lineRule="auto"/>
              <w:jc w:val="both"/>
              <w:rPr>
                <w:sz w:val="24"/>
                <w:szCs w:val="24"/>
                <w:lang w:bidi="en-US"/>
              </w:rPr>
            </w:pPr>
            <w:r>
              <w:rPr>
                <w:b/>
                <w:bCs/>
                <w:sz w:val="24"/>
                <w:szCs w:val="24"/>
                <w:lang w:bidi="en-US"/>
              </w:rPr>
              <w:t>Secondary</w:t>
            </w:r>
          </w:p>
        </w:tc>
        <w:tc>
          <w:tcPr>
            <w:tcW w:w="1350" w:type="dxa"/>
          </w:tcPr>
          <w:p w14:paraId="3583CACB" w14:textId="77777777" w:rsidR="00241B0B" w:rsidRDefault="00000000" w:rsidP="00C90731">
            <w:pPr>
              <w:spacing w:before="22" w:after="240" w:line="276" w:lineRule="auto"/>
              <w:jc w:val="both"/>
              <w:rPr>
                <w:sz w:val="24"/>
                <w:szCs w:val="24"/>
                <w:lang w:bidi="en-US"/>
              </w:rPr>
            </w:pPr>
            <w:r>
              <w:rPr>
                <w:sz w:val="24"/>
                <w:szCs w:val="24"/>
                <w:lang w:bidi="en-US"/>
              </w:rPr>
              <w:t>180</w:t>
            </w:r>
          </w:p>
        </w:tc>
        <w:tc>
          <w:tcPr>
            <w:tcW w:w="1350" w:type="dxa"/>
          </w:tcPr>
          <w:p w14:paraId="1C07B0CE" w14:textId="77777777" w:rsidR="00241B0B" w:rsidRDefault="00000000" w:rsidP="00C90731">
            <w:pPr>
              <w:spacing w:before="22" w:after="240" w:line="276" w:lineRule="auto"/>
              <w:jc w:val="both"/>
              <w:rPr>
                <w:sz w:val="24"/>
                <w:szCs w:val="24"/>
                <w:lang w:bidi="en-US"/>
              </w:rPr>
            </w:pPr>
            <w:r>
              <w:rPr>
                <w:sz w:val="24"/>
                <w:szCs w:val="24"/>
                <w:lang w:bidi="en-US"/>
              </w:rPr>
              <w:t>17.98</w:t>
            </w:r>
          </w:p>
        </w:tc>
        <w:tc>
          <w:tcPr>
            <w:tcW w:w="1800" w:type="dxa"/>
          </w:tcPr>
          <w:p w14:paraId="6E168741" w14:textId="77777777" w:rsidR="00241B0B" w:rsidRDefault="00000000" w:rsidP="00C90731">
            <w:pPr>
              <w:spacing w:before="22" w:after="240" w:line="276" w:lineRule="auto"/>
              <w:jc w:val="both"/>
              <w:rPr>
                <w:sz w:val="24"/>
                <w:szCs w:val="24"/>
                <w:lang w:bidi="en-US"/>
              </w:rPr>
            </w:pPr>
            <w:r>
              <w:rPr>
                <w:sz w:val="24"/>
                <w:szCs w:val="24"/>
                <w:lang w:bidi="en-US"/>
              </w:rPr>
              <w:t>4.17</w:t>
            </w:r>
          </w:p>
        </w:tc>
        <w:tc>
          <w:tcPr>
            <w:tcW w:w="2790" w:type="dxa"/>
          </w:tcPr>
          <w:p w14:paraId="714FC032" w14:textId="77777777" w:rsidR="00241B0B" w:rsidRDefault="00000000" w:rsidP="00C90731">
            <w:pPr>
              <w:spacing w:before="22" w:after="240" w:line="276" w:lineRule="auto"/>
              <w:jc w:val="both"/>
              <w:rPr>
                <w:sz w:val="24"/>
                <w:szCs w:val="24"/>
                <w:lang w:bidi="en-US"/>
              </w:rPr>
            </w:pPr>
            <w:r>
              <w:rPr>
                <w:b/>
                <w:bCs/>
                <w:sz w:val="24"/>
                <w:szCs w:val="24"/>
                <w:lang w:bidi="en-US"/>
              </w:rPr>
              <w:t>19.0</w:t>
            </w:r>
          </w:p>
        </w:tc>
      </w:tr>
      <w:tr w:rsidR="00241B0B" w14:paraId="364FBA4D" w14:textId="77777777" w:rsidTr="00C90731">
        <w:tc>
          <w:tcPr>
            <w:tcW w:w="1615" w:type="dxa"/>
          </w:tcPr>
          <w:p w14:paraId="1408F4A0" w14:textId="77777777" w:rsidR="00241B0B" w:rsidRDefault="00000000" w:rsidP="00C90731">
            <w:pPr>
              <w:spacing w:before="22" w:after="240" w:line="276" w:lineRule="auto"/>
              <w:jc w:val="both"/>
              <w:rPr>
                <w:sz w:val="24"/>
                <w:szCs w:val="24"/>
                <w:lang w:bidi="en-US"/>
              </w:rPr>
            </w:pPr>
            <w:r>
              <w:rPr>
                <w:b/>
                <w:bCs/>
                <w:sz w:val="24"/>
                <w:szCs w:val="24"/>
                <w:lang w:bidi="en-US"/>
              </w:rPr>
              <w:t>Tertiary</w:t>
            </w:r>
          </w:p>
        </w:tc>
        <w:tc>
          <w:tcPr>
            <w:tcW w:w="1350" w:type="dxa"/>
          </w:tcPr>
          <w:p w14:paraId="369D483C" w14:textId="77777777" w:rsidR="00241B0B" w:rsidRDefault="00000000" w:rsidP="00C90731">
            <w:pPr>
              <w:spacing w:before="22" w:after="240" w:line="276" w:lineRule="auto"/>
              <w:jc w:val="both"/>
              <w:rPr>
                <w:sz w:val="24"/>
                <w:szCs w:val="24"/>
                <w:lang w:bidi="en-US"/>
              </w:rPr>
            </w:pPr>
            <w:r>
              <w:rPr>
                <w:sz w:val="24"/>
                <w:szCs w:val="24"/>
                <w:lang w:bidi="en-US"/>
              </w:rPr>
              <w:t>142</w:t>
            </w:r>
          </w:p>
        </w:tc>
        <w:tc>
          <w:tcPr>
            <w:tcW w:w="1350" w:type="dxa"/>
          </w:tcPr>
          <w:p w14:paraId="4AE902C8" w14:textId="77777777" w:rsidR="00241B0B" w:rsidRDefault="00000000" w:rsidP="00C90731">
            <w:pPr>
              <w:spacing w:before="22" w:after="240" w:line="276" w:lineRule="auto"/>
              <w:jc w:val="both"/>
              <w:rPr>
                <w:sz w:val="24"/>
                <w:szCs w:val="24"/>
                <w:lang w:bidi="en-US"/>
              </w:rPr>
            </w:pPr>
            <w:r>
              <w:rPr>
                <w:sz w:val="24"/>
                <w:szCs w:val="24"/>
                <w:lang w:bidi="en-US"/>
              </w:rPr>
              <w:t>14.29</w:t>
            </w:r>
          </w:p>
        </w:tc>
        <w:tc>
          <w:tcPr>
            <w:tcW w:w="1800" w:type="dxa"/>
          </w:tcPr>
          <w:p w14:paraId="681C9C74" w14:textId="77777777" w:rsidR="00241B0B" w:rsidRDefault="00000000" w:rsidP="00C90731">
            <w:pPr>
              <w:spacing w:before="22" w:after="240" w:line="276" w:lineRule="auto"/>
              <w:jc w:val="both"/>
              <w:rPr>
                <w:sz w:val="24"/>
                <w:szCs w:val="24"/>
                <w:lang w:bidi="en-US"/>
              </w:rPr>
            </w:pPr>
            <w:r>
              <w:rPr>
                <w:sz w:val="24"/>
                <w:szCs w:val="24"/>
                <w:lang w:bidi="en-US"/>
              </w:rPr>
              <w:t>5.66</w:t>
            </w:r>
          </w:p>
        </w:tc>
        <w:tc>
          <w:tcPr>
            <w:tcW w:w="2790" w:type="dxa"/>
          </w:tcPr>
          <w:p w14:paraId="2CAAFA43" w14:textId="77777777" w:rsidR="00241B0B" w:rsidRDefault="00000000" w:rsidP="00C90731">
            <w:pPr>
              <w:spacing w:before="22" w:after="240" w:line="276" w:lineRule="auto"/>
              <w:jc w:val="both"/>
              <w:rPr>
                <w:sz w:val="24"/>
                <w:szCs w:val="24"/>
                <w:lang w:bidi="en-US"/>
              </w:rPr>
            </w:pPr>
            <w:r>
              <w:rPr>
                <w:b/>
                <w:bCs/>
                <w:sz w:val="24"/>
                <w:szCs w:val="24"/>
                <w:lang w:bidi="en-US"/>
              </w:rPr>
              <w:t>13.0</w:t>
            </w:r>
            <w:r>
              <w:rPr>
                <w:sz w:val="24"/>
                <w:szCs w:val="24"/>
                <w:lang w:bidi="en-US"/>
              </w:rPr>
              <w:t xml:space="preserve"> (Highest Concern)</w:t>
            </w:r>
          </w:p>
        </w:tc>
      </w:tr>
    </w:tbl>
    <w:p w14:paraId="2BAAED45" w14:textId="77777777" w:rsidR="00241B0B" w:rsidRDefault="00241B0B">
      <w:pPr>
        <w:spacing w:before="22" w:after="240" w:line="360" w:lineRule="auto"/>
        <w:jc w:val="both"/>
        <w:rPr>
          <w:sz w:val="24"/>
          <w:szCs w:val="24"/>
          <w:lang w:bidi="en-US"/>
        </w:rPr>
      </w:pPr>
    </w:p>
    <w:p w14:paraId="35C4B280" w14:textId="562C6E1A" w:rsidR="000D6E46" w:rsidRDefault="000D6E46">
      <w:pPr>
        <w:spacing w:before="22" w:after="240" w:line="360" w:lineRule="auto"/>
        <w:jc w:val="both"/>
        <w:rPr>
          <w:sz w:val="24"/>
          <w:szCs w:val="24"/>
          <w:lang w:bidi="en-US"/>
        </w:rPr>
      </w:pPr>
      <w:r>
        <w:rPr>
          <w:sz w:val="24"/>
          <w:szCs w:val="24"/>
          <w:lang w:bidi="en-US"/>
        </w:rPr>
        <w:t xml:space="preserve">The following hypotheses were tested: </w:t>
      </w:r>
    </w:p>
    <w:p w14:paraId="575D4CFA" w14:textId="75330582" w:rsidR="00241B0B" w:rsidRPr="000D6E46" w:rsidRDefault="00000000">
      <w:pPr>
        <w:spacing w:before="22" w:after="240" w:line="360" w:lineRule="auto"/>
        <w:jc w:val="both"/>
        <w:rPr>
          <w:sz w:val="24"/>
          <w:szCs w:val="24"/>
          <w:lang w:bidi="en-US"/>
        </w:rPr>
      </w:pPr>
      <w:r w:rsidRPr="000D6E46">
        <w:rPr>
          <w:b/>
          <w:bCs/>
          <w:sz w:val="24"/>
          <w:szCs w:val="24"/>
          <w:lang w:bidi="en-US"/>
        </w:rPr>
        <w:t>H</w:t>
      </w:r>
      <w:r w:rsidRPr="000D6E46">
        <w:rPr>
          <w:b/>
          <w:bCs/>
          <w:sz w:val="24"/>
          <w:szCs w:val="24"/>
          <w:vertAlign w:val="subscript"/>
          <w:lang w:bidi="en-US"/>
        </w:rPr>
        <w:t>0</w:t>
      </w:r>
      <w:r w:rsidRPr="000D6E46">
        <w:rPr>
          <w:b/>
          <w:bCs/>
          <w:sz w:val="24"/>
          <w:szCs w:val="24"/>
          <w:lang w:bidi="en-US"/>
        </w:rPr>
        <w:t>:</w:t>
      </w:r>
      <w:r w:rsidRPr="000D6E46">
        <w:rPr>
          <w:sz w:val="24"/>
          <w:szCs w:val="24"/>
          <w:lang w:bidi="en-US"/>
        </w:rPr>
        <w:t xml:space="preserve"> There is no significant </w:t>
      </w:r>
      <w:r w:rsidR="000D6E46" w:rsidRPr="000D6E46">
        <w:rPr>
          <w:sz w:val="24"/>
          <w:szCs w:val="24"/>
          <w:lang w:bidi="en-US"/>
        </w:rPr>
        <w:t>association between educational levels and environmental concern</w:t>
      </w:r>
    </w:p>
    <w:p w14:paraId="315EF5A7" w14:textId="3B744540" w:rsidR="00241B0B" w:rsidRDefault="00000000">
      <w:pPr>
        <w:spacing w:before="22" w:after="240" w:line="360" w:lineRule="auto"/>
        <w:jc w:val="both"/>
        <w:rPr>
          <w:sz w:val="24"/>
          <w:szCs w:val="24"/>
          <w:lang w:bidi="en-US"/>
        </w:rPr>
      </w:pPr>
      <w:r>
        <w:rPr>
          <w:b/>
          <w:bCs/>
          <w:sz w:val="24"/>
          <w:szCs w:val="24"/>
          <w:lang w:bidi="en-US"/>
        </w:rPr>
        <w:t>H</w:t>
      </w:r>
      <w:r w:rsidRPr="000D6E46">
        <w:rPr>
          <w:b/>
          <w:bCs/>
          <w:sz w:val="24"/>
          <w:szCs w:val="24"/>
          <w:vertAlign w:val="subscript"/>
          <w:lang w:bidi="en-US"/>
        </w:rPr>
        <w:t>1</w:t>
      </w:r>
      <w:r>
        <w:rPr>
          <w:b/>
          <w:bCs/>
          <w:sz w:val="24"/>
          <w:szCs w:val="24"/>
          <w:lang w:bidi="en-US"/>
        </w:rPr>
        <w:t>:</w:t>
      </w:r>
      <w:r>
        <w:rPr>
          <w:sz w:val="24"/>
          <w:szCs w:val="24"/>
          <w:lang w:bidi="en-US"/>
        </w:rPr>
        <w:t xml:space="preserve"> There is a statistically significant </w:t>
      </w:r>
      <w:r w:rsidR="0045644F">
        <w:rPr>
          <w:sz w:val="24"/>
          <w:szCs w:val="24"/>
          <w:lang w:bidi="en-US"/>
        </w:rPr>
        <w:t>association between educational levels and environmental concern</w:t>
      </w:r>
    </w:p>
    <w:p w14:paraId="2302D18D" w14:textId="43161D6B" w:rsidR="00241B0B" w:rsidRDefault="00000000">
      <w:pPr>
        <w:spacing w:before="22" w:after="240" w:line="360" w:lineRule="auto"/>
        <w:jc w:val="both"/>
        <w:rPr>
          <w:sz w:val="24"/>
          <w:szCs w:val="24"/>
          <w:lang w:bidi="en-US"/>
        </w:rPr>
      </w:pPr>
      <w:r>
        <w:rPr>
          <w:sz w:val="24"/>
          <w:szCs w:val="24"/>
          <w:lang w:bidi="en-US"/>
        </w:rPr>
        <w:t xml:space="preserve">The Kruskal-Wallis H test </w:t>
      </w:r>
      <w:r w:rsidR="0045644F">
        <w:rPr>
          <w:sz w:val="24"/>
          <w:szCs w:val="24"/>
          <w:lang w:bidi="en-US"/>
        </w:rPr>
        <w:t xml:space="preserve">showed </w:t>
      </w:r>
      <w:r>
        <w:rPr>
          <w:sz w:val="24"/>
          <w:szCs w:val="24"/>
          <w:lang w:bidi="en-US"/>
        </w:rPr>
        <w:t>a statistically significant difference in environmental concern composite scores across the educational cohorts, H (2) = 62.51, p &lt; .001.</w:t>
      </w:r>
      <w:r w:rsidR="0045644F">
        <w:rPr>
          <w:sz w:val="24"/>
          <w:szCs w:val="24"/>
          <w:lang w:bidi="en-US"/>
        </w:rPr>
        <w:t xml:space="preserve"> The null hypothesis was therefore rejected because the p-value was below 0.05. Therefore, there is significant evidence to support </w:t>
      </w:r>
      <w:r w:rsidR="009227FC">
        <w:rPr>
          <w:sz w:val="24"/>
          <w:szCs w:val="24"/>
          <w:lang w:bidi="en-US"/>
        </w:rPr>
        <w:t xml:space="preserve">the alternative hypothesis that environmental concern levels are impacted by formal education. </w:t>
      </w:r>
    </w:p>
    <w:p w14:paraId="7CFC7B3B" w14:textId="77777777" w:rsidR="00241B0B" w:rsidRDefault="00000000">
      <w:pPr>
        <w:spacing w:before="22" w:after="240" w:line="360" w:lineRule="auto"/>
        <w:jc w:val="both"/>
        <w:rPr>
          <w:i/>
          <w:iCs/>
          <w:sz w:val="24"/>
          <w:szCs w:val="24"/>
          <w:lang w:bidi="en-US"/>
        </w:rPr>
      </w:pPr>
      <w:r>
        <w:rPr>
          <w:i/>
          <w:iCs/>
          <w:sz w:val="24"/>
          <w:szCs w:val="24"/>
          <w:lang w:bidi="en-US"/>
        </w:rPr>
        <w:t xml:space="preserve">Environmental Concern and Sanitation Practices </w:t>
      </w:r>
    </w:p>
    <w:p w14:paraId="7D1077F2" w14:textId="62676811" w:rsidR="00241B0B" w:rsidRDefault="00000000">
      <w:pPr>
        <w:spacing w:before="22" w:after="240" w:line="360" w:lineRule="auto"/>
        <w:jc w:val="both"/>
        <w:rPr>
          <w:sz w:val="24"/>
          <w:szCs w:val="24"/>
          <w:lang w:bidi="en-US"/>
        </w:rPr>
      </w:pPr>
      <w:r>
        <w:rPr>
          <w:sz w:val="24"/>
          <w:szCs w:val="24"/>
          <w:lang w:bidi="en-US"/>
        </w:rPr>
        <w:t>To evaluate the relationship between environmental concern and sanitation/</w:t>
      </w:r>
      <w:r w:rsidR="009227FC">
        <w:rPr>
          <w:sz w:val="24"/>
          <w:szCs w:val="24"/>
          <w:lang w:bidi="en-US"/>
        </w:rPr>
        <w:t xml:space="preserve">waste </w:t>
      </w:r>
      <w:r>
        <w:rPr>
          <w:sz w:val="24"/>
          <w:szCs w:val="24"/>
          <w:lang w:bidi="en-US"/>
        </w:rPr>
        <w:t>disposal practices, a Spearman's Rank Correlation (</w:t>
      </w:r>
      <w:proofErr w:type="spellStart"/>
      <w:r>
        <w:rPr>
          <w:sz w:val="24"/>
          <w:szCs w:val="24"/>
          <w:lang w:bidi="en-US"/>
        </w:rPr>
        <w:t>r</w:t>
      </w:r>
      <w:r>
        <w:rPr>
          <w:sz w:val="24"/>
          <w:szCs w:val="24"/>
          <w:vertAlign w:val="subscript"/>
          <w:lang w:bidi="en-US"/>
        </w:rPr>
        <w:t>s</w:t>
      </w:r>
      <w:proofErr w:type="spellEnd"/>
      <w:r>
        <w:rPr>
          <w:sz w:val="24"/>
          <w:szCs w:val="24"/>
          <w:lang w:bidi="en-US"/>
        </w:rPr>
        <w:t xml:space="preserve">) analysis was performed. The Environmental Concern Composite Score was constructed by summing numerical values assigned to the 5 negative environmental attitude statements (1 = Strongly Disagree) to (5 = Strongly Agree). A higher composite score (range of 5–25) reflects a higher degree of environmental apathy and externalization of behavioral accountability towards the environment. Similarly, responses to the 5 sanitation and dumping practices were converted to Likert values (1 to 5) and analyzed both individually and as an aggregate Sanitation </w:t>
      </w:r>
      <w:r>
        <w:rPr>
          <w:sz w:val="24"/>
          <w:szCs w:val="24"/>
          <w:lang w:bidi="en-US"/>
        </w:rPr>
        <w:lastRenderedPageBreak/>
        <w:t xml:space="preserve">Practices Score (where a higher score indicates higher observed or normalized pollutive behavior). Since the baseline frequencies had revealed a community heavily exposed to or participating in river degradation, a Spearman rank correlation test was conducted between the Environmental concern composite score and each individual statement. </w:t>
      </w:r>
    </w:p>
    <w:p w14:paraId="10857055" w14:textId="1131CFE8" w:rsidR="009227FC" w:rsidRDefault="009227FC" w:rsidP="009227FC">
      <w:pPr>
        <w:pStyle w:val="Caption"/>
        <w:keepNext/>
      </w:pPr>
      <w:r>
        <w:t xml:space="preserve">Table </w:t>
      </w:r>
      <w:fldSimple w:instr=" SEQ Table \* ARABIC ">
        <w:r>
          <w:rPr>
            <w:noProof/>
          </w:rPr>
          <w:t>3</w:t>
        </w:r>
      </w:fldSimple>
      <w:r>
        <w:t>: Results of the composite scores for sanitation practices across levels of environmental concern</w:t>
      </w:r>
    </w:p>
    <w:tbl>
      <w:tblPr>
        <w:tblStyle w:val="TableGrid"/>
        <w:tblW w:w="0" w:type="auto"/>
        <w:tblLook w:val="04A0" w:firstRow="1" w:lastRow="0" w:firstColumn="1" w:lastColumn="0" w:noHBand="0" w:noVBand="1"/>
      </w:tblPr>
      <w:tblGrid>
        <w:gridCol w:w="3325"/>
        <w:gridCol w:w="1710"/>
        <w:gridCol w:w="1044"/>
        <w:gridCol w:w="1685"/>
        <w:gridCol w:w="1946"/>
      </w:tblGrid>
      <w:tr w:rsidR="00241B0B" w14:paraId="2B3A5443" w14:textId="77777777" w:rsidTr="00C90731">
        <w:tc>
          <w:tcPr>
            <w:tcW w:w="3325" w:type="dxa"/>
          </w:tcPr>
          <w:p w14:paraId="7BD6864E" w14:textId="59161949" w:rsidR="00241B0B" w:rsidRDefault="00000000" w:rsidP="00C90731">
            <w:pPr>
              <w:spacing w:before="22" w:after="240" w:line="276" w:lineRule="auto"/>
              <w:jc w:val="both"/>
              <w:rPr>
                <w:sz w:val="24"/>
                <w:szCs w:val="24"/>
                <w:lang w:bidi="en-US"/>
              </w:rPr>
            </w:pPr>
            <w:r>
              <w:rPr>
                <w:b/>
                <w:bCs/>
                <w:sz w:val="24"/>
                <w:szCs w:val="24"/>
                <w:lang w:bidi="en-US"/>
              </w:rPr>
              <w:t xml:space="preserve">Sanitation Practice </w:t>
            </w:r>
          </w:p>
        </w:tc>
        <w:tc>
          <w:tcPr>
            <w:tcW w:w="1710" w:type="dxa"/>
          </w:tcPr>
          <w:p w14:paraId="6FEB673A" w14:textId="77777777" w:rsidR="00241B0B" w:rsidRDefault="00000000" w:rsidP="00C90731">
            <w:pPr>
              <w:spacing w:before="22" w:after="240" w:line="276" w:lineRule="auto"/>
              <w:jc w:val="both"/>
              <w:rPr>
                <w:sz w:val="24"/>
                <w:szCs w:val="24"/>
                <w:lang w:bidi="en-US"/>
              </w:rPr>
            </w:pPr>
            <w:r>
              <w:rPr>
                <w:b/>
                <w:bCs/>
                <w:sz w:val="24"/>
                <w:szCs w:val="24"/>
                <w:lang w:bidi="en-US"/>
              </w:rPr>
              <w:t>Spearman Rho (</w:t>
            </w:r>
            <w:proofErr w:type="spellStart"/>
            <w:r>
              <w:rPr>
                <w:b/>
                <w:bCs/>
                <w:sz w:val="24"/>
                <w:szCs w:val="24"/>
                <w:lang w:bidi="en-US"/>
              </w:rPr>
              <w:t>r</w:t>
            </w:r>
            <w:r w:rsidRPr="00C90731">
              <w:rPr>
                <w:b/>
                <w:bCs/>
                <w:sz w:val="24"/>
                <w:szCs w:val="24"/>
                <w:vertAlign w:val="subscript"/>
                <w:lang w:bidi="en-US"/>
              </w:rPr>
              <w:t>s</w:t>
            </w:r>
            <w:proofErr w:type="spellEnd"/>
            <w:r>
              <w:rPr>
                <w:b/>
                <w:bCs/>
                <w:sz w:val="24"/>
                <w:szCs w:val="24"/>
                <w:lang w:bidi="en-US"/>
              </w:rPr>
              <w:t>​)</w:t>
            </w:r>
          </w:p>
        </w:tc>
        <w:tc>
          <w:tcPr>
            <w:tcW w:w="1044" w:type="dxa"/>
          </w:tcPr>
          <w:p w14:paraId="34E416E1" w14:textId="77777777" w:rsidR="00241B0B" w:rsidRDefault="00000000" w:rsidP="00C90731">
            <w:pPr>
              <w:spacing w:before="22" w:after="240" w:line="276" w:lineRule="auto"/>
              <w:jc w:val="both"/>
              <w:rPr>
                <w:sz w:val="24"/>
                <w:szCs w:val="24"/>
                <w:lang w:bidi="en-US"/>
              </w:rPr>
            </w:pPr>
            <w:r>
              <w:rPr>
                <w:b/>
                <w:bCs/>
                <w:sz w:val="24"/>
                <w:szCs w:val="24"/>
                <w:lang w:bidi="en-US"/>
              </w:rPr>
              <w:t>p-value</w:t>
            </w:r>
          </w:p>
        </w:tc>
        <w:tc>
          <w:tcPr>
            <w:tcW w:w="0" w:type="auto"/>
          </w:tcPr>
          <w:p w14:paraId="2D4E847D" w14:textId="77777777" w:rsidR="00241B0B" w:rsidRDefault="00000000" w:rsidP="00C90731">
            <w:pPr>
              <w:spacing w:before="22" w:after="240" w:line="276" w:lineRule="auto"/>
              <w:jc w:val="both"/>
              <w:rPr>
                <w:sz w:val="24"/>
                <w:szCs w:val="24"/>
                <w:lang w:bidi="en-US"/>
              </w:rPr>
            </w:pPr>
            <w:r>
              <w:rPr>
                <w:b/>
                <w:bCs/>
                <w:sz w:val="24"/>
                <w:szCs w:val="24"/>
                <w:lang w:bidi="en-US"/>
              </w:rPr>
              <w:t>Significance Level</w:t>
            </w:r>
          </w:p>
        </w:tc>
        <w:tc>
          <w:tcPr>
            <w:tcW w:w="0" w:type="auto"/>
          </w:tcPr>
          <w:p w14:paraId="383D8594" w14:textId="77777777" w:rsidR="00241B0B" w:rsidRDefault="00000000" w:rsidP="00C90731">
            <w:pPr>
              <w:spacing w:before="22" w:after="240" w:line="276" w:lineRule="auto"/>
              <w:jc w:val="both"/>
              <w:rPr>
                <w:sz w:val="24"/>
                <w:szCs w:val="24"/>
                <w:lang w:bidi="en-US"/>
              </w:rPr>
            </w:pPr>
            <w:r>
              <w:rPr>
                <w:b/>
                <w:bCs/>
                <w:sz w:val="24"/>
                <w:szCs w:val="24"/>
                <w:lang w:bidi="en-US"/>
              </w:rPr>
              <w:t>Relationship Strength</w:t>
            </w:r>
          </w:p>
        </w:tc>
      </w:tr>
      <w:tr w:rsidR="00241B0B" w14:paraId="7B5B32D6" w14:textId="77777777" w:rsidTr="00C90731">
        <w:tc>
          <w:tcPr>
            <w:tcW w:w="3325" w:type="dxa"/>
          </w:tcPr>
          <w:p w14:paraId="77BF4B7A" w14:textId="77777777" w:rsidR="00241B0B" w:rsidRDefault="00000000" w:rsidP="00C90731">
            <w:pPr>
              <w:spacing w:before="22" w:after="240" w:line="276" w:lineRule="auto"/>
              <w:jc w:val="both"/>
              <w:rPr>
                <w:sz w:val="24"/>
                <w:szCs w:val="24"/>
                <w:lang w:bidi="en-US"/>
              </w:rPr>
            </w:pPr>
            <w:r>
              <w:rPr>
                <w:i/>
                <w:iCs/>
                <w:sz w:val="24"/>
                <w:szCs w:val="24"/>
                <w:lang w:bidi="en-US"/>
              </w:rPr>
              <w:t>“I see people dumping waste... but feel I can't do anything about it”</w:t>
            </w:r>
          </w:p>
        </w:tc>
        <w:tc>
          <w:tcPr>
            <w:tcW w:w="1710" w:type="dxa"/>
          </w:tcPr>
          <w:p w14:paraId="00BF8FEB" w14:textId="77777777" w:rsidR="00241B0B" w:rsidRDefault="00000000" w:rsidP="00C90731">
            <w:pPr>
              <w:spacing w:before="22" w:after="240" w:line="276" w:lineRule="auto"/>
              <w:jc w:val="both"/>
              <w:rPr>
                <w:sz w:val="24"/>
                <w:szCs w:val="24"/>
                <w:lang w:bidi="en-US"/>
              </w:rPr>
            </w:pPr>
            <w:r>
              <w:rPr>
                <w:b/>
                <w:bCs/>
                <w:sz w:val="24"/>
                <w:szCs w:val="24"/>
                <w:lang w:bidi="en-US"/>
              </w:rPr>
              <w:t>.5824</w:t>
            </w:r>
          </w:p>
        </w:tc>
        <w:tc>
          <w:tcPr>
            <w:tcW w:w="1044" w:type="dxa"/>
          </w:tcPr>
          <w:p w14:paraId="5000E2F1" w14:textId="77777777" w:rsidR="00241B0B" w:rsidRDefault="00000000" w:rsidP="00C90731">
            <w:pPr>
              <w:spacing w:before="22" w:after="240" w:line="276" w:lineRule="auto"/>
              <w:jc w:val="both"/>
              <w:rPr>
                <w:sz w:val="24"/>
                <w:szCs w:val="24"/>
                <w:lang w:bidi="en-US"/>
              </w:rPr>
            </w:pPr>
            <w:r>
              <w:rPr>
                <w:sz w:val="24"/>
                <w:szCs w:val="24"/>
                <w:lang w:bidi="en-US"/>
              </w:rPr>
              <w:t>&lt; .001</w:t>
            </w:r>
          </w:p>
        </w:tc>
        <w:tc>
          <w:tcPr>
            <w:tcW w:w="0" w:type="auto"/>
          </w:tcPr>
          <w:p w14:paraId="4D0F16B6" w14:textId="77777777" w:rsidR="00241B0B" w:rsidRDefault="00000000" w:rsidP="00C90731">
            <w:pPr>
              <w:spacing w:before="22" w:after="240" w:line="276" w:lineRule="auto"/>
              <w:jc w:val="both"/>
              <w:rPr>
                <w:sz w:val="24"/>
                <w:szCs w:val="24"/>
                <w:lang w:bidi="en-US"/>
              </w:rPr>
            </w:pPr>
            <w:r>
              <w:rPr>
                <w:sz w:val="24"/>
                <w:szCs w:val="24"/>
                <w:lang w:bidi="en-US"/>
              </w:rPr>
              <w:t>Highly Significant</w:t>
            </w:r>
          </w:p>
        </w:tc>
        <w:tc>
          <w:tcPr>
            <w:tcW w:w="0" w:type="auto"/>
          </w:tcPr>
          <w:p w14:paraId="56E71D48" w14:textId="77777777" w:rsidR="00241B0B" w:rsidRDefault="00000000" w:rsidP="00C90731">
            <w:pPr>
              <w:spacing w:before="22" w:after="240" w:line="276" w:lineRule="auto"/>
              <w:jc w:val="both"/>
              <w:rPr>
                <w:sz w:val="24"/>
                <w:szCs w:val="24"/>
                <w:lang w:bidi="en-US"/>
              </w:rPr>
            </w:pPr>
            <w:r>
              <w:rPr>
                <w:sz w:val="24"/>
                <w:szCs w:val="24"/>
                <w:lang w:bidi="en-US"/>
              </w:rPr>
              <w:t>Strong Positive</w:t>
            </w:r>
          </w:p>
        </w:tc>
      </w:tr>
      <w:tr w:rsidR="00241B0B" w14:paraId="64637965" w14:textId="77777777" w:rsidTr="00C90731">
        <w:tc>
          <w:tcPr>
            <w:tcW w:w="3325" w:type="dxa"/>
          </w:tcPr>
          <w:p w14:paraId="74BA3A38" w14:textId="77777777" w:rsidR="00241B0B" w:rsidRDefault="00000000" w:rsidP="00C90731">
            <w:pPr>
              <w:spacing w:before="22" w:after="240" w:line="276" w:lineRule="auto"/>
              <w:jc w:val="both"/>
              <w:rPr>
                <w:sz w:val="24"/>
                <w:szCs w:val="24"/>
                <w:lang w:bidi="en-US"/>
              </w:rPr>
            </w:pPr>
            <w:r>
              <w:rPr>
                <w:i/>
                <w:iCs/>
                <w:sz w:val="24"/>
                <w:szCs w:val="24"/>
                <w:lang w:bidi="en-US"/>
              </w:rPr>
              <w:t>“It is cheaper to dispose waste in the river”</w:t>
            </w:r>
          </w:p>
        </w:tc>
        <w:tc>
          <w:tcPr>
            <w:tcW w:w="1710" w:type="dxa"/>
          </w:tcPr>
          <w:p w14:paraId="27586790" w14:textId="77777777" w:rsidR="00241B0B" w:rsidRDefault="00000000" w:rsidP="00C90731">
            <w:pPr>
              <w:spacing w:before="22" w:after="240" w:line="276" w:lineRule="auto"/>
              <w:jc w:val="both"/>
              <w:rPr>
                <w:sz w:val="24"/>
                <w:szCs w:val="24"/>
                <w:lang w:bidi="en-US"/>
              </w:rPr>
            </w:pPr>
            <w:r>
              <w:rPr>
                <w:b/>
                <w:bCs/>
                <w:sz w:val="24"/>
                <w:szCs w:val="24"/>
                <w:lang w:bidi="en-US"/>
              </w:rPr>
              <w:t>.5323</w:t>
            </w:r>
          </w:p>
        </w:tc>
        <w:tc>
          <w:tcPr>
            <w:tcW w:w="1044" w:type="dxa"/>
          </w:tcPr>
          <w:p w14:paraId="0589C47A" w14:textId="77777777" w:rsidR="00241B0B" w:rsidRDefault="00000000" w:rsidP="00C90731">
            <w:pPr>
              <w:spacing w:before="22" w:after="240" w:line="276" w:lineRule="auto"/>
              <w:jc w:val="both"/>
              <w:rPr>
                <w:sz w:val="24"/>
                <w:szCs w:val="24"/>
                <w:lang w:bidi="en-US"/>
              </w:rPr>
            </w:pPr>
            <w:r>
              <w:rPr>
                <w:sz w:val="24"/>
                <w:szCs w:val="24"/>
                <w:lang w:bidi="en-US"/>
              </w:rPr>
              <w:t>&lt; .001</w:t>
            </w:r>
          </w:p>
        </w:tc>
        <w:tc>
          <w:tcPr>
            <w:tcW w:w="0" w:type="auto"/>
          </w:tcPr>
          <w:p w14:paraId="11432289" w14:textId="77777777" w:rsidR="00241B0B" w:rsidRDefault="00000000" w:rsidP="00C90731">
            <w:pPr>
              <w:spacing w:before="22" w:after="240" w:line="276" w:lineRule="auto"/>
              <w:jc w:val="both"/>
              <w:rPr>
                <w:sz w:val="24"/>
                <w:szCs w:val="24"/>
                <w:lang w:bidi="en-US"/>
              </w:rPr>
            </w:pPr>
            <w:r>
              <w:rPr>
                <w:sz w:val="24"/>
                <w:szCs w:val="24"/>
                <w:lang w:bidi="en-US"/>
              </w:rPr>
              <w:t>Highly Significant</w:t>
            </w:r>
          </w:p>
        </w:tc>
        <w:tc>
          <w:tcPr>
            <w:tcW w:w="0" w:type="auto"/>
          </w:tcPr>
          <w:p w14:paraId="5790ADAC" w14:textId="77777777" w:rsidR="00241B0B" w:rsidRDefault="00000000" w:rsidP="00C90731">
            <w:pPr>
              <w:spacing w:before="22" w:after="240" w:line="276" w:lineRule="auto"/>
              <w:jc w:val="both"/>
              <w:rPr>
                <w:sz w:val="24"/>
                <w:szCs w:val="24"/>
                <w:lang w:bidi="en-US"/>
              </w:rPr>
            </w:pPr>
            <w:r>
              <w:rPr>
                <w:sz w:val="24"/>
                <w:szCs w:val="24"/>
                <w:lang w:bidi="en-US"/>
              </w:rPr>
              <w:t>Strong Positive</w:t>
            </w:r>
          </w:p>
        </w:tc>
      </w:tr>
      <w:tr w:rsidR="00241B0B" w14:paraId="73511181" w14:textId="77777777" w:rsidTr="00C90731">
        <w:tc>
          <w:tcPr>
            <w:tcW w:w="3325" w:type="dxa"/>
          </w:tcPr>
          <w:p w14:paraId="573516B2" w14:textId="77777777" w:rsidR="00241B0B" w:rsidRDefault="00000000" w:rsidP="00C90731">
            <w:pPr>
              <w:spacing w:before="22" w:after="240" w:line="276" w:lineRule="auto"/>
              <w:jc w:val="both"/>
              <w:rPr>
                <w:sz w:val="24"/>
                <w:szCs w:val="24"/>
                <w:lang w:bidi="en-US"/>
              </w:rPr>
            </w:pPr>
            <w:r>
              <w:rPr>
                <w:i/>
                <w:iCs/>
                <w:sz w:val="24"/>
                <w:szCs w:val="24"/>
                <w:lang w:bidi="en-US"/>
              </w:rPr>
              <w:t>“I know a number of people that dispose waste in/by the river”</w:t>
            </w:r>
          </w:p>
        </w:tc>
        <w:tc>
          <w:tcPr>
            <w:tcW w:w="1710" w:type="dxa"/>
          </w:tcPr>
          <w:p w14:paraId="2AB47FEF" w14:textId="77777777" w:rsidR="00241B0B" w:rsidRDefault="00000000" w:rsidP="00C90731">
            <w:pPr>
              <w:spacing w:before="22" w:after="240" w:line="276" w:lineRule="auto"/>
              <w:jc w:val="both"/>
              <w:rPr>
                <w:sz w:val="24"/>
                <w:szCs w:val="24"/>
                <w:lang w:bidi="en-US"/>
              </w:rPr>
            </w:pPr>
            <w:r>
              <w:rPr>
                <w:b/>
                <w:bCs/>
                <w:sz w:val="24"/>
                <w:szCs w:val="24"/>
                <w:lang w:bidi="en-US"/>
              </w:rPr>
              <w:t>.3900</w:t>
            </w:r>
          </w:p>
        </w:tc>
        <w:tc>
          <w:tcPr>
            <w:tcW w:w="1044" w:type="dxa"/>
          </w:tcPr>
          <w:p w14:paraId="699CC26C" w14:textId="77777777" w:rsidR="00241B0B" w:rsidRDefault="00000000" w:rsidP="00C90731">
            <w:pPr>
              <w:spacing w:before="22" w:after="240" w:line="276" w:lineRule="auto"/>
              <w:jc w:val="both"/>
              <w:rPr>
                <w:sz w:val="24"/>
                <w:szCs w:val="24"/>
                <w:lang w:bidi="en-US"/>
              </w:rPr>
            </w:pPr>
            <w:r>
              <w:rPr>
                <w:sz w:val="24"/>
                <w:szCs w:val="24"/>
                <w:lang w:bidi="en-US"/>
              </w:rPr>
              <w:t>&lt; .001</w:t>
            </w:r>
          </w:p>
        </w:tc>
        <w:tc>
          <w:tcPr>
            <w:tcW w:w="0" w:type="auto"/>
          </w:tcPr>
          <w:p w14:paraId="3DDB97D4" w14:textId="77777777" w:rsidR="00241B0B" w:rsidRDefault="00000000" w:rsidP="00C90731">
            <w:pPr>
              <w:spacing w:before="22" w:after="240" w:line="276" w:lineRule="auto"/>
              <w:jc w:val="both"/>
              <w:rPr>
                <w:sz w:val="24"/>
                <w:szCs w:val="24"/>
                <w:lang w:bidi="en-US"/>
              </w:rPr>
            </w:pPr>
            <w:r>
              <w:rPr>
                <w:sz w:val="24"/>
                <w:szCs w:val="24"/>
                <w:lang w:bidi="en-US"/>
              </w:rPr>
              <w:t>Highly Significant</w:t>
            </w:r>
          </w:p>
        </w:tc>
        <w:tc>
          <w:tcPr>
            <w:tcW w:w="0" w:type="auto"/>
          </w:tcPr>
          <w:p w14:paraId="2C5C7DC1" w14:textId="77777777" w:rsidR="00241B0B" w:rsidRDefault="00000000" w:rsidP="00C90731">
            <w:pPr>
              <w:spacing w:before="22" w:after="240" w:line="276" w:lineRule="auto"/>
              <w:jc w:val="both"/>
              <w:rPr>
                <w:sz w:val="24"/>
                <w:szCs w:val="24"/>
                <w:lang w:bidi="en-US"/>
              </w:rPr>
            </w:pPr>
            <w:r>
              <w:rPr>
                <w:sz w:val="24"/>
                <w:szCs w:val="24"/>
                <w:lang w:bidi="en-US"/>
              </w:rPr>
              <w:t>Moderate Positive</w:t>
            </w:r>
          </w:p>
        </w:tc>
      </w:tr>
      <w:tr w:rsidR="00241B0B" w14:paraId="4D70B8BE" w14:textId="77777777" w:rsidTr="00C90731">
        <w:tc>
          <w:tcPr>
            <w:tcW w:w="3325" w:type="dxa"/>
          </w:tcPr>
          <w:p w14:paraId="08196B24" w14:textId="77777777" w:rsidR="00241B0B" w:rsidRDefault="00000000" w:rsidP="00C90731">
            <w:pPr>
              <w:spacing w:before="22" w:after="240" w:line="276" w:lineRule="auto"/>
              <w:jc w:val="both"/>
              <w:rPr>
                <w:sz w:val="24"/>
                <w:szCs w:val="24"/>
                <w:lang w:bidi="en-US"/>
              </w:rPr>
            </w:pPr>
            <w:r>
              <w:rPr>
                <w:i/>
                <w:iCs/>
                <w:sz w:val="24"/>
                <w:szCs w:val="24"/>
                <w:lang w:bidi="en-US"/>
              </w:rPr>
              <w:t>“It is common for people to wash cars, clothes, motorcycles by the river”</w:t>
            </w:r>
          </w:p>
        </w:tc>
        <w:tc>
          <w:tcPr>
            <w:tcW w:w="1710" w:type="dxa"/>
          </w:tcPr>
          <w:p w14:paraId="522FFF7F" w14:textId="77777777" w:rsidR="00241B0B" w:rsidRDefault="00000000" w:rsidP="00C90731">
            <w:pPr>
              <w:spacing w:before="22" w:after="240" w:line="276" w:lineRule="auto"/>
              <w:jc w:val="both"/>
              <w:rPr>
                <w:sz w:val="24"/>
                <w:szCs w:val="24"/>
                <w:lang w:bidi="en-US"/>
              </w:rPr>
            </w:pPr>
            <w:r>
              <w:rPr>
                <w:b/>
                <w:bCs/>
                <w:sz w:val="24"/>
                <w:szCs w:val="24"/>
                <w:lang w:bidi="en-US"/>
              </w:rPr>
              <w:t>.2711</w:t>
            </w:r>
          </w:p>
        </w:tc>
        <w:tc>
          <w:tcPr>
            <w:tcW w:w="1044" w:type="dxa"/>
          </w:tcPr>
          <w:p w14:paraId="1669868D" w14:textId="77777777" w:rsidR="00241B0B" w:rsidRDefault="00000000" w:rsidP="00C90731">
            <w:pPr>
              <w:spacing w:before="22" w:after="240" w:line="276" w:lineRule="auto"/>
              <w:jc w:val="both"/>
              <w:rPr>
                <w:sz w:val="24"/>
                <w:szCs w:val="24"/>
                <w:lang w:bidi="en-US"/>
              </w:rPr>
            </w:pPr>
            <w:r>
              <w:rPr>
                <w:sz w:val="24"/>
                <w:szCs w:val="24"/>
                <w:lang w:bidi="en-US"/>
              </w:rPr>
              <w:t>&lt; .001</w:t>
            </w:r>
          </w:p>
        </w:tc>
        <w:tc>
          <w:tcPr>
            <w:tcW w:w="0" w:type="auto"/>
          </w:tcPr>
          <w:p w14:paraId="695B99C6" w14:textId="77777777" w:rsidR="00241B0B" w:rsidRDefault="00000000" w:rsidP="00C90731">
            <w:pPr>
              <w:spacing w:before="22" w:after="240" w:line="276" w:lineRule="auto"/>
              <w:jc w:val="both"/>
              <w:rPr>
                <w:sz w:val="24"/>
                <w:szCs w:val="24"/>
                <w:lang w:bidi="en-US"/>
              </w:rPr>
            </w:pPr>
            <w:r>
              <w:rPr>
                <w:sz w:val="24"/>
                <w:szCs w:val="24"/>
                <w:lang w:bidi="en-US"/>
              </w:rPr>
              <w:t>Highly Significant</w:t>
            </w:r>
          </w:p>
        </w:tc>
        <w:tc>
          <w:tcPr>
            <w:tcW w:w="0" w:type="auto"/>
          </w:tcPr>
          <w:p w14:paraId="7A2736DD" w14:textId="77777777" w:rsidR="00241B0B" w:rsidRDefault="00000000" w:rsidP="00C90731">
            <w:pPr>
              <w:spacing w:before="22" w:after="240" w:line="276" w:lineRule="auto"/>
              <w:jc w:val="both"/>
              <w:rPr>
                <w:sz w:val="24"/>
                <w:szCs w:val="24"/>
                <w:lang w:bidi="en-US"/>
              </w:rPr>
            </w:pPr>
            <w:r>
              <w:rPr>
                <w:sz w:val="24"/>
                <w:szCs w:val="24"/>
                <w:lang w:bidi="en-US"/>
              </w:rPr>
              <w:t>Weak-Moderate Positive</w:t>
            </w:r>
          </w:p>
        </w:tc>
      </w:tr>
      <w:tr w:rsidR="00241B0B" w14:paraId="1C4A7B74" w14:textId="77777777" w:rsidTr="00C90731">
        <w:tc>
          <w:tcPr>
            <w:tcW w:w="3325" w:type="dxa"/>
          </w:tcPr>
          <w:p w14:paraId="786C1F9F" w14:textId="77777777" w:rsidR="00241B0B" w:rsidRDefault="00000000" w:rsidP="00C90731">
            <w:pPr>
              <w:spacing w:before="22" w:after="240" w:line="276" w:lineRule="auto"/>
              <w:jc w:val="both"/>
              <w:rPr>
                <w:sz w:val="24"/>
                <w:szCs w:val="24"/>
                <w:lang w:bidi="en-US"/>
              </w:rPr>
            </w:pPr>
            <w:r>
              <w:rPr>
                <w:i/>
                <w:iCs/>
                <w:sz w:val="24"/>
                <w:szCs w:val="24"/>
                <w:lang w:bidi="en-US"/>
              </w:rPr>
              <w:t>“It is common for people to defecate in or near the river”</w:t>
            </w:r>
          </w:p>
        </w:tc>
        <w:tc>
          <w:tcPr>
            <w:tcW w:w="1710" w:type="dxa"/>
          </w:tcPr>
          <w:p w14:paraId="6706055B" w14:textId="77777777" w:rsidR="00241B0B" w:rsidRDefault="00000000" w:rsidP="00C90731">
            <w:pPr>
              <w:spacing w:before="22" w:after="240" w:line="276" w:lineRule="auto"/>
              <w:jc w:val="both"/>
              <w:rPr>
                <w:sz w:val="24"/>
                <w:szCs w:val="24"/>
                <w:lang w:bidi="en-US"/>
              </w:rPr>
            </w:pPr>
            <w:r>
              <w:rPr>
                <w:b/>
                <w:bCs/>
                <w:sz w:val="24"/>
                <w:szCs w:val="24"/>
                <w:lang w:bidi="en-US"/>
              </w:rPr>
              <w:t>.1500</w:t>
            </w:r>
          </w:p>
        </w:tc>
        <w:tc>
          <w:tcPr>
            <w:tcW w:w="1044" w:type="dxa"/>
          </w:tcPr>
          <w:p w14:paraId="6D0851CB" w14:textId="77777777" w:rsidR="00241B0B" w:rsidRDefault="00000000" w:rsidP="00C90731">
            <w:pPr>
              <w:spacing w:before="22" w:after="240" w:line="276" w:lineRule="auto"/>
              <w:jc w:val="both"/>
              <w:rPr>
                <w:sz w:val="24"/>
                <w:szCs w:val="24"/>
                <w:lang w:bidi="en-US"/>
              </w:rPr>
            </w:pPr>
            <w:r>
              <w:rPr>
                <w:sz w:val="24"/>
                <w:szCs w:val="24"/>
                <w:lang w:bidi="en-US"/>
              </w:rPr>
              <w:t>0.0027</w:t>
            </w:r>
          </w:p>
        </w:tc>
        <w:tc>
          <w:tcPr>
            <w:tcW w:w="0" w:type="auto"/>
          </w:tcPr>
          <w:p w14:paraId="7336BB80" w14:textId="77777777" w:rsidR="00241B0B" w:rsidRDefault="00000000" w:rsidP="00C90731">
            <w:pPr>
              <w:spacing w:before="22" w:after="240" w:line="276" w:lineRule="auto"/>
              <w:jc w:val="both"/>
              <w:rPr>
                <w:sz w:val="24"/>
                <w:szCs w:val="24"/>
                <w:lang w:bidi="en-US"/>
              </w:rPr>
            </w:pPr>
            <w:r>
              <w:rPr>
                <w:sz w:val="24"/>
                <w:szCs w:val="24"/>
                <w:lang w:bidi="en-US"/>
              </w:rPr>
              <w:t>Highly Significant</w:t>
            </w:r>
          </w:p>
        </w:tc>
        <w:tc>
          <w:tcPr>
            <w:tcW w:w="0" w:type="auto"/>
          </w:tcPr>
          <w:p w14:paraId="15C406ED" w14:textId="77777777" w:rsidR="00241B0B" w:rsidRDefault="00000000" w:rsidP="00C90731">
            <w:pPr>
              <w:spacing w:before="22" w:after="240" w:line="276" w:lineRule="auto"/>
              <w:jc w:val="both"/>
              <w:rPr>
                <w:sz w:val="24"/>
                <w:szCs w:val="24"/>
                <w:lang w:bidi="en-US"/>
              </w:rPr>
            </w:pPr>
            <w:r>
              <w:rPr>
                <w:sz w:val="24"/>
                <w:szCs w:val="24"/>
                <w:lang w:bidi="en-US"/>
              </w:rPr>
              <w:t>Weak Positive</w:t>
            </w:r>
          </w:p>
        </w:tc>
      </w:tr>
      <w:tr w:rsidR="00241B0B" w14:paraId="31F4E0FB" w14:textId="77777777" w:rsidTr="00C90731">
        <w:tc>
          <w:tcPr>
            <w:tcW w:w="3325" w:type="dxa"/>
          </w:tcPr>
          <w:p w14:paraId="706EE44F" w14:textId="77777777" w:rsidR="00241B0B" w:rsidRDefault="00000000" w:rsidP="00C90731">
            <w:pPr>
              <w:spacing w:before="22" w:after="240" w:line="276" w:lineRule="auto"/>
              <w:jc w:val="both"/>
              <w:rPr>
                <w:sz w:val="24"/>
                <w:szCs w:val="24"/>
                <w:lang w:bidi="en-US"/>
              </w:rPr>
            </w:pPr>
            <w:r>
              <w:rPr>
                <w:b/>
                <w:bCs/>
                <w:sz w:val="24"/>
                <w:szCs w:val="24"/>
                <w:lang w:bidi="en-US"/>
              </w:rPr>
              <w:t>Overall Sanitation Composite Index</w:t>
            </w:r>
          </w:p>
        </w:tc>
        <w:tc>
          <w:tcPr>
            <w:tcW w:w="1710" w:type="dxa"/>
          </w:tcPr>
          <w:p w14:paraId="69399C5D" w14:textId="77777777" w:rsidR="00241B0B" w:rsidRDefault="00000000" w:rsidP="00C90731">
            <w:pPr>
              <w:spacing w:before="22" w:after="240" w:line="276" w:lineRule="auto"/>
              <w:jc w:val="both"/>
              <w:rPr>
                <w:sz w:val="24"/>
                <w:szCs w:val="24"/>
                <w:lang w:bidi="en-US"/>
              </w:rPr>
            </w:pPr>
            <w:r>
              <w:rPr>
                <w:b/>
                <w:bCs/>
                <w:sz w:val="24"/>
                <w:szCs w:val="24"/>
                <w:lang w:bidi="en-US"/>
              </w:rPr>
              <w:t>.4989</w:t>
            </w:r>
          </w:p>
        </w:tc>
        <w:tc>
          <w:tcPr>
            <w:tcW w:w="1044" w:type="dxa"/>
          </w:tcPr>
          <w:p w14:paraId="62308AC1" w14:textId="77777777" w:rsidR="00241B0B" w:rsidRDefault="00000000" w:rsidP="00C90731">
            <w:pPr>
              <w:spacing w:before="22" w:after="240" w:line="276" w:lineRule="auto"/>
              <w:jc w:val="both"/>
              <w:rPr>
                <w:sz w:val="24"/>
                <w:szCs w:val="24"/>
                <w:lang w:bidi="en-US"/>
              </w:rPr>
            </w:pPr>
            <w:r>
              <w:rPr>
                <w:sz w:val="24"/>
                <w:szCs w:val="24"/>
                <w:lang w:bidi="en-US"/>
              </w:rPr>
              <w:t>&lt;.001</w:t>
            </w:r>
          </w:p>
        </w:tc>
        <w:tc>
          <w:tcPr>
            <w:tcW w:w="0" w:type="auto"/>
          </w:tcPr>
          <w:p w14:paraId="7B47E853" w14:textId="77777777" w:rsidR="00241B0B" w:rsidRDefault="00000000" w:rsidP="00C90731">
            <w:pPr>
              <w:spacing w:before="22" w:after="240" w:line="276" w:lineRule="auto"/>
              <w:jc w:val="both"/>
              <w:rPr>
                <w:sz w:val="24"/>
                <w:szCs w:val="24"/>
                <w:lang w:bidi="en-US"/>
              </w:rPr>
            </w:pPr>
            <w:r>
              <w:rPr>
                <w:sz w:val="24"/>
                <w:szCs w:val="24"/>
                <w:lang w:bidi="en-US"/>
              </w:rPr>
              <w:t>Highly Significant</w:t>
            </w:r>
          </w:p>
        </w:tc>
        <w:tc>
          <w:tcPr>
            <w:tcW w:w="0" w:type="auto"/>
          </w:tcPr>
          <w:p w14:paraId="10A8ACAB" w14:textId="77777777" w:rsidR="00241B0B" w:rsidRDefault="00000000" w:rsidP="00C90731">
            <w:pPr>
              <w:spacing w:before="22" w:after="240" w:line="276" w:lineRule="auto"/>
              <w:jc w:val="both"/>
              <w:rPr>
                <w:sz w:val="24"/>
                <w:szCs w:val="24"/>
                <w:lang w:bidi="en-US"/>
              </w:rPr>
            </w:pPr>
            <w:r>
              <w:rPr>
                <w:sz w:val="24"/>
                <w:szCs w:val="24"/>
                <w:lang w:bidi="en-US"/>
              </w:rPr>
              <w:t>Moderate-Strong Positive</w:t>
            </w:r>
          </w:p>
        </w:tc>
      </w:tr>
    </w:tbl>
    <w:p w14:paraId="1C4677A4" w14:textId="77777777" w:rsidR="00241B0B" w:rsidRDefault="00000000" w:rsidP="00C90731">
      <w:pPr>
        <w:spacing w:before="240" w:after="240" w:line="360" w:lineRule="auto"/>
        <w:jc w:val="both"/>
        <w:rPr>
          <w:sz w:val="24"/>
          <w:szCs w:val="24"/>
          <w:lang w:bidi="en-US"/>
        </w:rPr>
      </w:pPr>
      <w:r>
        <w:rPr>
          <w:sz w:val="24"/>
          <w:szCs w:val="24"/>
          <w:lang w:bidi="en-US"/>
        </w:rPr>
        <w:t>The Spearman’s rank-order correlation analysis revealed a statistically significant, moderate-to-strong positive correlation between the overall environmental concern and waste disposal and sanitation practices. At the item level, various deductions can be made where the strongest associations with environmental apathy were found for individuals who felt powerless when witnessing dumping (</w:t>
      </w:r>
      <w:proofErr w:type="spellStart"/>
      <w:r>
        <w:rPr>
          <w:sz w:val="24"/>
          <w:szCs w:val="24"/>
          <w:lang w:bidi="en-US"/>
        </w:rPr>
        <w:t>r</w:t>
      </w:r>
      <w:r>
        <w:rPr>
          <w:sz w:val="24"/>
          <w:szCs w:val="24"/>
          <w:vertAlign w:val="subscript"/>
          <w:lang w:bidi="en-US"/>
        </w:rPr>
        <w:t>s</w:t>
      </w:r>
      <w:proofErr w:type="spellEnd"/>
      <w:r>
        <w:rPr>
          <w:sz w:val="24"/>
          <w:szCs w:val="24"/>
          <w:lang w:bidi="en-US"/>
        </w:rPr>
        <w:t xml:space="preserve"> = .58, p &lt; .001) and individuals who endorsed the view that river dumping is an economically cheaper waste management option (</w:t>
      </w:r>
      <w:proofErr w:type="spellStart"/>
      <w:r>
        <w:rPr>
          <w:sz w:val="24"/>
          <w:szCs w:val="24"/>
          <w:lang w:bidi="en-US"/>
        </w:rPr>
        <w:t>r</w:t>
      </w:r>
      <w:r>
        <w:rPr>
          <w:sz w:val="24"/>
          <w:szCs w:val="24"/>
          <w:vertAlign w:val="subscript"/>
          <w:lang w:bidi="en-US"/>
        </w:rPr>
        <w:t>s</w:t>
      </w:r>
      <w:proofErr w:type="spellEnd"/>
      <w:r>
        <w:rPr>
          <w:sz w:val="24"/>
          <w:szCs w:val="24"/>
          <w:lang w:bidi="en-US"/>
        </w:rPr>
        <w:t xml:space="preserve"> = .53, p &lt; .001). The analysis also shows that as a resident’s personal environmental responsibility drops, their likelihood of validating, observing, or engaging in high-risk sanitation behavior surges. When a citizen shifts the responsibility to government agencies, they tend to normalize destructive environmental habits. </w:t>
      </w:r>
    </w:p>
    <w:p w14:paraId="566880A1" w14:textId="77777777" w:rsidR="00241B0B" w:rsidRDefault="00000000">
      <w:pPr>
        <w:spacing w:before="22" w:after="240" w:line="360" w:lineRule="auto"/>
        <w:jc w:val="both"/>
        <w:rPr>
          <w:i/>
          <w:iCs/>
          <w:sz w:val="24"/>
          <w:szCs w:val="24"/>
          <w:lang w:bidi="en-US"/>
        </w:rPr>
      </w:pPr>
      <w:r>
        <w:rPr>
          <w:i/>
          <w:iCs/>
          <w:sz w:val="24"/>
          <w:szCs w:val="24"/>
          <w:lang w:bidi="en-US"/>
        </w:rPr>
        <w:lastRenderedPageBreak/>
        <w:t xml:space="preserve">Environmental Concern and Participation in Governance. </w:t>
      </w:r>
    </w:p>
    <w:p w14:paraId="021B8738" w14:textId="57F9E587" w:rsidR="00241B0B" w:rsidRDefault="00000000">
      <w:pPr>
        <w:spacing w:before="22" w:after="240" w:line="360" w:lineRule="auto"/>
        <w:jc w:val="both"/>
        <w:rPr>
          <w:sz w:val="24"/>
          <w:szCs w:val="24"/>
          <w:lang w:bidi="en-US"/>
        </w:rPr>
      </w:pPr>
      <w:r>
        <w:rPr>
          <w:sz w:val="24"/>
          <w:szCs w:val="24"/>
          <w:lang w:bidi="en-US"/>
        </w:rPr>
        <w:t xml:space="preserve">To assess the relationship between environmental concern and participation in local environmental governance, a Spearman's Rank Correlation analysis was performed (n = 400). A composite score for the five environmental concern survey items was computed (a higher score signified lower environmental concern) and the same was done for the 8 (eight) participation survey items. A Spearman’s rank-order correlation was then conducted to evaluate the relationship between community’s level of environmental concern and participation in environmental governance. The analysis revealed a statistically significant, exceptionally strong negative correlation between the environmental apathy composite score and the aggregate participation in governance index, </w:t>
      </w:r>
      <w:proofErr w:type="spellStart"/>
      <w:r>
        <w:rPr>
          <w:sz w:val="24"/>
          <w:szCs w:val="24"/>
          <w:lang w:bidi="en-US"/>
        </w:rPr>
        <w:t>r</w:t>
      </w:r>
      <w:r>
        <w:rPr>
          <w:sz w:val="24"/>
          <w:szCs w:val="24"/>
          <w:vertAlign w:val="subscript"/>
          <w:lang w:bidi="en-US"/>
        </w:rPr>
        <w:t>s</w:t>
      </w:r>
      <w:proofErr w:type="spellEnd"/>
      <w:r>
        <w:rPr>
          <w:sz w:val="24"/>
          <w:szCs w:val="24"/>
          <w:lang w:bidi="en-US"/>
        </w:rPr>
        <w:t xml:space="preserve"> (397) = -.72, p &lt; .001. This indicates that as individuals' levels of environmental apathy, their active participation in both formal and informal environmental governance frameworks decrease drastically. </w:t>
      </w:r>
      <w:r>
        <w:rPr>
          <w:sz w:val="24"/>
          <w:szCs w:val="24"/>
          <w:lang w:bidi="en-US"/>
        </w:rPr>
        <w:fldChar w:fldCharType="begin"/>
      </w:r>
      <w:r>
        <w:rPr>
          <w:sz w:val="24"/>
          <w:szCs w:val="24"/>
          <w:lang w:bidi="en-US"/>
        </w:rPr>
        <w:instrText xml:space="preserve"> REF _Ref230939993 \h </w:instrText>
      </w:r>
      <w:r>
        <w:rPr>
          <w:sz w:val="24"/>
          <w:szCs w:val="24"/>
          <w:lang w:bidi="en-US"/>
        </w:rPr>
      </w:r>
      <w:r>
        <w:rPr>
          <w:sz w:val="24"/>
          <w:szCs w:val="24"/>
          <w:lang w:bidi="en-US"/>
        </w:rPr>
        <w:fldChar w:fldCharType="separate"/>
      </w:r>
      <w:r>
        <w:t>Figure 5</w:t>
      </w:r>
      <w:r>
        <w:rPr>
          <w:sz w:val="24"/>
          <w:szCs w:val="24"/>
          <w:lang w:bidi="en-US"/>
        </w:rPr>
        <w:fldChar w:fldCharType="end"/>
      </w:r>
      <w:r>
        <w:rPr>
          <w:sz w:val="24"/>
          <w:szCs w:val="24"/>
          <w:lang w:bidi="en-US"/>
        </w:rPr>
        <w:t xml:space="preserve"> </w:t>
      </w:r>
      <w:r w:rsidR="009227FC">
        <w:rPr>
          <w:sz w:val="24"/>
          <w:szCs w:val="24"/>
          <w:lang w:bidi="en-US"/>
        </w:rPr>
        <w:t>is</w:t>
      </w:r>
      <w:r>
        <w:rPr>
          <w:sz w:val="24"/>
          <w:szCs w:val="24"/>
          <w:lang w:bidi="en-US"/>
        </w:rPr>
        <w:t xml:space="preserve"> a picture </w:t>
      </w:r>
      <w:r w:rsidR="009227FC">
        <w:rPr>
          <w:sz w:val="24"/>
          <w:szCs w:val="24"/>
          <w:lang w:bidi="en-US"/>
        </w:rPr>
        <w:t xml:space="preserve">that demonstrates the levels of pervasive sanitation and waste disposal practices </w:t>
      </w:r>
      <w:r w:rsidR="00844670">
        <w:rPr>
          <w:sz w:val="24"/>
          <w:szCs w:val="24"/>
          <w:lang w:bidi="en-US"/>
        </w:rPr>
        <w:t xml:space="preserve">at different points </w:t>
      </w:r>
      <w:r w:rsidR="009227FC">
        <w:rPr>
          <w:sz w:val="24"/>
          <w:szCs w:val="24"/>
          <w:lang w:bidi="en-US"/>
        </w:rPr>
        <w:t>within the study area that even the warning signs are not heeded. It points to high levels of environmental apathy and poor enforcement of regulations</w:t>
      </w:r>
      <w:r w:rsidR="00844670">
        <w:rPr>
          <w:sz w:val="24"/>
          <w:szCs w:val="24"/>
          <w:lang w:bidi="en-US"/>
        </w:rPr>
        <w:t xml:space="preserve"> as evidenced by the encroachment of the riparian zones. </w:t>
      </w:r>
    </w:p>
    <w:p w14:paraId="751F23F1" w14:textId="269B0794" w:rsidR="00241B0B" w:rsidRDefault="00000000">
      <w:pPr>
        <w:keepNext/>
        <w:spacing w:before="22" w:after="240" w:line="360" w:lineRule="auto"/>
        <w:jc w:val="both"/>
      </w:pPr>
      <w:r>
        <w:rPr>
          <w:noProof/>
          <w:sz w:val="24"/>
          <w:szCs w:val="24"/>
          <w:lang w:bidi="en-US"/>
        </w:rPr>
        <w:drawing>
          <wp:inline distT="0" distB="0" distL="0" distR="0" wp14:anchorId="5DADE0B4" wp14:editId="47D97B84">
            <wp:extent cx="3028950" cy="3130429"/>
            <wp:effectExtent l="0" t="0" r="0" b="0"/>
            <wp:docPr id="451858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58107"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a:xfrm>
                      <a:off x="0" y="0"/>
                      <a:ext cx="3040470" cy="3142335"/>
                    </a:xfrm>
                    <a:prstGeom prst="rect">
                      <a:avLst/>
                    </a:prstGeom>
                    <a:noFill/>
                  </pic:spPr>
                </pic:pic>
              </a:graphicData>
            </a:graphic>
          </wp:inline>
        </w:drawing>
      </w:r>
      <w:r w:rsidR="00844670">
        <w:rPr>
          <w:noProof/>
        </w:rPr>
        <w:drawing>
          <wp:inline distT="0" distB="0" distL="0" distR="0" wp14:anchorId="7C0728EF" wp14:editId="2EF6A9B6">
            <wp:extent cx="2751913" cy="3099714"/>
            <wp:effectExtent l="0" t="0" r="0" b="5715"/>
            <wp:docPr id="5661681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a:fillRect/>
                    </a:stretch>
                  </pic:blipFill>
                  <pic:spPr bwMode="auto">
                    <a:xfrm>
                      <a:off x="0" y="0"/>
                      <a:ext cx="2769978" cy="3120062"/>
                    </a:xfrm>
                    <a:prstGeom prst="rect">
                      <a:avLst/>
                    </a:prstGeom>
                    <a:noFill/>
                    <a:ln>
                      <a:noFill/>
                    </a:ln>
                    <a:extLst>
                      <a:ext uri="{53640926-AAD7-44D8-BBD7-CCE9431645EC}">
                        <a14:shadowObscured xmlns:a14="http://schemas.microsoft.com/office/drawing/2010/main"/>
                      </a:ext>
                    </a:extLst>
                  </pic:spPr>
                </pic:pic>
              </a:graphicData>
            </a:graphic>
          </wp:inline>
        </w:drawing>
      </w:r>
    </w:p>
    <w:p w14:paraId="46B2C206" w14:textId="6D8EA651" w:rsidR="00241B0B" w:rsidRDefault="00000000">
      <w:pPr>
        <w:pStyle w:val="Caption"/>
        <w:jc w:val="both"/>
        <w:rPr>
          <w:sz w:val="24"/>
          <w:szCs w:val="24"/>
          <w:lang w:bidi="en-US"/>
        </w:rPr>
      </w:pPr>
      <w:bookmarkStart w:id="4" w:name="_Ref230939993"/>
      <w:r>
        <w:t xml:space="preserve">Figure </w:t>
      </w:r>
      <w:fldSimple w:instr=" SEQ Figure \* ARABIC ">
        <w:r w:rsidR="0045644F">
          <w:rPr>
            <w:noProof/>
          </w:rPr>
          <w:t>6</w:t>
        </w:r>
      </w:fldSimple>
      <w:bookmarkEnd w:id="4"/>
      <w:r>
        <w:t>: Disregarded prohibition sign</w:t>
      </w:r>
      <w:r w:rsidR="00844670">
        <w:t xml:space="preserve"> and encroached riverbank</w:t>
      </w:r>
    </w:p>
    <w:p w14:paraId="52CA391E" w14:textId="77777777" w:rsidR="00241B0B" w:rsidRDefault="00000000">
      <w:pPr>
        <w:pStyle w:val="Heading1"/>
        <w:spacing w:after="240"/>
        <w:ind w:left="549"/>
        <w:rPr>
          <w:lang w:bidi="en-US"/>
        </w:rPr>
      </w:pPr>
      <w:r>
        <w:rPr>
          <w:lang w:bidi="en-US"/>
        </w:rPr>
        <w:t>Conclusions</w:t>
      </w:r>
    </w:p>
    <w:p w14:paraId="32FE250B" w14:textId="32FB61D3" w:rsidR="00241B0B" w:rsidRDefault="00000000" w:rsidP="00844670">
      <w:pPr>
        <w:spacing w:before="22" w:after="240" w:line="360" w:lineRule="auto"/>
        <w:jc w:val="both"/>
        <w:rPr>
          <w:sz w:val="24"/>
          <w:szCs w:val="24"/>
          <w:lang w:bidi="en-US"/>
        </w:rPr>
      </w:pPr>
      <w:r>
        <w:rPr>
          <w:sz w:val="24"/>
          <w:szCs w:val="24"/>
          <w:lang w:bidi="en-US"/>
        </w:rPr>
        <w:t>Th</w:t>
      </w:r>
      <w:r w:rsidR="000D1F68">
        <w:rPr>
          <w:sz w:val="24"/>
          <w:szCs w:val="24"/>
          <w:lang w:bidi="en-US"/>
        </w:rPr>
        <w:t xml:space="preserve">e findings of this </w:t>
      </w:r>
      <w:r>
        <w:rPr>
          <w:sz w:val="24"/>
          <w:szCs w:val="24"/>
          <w:lang w:bidi="en-US"/>
        </w:rPr>
        <w:t xml:space="preserve">study demonstrate that environmental degradation within the Nairobi River system </w:t>
      </w:r>
      <w:r>
        <w:rPr>
          <w:sz w:val="24"/>
          <w:szCs w:val="24"/>
          <w:lang w:bidi="en-US"/>
        </w:rPr>
        <w:lastRenderedPageBreak/>
        <w:t xml:space="preserve">is </w:t>
      </w:r>
      <w:r w:rsidR="000D1F68">
        <w:rPr>
          <w:sz w:val="24"/>
          <w:szCs w:val="24"/>
          <w:lang w:bidi="en-US"/>
        </w:rPr>
        <w:t>also a result of</w:t>
      </w:r>
      <w:r>
        <w:rPr>
          <w:sz w:val="24"/>
          <w:szCs w:val="24"/>
          <w:lang w:bidi="en-US"/>
        </w:rPr>
        <w:t xml:space="preserve"> a socio value-action gap and systemic governance vulnerabilities, rather than a lack of awareness. </w:t>
      </w:r>
      <w:r w:rsidR="000D1F68">
        <w:rPr>
          <w:sz w:val="24"/>
          <w:szCs w:val="24"/>
          <w:lang w:bidi="en-US"/>
        </w:rPr>
        <w:t xml:space="preserve">While previous studies have pointed towards poverty, lack of regulatory enforcement, poor monitoring and other structural inefficiencies, it is worth noting that scholarly and policy directions have seldom paid attention to the role of social values and individual attitudes towards the longstanding </w:t>
      </w:r>
      <w:r w:rsidR="005311DA">
        <w:rPr>
          <w:sz w:val="24"/>
          <w:szCs w:val="24"/>
          <w:lang w:bidi="en-US"/>
        </w:rPr>
        <w:t xml:space="preserve">debilitating state of the </w:t>
      </w:r>
      <w:r w:rsidR="000D1F68">
        <w:rPr>
          <w:sz w:val="24"/>
          <w:szCs w:val="24"/>
          <w:lang w:bidi="en-US"/>
        </w:rPr>
        <w:t xml:space="preserve">Nairobi River system. </w:t>
      </w:r>
      <w:r>
        <w:rPr>
          <w:sz w:val="24"/>
          <w:szCs w:val="24"/>
          <w:lang w:bidi="en-US"/>
        </w:rPr>
        <w:t xml:space="preserve">While </w:t>
      </w:r>
      <w:r w:rsidR="005311DA">
        <w:rPr>
          <w:sz w:val="24"/>
          <w:szCs w:val="24"/>
          <w:lang w:bidi="en-US"/>
        </w:rPr>
        <w:t xml:space="preserve">majority </w:t>
      </w:r>
      <w:r>
        <w:rPr>
          <w:sz w:val="24"/>
          <w:szCs w:val="24"/>
          <w:lang w:bidi="en-US"/>
        </w:rPr>
        <w:t xml:space="preserve">of the riparian community acknowledges the reality of </w:t>
      </w:r>
      <w:r w:rsidR="005311DA">
        <w:rPr>
          <w:sz w:val="24"/>
          <w:szCs w:val="24"/>
          <w:lang w:bidi="en-US"/>
        </w:rPr>
        <w:t>this situation</w:t>
      </w:r>
      <w:r>
        <w:rPr>
          <w:sz w:val="24"/>
          <w:szCs w:val="24"/>
          <w:lang w:bidi="en-US"/>
        </w:rPr>
        <w:t xml:space="preserve">, </w:t>
      </w:r>
      <w:r w:rsidR="005311DA">
        <w:rPr>
          <w:sz w:val="24"/>
          <w:szCs w:val="24"/>
          <w:lang w:bidi="en-US"/>
        </w:rPr>
        <w:t xml:space="preserve">the high levels of </w:t>
      </w:r>
      <w:r>
        <w:rPr>
          <w:sz w:val="24"/>
          <w:szCs w:val="24"/>
          <w:lang w:bidi="en-US"/>
        </w:rPr>
        <w:t xml:space="preserve">environmental apathy and </w:t>
      </w:r>
      <w:r w:rsidR="005311DA">
        <w:rPr>
          <w:sz w:val="24"/>
          <w:szCs w:val="24"/>
          <w:lang w:bidi="en-US"/>
        </w:rPr>
        <w:t>lack of personal</w:t>
      </w:r>
      <w:r>
        <w:rPr>
          <w:sz w:val="24"/>
          <w:szCs w:val="24"/>
          <w:lang w:bidi="en-US"/>
        </w:rPr>
        <w:t xml:space="preserve"> behavioral accountability severely stall active </w:t>
      </w:r>
      <w:r w:rsidR="005311DA">
        <w:rPr>
          <w:sz w:val="24"/>
          <w:szCs w:val="24"/>
          <w:lang w:bidi="en-US"/>
        </w:rPr>
        <w:t>participation in governance of the river ecosystem</w:t>
      </w:r>
      <w:r>
        <w:rPr>
          <w:sz w:val="24"/>
          <w:szCs w:val="24"/>
          <w:lang w:bidi="en-US"/>
        </w:rPr>
        <w:t xml:space="preserve">. </w:t>
      </w:r>
      <w:r w:rsidR="005311DA">
        <w:rPr>
          <w:sz w:val="24"/>
          <w:szCs w:val="24"/>
          <w:lang w:bidi="en-US"/>
        </w:rPr>
        <w:t>Utilizing</w:t>
      </w:r>
      <w:r>
        <w:rPr>
          <w:sz w:val="24"/>
          <w:szCs w:val="24"/>
          <w:lang w:bidi="en-US"/>
        </w:rPr>
        <w:t xml:space="preserve"> Stern’s Value-Belief-Norm theory, </w:t>
      </w:r>
      <w:r w:rsidR="005311DA">
        <w:rPr>
          <w:sz w:val="24"/>
          <w:szCs w:val="24"/>
          <w:lang w:bidi="en-US"/>
        </w:rPr>
        <w:t xml:space="preserve">findings show that </w:t>
      </w:r>
      <w:r>
        <w:rPr>
          <w:sz w:val="24"/>
          <w:szCs w:val="24"/>
          <w:lang w:bidi="en-US"/>
        </w:rPr>
        <w:t>the demographic profile leans toward a self-enhancing orientation</w:t>
      </w:r>
      <w:r w:rsidR="005311DA">
        <w:rPr>
          <w:sz w:val="24"/>
          <w:szCs w:val="24"/>
          <w:lang w:bidi="en-US"/>
        </w:rPr>
        <w:t xml:space="preserve"> with </w:t>
      </w:r>
      <w:r>
        <w:rPr>
          <w:sz w:val="24"/>
          <w:szCs w:val="24"/>
          <w:lang w:bidi="en-US"/>
        </w:rPr>
        <w:t>a majority prioritiz</w:t>
      </w:r>
      <w:r w:rsidR="005311DA">
        <w:rPr>
          <w:sz w:val="24"/>
          <w:szCs w:val="24"/>
          <w:lang w:bidi="en-US"/>
        </w:rPr>
        <w:t>ing</w:t>
      </w:r>
      <w:r>
        <w:rPr>
          <w:sz w:val="24"/>
          <w:szCs w:val="24"/>
          <w:lang w:bidi="en-US"/>
        </w:rPr>
        <w:t xml:space="preserve"> economic growth over </w:t>
      </w:r>
      <w:r w:rsidR="005311DA">
        <w:rPr>
          <w:sz w:val="24"/>
          <w:szCs w:val="24"/>
          <w:lang w:bidi="en-US"/>
        </w:rPr>
        <w:t>sustainable environmental management</w:t>
      </w:r>
      <w:r>
        <w:rPr>
          <w:sz w:val="24"/>
          <w:szCs w:val="24"/>
          <w:lang w:bidi="en-US"/>
        </w:rPr>
        <w:t xml:space="preserve">. </w:t>
      </w:r>
      <w:r w:rsidR="005311DA">
        <w:rPr>
          <w:sz w:val="24"/>
          <w:szCs w:val="24"/>
          <w:lang w:bidi="en-US"/>
        </w:rPr>
        <w:t xml:space="preserve">The role of economic status also plays out as most people view river dumping as a cheaper alternative to waste disposal. </w:t>
      </w:r>
      <w:r>
        <w:rPr>
          <w:sz w:val="24"/>
          <w:szCs w:val="24"/>
          <w:lang w:bidi="en-US"/>
        </w:rPr>
        <w:t>Th</w:t>
      </w:r>
      <w:r w:rsidR="005311DA">
        <w:rPr>
          <w:sz w:val="24"/>
          <w:szCs w:val="24"/>
          <w:lang w:bidi="en-US"/>
        </w:rPr>
        <w:t>e wi</w:t>
      </w:r>
      <w:r>
        <w:rPr>
          <w:sz w:val="24"/>
          <w:szCs w:val="24"/>
          <w:lang w:bidi="en-US"/>
        </w:rPr>
        <w:t xml:space="preserve">despread sense of low individual </w:t>
      </w:r>
      <w:r w:rsidR="008010D6">
        <w:rPr>
          <w:sz w:val="24"/>
          <w:szCs w:val="24"/>
          <w:lang w:bidi="en-US"/>
        </w:rPr>
        <w:t>stewardship</w:t>
      </w:r>
      <w:r w:rsidR="005311DA">
        <w:rPr>
          <w:sz w:val="24"/>
          <w:szCs w:val="24"/>
          <w:lang w:bidi="en-US"/>
        </w:rPr>
        <w:t xml:space="preserve"> </w:t>
      </w:r>
      <w:r>
        <w:rPr>
          <w:sz w:val="24"/>
          <w:szCs w:val="24"/>
          <w:lang w:bidi="en-US"/>
        </w:rPr>
        <w:t xml:space="preserve">is further underscored by </w:t>
      </w:r>
      <w:r w:rsidR="005311DA">
        <w:rPr>
          <w:sz w:val="24"/>
          <w:szCs w:val="24"/>
          <w:lang w:bidi="en-US"/>
        </w:rPr>
        <w:t xml:space="preserve">the qualitative analysis </w:t>
      </w:r>
      <w:r w:rsidR="008010D6">
        <w:rPr>
          <w:sz w:val="24"/>
          <w:szCs w:val="24"/>
          <w:lang w:bidi="en-US"/>
        </w:rPr>
        <w:t>of that</w:t>
      </w:r>
      <w:r w:rsidR="005311DA">
        <w:rPr>
          <w:sz w:val="24"/>
          <w:szCs w:val="24"/>
          <w:lang w:bidi="en-US"/>
        </w:rPr>
        <w:t xml:space="preserve"> </w:t>
      </w:r>
      <w:r w:rsidR="008010D6">
        <w:rPr>
          <w:sz w:val="24"/>
          <w:szCs w:val="24"/>
          <w:lang w:bidi="en-US"/>
        </w:rPr>
        <w:t xml:space="preserve">reveals high levels of </w:t>
      </w:r>
      <w:r>
        <w:rPr>
          <w:sz w:val="24"/>
          <w:szCs w:val="24"/>
          <w:lang w:bidi="en-US"/>
        </w:rPr>
        <w:t>environmental apathy among young</w:t>
      </w:r>
      <w:r w:rsidR="008010D6">
        <w:rPr>
          <w:sz w:val="24"/>
          <w:szCs w:val="24"/>
          <w:lang w:bidi="en-US"/>
        </w:rPr>
        <w:t>er</w:t>
      </w:r>
      <w:r>
        <w:rPr>
          <w:sz w:val="24"/>
          <w:szCs w:val="24"/>
          <w:lang w:bidi="en-US"/>
        </w:rPr>
        <w:t xml:space="preserve"> adults and individuals with lower educational attainment.</w:t>
      </w:r>
    </w:p>
    <w:p w14:paraId="5ADFD51C" w14:textId="365956E2" w:rsidR="00241B0B" w:rsidRDefault="00000000">
      <w:pPr>
        <w:spacing w:before="22" w:after="240" w:line="360" w:lineRule="auto"/>
        <w:jc w:val="both"/>
        <w:rPr>
          <w:sz w:val="24"/>
          <w:szCs w:val="24"/>
          <w:lang w:bidi="en-US"/>
        </w:rPr>
      </w:pPr>
      <w:r>
        <w:rPr>
          <w:sz w:val="24"/>
          <w:szCs w:val="24"/>
          <w:lang w:bidi="en-US"/>
        </w:rPr>
        <w:t xml:space="preserve">Consequently, this </w:t>
      </w:r>
      <w:r w:rsidR="008010D6">
        <w:rPr>
          <w:sz w:val="24"/>
          <w:szCs w:val="24"/>
          <w:lang w:bidi="en-US"/>
        </w:rPr>
        <w:t>is</w:t>
      </w:r>
      <w:r>
        <w:rPr>
          <w:sz w:val="24"/>
          <w:szCs w:val="24"/>
          <w:lang w:bidi="en-US"/>
        </w:rPr>
        <w:t xml:space="preserve"> manifest</w:t>
      </w:r>
      <w:r w:rsidR="008010D6">
        <w:rPr>
          <w:sz w:val="24"/>
          <w:szCs w:val="24"/>
          <w:lang w:bidi="en-US"/>
        </w:rPr>
        <w:t>ed</w:t>
      </w:r>
      <w:r>
        <w:rPr>
          <w:sz w:val="24"/>
          <w:szCs w:val="24"/>
          <w:lang w:bidi="en-US"/>
        </w:rPr>
        <w:t xml:space="preserve"> as localized ecological strain, turning the riparian ecosystem of the </w:t>
      </w:r>
      <w:r w:rsidR="008010D6">
        <w:rPr>
          <w:sz w:val="24"/>
          <w:szCs w:val="24"/>
          <w:lang w:bidi="en-US"/>
        </w:rPr>
        <w:t xml:space="preserve">river </w:t>
      </w:r>
      <w:r>
        <w:rPr>
          <w:sz w:val="24"/>
          <w:szCs w:val="24"/>
          <w:lang w:bidi="en-US"/>
        </w:rPr>
        <w:t xml:space="preserve">into a </w:t>
      </w:r>
      <w:r w:rsidR="008010D6">
        <w:rPr>
          <w:sz w:val="24"/>
          <w:szCs w:val="24"/>
          <w:lang w:bidi="en-US"/>
        </w:rPr>
        <w:t xml:space="preserve">hotspot </w:t>
      </w:r>
      <w:r>
        <w:rPr>
          <w:sz w:val="24"/>
          <w:szCs w:val="24"/>
          <w:lang w:bidi="en-US"/>
        </w:rPr>
        <w:t xml:space="preserve">for pollutive sanitation practices. Strong positive correlations confirm that as personal environmental responsibility drops, the normalization of destructive behaviors surges, primarily driven by economic constraints and a perceived lack of individual agency. Further, the strong negative correlation between environmental apathy and </w:t>
      </w:r>
      <w:r w:rsidR="008010D6">
        <w:rPr>
          <w:sz w:val="24"/>
          <w:szCs w:val="24"/>
          <w:lang w:bidi="en-US"/>
        </w:rPr>
        <w:t xml:space="preserve">participation in </w:t>
      </w:r>
      <w:r>
        <w:rPr>
          <w:sz w:val="24"/>
          <w:szCs w:val="24"/>
          <w:lang w:bidi="en-US"/>
        </w:rPr>
        <w:t xml:space="preserve">governance index scores </w:t>
      </w:r>
      <w:r w:rsidR="008010D6">
        <w:rPr>
          <w:sz w:val="24"/>
          <w:szCs w:val="24"/>
          <w:lang w:bidi="en-US"/>
        </w:rPr>
        <w:t xml:space="preserve">highlights the need for </w:t>
      </w:r>
      <w:r>
        <w:rPr>
          <w:sz w:val="24"/>
          <w:szCs w:val="24"/>
          <w:lang w:bidi="en-US"/>
        </w:rPr>
        <w:t xml:space="preserve">structural transformation </w:t>
      </w:r>
      <w:r w:rsidR="008010D6">
        <w:rPr>
          <w:sz w:val="24"/>
          <w:szCs w:val="24"/>
          <w:lang w:bidi="en-US"/>
        </w:rPr>
        <w:t xml:space="preserve">that recognizes these dynamics to enhance an integrated approach towards the governance of natural resources. </w:t>
      </w:r>
      <w:r>
        <w:rPr>
          <w:sz w:val="24"/>
          <w:szCs w:val="24"/>
          <w:lang w:bidi="en-US"/>
        </w:rPr>
        <w:t>To achieve</w:t>
      </w:r>
      <w:r w:rsidR="008010D6">
        <w:rPr>
          <w:sz w:val="24"/>
          <w:szCs w:val="24"/>
          <w:lang w:bidi="en-US"/>
        </w:rPr>
        <w:t xml:space="preserve"> </w:t>
      </w:r>
      <w:r>
        <w:rPr>
          <w:sz w:val="24"/>
          <w:szCs w:val="24"/>
          <w:lang w:bidi="en-US"/>
        </w:rPr>
        <w:t>sustainable restoration of the Nairobi River</w:t>
      </w:r>
      <w:r w:rsidR="008010D6">
        <w:rPr>
          <w:sz w:val="24"/>
          <w:szCs w:val="24"/>
          <w:lang w:bidi="en-US"/>
        </w:rPr>
        <w:t xml:space="preserve"> system and other urban ecological resources</w:t>
      </w:r>
      <w:r>
        <w:rPr>
          <w:sz w:val="24"/>
          <w:szCs w:val="24"/>
          <w:lang w:bidi="en-US"/>
        </w:rPr>
        <w:t xml:space="preserve">, future environmental policies must transcend </w:t>
      </w:r>
      <w:r w:rsidR="008010D6">
        <w:rPr>
          <w:sz w:val="24"/>
          <w:szCs w:val="24"/>
          <w:lang w:bidi="en-US"/>
        </w:rPr>
        <w:t xml:space="preserve">short-term </w:t>
      </w:r>
      <w:r>
        <w:rPr>
          <w:sz w:val="24"/>
          <w:szCs w:val="24"/>
          <w:lang w:bidi="en-US"/>
        </w:rPr>
        <w:t xml:space="preserve">awareness </w:t>
      </w:r>
      <w:r w:rsidR="008010D6">
        <w:rPr>
          <w:sz w:val="24"/>
          <w:szCs w:val="24"/>
          <w:lang w:bidi="en-US"/>
        </w:rPr>
        <w:t>drives and</w:t>
      </w:r>
      <w:r>
        <w:rPr>
          <w:sz w:val="24"/>
          <w:szCs w:val="24"/>
          <w:lang w:bidi="en-US"/>
        </w:rPr>
        <w:t xml:space="preserve"> instead </w:t>
      </w:r>
      <w:r w:rsidR="008010D6">
        <w:rPr>
          <w:sz w:val="24"/>
          <w:szCs w:val="24"/>
          <w:lang w:bidi="en-US"/>
        </w:rPr>
        <w:t xml:space="preserve">focus </w:t>
      </w:r>
      <w:r>
        <w:rPr>
          <w:sz w:val="24"/>
          <w:szCs w:val="24"/>
          <w:lang w:bidi="en-US"/>
        </w:rPr>
        <w:t xml:space="preserve">on targeted civic empowerment, equitable infrastructure provision, and the active inclusion of riparian communities within </w:t>
      </w:r>
      <w:r w:rsidR="008010D6">
        <w:rPr>
          <w:sz w:val="24"/>
          <w:szCs w:val="24"/>
          <w:lang w:bidi="en-US"/>
        </w:rPr>
        <w:t xml:space="preserve">the </w:t>
      </w:r>
      <w:r>
        <w:rPr>
          <w:sz w:val="24"/>
          <w:szCs w:val="24"/>
          <w:lang w:bidi="en-US"/>
        </w:rPr>
        <w:t xml:space="preserve">formal </w:t>
      </w:r>
      <w:r w:rsidR="008010D6">
        <w:rPr>
          <w:sz w:val="24"/>
          <w:szCs w:val="24"/>
          <w:lang w:bidi="en-US"/>
        </w:rPr>
        <w:t xml:space="preserve">and informal </w:t>
      </w:r>
      <w:r>
        <w:rPr>
          <w:sz w:val="24"/>
          <w:szCs w:val="24"/>
          <w:lang w:bidi="en-US"/>
        </w:rPr>
        <w:t>co-management frameworks as envisioned under Article 69</w:t>
      </w:r>
      <w:r w:rsidR="008010D6">
        <w:rPr>
          <w:sz w:val="24"/>
          <w:szCs w:val="24"/>
          <w:lang w:bidi="en-US"/>
        </w:rPr>
        <w:t xml:space="preserve"> </w:t>
      </w:r>
      <w:r>
        <w:rPr>
          <w:sz w:val="24"/>
          <w:szCs w:val="24"/>
          <w:lang w:bidi="en-US"/>
        </w:rPr>
        <w:t xml:space="preserve">(2) of the </w:t>
      </w:r>
      <w:r w:rsidR="008010D6">
        <w:rPr>
          <w:sz w:val="24"/>
          <w:szCs w:val="24"/>
          <w:lang w:bidi="en-US"/>
        </w:rPr>
        <w:t xml:space="preserve">Kenyan Constitution. </w:t>
      </w:r>
    </w:p>
    <w:p w14:paraId="57FF8343" w14:textId="77777777" w:rsidR="00241B0B" w:rsidRDefault="00000000">
      <w:pPr>
        <w:pStyle w:val="Heading1"/>
        <w:spacing w:after="240"/>
        <w:ind w:left="549"/>
        <w:rPr>
          <w:sz w:val="24"/>
          <w:szCs w:val="24"/>
          <w:lang w:bidi="en-US"/>
        </w:rPr>
      </w:pPr>
      <w:r>
        <w:rPr>
          <w:sz w:val="24"/>
          <w:szCs w:val="24"/>
          <w:lang w:bidi="en-US"/>
        </w:rPr>
        <w:t>Acknowledgements</w:t>
      </w:r>
    </w:p>
    <w:p w14:paraId="005B975B" w14:textId="259C5398" w:rsidR="00241B0B" w:rsidRDefault="00000000">
      <w:pPr>
        <w:spacing w:before="22" w:after="240" w:line="360" w:lineRule="auto"/>
        <w:jc w:val="both"/>
        <w:rPr>
          <w:sz w:val="24"/>
          <w:szCs w:val="24"/>
          <w:lang w:bidi="en-US"/>
        </w:rPr>
      </w:pPr>
      <w:r>
        <w:rPr>
          <w:sz w:val="24"/>
          <w:szCs w:val="24"/>
          <w:lang w:bidi="en-US"/>
        </w:rPr>
        <w:t>The author</w:t>
      </w:r>
      <w:r w:rsidR="003E277E">
        <w:rPr>
          <w:sz w:val="24"/>
          <w:szCs w:val="24"/>
          <w:lang w:bidi="en-US"/>
        </w:rPr>
        <w:t>s</w:t>
      </w:r>
      <w:r>
        <w:rPr>
          <w:sz w:val="24"/>
          <w:szCs w:val="24"/>
          <w:lang w:bidi="en-US"/>
        </w:rPr>
        <w:t xml:space="preserve"> wish to express sincere gratitude to the </w:t>
      </w:r>
      <w:r w:rsidR="003E277E">
        <w:rPr>
          <w:sz w:val="24"/>
          <w:szCs w:val="24"/>
          <w:lang w:bidi="en-US"/>
        </w:rPr>
        <w:t>academic staff and administration</w:t>
      </w:r>
      <w:r>
        <w:rPr>
          <w:sz w:val="24"/>
          <w:szCs w:val="24"/>
          <w:lang w:bidi="en-US"/>
        </w:rPr>
        <w:t xml:space="preserve"> of the </w:t>
      </w:r>
      <w:r w:rsidRPr="003E277E">
        <w:rPr>
          <w:sz w:val="24"/>
          <w:szCs w:val="24"/>
          <w:lang w:bidi="en-US"/>
        </w:rPr>
        <w:t xml:space="preserve">Wangari Maathai Institute for Peace and Environmental Studies (WMI) </w:t>
      </w:r>
      <w:r w:rsidR="003E277E">
        <w:rPr>
          <w:sz w:val="24"/>
          <w:szCs w:val="24"/>
          <w:lang w:bidi="en-US"/>
        </w:rPr>
        <w:t xml:space="preserve">and the University of Nairobi </w:t>
      </w:r>
      <w:r>
        <w:rPr>
          <w:sz w:val="24"/>
          <w:szCs w:val="24"/>
          <w:lang w:bidi="en-US"/>
        </w:rPr>
        <w:t xml:space="preserve">for </w:t>
      </w:r>
      <w:r w:rsidR="003E277E">
        <w:rPr>
          <w:sz w:val="24"/>
          <w:szCs w:val="24"/>
          <w:lang w:bidi="en-US"/>
        </w:rPr>
        <w:t xml:space="preserve">providing a conducive environment for this research and </w:t>
      </w:r>
      <w:r>
        <w:rPr>
          <w:sz w:val="24"/>
          <w:szCs w:val="24"/>
          <w:lang w:bidi="en-US"/>
        </w:rPr>
        <w:t xml:space="preserve">the invaluable administrative support. Their commitment to </w:t>
      </w:r>
      <w:r w:rsidR="003E277E">
        <w:rPr>
          <w:sz w:val="24"/>
          <w:szCs w:val="24"/>
          <w:lang w:bidi="en-US"/>
        </w:rPr>
        <w:t xml:space="preserve">equipping learners for </w:t>
      </w:r>
      <w:r>
        <w:rPr>
          <w:sz w:val="24"/>
          <w:szCs w:val="24"/>
          <w:lang w:bidi="en-US"/>
        </w:rPr>
        <w:t>environmental stewardship</w:t>
      </w:r>
      <w:r w:rsidR="003E277E">
        <w:rPr>
          <w:sz w:val="24"/>
          <w:szCs w:val="24"/>
          <w:lang w:bidi="en-US"/>
        </w:rPr>
        <w:t xml:space="preserve"> and training for professional environmental governance</w:t>
      </w:r>
      <w:r>
        <w:rPr>
          <w:sz w:val="24"/>
          <w:szCs w:val="24"/>
          <w:lang w:bidi="en-US"/>
        </w:rPr>
        <w:t xml:space="preserve"> continues to be a profound inspiration for this work.</w:t>
      </w:r>
    </w:p>
    <w:p w14:paraId="54CA34C1" w14:textId="77777777" w:rsidR="00241B0B" w:rsidRDefault="00000000">
      <w:pPr>
        <w:pStyle w:val="Heading1"/>
        <w:spacing w:after="240"/>
        <w:ind w:left="549"/>
        <w:rPr>
          <w:sz w:val="24"/>
          <w:szCs w:val="24"/>
          <w:lang w:bidi="en-US"/>
        </w:rPr>
      </w:pPr>
      <w:r>
        <w:rPr>
          <w:sz w:val="24"/>
          <w:szCs w:val="24"/>
          <w:lang w:bidi="en-US"/>
        </w:rPr>
        <w:lastRenderedPageBreak/>
        <w:t>Conflicts of Interest</w:t>
      </w:r>
    </w:p>
    <w:p w14:paraId="6C56C0E1" w14:textId="799B311D" w:rsidR="00241B0B" w:rsidRDefault="00000000">
      <w:pPr>
        <w:spacing w:before="22" w:after="240" w:line="360" w:lineRule="auto"/>
        <w:jc w:val="both"/>
        <w:rPr>
          <w:sz w:val="24"/>
          <w:szCs w:val="24"/>
          <w:lang w:bidi="en-US"/>
        </w:rPr>
      </w:pPr>
      <w:r>
        <w:rPr>
          <w:sz w:val="24"/>
          <w:szCs w:val="24"/>
          <w:lang w:bidi="en-US"/>
        </w:rPr>
        <w:t>The authors</w:t>
      </w:r>
      <w:r w:rsidR="004B53D6">
        <w:rPr>
          <w:sz w:val="24"/>
          <w:szCs w:val="24"/>
          <w:lang w:bidi="en-US"/>
        </w:rPr>
        <w:t xml:space="preserve"> of this article have</w:t>
      </w:r>
      <w:r>
        <w:rPr>
          <w:sz w:val="24"/>
          <w:szCs w:val="24"/>
          <w:lang w:bidi="en-US"/>
        </w:rPr>
        <w:t xml:space="preserve"> declare</w:t>
      </w:r>
      <w:r w:rsidR="004B53D6">
        <w:rPr>
          <w:sz w:val="24"/>
          <w:szCs w:val="24"/>
          <w:lang w:bidi="en-US"/>
        </w:rPr>
        <w:t>d</w:t>
      </w:r>
      <w:r>
        <w:rPr>
          <w:sz w:val="24"/>
          <w:szCs w:val="24"/>
          <w:lang w:bidi="en-US"/>
        </w:rPr>
        <w:t xml:space="preserve"> no potential conflicts of interest with respect to the </w:t>
      </w:r>
      <w:r w:rsidR="004B53D6">
        <w:rPr>
          <w:sz w:val="24"/>
          <w:szCs w:val="24"/>
          <w:lang w:bidi="en-US"/>
        </w:rPr>
        <w:t xml:space="preserve">research’s contributions, </w:t>
      </w:r>
      <w:r>
        <w:rPr>
          <w:sz w:val="24"/>
          <w:szCs w:val="24"/>
          <w:lang w:bidi="en-US"/>
        </w:rPr>
        <w:t>authorship, or publication</w:t>
      </w:r>
      <w:r w:rsidR="004B53D6">
        <w:rPr>
          <w:sz w:val="24"/>
          <w:szCs w:val="24"/>
          <w:lang w:bidi="en-US"/>
        </w:rPr>
        <w:t xml:space="preserve">. </w:t>
      </w:r>
    </w:p>
    <w:p w14:paraId="57326E20" w14:textId="77777777" w:rsidR="00241B0B" w:rsidRDefault="00000000">
      <w:pPr>
        <w:pStyle w:val="Heading1"/>
        <w:spacing w:after="240"/>
        <w:ind w:left="549"/>
        <w:rPr>
          <w:sz w:val="24"/>
          <w:szCs w:val="24"/>
          <w:lang w:bidi="en-US"/>
        </w:rPr>
      </w:pPr>
      <w:r>
        <w:rPr>
          <w:sz w:val="24"/>
          <w:szCs w:val="24"/>
          <w:lang w:bidi="en-US"/>
        </w:rPr>
        <w:t>Funding</w:t>
      </w:r>
    </w:p>
    <w:p w14:paraId="44B79B2A" w14:textId="2E79079D" w:rsidR="00241B0B" w:rsidRDefault="00000000">
      <w:pPr>
        <w:spacing w:before="22" w:after="240" w:line="360" w:lineRule="auto"/>
        <w:jc w:val="both"/>
        <w:rPr>
          <w:sz w:val="24"/>
          <w:szCs w:val="24"/>
          <w:lang w:bidi="en-US"/>
        </w:rPr>
      </w:pPr>
      <w:r>
        <w:rPr>
          <w:sz w:val="24"/>
          <w:szCs w:val="24"/>
          <w:lang w:bidi="en-US"/>
        </w:rPr>
        <w:t>This research</w:t>
      </w:r>
      <w:r w:rsidR="00844670">
        <w:rPr>
          <w:sz w:val="24"/>
          <w:szCs w:val="24"/>
          <w:lang w:bidi="en-US"/>
        </w:rPr>
        <w:t xml:space="preserve"> was self-sponsored and</w:t>
      </w:r>
      <w:r>
        <w:rPr>
          <w:sz w:val="24"/>
          <w:szCs w:val="24"/>
          <w:lang w:bidi="en-US"/>
        </w:rPr>
        <w:t xml:space="preserve"> received no external funding.</w:t>
      </w:r>
    </w:p>
    <w:p w14:paraId="52C8766B" w14:textId="77777777" w:rsidR="00241B0B" w:rsidRDefault="00000000">
      <w:pPr>
        <w:pStyle w:val="Heading1"/>
        <w:spacing w:after="240"/>
        <w:ind w:left="549"/>
        <w:rPr>
          <w:sz w:val="24"/>
          <w:szCs w:val="24"/>
          <w:lang w:bidi="en-US"/>
        </w:rPr>
      </w:pPr>
      <w:r>
        <w:rPr>
          <w:sz w:val="24"/>
          <w:szCs w:val="24"/>
          <w:lang w:bidi="en-US"/>
        </w:rPr>
        <w:t>Data Availability</w:t>
      </w:r>
    </w:p>
    <w:p w14:paraId="6F73D0BE" w14:textId="6413DF1F" w:rsidR="00241B0B" w:rsidRDefault="00000000">
      <w:pPr>
        <w:spacing w:before="22" w:line="360" w:lineRule="auto"/>
        <w:jc w:val="both"/>
        <w:rPr>
          <w:sz w:val="24"/>
          <w:szCs w:val="24"/>
          <w:lang w:bidi="en-US"/>
        </w:rPr>
      </w:pPr>
      <w:r>
        <w:rPr>
          <w:sz w:val="24"/>
          <w:szCs w:val="24"/>
          <w:lang w:bidi="en-US"/>
        </w:rPr>
        <w:t xml:space="preserve">The datasets </w:t>
      </w:r>
      <w:r w:rsidR="00844670">
        <w:rPr>
          <w:sz w:val="24"/>
          <w:szCs w:val="24"/>
          <w:lang w:bidi="en-US"/>
        </w:rPr>
        <w:t xml:space="preserve">used </w:t>
      </w:r>
      <w:r>
        <w:rPr>
          <w:sz w:val="24"/>
          <w:szCs w:val="24"/>
          <w:lang w:bidi="en-US"/>
        </w:rPr>
        <w:t>during this study are not publicly available</w:t>
      </w:r>
      <w:r w:rsidR="00A765EC">
        <w:rPr>
          <w:sz w:val="24"/>
          <w:szCs w:val="24"/>
          <w:lang w:bidi="en-US"/>
        </w:rPr>
        <w:t xml:space="preserve"> to ensure anonymity. The nature of the study contains sensitive socio-economic and spatial information. T</w:t>
      </w:r>
      <w:r>
        <w:rPr>
          <w:sz w:val="24"/>
          <w:szCs w:val="24"/>
          <w:lang w:bidi="en-US"/>
        </w:rPr>
        <w:t xml:space="preserve">he data </w:t>
      </w:r>
      <w:r w:rsidR="00A765EC">
        <w:rPr>
          <w:sz w:val="24"/>
          <w:szCs w:val="24"/>
          <w:lang w:bidi="en-US"/>
        </w:rPr>
        <w:t xml:space="preserve">can be made </w:t>
      </w:r>
      <w:r>
        <w:rPr>
          <w:sz w:val="24"/>
          <w:szCs w:val="24"/>
          <w:lang w:bidi="en-US"/>
        </w:rPr>
        <w:t>available from the corresponding author upon reasonable request</w:t>
      </w:r>
      <w:r w:rsidR="007C46A4">
        <w:rPr>
          <w:sz w:val="24"/>
          <w:szCs w:val="24"/>
          <w:lang w:bidi="en-US"/>
        </w:rPr>
        <w:t xml:space="preserve"> where applicable.</w:t>
      </w:r>
    </w:p>
    <w:p w14:paraId="491BFC1D" w14:textId="77777777" w:rsidR="00241B0B" w:rsidRDefault="00241B0B">
      <w:pPr>
        <w:spacing w:before="22" w:line="360" w:lineRule="auto"/>
        <w:jc w:val="both"/>
        <w:rPr>
          <w:sz w:val="24"/>
          <w:szCs w:val="24"/>
          <w:lang w:bidi="en-US"/>
        </w:rPr>
      </w:pPr>
    </w:p>
    <w:p w14:paraId="51A3BE60" w14:textId="77777777" w:rsidR="00241B0B" w:rsidRDefault="00000000">
      <w:pPr>
        <w:pStyle w:val="Heading1"/>
        <w:spacing w:after="240"/>
        <w:ind w:left="549"/>
        <w:rPr>
          <w:sz w:val="24"/>
          <w:szCs w:val="24"/>
          <w:lang w:bidi="en-US"/>
        </w:rPr>
      </w:pPr>
      <w:r>
        <w:rPr>
          <w:sz w:val="24"/>
          <w:szCs w:val="24"/>
          <w:lang w:bidi="en-US"/>
        </w:rPr>
        <w:t>REFERENCES</w:t>
      </w:r>
    </w:p>
    <w:p w14:paraId="11CB3A8D" w14:textId="77777777" w:rsidR="00241B0B" w:rsidRDefault="00000000">
      <w:pPr>
        <w:spacing w:before="22" w:line="360" w:lineRule="auto"/>
        <w:ind w:left="720" w:hanging="720"/>
        <w:jc w:val="both"/>
        <w:rPr>
          <w:sz w:val="24"/>
          <w:szCs w:val="24"/>
          <w:lang w:bidi="en-US"/>
        </w:rPr>
      </w:pPr>
      <w:r>
        <w:rPr>
          <w:sz w:val="24"/>
          <w:szCs w:val="24"/>
          <w:lang w:bidi="en-US"/>
        </w:rPr>
        <w:t>Adekunle, I. A. (2021). On the search for environmental sustainability in Africa: the role of governance. </w:t>
      </w:r>
      <w:r>
        <w:rPr>
          <w:i/>
          <w:iCs/>
          <w:sz w:val="24"/>
          <w:szCs w:val="24"/>
          <w:lang w:bidi="en-US"/>
        </w:rPr>
        <w:t>Environmental Science and Pollution Research International, 28</w:t>
      </w:r>
      <w:r>
        <w:rPr>
          <w:sz w:val="24"/>
          <w:szCs w:val="24"/>
          <w:lang w:bidi="en-US"/>
        </w:rPr>
        <w:t>(12), 14607–14620. </w:t>
      </w:r>
      <w:hyperlink r:id="rId24" w:tgtFrame="_blank" w:history="1">
        <w:r w:rsidR="00241B0B">
          <w:rPr>
            <w:rStyle w:val="Hyperlink"/>
            <w:sz w:val="24"/>
            <w:szCs w:val="24"/>
            <w:lang w:bidi="en-US"/>
          </w:rPr>
          <w:t>https://doi.org/10.1007/s11356-020-11432-5</w:t>
        </w:r>
      </w:hyperlink>
    </w:p>
    <w:p w14:paraId="3C91E640" w14:textId="77777777" w:rsidR="00241B0B" w:rsidRDefault="00000000">
      <w:pPr>
        <w:spacing w:before="22" w:line="360" w:lineRule="auto"/>
        <w:ind w:left="720" w:hanging="720"/>
        <w:jc w:val="both"/>
        <w:rPr>
          <w:sz w:val="24"/>
          <w:szCs w:val="24"/>
          <w:lang w:bidi="en-US"/>
        </w:rPr>
      </w:pPr>
      <w:r>
        <w:rPr>
          <w:sz w:val="24"/>
          <w:szCs w:val="24"/>
          <w:lang w:bidi="en-US"/>
        </w:rPr>
        <w:t xml:space="preserve">Bamberg, S., &amp; Moser, G. (2007). Twenty years after Hines, Hungerford, and Tomera: A new meta-analysis of psycho-social determinants of pro-environmental </w:t>
      </w:r>
      <w:proofErr w:type="spellStart"/>
      <w:r>
        <w:rPr>
          <w:sz w:val="24"/>
          <w:szCs w:val="24"/>
          <w:lang w:bidi="en-US"/>
        </w:rPr>
        <w:t>behaviour</w:t>
      </w:r>
      <w:proofErr w:type="spellEnd"/>
      <w:r>
        <w:rPr>
          <w:sz w:val="24"/>
          <w:szCs w:val="24"/>
          <w:lang w:bidi="en-US"/>
        </w:rPr>
        <w:t>. </w:t>
      </w:r>
      <w:r>
        <w:rPr>
          <w:i/>
          <w:iCs/>
          <w:sz w:val="24"/>
          <w:szCs w:val="24"/>
          <w:lang w:bidi="en-US"/>
        </w:rPr>
        <w:t>Journal of Environmental Psychology, 27</w:t>
      </w:r>
      <w:r>
        <w:rPr>
          <w:sz w:val="24"/>
          <w:szCs w:val="24"/>
          <w:lang w:bidi="en-US"/>
        </w:rPr>
        <w:t>, 14–25. </w:t>
      </w:r>
      <w:hyperlink r:id="rId25" w:tgtFrame="_blank" w:history="1">
        <w:r w:rsidR="00241B0B">
          <w:rPr>
            <w:rStyle w:val="Hyperlink"/>
            <w:sz w:val="24"/>
            <w:szCs w:val="24"/>
            <w:lang w:bidi="en-US"/>
          </w:rPr>
          <w:t>https://doi.org/10.1016/j.jenvp.2006.12.002</w:t>
        </w:r>
      </w:hyperlink>
    </w:p>
    <w:p w14:paraId="443AF37A" w14:textId="77777777" w:rsidR="00241B0B" w:rsidRDefault="00000000">
      <w:pPr>
        <w:spacing w:before="22" w:line="360" w:lineRule="auto"/>
        <w:ind w:left="720" w:hanging="720"/>
        <w:jc w:val="both"/>
        <w:rPr>
          <w:sz w:val="24"/>
          <w:szCs w:val="24"/>
          <w:lang w:bidi="en-US"/>
        </w:rPr>
      </w:pPr>
      <w:r>
        <w:rPr>
          <w:sz w:val="24"/>
          <w:szCs w:val="24"/>
          <w:lang w:bidi="en-US"/>
        </w:rPr>
        <w:t>Barbosa, M. C., Mushtaq, S., &amp; Alam, K. (2017). Integrated water resources management: Are river basin committees in Brazil enabling effective stakeholder interaction? </w:t>
      </w:r>
      <w:r>
        <w:rPr>
          <w:i/>
          <w:iCs/>
          <w:sz w:val="24"/>
          <w:szCs w:val="24"/>
          <w:lang w:bidi="en-US"/>
        </w:rPr>
        <w:t>Environmental Science &amp; Policy, 76</w:t>
      </w:r>
      <w:r>
        <w:rPr>
          <w:sz w:val="24"/>
          <w:szCs w:val="24"/>
          <w:lang w:bidi="en-US"/>
        </w:rPr>
        <w:t>, 1–11.</w:t>
      </w:r>
    </w:p>
    <w:p w14:paraId="249B5B13" w14:textId="77777777" w:rsidR="00241B0B" w:rsidRDefault="00000000">
      <w:pPr>
        <w:spacing w:before="22" w:line="360" w:lineRule="auto"/>
        <w:ind w:left="720" w:hanging="720"/>
        <w:jc w:val="both"/>
        <w:rPr>
          <w:sz w:val="24"/>
          <w:szCs w:val="24"/>
          <w:lang w:bidi="en-US"/>
        </w:rPr>
      </w:pPr>
      <w:r>
        <w:rPr>
          <w:sz w:val="24"/>
          <w:szCs w:val="24"/>
          <w:lang w:bidi="en-US"/>
        </w:rPr>
        <w:t xml:space="preserve">Chin, Y. S. J., De Pretto, L., </w:t>
      </w:r>
      <w:proofErr w:type="spellStart"/>
      <w:r>
        <w:rPr>
          <w:sz w:val="24"/>
          <w:szCs w:val="24"/>
          <w:lang w:bidi="en-US"/>
        </w:rPr>
        <w:t>Thuppil</w:t>
      </w:r>
      <w:proofErr w:type="spellEnd"/>
      <w:r>
        <w:rPr>
          <w:sz w:val="24"/>
          <w:szCs w:val="24"/>
          <w:lang w:bidi="en-US"/>
        </w:rPr>
        <w:t xml:space="preserve">, V., &amp; </w:t>
      </w:r>
      <w:proofErr w:type="spellStart"/>
      <w:r>
        <w:rPr>
          <w:sz w:val="24"/>
          <w:szCs w:val="24"/>
          <w:lang w:bidi="en-US"/>
        </w:rPr>
        <w:t>Ashfold</w:t>
      </w:r>
      <w:proofErr w:type="spellEnd"/>
      <w:r>
        <w:rPr>
          <w:sz w:val="24"/>
          <w:szCs w:val="24"/>
          <w:lang w:bidi="en-US"/>
        </w:rPr>
        <w:t>, M. J. (2019). Public awareness and support for environmental protection—A focus on air pollution in peninsular Malaysia. </w:t>
      </w:r>
      <w:r>
        <w:rPr>
          <w:i/>
          <w:iCs/>
          <w:sz w:val="24"/>
          <w:szCs w:val="24"/>
          <w:lang w:bidi="en-US"/>
        </w:rPr>
        <w:t>PLOS ONE, 14</w:t>
      </w:r>
      <w:r>
        <w:rPr>
          <w:sz w:val="24"/>
          <w:szCs w:val="24"/>
          <w:lang w:bidi="en-US"/>
        </w:rPr>
        <w:t>, e0212206. </w:t>
      </w:r>
      <w:hyperlink r:id="rId26" w:tgtFrame="_blank" w:history="1">
        <w:r w:rsidR="00241B0B">
          <w:rPr>
            <w:rStyle w:val="Hyperlink"/>
            <w:sz w:val="24"/>
            <w:szCs w:val="24"/>
            <w:lang w:bidi="en-US"/>
          </w:rPr>
          <w:t>https://doi.org/10.1371/journal.pone.0212206</w:t>
        </w:r>
      </w:hyperlink>
    </w:p>
    <w:p w14:paraId="7701B3E0" w14:textId="77777777" w:rsidR="00241B0B" w:rsidRDefault="00000000">
      <w:pPr>
        <w:spacing w:before="22" w:line="360" w:lineRule="auto"/>
        <w:ind w:left="720" w:hanging="720"/>
        <w:jc w:val="both"/>
        <w:rPr>
          <w:sz w:val="24"/>
          <w:szCs w:val="24"/>
          <w:lang w:bidi="en-US"/>
        </w:rPr>
      </w:pPr>
      <w:proofErr w:type="spellStart"/>
      <w:r>
        <w:rPr>
          <w:sz w:val="24"/>
          <w:szCs w:val="24"/>
          <w:lang w:bidi="en-US"/>
        </w:rPr>
        <w:t>Cobbinah</w:t>
      </w:r>
      <w:proofErr w:type="spellEnd"/>
      <w:r>
        <w:rPr>
          <w:sz w:val="24"/>
          <w:szCs w:val="24"/>
          <w:lang w:bidi="en-US"/>
        </w:rPr>
        <w:t xml:space="preserve">, P. B., </w:t>
      </w:r>
      <w:proofErr w:type="spellStart"/>
      <w:r>
        <w:rPr>
          <w:sz w:val="24"/>
          <w:szCs w:val="24"/>
          <w:lang w:bidi="en-US"/>
        </w:rPr>
        <w:t>Erdiaw-Kwasie</w:t>
      </w:r>
      <w:proofErr w:type="spellEnd"/>
      <w:r>
        <w:rPr>
          <w:sz w:val="24"/>
          <w:szCs w:val="24"/>
          <w:lang w:bidi="en-US"/>
        </w:rPr>
        <w:t xml:space="preserve">, M. O., &amp; Amoateng, P. (2015). Africa’s </w:t>
      </w:r>
      <w:proofErr w:type="spellStart"/>
      <w:r>
        <w:rPr>
          <w:sz w:val="24"/>
          <w:szCs w:val="24"/>
          <w:lang w:bidi="en-US"/>
        </w:rPr>
        <w:t>urbanisation</w:t>
      </w:r>
      <w:proofErr w:type="spellEnd"/>
      <w:r>
        <w:rPr>
          <w:sz w:val="24"/>
          <w:szCs w:val="24"/>
          <w:lang w:bidi="en-US"/>
        </w:rPr>
        <w:t>: Implications for sustainable development. </w:t>
      </w:r>
      <w:r>
        <w:rPr>
          <w:i/>
          <w:iCs/>
          <w:sz w:val="24"/>
          <w:szCs w:val="24"/>
          <w:lang w:bidi="en-US"/>
        </w:rPr>
        <w:t>Cities, 47</w:t>
      </w:r>
      <w:r>
        <w:rPr>
          <w:sz w:val="24"/>
          <w:szCs w:val="24"/>
          <w:lang w:bidi="en-US"/>
        </w:rPr>
        <w:t>, 62–72. </w:t>
      </w:r>
      <w:hyperlink r:id="rId27" w:tgtFrame="_blank" w:history="1">
        <w:r w:rsidR="00241B0B">
          <w:rPr>
            <w:rStyle w:val="Hyperlink"/>
            <w:sz w:val="24"/>
            <w:szCs w:val="24"/>
            <w:lang w:bidi="en-US"/>
          </w:rPr>
          <w:t>https://doi.org/10.1016/j.cities.2015.03.013</w:t>
        </w:r>
      </w:hyperlink>
    </w:p>
    <w:p w14:paraId="175E9FA0" w14:textId="77777777" w:rsidR="00241B0B" w:rsidRDefault="00000000">
      <w:pPr>
        <w:spacing w:before="22" w:line="360" w:lineRule="auto"/>
        <w:ind w:left="720" w:hanging="720"/>
        <w:jc w:val="both"/>
        <w:rPr>
          <w:sz w:val="24"/>
          <w:szCs w:val="24"/>
          <w:lang w:bidi="en-US"/>
        </w:rPr>
      </w:pPr>
      <w:r>
        <w:rPr>
          <w:sz w:val="24"/>
          <w:szCs w:val="24"/>
          <w:lang w:bidi="en-US"/>
        </w:rPr>
        <w:t>Constitution of Kenya. (2010). Kenya.</w:t>
      </w:r>
    </w:p>
    <w:p w14:paraId="241E6B5C" w14:textId="77777777" w:rsidR="00241B0B" w:rsidRDefault="00000000">
      <w:pPr>
        <w:spacing w:before="22" w:line="360" w:lineRule="auto"/>
        <w:ind w:left="720" w:hanging="720"/>
        <w:jc w:val="both"/>
        <w:rPr>
          <w:sz w:val="24"/>
          <w:szCs w:val="24"/>
          <w:lang w:bidi="en-US"/>
        </w:rPr>
      </w:pPr>
      <w:r>
        <w:rPr>
          <w:sz w:val="24"/>
          <w:szCs w:val="24"/>
          <w:lang w:bidi="en-US"/>
        </w:rPr>
        <w:t>David, J. O. (2024). Decolonizing climate change response: African indigenous knowledge and sustainable development. </w:t>
      </w:r>
      <w:r>
        <w:rPr>
          <w:i/>
          <w:iCs/>
          <w:sz w:val="24"/>
          <w:szCs w:val="24"/>
          <w:lang w:bidi="en-US"/>
        </w:rPr>
        <w:t>Frontiers in Sociology, 9</w:t>
      </w:r>
      <w:r>
        <w:rPr>
          <w:sz w:val="24"/>
          <w:szCs w:val="24"/>
          <w:lang w:bidi="en-US"/>
        </w:rPr>
        <w:t>, 1456871. </w:t>
      </w:r>
      <w:hyperlink r:id="rId28" w:tgtFrame="_blank" w:history="1">
        <w:r w:rsidR="00241B0B">
          <w:rPr>
            <w:rStyle w:val="Hyperlink"/>
            <w:sz w:val="24"/>
            <w:szCs w:val="24"/>
            <w:lang w:bidi="en-US"/>
          </w:rPr>
          <w:t>https://doi.org/10.3389/fsoc.2024.1456871</w:t>
        </w:r>
      </w:hyperlink>
    </w:p>
    <w:p w14:paraId="3E095EAC" w14:textId="77777777" w:rsidR="00241B0B" w:rsidRDefault="00000000">
      <w:pPr>
        <w:spacing w:before="22" w:line="360" w:lineRule="auto"/>
        <w:ind w:left="720" w:hanging="720"/>
        <w:jc w:val="both"/>
        <w:rPr>
          <w:sz w:val="24"/>
          <w:szCs w:val="24"/>
          <w:lang w:bidi="en-US"/>
        </w:rPr>
      </w:pPr>
      <w:r>
        <w:rPr>
          <w:sz w:val="24"/>
          <w:szCs w:val="24"/>
          <w:lang w:bidi="en-US"/>
        </w:rPr>
        <w:lastRenderedPageBreak/>
        <w:t>De Vries, G. (2020). Public communication as a tool to implement environmental policies. </w:t>
      </w:r>
      <w:r>
        <w:rPr>
          <w:i/>
          <w:iCs/>
          <w:sz w:val="24"/>
          <w:szCs w:val="24"/>
          <w:lang w:bidi="en-US"/>
        </w:rPr>
        <w:t>Social Issues and Policy Review, 14</w:t>
      </w:r>
      <w:r>
        <w:rPr>
          <w:sz w:val="24"/>
          <w:szCs w:val="24"/>
          <w:lang w:bidi="en-US"/>
        </w:rPr>
        <w:t>, 244–272. </w:t>
      </w:r>
      <w:hyperlink r:id="rId29" w:tgtFrame="_blank" w:history="1">
        <w:r w:rsidR="00241B0B">
          <w:rPr>
            <w:rStyle w:val="Hyperlink"/>
            <w:sz w:val="24"/>
            <w:szCs w:val="24"/>
            <w:lang w:bidi="en-US"/>
          </w:rPr>
          <w:t>https://doi.org/10.1111/sipr.12061</w:t>
        </w:r>
      </w:hyperlink>
    </w:p>
    <w:p w14:paraId="0881B372" w14:textId="77777777" w:rsidR="00241B0B" w:rsidRDefault="00000000">
      <w:pPr>
        <w:spacing w:before="22" w:line="360" w:lineRule="auto"/>
        <w:ind w:left="720" w:hanging="720"/>
        <w:jc w:val="both"/>
        <w:rPr>
          <w:sz w:val="24"/>
          <w:szCs w:val="24"/>
          <w:lang w:bidi="en-US"/>
        </w:rPr>
      </w:pPr>
      <w:r>
        <w:rPr>
          <w:sz w:val="24"/>
          <w:szCs w:val="24"/>
          <w:lang w:bidi="en-US"/>
        </w:rPr>
        <w:t>Dijk, M. P. V. (2012). Introduction. </w:t>
      </w:r>
      <w:r>
        <w:rPr>
          <w:i/>
          <w:iCs/>
          <w:sz w:val="24"/>
          <w:szCs w:val="24"/>
          <w:lang w:bidi="en-US"/>
        </w:rPr>
        <w:t>International Journal of Water, 6</w:t>
      </w:r>
      <w:r>
        <w:rPr>
          <w:sz w:val="24"/>
          <w:szCs w:val="24"/>
          <w:lang w:bidi="en-US"/>
        </w:rPr>
        <w:t>, 137. </w:t>
      </w:r>
      <w:hyperlink r:id="rId30" w:tgtFrame="_blank" w:history="1">
        <w:r w:rsidR="00241B0B">
          <w:rPr>
            <w:rStyle w:val="Hyperlink"/>
            <w:sz w:val="24"/>
            <w:szCs w:val="24"/>
            <w:lang w:bidi="en-US"/>
          </w:rPr>
          <w:t>https://doi.org/10.1504/IJW.2012.049493</w:t>
        </w:r>
      </w:hyperlink>
    </w:p>
    <w:p w14:paraId="72CDD069" w14:textId="77777777" w:rsidR="00241B0B" w:rsidRDefault="00000000">
      <w:pPr>
        <w:spacing w:before="22" w:line="360" w:lineRule="auto"/>
        <w:ind w:left="720" w:hanging="720"/>
        <w:jc w:val="both"/>
        <w:rPr>
          <w:sz w:val="24"/>
          <w:szCs w:val="24"/>
          <w:lang w:bidi="en-US"/>
        </w:rPr>
      </w:pPr>
      <w:r>
        <w:rPr>
          <w:sz w:val="24"/>
          <w:szCs w:val="24"/>
          <w:lang w:bidi="en-US"/>
        </w:rPr>
        <w:t xml:space="preserve">Dlamini, S., Tesfamichael, S. G., &amp; Mokhele, T. (2021). Socio-demographic determinants of environmental attitudes, perceptions, place attachment, and environmentally responsible </w:t>
      </w:r>
      <w:proofErr w:type="spellStart"/>
      <w:r>
        <w:rPr>
          <w:sz w:val="24"/>
          <w:szCs w:val="24"/>
          <w:lang w:bidi="en-US"/>
        </w:rPr>
        <w:t>behaviour</w:t>
      </w:r>
      <w:proofErr w:type="spellEnd"/>
      <w:r>
        <w:rPr>
          <w:sz w:val="24"/>
          <w:szCs w:val="24"/>
          <w:lang w:bidi="en-US"/>
        </w:rPr>
        <w:t xml:space="preserve"> in Gauteng province, South Africa. </w:t>
      </w:r>
      <w:r>
        <w:rPr>
          <w:i/>
          <w:iCs/>
          <w:sz w:val="24"/>
          <w:szCs w:val="24"/>
          <w:lang w:bidi="en-US"/>
        </w:rPr>
        <w:t>Scientific African, 12</w:t>
      </w:r>
      <w:r>
        <w:rPr>
          <w:sz w:val="24"/>
          <w:szCs w:val="24"/>
          <w:lang w:bidi="en-US"/>
        </w:rPr>
        <w:t>, Article e00772. </w:t>
      </w:r>
      <w:hyperlink r:id="rId31" w:tgtFrame="_blank" w:history="1">
        <w:r w:rsidR="00241B0B">
          <w:rPr>
            <w:rStyle w:val="Hyperlink"/>
            <w:sz w:val="24"/>
            <w:szCs w:val="24"/>
            <w:lang w:bidi="en-US"/>
          </w:rPr>
          <w:t>https://doi.org/10.1016/j.sciaf.2021.e00772</w:t>
        </w:r>
      </w:hyperlink>
    </w:p>
    <w:p w14:paraId="5CC14E98" w14:textId="77777777" w:rsidR="00241B0B" w:rsidRDefault="00000000">
      <w:pPr>
        <w:spacing w:before="22" w:line="360" w:lineRule="auto"/>
        <w:ind w:left="720" w:hanging="720"/>
        <w:jc w:val="both"/>
        <w:rPr>
          <w:sz w:val="24"/>
          <w:szCs w:val="24"/>
          <w:lang w:bidi="en-US"/>
        </w:rPr>
      </w:pPr>
      <w:r>
        <w:rPr>
          <w:sz w:val="24"/>
          <w:szCs w:val="24"/>
          <w:lang w:bidi="en-US"/>
        </w:rPr>
        <w:t>Dorsch, M. T. (2014). Economic development and determinants of environmental concern. </w:t>
      </w:r>
      <w:r>
        <w:rPr>
          <w:i/>
          <w:iCs/>
          <w:sz w:val="24"/>
          <w:szCs w:val="24"/>
          <w:lang w:bidi="en-US"/>
        </w:rPr>
        <w:t>Social Science Quarterly, 95</w:t>
      </w:r>
      <w:r>
        <w:rPr>
          <w:sz w:val="24"/>
          <w:szCs w:val="24"/>
          <w:lang w:bidi="en-US"/>
        </w:rPr>
        <w:t>(4), 960–977. </w:t>
      </w:r>
      <w:hyperlink r:id="rId32" w:tgtFrame="_blank" w:history="1">
        <w:r w:rsidR="00241B0B">
          <w:rPr>
            <w:rStyle w:val="Hyperlink"/>
            <w:sz w:val="24"/>
            <w:szCs w:val="24"/>
            <w:lang w:bidi="en-US"/>
          </w:rPr>
          <w:t>https://doi.org/10.1111/ssqu.12071</w:t>
        </w:r>
      </w:hyperlink>
    </w:p>
    <w:p w14:paraId="7EF10032" w14:textId="77777777" w:rsidR="00241B0B" w:rsidRDefault="00000000">
      <w:pPr>
        <w:spacing w:before="22" w:line="360" w:lineRule="auto"/>
        <w:ind w:left="720" w:hanging="720"/>
        <w:jc w:val="both"/>
        <w:rPr>
          <w:sz w:val="24"/>
          <w:szCs w:val="24"/>
          <w:lang w:bidi="en-US"/>
        </w:rPr>
      </w:pPr>
      <w:r>
        <w:rPr>
          <w:sz w:val="24"/>
          <w:szCs w:val="24"/>
          <w:lang w:bidi="en-US"/>
        </w:rPr>
        <w:t xml:space="preserve">Dunlap, R., Liere, K. D., </w:t>
      </w:r>
      <w:proofErr w:type="spellStart"/>
      <w:r>
        <w:rPr>
          <w:sz w:val="24"/>
          <w:szCs w:val="24"/>
          <w:lang w:bidi="en-US"/>
        </w:rPr>
        <w:t>Mertig</w:t>
      </w:r>
      <w:proofErr w:type="spellEnd"/>
      <w:r>
        <w:rPr>
          <w:sz w:val="24"/>
          <w:szCs w:val="24"/>
          <w:lang w:bidi="en-US"/>
        </w:rPr>
        <w:t>, A., &amp; Jones, R. (2000). Measuring endorsement of the new ecological paradigm: A revised NEP scale. </w:t>
      </w:r>
      <w:r>
        <w:rPr>
          <w:i/>
          <w:iCs/>
          <w:sz w:val="24"/>
          <w:szCs w:val="24"/>
          <w:lang w:bidi="en-US"/>
        </w:rPr>
        <w:t>Journal of Social Issues, 56</w:t>
      </w:r>
      <w:r>
        <w:rPr>
          <w:sz w:val="24"/>
          <w:szCs w:val="24"/>
          <w:lang w:bidi="en-US"/>
        </w:rPr>
        <w:t>, 425–442.</w:t>
      </w:r>
    </w:p>
    <w:p w14:paraId="7EA17C57" w14:textId="77777777" w:rsidR="00241B0B" w:rsidRDefault="00000000">
      <w:pPr>
        <w:spacing w:before="22" w:line="360" w:lineRule="auto"/>
        <w:ind w:left="720" w:hanging="720"/>
        <w:jc w:val="both"/>
        <w:rPr>
          <w:sz w:val="24"/>
          <w:szCs w:val="24"/>
          <w:lang w:bidi="en-US"/>
        </w:rPr>
      </w:pPr>
      <w:r>
        <w:rPr>
          <w:sz w:val="24"/>
          <w:szCs w:val="24"/>
          <w:lang w:bidi="en-US"/>
        </w:rPr>
        <w:t>Environmental Management and Coordination Act, No. 8. (1999). Kenya.</w:t>
      </w:r>
    </w:p>
    <w:p w14:paraId="142C1151" w14:textId="77777777" w:rsidR="00241B0B" w:rsidRDefault="00000000">
      <w:pPr>
        <w:spacing w:before="22" w:line="360" w:lineRule="auto"/>
        <w:ind w:left="720" w:hanging="720"/>
        <w:jc w:val="both"/>
        <w:rPr>
          <w:sz w:val="24"/>
          <w:szCs w:val="24"/>
          <w:lang w:bidi="en-US"/>
        </w:rPr>
      </w:pPr>
      <w:r>
        <w:rPr>
          <w:sz w:val="24"/>
          <w:szCs w:val="24"/>
          <w:lang w:bidi="en-US"/>
        </w:rPr>
        <w:t>Eom, K., Kim, H. S., Sherman, D. K., &amp; Ishii, K. (2016). Cultural variability in the link between environmental concern and support for environmental action. </w:t>
      </w:r>
      <w:r>
        <w:rPr>
          <w:i/>
          <w:iCs/>
          <w:sz w:val="24"/>
          <w:szCs w:val="24"/>
          <w:lang w:bidi="en-US"/>
        </w:rPr>
        <w:t>Psychological Science, 27</w:t>
      </w:r>
      <w:r>
        <w:rPr>
          <w:sz w:val="24"/>
          <w:szCs w:val="24"/>
          <w:lang w:bidi="en-US"/>
        </w:rPr>
        <w:t>(10), 1331–1339. </w:t>
      </w:r>
      <w:hyperlink r:id="rId33" w:tgtFrame="_blank" w:history="1">
        <w:r w:rsidR="00241B0B">
          <w:rPr>
            <w:rStyle w:val="Hyperlink"/>
            <w:sz w:val="24"/>
            <w:szCs w:val="24"/>
            <w:lang w:bidi="en-US"/>
          </w:rPr>
          <w:t>https://psycnet.apa.org/doi/10.1177/0956797616660078</w:t>
        </w:r>
      </w:hyperlink>
    </w:p>
    <w:p w14:paraId="79A0FFB4" w14:textId="77777777" w:rsidR="00241B0B" w:rsidRDefault="00000000">
      <w:pPr>
        <w:spacing w:before="22" w:line="360" w:lineRule="auto"/>
        <w:ind w:left="720" w:hanging="720"/>
        <w:jc w:val="both"/>
        <w:rPr>
          <w:sz w:val="24"/>
          <w:szCs w:val="24"/>
          <w:lang w:bidi="en-US"/>
        </w:rPr>
      </w:pPr>
      <w:proofErr w:type="spellStart"/>
      <w:r>
        <w:rPr>
          <w:sz w:val="24"/>
          <w:szCs w:val="24"/>
          <w:lang w:bidi="en-US"/>
        </w:rPr>
        <w:t>Etikala</w:t>
      </w:r>
      <w:proofErr w:type="spellEnd"/>
      <w:r>
        <w:rPr>
          <w:sz w:val="24"/>
          <w:szCs w:val="24"/>
          <w:lang w:bidi="en-US"/>
        </w:rPr>
        <w:t xml:space="preserve">, B., Madhav, S., &amp; </w:t>
      </w:r>
      <w:proofErr w:type="spellStart"/>
      <w:r>
        <w:rPr>
          <w:sz w:val="24"/>
          <w:szCs w:val="24"/>
          <w:lang w:bidi="en-US"/>
        </w:rPr>
        <w:t>Somagouni</w:t>
      </w:r>
      <w:proofErr w:type="spellEnd"/>
      <w:r>
        <w:rPr>
          <w:sz w:val="24"/>
          <w:szCs w:val="24"/>
          <w:lang w:bidi="en-US"/>
        </w:rPr>
        <w:t>, S. G. (2022). Urban water systems: An overview. In </w:t>
      </w:r>
      <w:r>
        <w:rPr>
          <w:i/>
          <w:iCs/>
          <w:sz w:val="24"/>
          <w:szCs w:val="24"/>
          <w:lang w:bidi="en-US"/>
        </w:rPr>
        <w:t>Current directions in water scarcity research</w:t>
      </w:r>
      <w:r>
        <w:rPr>
          <w:sz w:val="24"/>
          <w:szCs w:val="24"/>
          <w:lang w:bidi="en-US"/>
        </w:rPr>
        <w:t> (pp. 1–19). Elsevier. </w:t>
      </w:r>
      <w:hyperlink r:id="rId34" w:tgtFrame="_blank" w:history="1">
        <w:r w:rsidR="00241B0B">
          <w:rPr>
            <w:rStyle w:val="Hyperlink"/>
            <w:sz w:val="24"/>
            <w:szCs w:val="24"/>
            <w:lang w:bidi="en-US"/>
          </w:rPr>
          <w:t>https://doi.org/10.1016/B978-0-323-91838-1.00016-6</w:t>
        </w:r>
      </w:hyperlink>
    </w:p>
    <w:p w14:paraId="307E8DD5" w14:textId="77777777" w:rsidR="00241B0B" w:rsidRDefault="00000000">
      <w:pPr>
        <w:spacing w:before="22" w:line="360" w:lineRule="auto"/>
        <w:ind w:left="720" w:hanging="720"/>
        <w:jc w:val="both"/>
        <w:rPr>
          <w:sz w:val="24"/>
          <w:szCs w:val="24"/>
          <w:lang w:bidi="en-US"/>
        </w:rPr>
      </w:pPr>
      <w:r>
        <w:rPr>
          <w:sz w:val="24"/>
          <w:szCs w:val="24"/>
          <w:lang w:bidi="en-US"/>
        </w:rPr>
        <w:t>Farjam, M., Nikolaychuk, O., &amp; Bravo, G. (2019). Experimental evidence of an environmental attitude-behavior gap in high-cost situations. </w:t>
      </w:r>
      <w:r>
        <w:rPr>
          <w:i/>
          <w:iCs/>
          <w:sz w:val="24"/>
          <w:szCs w:val="24"/>
          <w:lang w:bidi="en-US"/>
        </w:rPr>
        <w:t>Ecological Economics, 166</w:t>
      </w:r>
      <w:r>
        <w:rPr>
          <w:sz w:val="24"/>
          <w:szCs w:val="24"/>
          <w:lang w:bidi="en-US"/>
        </w:rPr>
        <w:t>, 106434. </w:t>
      </w:r>
      <w:hyperlink r:id="rId35" w:tgtFrame="_blank" w:history="1">
        <w:r w:rsidR="00241B0B">
          <w:rPr>
            <w:rStyle w:val="Hyperlink"/>
            <w:sz w:val="24"/>
            <w:szCs w:val="24"/>
            <w:lang w:bidi="en-US"/>
          </w:rPr>
          <w:t>https://doi.org/10.1016/j.ecolecon.2019.106434</w:t>
        </w:r>
      </w:hyperlink>
    </w:p>
    <w:p w14:paraId="0213FE86" w14:textId="77777777" w:rsidR="00241B0B" w:rsidRDefault="00000000">
      <w:pPr>
        <w:spacing w:before="22" w:line="360" w:lineRule="auto"/>
        <w:ind w:left="720" w:hanging="720"/>
        <w:jc w:val="both"/>
        <w:rPr>
          <w:sz w:val="24"/>
          <w:szCs w:val="24"/>
          <w:lang w:bidi="en-US"/>
        </w:rPr>
      </w:pPr>
      <w:r>
        <w:rPr>
          <w:sz w:val="24"/>
          <w:szCs w:val="24"/>
          <w:lang w:bidi="en-US"/>
        </w:rPr>
        <w:t xml:space="preserve">Franco-Torres, M., </w:t>
      </w:r>
      <w:proofErr w:type="spellStart"/>
      <w:r>
        <w:rPr>
          <w:sz w:val="24"/>
          <w:szCs w:val="24"/>
          <w:lang w:bidi="en-US"/>
        </w:rPr>
        <w:t>Kvålshaugen</w:t>
      </w:r>
      <w:proofErr w:type="spellEnd"/>
      <w:r>
        <w:rPr>
          <w:sz w:val="24"/>
          <w:szCs w:val="24"/>
          <w:lang w:bidi="en-US"/>
        </w:rPr>
        <w:t xml:space="preserve">, R., &amp; Ugarelli, R. M. (2021). Understanding the governance of urban water services from an institutional </w:t>
      </w:r>
      <w:proofErr w:type="gramStart"/>
      <w:r>
        <w:rPr>
          <w:sz w:val="24"/>
          <w:szCs w:val="24"/>
          <w:lang w:bidi="en-US"/>
        </w:rPr>
        <w:t>logics</w:t>
      </w:r>
      <w:proofErr w:type="gramEnd"/>
      <w:r>
        <w:rPr>
          <w:sz w:val="24"/>
          <w:szCs w:val="24"/>
          <w:lang w:bidi="en-US"/>
        </w:rPr>
        <w:t xml:space="preserve"> perspective. </w:t>
      </w:r>
      <w:r>
        <w:rPr>
          <w:i/>
          <w:iCs/>
          <w:sz w:val="24"/>
          <w:szCs w:val="24"/>
          <w:lang w:bidi="en-US"/>
        </w:rPr>
        <w:t>Utilities Policy, 68</w:t>
      </w:r>
      <w:r>
        <w:rPr>
          <w:sz w:val="24"/>
          <w:szCs w:val="24"/>
          <w:lang w:bidi="en-US"/>
        </w:rPr>
        <w:t>, 101159. </w:t>
      </w:r>
      <w:hyperlink r:id="rId36" w:tgtFrame="_blank" w:history="1">
        <w:r w:rsidR="00241B0B">
          <w:rPr>
            <w:rStyle w:val="Hyperlink"/>
            <w:sz w:val="24"/>
            <w:szCs w:val="24"/>
            <w:lang w:bidi="en-US"/>
          </w:rPr>
          <w:t>https://doi.org/10.1016/j.jup.2020.101159</w:t>
        </w:r>
      </w:hyperlink>
    </w:p>
    <w:p w14:paraId="5417FB7F" w14:textId="77777777" w:rsidR="00241B0B" w:rsidRDefault="00000000">
      <w:pPr>
        <w:spacing w:before="22" w:line="360" w:lineRule="auto"/>
        <w:ind w:left="720" w:hanging="720"/>
        <w:jc w:val="both"/>
        <w:rPr>
          <w:sz w:val="24"/>
          <w:szCs w:val="24"/>
          <w:lang w:bidi="en-US"/>
        </w:rPr>
      </w:pPr>
      <w:r>
        <w:rPr>
          <w:sz w:val="24"/>
          <w:szCs w:val="24"/>
          <w:lang w:bidi="en-US"/>
        </w:rPr>
        <w:t xml:space="preserve">Glass, L. M., &amp; </w:t>
      </w:r>
      <w:proofErr w:type="spellStart"/>
      <w:r>
        <w:rPr>
          <w:sz w:val="24"/>
          <w:szCs w:val="24"/>
          <w:lang w:bidi="en-US"/>
        </w:rPr>
        <w:t>Newig</w:t>
      </w:r>
      <w:proofErr w:type="spellEnd"/>
      <w:r>
        <w:rPr>
          <w:sz w:val="24"/>
          <w:szCs w:val="24"/>
          <w:lang w:bidi="en-US"/>
        </w:rPr>
        <w:t>, J. (2019). Governance for achieving the Sustainable Development Goals: How important are participation, policy coherence, reflexivity, adaptation and democratic institutions? </w:t>
      </w:r>
      <w:r>
        <w:rPr>
          <w:i/>
          <w:iCs/>
          <w:sz w:val="24"/>
          <w:szCs w:val="24"/>
          <w:lang w:bidi="en-US"/>
        </w:rPr>
        <w:t>Earth System Governance, 2</w:t>
      </w:r>
      <w:r>
        <w:rPr>
          <w:sz w:val="24"/>
          <w:szCs w:val="24"/>
          <w:lang w:bidi="en-US"/>
        </w:rPr>
        <w:t>, Article 100031. </w:t>
      </w:r>
      <w:hyperlink r:id="rId37" w:tgtFrame="_blank" w:history="1">
        <w:r w:rsidR="00241B0B">
          <w:rPr>
            <w:rStyle w:val="Hyperlink"/>
            <w:sz w:val="24"/>
            <w:szCs w:val="24"/>
            <w:lang w:bidi="en-US"/>
          </w:rPr>
          <w:t>https://doi.org/10.1016/j.esg.2019.100031</w:t>
        </w:r>
      </w:hyperlink>
    </w:p>
    <w:p w14:paraId="37182669" w14:textId="77777777" w:rsidR="00241B0B" w:rsidRDefault="00000000">
      <w:pPr>
        <w:spacing w:before="22" w:line="360" w:lineRule="auto"/>
        <w:ind w:left="720" w:hanging="720"/>
        <w:jc w:val="both"/>
        <w:rPr>
          <w:sz w:val="24"/>
          <w:szCs w:val="24"/>
          <w:lang w:bidi="en-US"/>
        </w:rPr>
      </w:pPr>
      <w:r>
        <w:rPr>
          <w:sz w:val="24"/>
          <w:szCs w:val="24"/>
          <w:lang w:bidi="en-US"/>
        </w:rPr>
        <w:t>Hoffman, A. J., &amp; Jennings, P. D. (2015). Institutional theory and the natural environment: Research in (and on) the Anthropocene. </w:t>
      </w:r>
      <w:r>
        <w:rPr>
          <w:i/>
          <w:iCs/>
          <w:sz w:val="24"/>
          <w:szCs w:val="24"/>
          <w:lang w:bidi="en-US"/>
        </w:rPr>
        <w:t>Organization &amp; Environment, 28</w:t>
      </w:r>
      <w:r>
        <w:rPr>
          <w:sz w:val="24"/>
          <w:szCs w:val="24"/>
          <w:lang w:bidi="en-US"/>
        </w:rPr>
        <w:t>, 8–</w:t>
      </w:r>
      <w:r>
        <w:rPr>
          <w:sz w:val="24"/>
          <w:szCs w:val="24"/>
          <w:lang w:bidi="en-US"/>
        </w:rPr>
        <w:lastRenderedPageBreak/>
        <w:t>31. </w:t>
      </w:r>
      <w:hyperlink r:id="rId38" w:tgtFrame="_blank" w:history="1">
        <w:r w:rsidR="00241B0B">
          <w:rPr>
            <w:rStyle w:val="Hyperlink"/>
            <w:sz w:val="24"/>
            <w:szCs w:val="24"/>
            <w:lang w:bidi="en-US"/>
          </w:rPr>
          <w:t>https://doi.org/10.1177/1086026615575331</w:t>
        </w:r>
      </w:hyperlink>
    </w:p>
    <w:p w14:paraId="34864A82" w14:textId="77777777" w:rsidR="00241B0B" w:rsidRDefault="00000000">
      <w:pPr>
        <w:spacing w:before="22" w:line="360" w:lineRule="auto"/>
        <w:ind w:left="720" w:hanging="720"/>
        <w:jc w:val="both"/>
        <w:rPr>
          <w:sz w:val="24"/>
          <w:szCs w:val="24"/>
          <w:lang w:bidi="en-US"/>
        </w:rPr>
      </w:pPr>
      <w:proofErr w:type="spellStart"/>
      <w:r>
        <w:rPr>
          <w:sz w:val="24"/>
          <w:szCs w:val="24"/>
          <w:lang w:bidi="en-US"/>
        </w:rPr>
        <w:t>Ifegbesan</w:t>
      </w:r>
      <w:proofErr w:type="spellEnd"/>
      <w:r>
        <w:rPr>
          <w:sz w:val="24"/>
          <w:szCs w:val="24"/>
          <w:lang w:bidi="en-US"/>
        </w:rPr>
        <w:t xml:space="preserve">, A. P., </w:t>
      </w:r>
      <w:proofErr w:type="spellStart"/>
      <w:r>
        <w:rPr>
          <w:sz w:val="24"/>
          <w:szCs w:val="24"/>
          <w:lang w:bidi="en-US"/>
        </w:rPr>
        <w:t>Rampedi</w:t>
      </w:r>
      <w:proofErr w:type="spellEnd"/>
      <w:r>
        <w:rPr>
          <w:sz w:val="24"/>
          <w:szCs w:val="24"/>
          <w:lang w:bidi="en-US"/>
        </w:rPr>
        <w:t xml:space="preserve">, I. T., Ogunyemi, B., &amp; </w:t>
      </w:r>
      <w:proofErr w:type="spellStart"/>
      <w:r>
        <w:rPr>
          <w:sz w:val="24"/>
          <w:szCs w:val="24"/>
          <w:lang w:bidi="en-US"/>
        </w:rPr>
        <w:t>Modley</w:t>
      </w:r>
      <w:proofErr w:type="spellEnd"/>
      <w:r>
        <w:rPr>
          <w:sz w:val="24"/>
          <w:szCs w:val="24"/>
          <w:lang w:bidi="en-US"/>
        </w:rPr>
        <w:t xml:space="preserve">, L.-A. (2022). Predicting pro-environmental </w:t>
      </w:r>
      <w:proofErr w:type="spellStart"/>
      <w:r>
        <w:rPr>
          <w:sz w:val="24"/>
          <w:szCs w:val="24"/>
          <w:lang w:bidi="en-US"/>
        </w:rPr>
        <w:t>behaviour</w:t>
      </w:r>
      <w:proofErr w:type="spellEnd"/>
      <w:r>
        <w:rPr>
          <w:sz w:val="24"/>
          <w:szCs w:val="24"/>
          <w:lang w:bidi="en-US"/>
        </w:rPr>
        <w:t xml:space="preserve"> amongst citizens in African countries: A cross-national study amongst six African countries. </w:t>
      </w:r>
      <w:r>
        <w:rPr>
          <w:i/>
          <w:iCs/>
          <w:sz w:val="24"/>
          <w:szCs w:val="24"/>
          <w:lang w:bidi="en-US"/>
        </w:rPr>
        <w:t>Sustainability, 14</w:t>
      </w:r>
      <w:r>
        <w:rPr>
          <w:sz w:val="24"/>
          <w:szCs w:val="24"/>
          <w:lang w:bidi="en-US"/>
        </w:rPr>
        <w:t>(15), 9311. </w:t>
      </w:r>
      <w:hyperlink r:id="rId39" w:tgtFrame="_blank" w:history="1">
        <w:r w:rsidR="00241B0B">
          <w:rPr>
            <w:rStyle w:val="Hyperlink"/>
            <w:sz w:val="24"/>
            <w:szCs w:val="24"/>
            <w:lang w:bidi="en-US"/>
          </w:rPr>
          <w:t>https://doi.org/10.3390/su14159311</w:t>
        </w:r>
      </w:hyperlink>
    </w:p>
    <w:p w14:paraId="1EE53831" w14:textId="77777777" w:rsidR="00241B0B" w:rsidRDefault="00000000">
      <w:pPr>
        <w:spacing w:before="22" w:line="360" w:lineRule="auto"/>
        <w:ind w:left="720" w:hanging="720"/>
        <w:jc w:val="both"/>
        <w:rPr>
          <w:sz w:val="24"/>
          <w:szCs w:val="24"/>
          <w:lang w:bidi="en-US"/>
        </w:rPr>
      </w:pPr>
      <w:proofErr w:type="spellStart"/>
      <w:r>
        <w:rPr>
          <w:sz w:val="24"/>
          <w:szCs w:val="24"/>
          <w:lang w:bidi="en-US"/>
        </w:rPr>
        <w:t>Ikiara</w:t>
      </w:r>
      <w:proofErr w:type="spellEnd"/>
      <w:r>
        <w:rPr>
          <w:sz w:val="24"/>
          <w:szCs w:val="24"/>
          <w:lang w:bidi="en-US"/>
        </w:rPr>
        <w:t xml:space="preserve">, M., </w:t>
      </w:r>
      <w:proofErr w:type="spellStart"/>
      <w:r>
        <w:rPr>
          <w:sz w:val="24"/>
          <w:szCs w:val="24"/>
          <w:lang w:bidi="en-US"/>
        </w:rPr>
        <w:t>Mwakubo</w:t>
      </w:r>
      <w:proofErr w:type="spellEnd"/>
      <w:r>
        <w:rPr>
          <w:sz w:val="24"/>
          <w:szCs w:val="24"/>
          <w:lang w:bidi="en-US"/>
        </w:rPr>
        <w:t xml:space="preserve">, S., </w:t>
      </w:r>
      <w:proofErr w:type="spellStart"/>
      <w:r>
        <w:rPr>
          <w:sz w:val="24"/>
          <w:szCs w:val="24"/>
          <w:lang w:bidi="en-US"/>
        </w:rPr>
        <w:t>Gichira</w:t>
      </w:r>
      <w:proofErr w:type="spellEnd"/>
      <w:r>
        <w:rPr>
          <w:sz w:val="24"/>
          <w:szCs w:val="24"/>
          <w:lang w:bidi="en-US"/>
        </w:rPr>
        <w:t xml:space="preserve">, R., &amp; </w:t>
      </w:r>
      <w:proofErr w:type="spellStart"/>
      <w:r>
        <w:rPr>
          <w:sz w:val="24"/>
          <w:szCs w:val="24"/>
          <w:lang w:bidi="en-US"/>
        </w:rPr>
        <w:t>Njiraini</w:t>
      </w:r>
      <w:proofErr w:type="spellEnd"/>
      <w:r>
        <w:rPr>
          <w:sz w:val="24"/>
          <w:szCs w:val="24"/>
          <w:lang w:bidi="en-US"/>
        </w:rPr>
        <w:t>, P. (2006). </w:t>
      </w:r>
      <w:r>
        <w:rPr>
          <w:i/>
          <w:iCs/>
          <w:sz w:val="24"/>
          <w:szCs w:val="24"/>
          <w:lang w:bidi="en-US"/>
        </w:rPr>
        <w:t>Development impact of tourism foreign direct investment in Kenya</w:t>
      </w:r>
      <w:r>
        <w:rPr>
          <w:sz w:val="24"/>
          <w:szCs w:val="24"/>
          <w:lang w:bidi="en-US"/>
        </w:rPr>
        <w:t>. KIPPRA.</w:t>
      </w:r>
    </w:p>
    <w:p w14:paraId="5AA976E8" w14:textId="77777777" w:rsidR="00241B0B" w:rsidRDefault="00000000">
      <w:pPr>
        <w:spacing w:before="22" w:line="360" w:lineRule="auto"/>
        <w:ind w:left="720" w:hanging="720"/>
        <w:jc w:val="both"/>
        <w:rPr>
          <w:sz w:val="24"/>
          <w:szCs w:val="24"/>
          <w:lang w:bidi="en-US"/>
        </w:rPr>
      </w:pPr>
      <w:r>
        <w:rPr>
          <w:sz w:val="24"/>
          <w:szCs w:val="24"/>
          <w:lang w:bidi="en-US"/>
        </w:rPr>
        <w:t>Jones, N. A., Shaw, S., Ross, H., Witt, K., &amp; Pinner, B. (2016). The study of human values in understanding and managing social-ecological systems. </w:t>
      </w:r>
      <w:r>
        <w:rPr>
          <w:i/>
          <w:iCs/>
          <w:sz w:val="24"/>
          <w:szCs w:val="24"/>
          <w:lang w:bidi="en-US"/>
        </w:rPr>
        <w:t>Ecology and Society, 21</w:t>
      </w:r>
      <w:r>
        <w:rPr>
          <w:sz w:val="24"/>
          <w:szCs w:val="24"/>
          <w:lang w:bidi="en-US"/>
        </w:rPr>
        <w:t>. </w:t>
      </w:r>
      <w:hyperlink r:id="rId40" w:tgtFrame="_blank" w:history="1">
        <w:r w:rsidR="00241B0B">
          <w:rPr>
            <w:rStyle w:val="Hyperlink"/>
            <w:sz w:val="24"/>
            <w:szCs w:val="24"/>
            <w:lang w:bidi="en-US"/>
          </w:rPr>
          <w:t>https://doi.org/10.5751/ES-07977-210115</w:t>
        </w:r>
      </w:hyperlink>
    </w:p>
    <w:p w14:paraId="32438A95" w14:textId="77777777" w:rsidR="00241B0B" w:rsidRDefault="00000000">
      <w:pPr>
        <w:spacing w:before="22" w:line="360" w:lineRule="auto"/>
        <w:ind w:left="720" w:hanging="720"/>
        <w:jc w:val="both"/>
        <w:rPr>
          <w:sz w:val="24"/>
          <w:szCs w:val="24"/>
          <w:lang w:bidi="en-US"/>
        </w:rPr>
      </w:pPr>
      <w:proofErr w:type="spellStart"/>
      <w:r>
        <w:rPr>
          <w:sz w:val="24"/>
          <w:szCs w:val="24"/>
          <w:lang w:bidi="en-US"/>
        </w:rPr>
        <w:t>Kageche</w:t>
      </w:r>
      <w:proofErr w:type="spellEnd"/>
      <w:r>
        <w:rPr>
          <w:sz w:val="24"/>
          <w:szCs w:val="24"/>
          <w:lang w:bidi="en-US"/>
        </w:rPr>
        <w:t xml:space="preserve">, K. D., &amp; Kipkirui, E. (2020). Contemporary and emerging pollutants in </w:t>
      </w:r>
      <w:proofErr w:type="gramStart"/>
      <w:r>
        <w:rPr>
          <w:sz w:val="24"/>
          <w:szCs w:val="24"/>
          <w:lang w:bidi="en-US"/>
        </w:rPr>
        <w:t>Nairobi river</w:t>
      </w:r>
      <w:proofErr w:type="gramEnd"/>
      <w:r>
        <w:rPr>
          <w:sz w:val="24"/>
          <w:szCs w:val="24"/>
          <w:lang w:bidi="en-US"/>
        </w:rPr>
        <w:t>, Kenya. </w:t>
      </w:r>
      <w:r>
        <w:rPr>
          <w:i/>
          <w:iCs/>
          <w:sz w:val="24"/>
          <w:szCs w:val="24"/>
          <w:lang w:bidi="en-US"/>
        </w:rPr>
        <w:t>International Journal of Scientific Research Publications (IJSRP), 10</w:t>
      </w:r>
      <w:r>
        <w:rPr>
          <w:sz w:val="24"/>
          <w:szCs w:val="24"/>
          <w:lang w:bidi="en-US"/>
        </w:rPr>
        <w:t>, p98106. </w:t>
      </w:r>
      <w:hyperlink r:id="rId41" w:tgtFrame="_blank" w:history="1">
        <w:r w:rsidR="00241B0B">
          <w:rPr>
            <w:rStyle w:val="Hyperlink"/>
            <w:sz w:val="24"/>
            <w:szCs w:val="24"/>
            <w:lang w:bidi="en-US"/>
          </w:rPr>
          <w:t>https://doi.org/10.29322/IJSRP.10.02.2020.p98106</w:t>
        </w:r>
      </w:hyperlink>
    </w:p>
    <w:p w14:paraId="642849F9" w14:textId="77777777" w:rsidR="00241B0B" w:rsidRDefault="00000000">
      <w:pPr>
        <w:spacing w:before="22" w:line="360" w:lineRule="auto"/>
        <w:ind w:left="720" w:hanging="720"/>
        <w:jc w:val="both"/>
        <w:rPr>
          <w:sz w:val="24"/>
          <w:szCs w:val="24"/>
          <w:lang w:bidi="en-US"/>
        </w:rPr>
      </w:pPr>
      <w:r>
        <w:rPr>
          <w:sz w:val="24"/>
          <w:szCs w:val="24"/>
          <w:lang w:bidi="en-US"/>
        </w:rPr>
        <w:t>Kaiser, F. G. (2020). GEB-50. General ecological behavior scale [</w:t>
      </w:r>
      <w:proofErr w:type="spellStart"/>
      <w:r>
        <w:rPr>
          <w:sz w:val="24"/>
          <w:szCs w:val="24"/>
          <w:lang w:bidi="en-US"/>
        </w:rPr>
        <w:t>Verfahrensdokumentation</w:t>
      </w:r>
      <w:proofErr w:type="spellEnd"/>
      <w:r>
        <w:rPr>
          <w:sz w:val="24"/>
          <w:szCs w:val="24"/>
          <w:lang w:bidi="en-US"/>
        </w:rPr>
        <w:t xml:space="preserve">, </w:t>
      </w:r>
      <w:proofErr w:type="spellStart"/>
      <w:r>
        <w:rPr>
          <w:sz w:val="24"/>
          <w:szCs w:val="24"/>
          <w:lang w:bidi="en-US"/>
        </w:rPr>
        <w:t>Fragebogen</w:t>
      </w:r>
      <w:proofErr w:type="spellEnd"/>
      <w:r>
        <w:rPr>
          <w:sz w:val="24"/>
          <w:szCs w:val="24"/>
          <w:lang w:bidi="en-US"/>
        </w:rPr>
        <w:t xml:space="preserve"> </w:t>
      </w:r>
      <w:proofErr w:type="spellStart"/>
      <w:r>
        <w:rPr>
          <w:sz w:val="24"/>
          <w:szCs w:val="24"/>
          <w:lang w:bidi="en-US"/>
        </w:rPr>
        <w:t>deutsch</w:t>
      </w:r>
      <w:proofErr w:type="spellEnd"/>
      <w:r>
        <w:rPr>
          <w:sz w:val="24"/>
          <w:szCs w:val="24"/>
          <w:lang w:bidi="en-US"/>
        </w:rPr>
        <w:t xml:space="preserve"> und </w:t>
      </w:r>
      <w:proofErr w:type="spellStart"/>
      <w:r>
        <w:rPr>
          <w:sz w:val="24"/>
          <w:szCs w:val="24"/>
          <w:lang w:bidi="en-US"/>
        </w:rPr>
        <w:t>englisch</w:t>
      </w:r>
      <w:proofErr w:type="spellEnd"/>
      <w:r>
        <w:rPr>
          <w:sz w:val="24"/>
          <w:szCs w:val="24"/>
          <w:lang w:bidi="en-US"/>
        </w:rPr>
        <w:t>]. In Leibniz-</w:t>
      </w:r>
      <w:proofErr w:type="spellStart"/>
      <w:r>
        <w:rPr>
          <w:sz w:val="24"/>
          <w:szCs w:val="24"/>
          <w:lang w:bidi="en-US"/>
        </w:rPr>
        <w:t>Institut</w:t>
      </w:r>
      <w:proofErr w:type="spellEnd"/>
      <w:r>
        <w:rPr>
          <w:sz w:val="24"/>
          <w:szCs w:val="24"/>
          <w:lang w:bidi="en-US"/>
        </w:rPr>
        <w:t xml:space="preserve"> für </w:t>
      </w:r>
      <w:proofErr w:type="spellStart"/>
      <w:r>
        <w:rPr>
          <w:sz w:val="24"/>
          <w:szCs w:val="24"/>
          <w:lang w:bidi="en-US"/>
        </w:rPr>
        <w:t>Psychologie</w:t>
      </w:r>
      <w:proofErr w:type="spellEnd"/>
      <w:r>
        <w:rPr>
          <w:sz w:val="24"/>
          <w:szCs w:val="24"/>
          <w:lang w:bidi="en-US"/>
        </w:rPr>
        <w:t xml:space="preserve"> (ZPID) (Ed.), </w:t>
      </w:r>
      <w:r>
        <w:rPr>
          <w:i/>
          <w:iCs/>
          <w:sz w:val="24"/>
          <w:szCs w:val="24"/>
          <w:lang w:bidi="en-US"/>
        </w:rPr>
        <w:t>Open test archive</w:t>
      </w:r>
      <w:r>
        <w:rPr>
          <w:sz w:val="24"/>
          <w:szCs w:val="24"/>
          <w:lang w:bidi="en-US"/>
        </w:rPr>
        <w:t>. ZPID. </w:t>
      </w:r>
      <w:hyperlink r:id="rId42" w:tgtFrame="_blank" w:history="1">
        <w:r w:rsidR="00241B0B">
          <w:rPr>
            <w:rStyle w:val="Hyperlink"/>
            <w:sz w:val="24"/>
            <w:szCs w:val="24"/>
            <w:lang w:bidi="en-US"/>
          </w:rPr>
          <w:t>https://doi.org/10.23668/psycharchives.4489</w:t>
        </w:r>
      </w:hyperlink>
    </w:p>
    <w:p w14:paraId="78AAB91C" w14:textId="77777777" w:rsidR="00241B0B" w:rsidRDefault="00000000">
      <w:pPr>
        <w:spacing w:before="22" w:line="360" w:lineRule="auto"/>
        <w:ind w:left="720" w:hanging="720"/>
        <w:jc w:val="both"/>
        <w:rPr>
          <w:sz w:val="24"/>
          <w:szCs w:val="24"/>
          <w:lang w:bidi="en-US"/>
        </w:rPr>
      </w:pPr>
      <w:r>
        <w:rPr>
          <w:sz w:val="24"/>
          <w:szCs w:val="24"/>
          <w:lang w:bidi="en-US"/>
        </w:rPr>
        <w:t>Karangi, M. N. (2017). </w:t>
      </w:r>
      <w:r>
        <w:rPr>
          <w:i/>
          <w:iCs/>
          <w:sz w:val="24"/>
          <w:szCs w:val="24"/>
          <w:lang w:bidi="en-US"/>
        </w:rPr>
        <w:t>Destruction of riparian zones in the Nairobi Metropolitan Region</w:t>
      </w:r>
      <w:r>
        <w:rPr>
          <w:sz w:val="24"/>
          <w:szCs w:val="24"/>
          <w:lang w:bidi="en-US"/>
        </w:rPr>
        <w:t>. Kenya Institute for Public Research and Analysis.</w:t>
      </w:r>
    </w:p>
    <w:p w14:paraId="488C5757" w14:textId="77777777" w:rsidR="00241B0B" w:rsidRDefault="00000000">
      <w:pPr>
        <w:spacing w:before="22" w:line="360" w:lineRule="auto"/>
        <w:ind w:left="720" w:hanging="720"/>
        <w:jc w:val="both"/>
        <w:rPr>
          <w:sz w:val="24"/>
          <w:szCs w:val="24"/>
          <w:lang w:bidi="en-US"/>
        </w:rPr>
      </w:pPr>
      <w:r>
        <w:rPr>
          <w:sz w:val="24"/>
          <w:szCs w:val="24"/>
          <w:lang w:bidi="en-US"/>
        </w:rPr>
        <w:t>Kendal, D., &amp; Raymond, C. M. (2019). Understanding pathways to shifting people’s values over time in the context of social-ecological systems. </w:t>
      </w:r>
      <w:r>
        <w:rPr>
          <w:i/>
          <w:iCs/>
          <w:sz w:val="24"/>
          <w:szCs w:val="24"/>
          <w:lang w:bidi="en-US"/>
        </w:rPr>
        <w:t>Sustainability Science, 14</w:t>
      </w:r>
      <w:r>
        <w:rPr>
          <w:sz w:val="24"/>
          <w:szCs w:val="24"/>
          <w:lang w:bidi="en-US"/>
        </w:rPr>
        <w:t>, 1333–1342. </w:t>
      </w:r>
      <w:hyperlink r:id="rId43" w:tgtFrame="_blank" w:history="1">
        <w:r w:rsidR="00241B0B">
          <w:rPr>
            <w:rStyle w:val="Hyperlink"/>
            <w:sz w:val="24"/>
            <w:szCs w:val="24"/>
            <w:lang w:bidi="en-US"/>
          </w:rPr>
          <w:t>https://doi.org/10.1007/s11625-018-0648-0</w:t>
        </w:r>
      </w:hyperlink>
    </w:p>
    <w:p w14:paraId="4AFF7B4C" w14:textId="77777777" w:rsidR="00241B0B" w:rsidRDefault="00000000">
      <w:pPr>
        <w:spacing w:before="22" w:line="360" w:lineRule="auto"/>
        <w:ind w:left="720" w:hanging="720"/>
        <w:jc w:val="both"/>
        <w:rPr>
          <w:sz w:val="24"/>
          <w:szCs w:val="24"/>
          <w:lang w:bidi="en-US"/>
        </w:rPr>
      </w:pPr>
      <w:r>
        <w:rPr>
          <w:sz w:val="24"/>
          <w:szCs w:val="24"/>
          <w:lang w:bidi="en-US"/>
        </w:rPr>
        <w:t xml:space="preserve">Kirsten, F., &amp; </w:t>
      </w:r>
      <w:proofErr w:type="spellStart"/>
      <w:r>
        <w:rPr>
          <w:sz w:val="24"/>
          <w:szCs w:val="24"/>
          <w:lang w:bidi="en-US"/>
        </w:rPr>
        <w:t>Biyase</w:t>
      </w:r>
      <w:proofErr w:type="spellEnd"/>
      <w:r>
        <w:rPr>
          <w:sz w:val="24"/>
          <w:szCs w:val="24"/>
          <w:lang w:bidi="en-US"/>
        </w:rPr>
        <w:t>, M. (2025). The environmental concern-behavior gap in South Africa: An income-based analysis. </w:t>
      </w:r>
      <w:r>
        <w:rPr>
          <w:i/>
          <w:iCs/>
          <w:sz w:val="24"/>
          <w:szCs w:val="24"/>
          <w:lang w:bidi="en-US"/>
        </w:rPr>
        <w:t>Environment and Behavior, 57</w:t>
      </w:r>
      <w:r>
        <w:rPr>
          <w:sz w:val="24"/>
          <w:szCs w:val="24"/>
          <w:lang w:bidi="en-US"/>
        </w:rPr>
        <w:t>(1-2), 118–142. </w:t>
      </w:r>
      <w:hyperlink r:id="rId44" w:tgtFrame="_blank" w:history="1">
        <w:r w:rsidR="00241B0B">
          <w:rPr>
            <w:rStyle w:val="Hyperlink"/>
            <w:sz w:val="24"/>
            <w:szCs w:val="24"/>
            <w:lang w:bidi="en-US"/>
          </w:rPr>
          <w:t>https://doi.org/10.1177/00139165251318098</w:t>
        </w:r>
      </w:hyperlink>
    </w:p>
    <w:p w14:paraId="4629F284" w14:textId="77777777" w:rsidR="00241B0B" w:rsidRDefault="00000000">
      <w:pPr>
        <w:spacing w:before="22" w:line="360" w:lineRule="auto"/>
        <w:ind w:left="720" w:hanging="720"/>
        <w:jc w:val="both"/>
        <w:rPr>
          <w:sz w:val="24"/>
          <w:szCs w:val="24"/>
          <w:lang w:bidi="en-US"/>
        </w:rPr>
      </w:pPr>
      <w:r>
        <w:rPr>
          <w:sz w:val="24"/>
          <w:szCs w:val="24"/>
          <w:lang w:bidi="en-US"/>
        </w:rPr>
        <w:t>Kollmuss, A., &amp; Agyeman, J. (2002). Mind the gap: Why do people act environmentally and what are the barriers to pro-environmental behavior? </w:t>
      </w:r>
      <w:r>
        <w:rPr>
          <w:i/>
          <w:iCs/>
          <w:sz w:val="24"/>
          <w:szCs w:val="24"/>
          <w:lang w:bidi="en-US"/>
        </w:rPr>
        <w:t>Environmental Education Research, 8</w:t>
      </w:r>
      <w:r>
        <w:rPr>
          <w:sz w:val="24"/>
          <w:szCs w:val="24"/>
          <w:lang w:bidi="en-US"/>
        </w:rPr>
        <w:t>(3), 239–260. </w:t>
      </w:r>
      <w:hyperlink r:id="rId45" w:tgtFrame="_blank" w:history="1">
        <w:r w:rsidR="00241B0B">
          <w:rPr>
            <w:rStyle w:val="Hyperlink"/>
            <w:sz w:val="24"/>
            <w:szCs w:val="24"/>
            <w:lang w:bidi="en-US"/>
          </w:rPr>
          <w:t>https://doi.org/10.1080/13504620220145401</w:t>
        </w:r>
      </w:hyperlink>
    </w:p>
    <w:p w14:paraId="52499EF9" w14:textId="77777777" w:rsidR="00241B0B" w:rsidRDefault="00000000">
      <w:pPr>
        <w:spacing w:before="22" w:line="360" w:lineRule="auto"/>
        <w:ind w:left="720" w:hanging="720"/>
        <w:jc w:val="both"/>
        <w:rPr>
          <w:sz w:val="24"/>
          <w:szCs w:val="24"/>
          <w:lang w:bidi="en-US"/>
        </w:rPr>
      </w:pPr>
      <w:proofErr w:type="spellStart"/>
      <w:r>
        <w:rPr>
          <w:sz w:val="24"/>
          <w:szCs w:val="24"/>
          <w:lang w:bidi="en-US"/>
        </w:rPr>
        <w:t>Lushombo</w:t>
      </w:r>
      <w:proofErr w:type="spellEnd"/>
      <w:r>
        <w:rPr>
          <w:sz w:val="24"/>
          <w:szCs w:val="24"/>
          <w:lang w:bidi="en-US"/>
        </w:rPr>
        <w:t>, L. W. (2025). Ecological sustainability for “life on land”: Wellspring of indigenous knowledge. </w:t>
      </w:r>
      <w:r>
        <w:rPr>
          <w:i/>
          <w:iCs/>
          <w:sz w:val="24"/>
          <w:szCs w:val="24"/>
          <w:lang w:bidi="en-US"/>
        </w:rPr>
        <w:t>Religions, 16</w:t>
      </w:r>
      <w:r>
        <w:rPr>
          <w:sz w:val="24"/>
          <w:szCs w:val="24"/>
          <w:lang w:bidi="en-US"/>
        </w:rPr>
        <w:t>(3), 311. </w:t>
      </w:r>
      <w:hyperlink r:id="rId46" w:tgtFrame="_blank" w:history="1">
        <w:r w:rsidR="00241B0B">
          <w:rPr>
            <w:rStyle w:val="Hyperlink"/>
            <w:sz w:val="24"/>
            <w:szCs w:val="24"/>
            <w:lang w:bidi="en-US"/>
          </w:rPr>
          <w:t>https://doi.org/10.3390/rel16030311</w:t>
        </w:r>
      </w:hyperlink>
    </w:p>
    <w:p w14:paraId="6D649B4F" w14:textId="77777777" w:rsidR="00241B0B" w:rsidRDefault="00000000">
      <w:pPr>
        <w:spacing w:before="22" w:line="360" w:lineRule="auto"/>
        <w:ind w:left="720" w:hanging="720"/>
        <w:jc w:val="both"/>
        <w:rPr>
          <w:sz w:val="24"/>
          <w:szCs w:val="24"/>
          <w:lang w:bidi="en-US"/>
        </w:rPr>
      </w:pPr>
      <w:proofErr w:type="spellStart"/>
      <w:r>
        <w:rPr>
          <w:sz w:val="24"/>
          <w:szCs w:val="24"/>
          <w:lang w:bidi="en-US"/>
        </w:rPr>
        <w:t>Loong’oyo</w:t>
      </w:r>
      <w:proofErr w:type="spellEnd"/>
      <w:r>
        <w:rPr>
          <w:sz w:val="24"/>
          <w:szCs w:val="24"/>
          <w:lang w:bidi="en-US"/>
        </w:rPr>
        <w:t xml:space="preserve">, P. M., &amp; </w:t>
      </w:r>
      <w:proofErr w:type="spellStart"/>
      <w:r>
        <w:rPr>
          <w:sz w:val="24"/>
          <w:szCs w:val="24"/>
          <w:lang w:bidi="en-US"/>
        </w:rPr>
        <w:t>Mbataru</w:t>
      </w:r>
      <w:proofErr w:type="spellEnd"/>
      <w:r>
        <w:rPr>
          <w:sz w:val="24"/>
          <w:szCs w:val="24"/>
          <w:lang w:bidi="en-US"/>
        </w:rPr>
        <w:t>, P. (2023). Effectiveness of environmental policies on environment conservation in Samburu County, Kenya. </w:t>
      </w:r>
      <w:r>
        <w:rPr>
          <w:i/>
          <w:iCs/>
          <w:sz w:val="24"/>
          <w:szCs w:val="24"/>
          <w:lang w:bidi="en-US"/>
        </w:rPr>
        <w:t>Journal of Public Policy and Governance, 3</w:t>
      </w:r>
      <w:r>
        <w:rPr>
          <w:sz w:val="24"/>
          <w:szCs w:val="24"/>
          <w:lang w:bidi="en-US"/>
        </w:rPr>
        <w:t>(1), 1–</w:t>
      </w:r>
      <w:r>
        <w:rPr>
          <w:sz w:val="24"/>
          <w:szCs w:val="24"/>
          <w:lang w:bidi="en-US"/>
        </w:rPr>
        <w:lastRenderedPageBreak/>
        <w:t>14. </w:t>
      </w:r>
      <w:hyperlink r:id="rId47" w:tgtFrame="_blank" w:history="1">
        <w:r w:rsidR="00241B0B">
          <w:rPr>
            <w:rStyle w:val="Hyperlink"/>
            <w:sz w:val="24"/>
            <w:szCs w:val="24"/>
            <w:lang w:bidi="en-US"/>
          </w:rPr>
          <w:t>https://doi.org/10.70619/vol3iss1pp1-14</w:t>
        </w:r>
      </w:hyperlink>
    </w:p>
    <w:p w14:paraId="47A71245" w14:textId="77777777" w:rsidR="00241B0B" w:rsidRDefault="00000000">
      <w:pPr>
        <w:spacing w:before="22" w:line="360" w:lineRule="auto"/>
        <w:ind w:left="720" w:hanging="720"/>
        <w:jc w:val="both"/>
        <w:rPr>
          <w:sz w:val="24"/>
          <w:szCs w:val="24"/>
          <w:lang w:bidi="en-US"/>
        </w:rPr>
      </w:pPr>
      <w:r>
        <w:rPr>
          <w:sz w:val="24"/>
          <w:szCs w:val="24"/>
          <w:lang w:bidi="en-US"/>
        </w:rPr>
        <w:t>Mehran, A., et al. (2017). Compounding impacts of human-induced water stress and climate change on water availability. </w:t>
      </w:r>
      <w:r>
        <w:rPr>
          <w:i/>
          <w:iCs/>
          <w:sz w:val="24"/>
          <w:szCs w:val="24"/>
          <w:lang w:bidi="en-US"/>
        </w:rPr>
        <w:t>Scientific Reports, 7</w:t>
      </w:r>
      <w:r>
        <w:rPr>
          <w:sz w:val="24"/>
          <w:szCs w:val="24"/>
          <w:lang w:bidi="en-US"/>
        </w:rPr>
        <w:t>, 6282. </w:t>
      </w:r>
      <w:hyperlink r:id="rId48" w:tgtFrame="_blank" w:history="1">
        <w:r w:rsidR="00241B0B">
          <w:rPr>
            <w:rStyle w:val="Hyperlink"/>
            <w:sz w:val="24"/>
            <w:szCs w:val="24"/>
            <w:lang w:bidi="en-US"/>
          </w:rPr>
          <w:t>https://doi.org/10.1038/s41598-017-06765-0</w:t>
        </w:r>
      </w:hyperlink>
    </w:p>
    <w:p w14:paraId="6F74C28C" w14:textId="77777777" w:rsidR="00241B0B" w:rsidRDefault="00000000">
      <w:pPr>
        <w:spacing w:before="22" w:line="360" w:lineRule="auto"/>
        <w:ind w:left="720" w:hanging="720"/>
        <w:jc w:val="both"/>
        <w:rPr>
          <w:sz w:val="24"/>
          <w:szCs w:val="24"/>
          <w:lang w:bidi="en-US"/>
        </w:rPr>
      </w:pPr>
      <w:proofErr w:type="spellStart"/>
      <w:r>
        <w:rPr>
          <w:sz w:val="24"/>
          <w:szCs w:val="24"/>
          <w:lang w:bidi="en-US"/>
        </w:rPr>
        <w:t>Milfont</w:t>
      </w:r>
      <w:proofErr w:type="spellEnd"/>
      <w:r>
        <w:rPr>
          <w:sz w:val="24"/>
          <w:szCs w:val="24"/>
          <w:lang w:bidi="en-US"/>
        </w:rPr>
        <w:t xml:space="preserve">, T. L., &amp; </w:t>
      </w:r>
      <w:proofErr w:type="spellStart"/>
      <w:r>
        <w:rPr>
          <w:sz w:val="24"/>
          <w:szCs w:val="24"/>
          <w:lang w:bidi="en-US"/>
        </w:rPr>
        <w:t>Duckitt</w:t>
      </w:r>
      <w:proofErr w:type="spellEnd"/>
      <w:r>
        <w:rPr>
          <w:sz w:val="24"/>
          <w:szCs w:val="24"/>
          <w:lang w:bidi="en-US"/>
        </w:rPr>
        <w:t>, J. (2010). The environmental attitudes inventory: A valid and reliable measure to assess the structure of environmental attitudes. </w:t>
      </w:r>
      <w:r>
        <w:rPr>
          <w:i/>
          <w:iCs/>
          <w:sz w:val="24"/>
          <w:szCs w:val="24"/>
          <w:lang w:bidi="en-US"/>
        </w:rPr>
        <w:t>Journal of Environmental Psychology, 30</w:t>
      </w:r>
      <w:r>
        <w:rPr>
          <w:sz w:val="24"/>
          <w:szCs w:val="24"/>
          <w:lang w:bidi="en-US"/>
        </w:rPr>
        <w:t>, 80–94. </w:t>
      </w:r>
      <w:hyperlink r:id="rId49" w:tgtFrame="_blank" w:history="1">
        <w:r w:rsidR="00241B0B">
          <w:rPr>
            <w:rStyle w:val="Hyperlink"/>
            <w:sz w:val="24"/>
            <w:szCs w:val="24"/>
            <w:lang w:bidi="en-US"/>
          </w:rPr>
          <w:t>https://doi.org/10.1016/j.jenvp.2009.09.001</w:t>
        </w:r>
      </w:hyperlink>
    </w:p>
    <w:p w14:paraId="6D585AC2" w14:textId="77777777" w:rsidR="00241B0B" w:rsidRDefault="00000000">
      <w:pPr>
        <w:spacing w:before="22" w:line="360" w:lineRule="auto"/>
        <w:ind w:left="720" w:hanging="720"/>
        <w:jc w:val="both"/>
        <w:rPr>
          <w:sz w:val="24"/>
          <w:szCs w:val="24"/>
          <w:lang w:bidi="en-US"/>
        </w:rPr>
      </w:pPr>
      <w:proofErr w:type="spellStart"/>
      <w:r>
        <w:rPr>
          <w:sz w:val="24"/>
          <w:szCs w:val="24"/>
          <w:lang w:bidi="en-US"/>
        </w:rPr>
        <w:t>Monkelbaan</w:t>
      </w:r>
      <w:proofErr w:type="spellEnd"/>
      <w:r>
        <w:rPr>
          <w:sz w:val="24"/>
          <w:szCs w:val="24"/>
          <w:lang w:bidi="en-US"/>
        </w:rPr>
        <w:t>, J. (2019). </w:t>
      </w:r>
      <w:r>
        <w:rPr>
          <w:i/>
          <w:iCs/>
          <w:sz w:val="24"/>
          <w:szCs w:val="24"/>
          <w:lang w:bidi="en-US"/>
        </w:rPr>
        <w:t>Governance for the sustainable development goals</w:t>
      </w:r>
      <w:r>
        <w:rPr>
          <w:sz w:val="24"/>
          <w:szCs w:val="24"/>
          <w:lang w:bidi="en-US"/>
        </w:rPr>
        <w:t>. Spinger.</w:t>
      </w:r>
    </w:p>
    <w:p w14:paraId="719EC5E0" w14:textId="77777777" w:rsidR="00241B0B" w:rsidRDefault="00000000">
      <w:pPr>
        <w:spacing w:before="22" w:line="360" w:lineRule="auto"/>
        <w:ind w:left="720" w:hanging="720"/>
        <w:jc w:val="both"/>
        <w:rPr>
          <w:sz w:val="24"/>
          <w:szCs w:val="24"/>
          <w:lang w:bidi="en-US"/>
        </w:rPr>
      </w:pPr>
      <w:r>
        <w:rPr>
          <w:sz w:val="24"/>
          <w:szCs w:val="24"/>
          <w:lang w:bidi="en-US"/>
        </w:rPr>
        <w:t xml:space="preserve">Muhar, S., Sendzimir, J., Jungwirth, M., &amp; </w:t>
      </w:r>
      <w:proofErr w:type="spellStart"/>
      <w:r>
        <w:rPr>
          <w:sz w:val="24"/>
          <w:szCs w:val="24"/>
          <w:lang w:bidi="en-US"/>
        </w:rPr>
        <w:t>Hohensinner</w:t>
      </w:r>
      <w:proofErr w:type="spellEnd"/>
      <w:r>
        <w:rPr>
          <w:sz w:val="24"/>
          <w:szCs w:val="24"/>
          <w:lang w:bidi="en-US"/>
        </w:rPr>
        <w:t>, S. (2018). Restoration in integrated river basin management. In S. Schmutz &amp; J. Sendzimir (Eds.), </w:t>
      </w:r>
      <w:r>
        <w:rPr>
          <w:i/>
          <w:iCs/>
          <w:sz w:val="24"/>
          <w:szCs w:val="24"/>
          <w:lang w:bidi="en-US"/>
        </w:rPr>
        <w:t>Riverine ecosystem</w:t>
      </w:r>
      <w:r>
        <w:rPr>
          <w:sz w:val="24"/>
          <w:szCs w:val="24"/>
          <w:lang w:bidi="en-US"/>
        </w:rPr>
        <w:t>.</w:t>
      </w:r>
    </w:p>
    <w:p w14:paraId="731A16E3" w14:textId="77777777" w:rsidR="00241B0B" w:rsidRDefault="00000000">
      <w:pPr>
        <w:spacing w:before="22" w:line="360" w:lineRule="auto"/>
        <w:ind w:left="720" w:hanging="720"/>
        <w:jc w:val="both"/>
        <w:rPr>
          <w:sz w:val="24"/>
          <w:szCs w:val="24"/>
          <w:lang w:bidi="en-US"/>
        </w:rPr>
      </w:pPr>
      <w:r>
        <w:rPr>
          <w:sz w:val="24"/>
          <w:szCs w:val="24"/>
          <w:lang w:bidi="en-US"/>
        </w:rPr>
        <w:t xml:space="preserve">Nahar, N., Hossain, Z., &amp; </w:t>
      </w:r>
      <w:proofErr w:type="spellStart"/>
      <w:r>
        <w:rPr>
          <w:sz w:val="24"/>
          <w:szCs w:val="24"/>
          <w:lang w:bidi="en-US"/>
        </w:rPr>
        <w:t>Mahiuddin</w:t>
      </w:r>
      <w:proofErr w:type="spellEnd"/>
      <w:r>
        <w:rPr>
          <w:sz w:val="24"/>
          <w:szCs w:val="24"/>
          <w:lang w:bidi="en-US"/>
        </w:rPr>
        <w:t>, S. (2023). Assessment of the environmental perceptions, attitudes, and awareness of city dwellers regarding sustainable urban environmental management: A case study of Dhaka, Bangladesh. </w:t>
      </w:r>
      <w:r>
        <w:rPr>
          <w:i/>
          <w:iCs/>
          <w:sz w:val="24"/>
          <w:szCs w:val="24"/>
          <w:lang w:bidi="en-US"/>
        </w:rPr>
        <w:t>Environment, Development and Sustainability, 25</w:t>
      </w:r>
      <w:r>
        <w:rPr>
          <w:sz w:val="24"/>
          <w:szCs w:val="24"/>
          <w:lang w:bidi="en-US"/>
        </w:rPr>
        <w:t>, 7503–7531. </w:t>
      </w:r>
      <w:hyperlink r:id="rId50" w:tgtFrame="_blank" w:history="1">
        <w:r w:rsidR="00241B0B">
          <w:rPr>
            <w:rStyle w:val="Hyperlink"/>
            <w:sz w:val="24"/>
            <w:szCs w:val="24"/>
            <w:lang w:bidi="en-US"/>
          </w:rPr>
          <w:t>https://doi.org/10.1007/s10668-022-02354-y</w:t>
        </w:r>
      </w:hyperlink>
    </w:p>
    <w:p w14:paraId="4AECEDB0" w14:textId="77777777" w:rsidR="00241B0B" w:rsidRDefault="00000000">
      <w:pPr>
        <w:spacing w:before="22" w:line="360" w:lineRule="auto"/>
        <w:ind w:left="720" w:hanging="720"/>
        <w:jc w:val="both"/>
        <w:rPr>
          <w:sz w:val="24"/>
          <w:szCs w:val="24"/>
          <w:lang w:bidi="en-US"/>
        </w:rPr>
      </w:pPr>
      <w:r>
        <w:rPr>
          <w:sz w:val="24"/>
          <w:szCs w:val="24"/>
          <w:lang w:bidi="en-US"/>
        </w:rPr>
        <w:t>Nairobi City County. (2014). </w:t>
      </w:r>
      <w:r>
        <w:rPr>
          <w:i/>
          <w:iCs/>
          <w:sz w:val="24"/>
          <w:szCs w:val="24"/>
          <w:lang w:bidi="en-US"/>
        </w:rPr>
        <w:t>The Nairobi integrated urban development master plan</w:t>
      </w:r>
      <w:r>
        <w:rPr>
          <w:sz w:val="24"/>
          <w:szCs w:val="24"/>
          <w:lang w:bidi="en-US"/>
        </w:rPr>
        <w:t>.</w:t>
      </w:r>
    </w:p>
    <w:p w14:paraId="7E675013" w14:textId="77777777" w:rsidR="00241B0B" w:rsidRDefault="00000000">
      <w:pPr>
        <w:spacing w:before="22" w:line="360" w:lineRule="auto"/>
        <w:ind w:left="720" w:hanging="720"/>
        <w:jc w:val="both"/>
        <w:rPr>
          <w:sz w:val="24"/>
          <w:szCs w:val="24"/>
          <w:lang w:bidi="en-US"/>
        </w:rPr>
      </w:pPr>
      <w:proofErr w:type="spellStart"/>
      <w:r>
        <w:rPr>
          <w:sz w:val="24"/>
          <w:szCs w:val="24"/>
          <w:lang w:bidi="en-US"/>
        </w:rPr>
        <w:t>Nasong’o</w:t>
      </w:r>
      <w:proofErr w:type="spellEnd"/>
      <w:r>
        <w:rPr>
          <w:sz w:val="24"/>
          <w:szCs w:val="24"/>
          <w:lang w:bidi="en-US"/>
        </w:rPr>
        <w:t xml:space="preserve">, S. W. (2018). Environmental policy and practice in Kenya: Between </w:t>
      </w:r>
      <w:proofErr w:type="spellStart"/>
      <w:r>
        <w:rPr>
          <w:sz w:val="24"/>
          <w:szCs w:val="24"/>
          <w:lang w:bidi="en-US"/>
        </w:rPr>
        <w:t>cornucopians</w:t>
      </w:r>
      <w:proofErr w:type="spellEnd"/>
      <w:r>
        <w:rPr>
          <w:sz w:val="24"/>
          <w:szCs w:val="24"/>
          <w:lang w:bidi="en-US"/>
        </w:rPr>
        <w:t xml:space="preserve"> and neo-Malthusians. </w:t>
      </w:r>
      <w:r>
        <w:rPr>
          <w:i/>
          <w:iCs/>
          <w:sz w:val="24"/>
          <w:szCs w:val="24"/>
          <w:lang w:bidi="en-US"/>
        </w:rPr>
        <w:t>The International Journal on Green Growth and Development, 3</w:t>
      </w:r>
      <w:r>
        <w:rPr>
          <w:sz w:val="24"/>
          <w:szCs w:val="24"/>
          <w:lang w:bidi="en-US"/>
        </w:rPr>
        <w:t>(1), 1–19.</w:t>
      </w:r>
    </w:p>
    <w:p w14:paraId="5C77F29F" w14:textId="77777777" w:rsidR="00241B0B" w:rsidRDefault="00000000">
      <w:pPr>
        <w:spacing w:before="22" w:line="360" w:lineRule="auto"/>
        <w:ind w:left="720" w:hanging="720"/>
        <w:jc w:val="both"/>
        <w:rPr>
          <w:sz w:val="24"/>
          <w:szCs w:val="24"/>
          <w:lang w:bidi="en-US"/>
        </w:rPr>
      </w:pPr>
      <w:r>
        <w:rPr>
          <w:sz w:val="24"/>
          <w:szCs w:val="24"/>
          <w:lang w:bidi="en-US"/>
        </w:rPr>
        <w:t xml:space="preserve">Ngatia, M., </w:t>
      </w:r>
      <w:proofErr w:type="spellStart"/>
      <w:r>
        <w:rPr>
          <w:sz w:val="24"/>
          <w:szCs w:val="24"/>
          <w:lang w:bidi="en-US"/>
        </w:rPr>
        <w:t>Kithiia</w:t>
      </w:r>
      <w:proofErr w:type="spellEnd"/>
      <w:r>
        <w:rPr>
          <w:sz w:val="24"/>
          <w:szCs w:val="24"/>
          <w:lang w:bidi="en-US"/>
        </w:rPr>
        <w:t>, S. M., &amp; Voda, M. (2023). Effects of anthropogenic activities on water quality within Ngong River sub-catchment, Nairobi, Kenya. </w:t>
      </w:r>
      <w:r>
        <w:rPr>
          <w:i/>
          <w:iCs/>
          <w:sz w:val="24"/>
          <w:szCs w:val="24"/>
          <w:lang w:bidi="en-US"/>
        </w:rPr>
        <w:t>Water, 15</w:t>
      </w:r>
      <w:r>
        <w:rPr>
          <w:sz w:val="24"/>
          <w:szCs w:val="24"/>
          <w:lang w:bidi="en-US"/>
        </w:rPr>
        <w:t>, 660. </w:t>
      </w:r>
      <w:hyperlink r:id="rId51" w:tgtFrame="_blank" w:history="1">
        <w:r w:rsidR="00241B0B">
          <w:rPr>
            <w:rStyle w:val="Hyperlink"/>
            <w:sz w:val="24"/>
            <w:szCs w:val="24"/>
            <w:lang w:bidi="en-US"/>
          </w:rPr>
          <w:t>https://doi.org/10.3390/w15040660</w:t>
        </w:r>
      </w:hyperlink>
    </w:p>
    <w:p w14:paraId="00A39236" w14:textId="77777777" w:rsidR="00241B0B" w:rsidRDefault="00000000">
      <w:pPr>
        <w:spacing w:before="22" w:line="360" w:lineRule="auto"/>
        <w:ind w:left="720" w:hanging="720"/>
        <w:jc w:val="both"/>
        <w:rPr>
          <w:sz w:val="24"/>
          <w:szCs w:val="24"/>
          <w:lang w:bidi="en-US"/>
        </w:rPr>
      </w:pPr>
      <w:r>
        <w:rPr>
          <w:sz w:val="24"/>
          <w:szCs w:val="24"/>
          <w:lang w:bidi="en-US"/>
        </w:rPr>
        <w:t xml:space="preserve">Neumann, R., &amp; </w:t>
      </w:r>
      <w:proofErr w:type="spellStart"/>
      <w:r>
        <w:rPr>
          <w:sz w:val="24"/>
          <w:szCs w:val="24"/>
          <w:lang w:bidi="en-US"/>
        </w:rPr>
        <w:t>Mehlkop</w:t>
      </w:r>
      <w:proofErr w:type="spellEnd"/>
      <w:r>
        <w:rPr>
          <w:sz w:val="24"/>
          <w:szCs w:val="24"/>
          <w:lang w:bidi="en-US"/>
        </w:rPr>
        <w:t>, G. (2023). Neutralization strategies account for the concern-behavior gap in renewable energy usage – evidence from panel data from Germany. </w:t>
      </w:r>
      <w:r>
        <w:rPr>
          <w:i/>
          <w:iCs/>
          <w:sz w:val="24"/>
          <w:szCs w:val="24"/>
          <w:lang w:bidi="en-US"/>
        </w:rPr>
        <w:t>Energy Research &amp; Social Science, 99</w:t>
      </w:r>
      <w:r>
        <w:rPr>
          <w:sz w:val="24"/>
          <w:szCs w:val="24"/>
          <w:lang w:bidi="en-US"/>
        </w:rPr>
        <w:t>, 103041. </w:t>
      </w:r>
      <w:hyperlink r:id="rId52" w:tgtFrame="_blank" w:history="1">
        <w:r w:rsidR="00241B0B">
          <w:rPr>
            <w:rStyle w:val="Hyperlink"/>
            <w:sz w:val="24"/>
            <w:szCs w:val="24"/>
            <w:lang w:bidi="en-US"/>
          </w:rPr>
          <w:t>https://doi.org/10.1016/j.erss.2023.103041</w:t>
        </w:r>
      </w:hyperlink>
    </w:p>
    <w:p w14:paraId="1E2CC9EE" w14:textId="77777777" w:rsidR="00241B0B" w:rsidRDefault="00000000">
      <w:pPr>
        <w:spacing w:before="22" w:line="360" w:lineRule="auto"/>
        <w:ind w:left="720" w:hanging="720"/>
        <w:jc w:val="both"/>
        <w:rPr>
          <w:sz w:val="24"/>
          <w:szCs w:val="24"/>
          <w:lang w:bidi="en-US"/>
        </w:rPr>
      </w:pPr>
      <w:r>
        <w:rPr>
          <w:sz w:val="24"/>
          <w:szCs w:val="24"/>
          <w:lang w:bidi="en-US"/>
        </w:rPr>
        <w:t>Nyika, J. (2017). Situational analysis of Nairobi River Basin (NRB). </w:t>
      </w:r>
      <w:r>
        <w:rPr>
          <w:i/>
          <w:iCs/>
          <w:sz w:val="24"/>
          <w:szCs w:val="24"/>
          <w:lang w:bidi="en-US"/>
        </w:rPr>
        <w:t>Water Practice and Technology, 12</w:t>
      </w:r>
      <w:r>
        <w:rPr>
          <w:sz w:val="24"/>
          <w:szCs w:val="24"/>
          <w:lang w:bidi="en-US"/>
        </w:rPr>
        <w:t>, 589–603. </w:t>
      </w:r>
      <w:hyperlink r:id="rId53" w:tgtFrame="_blank" w:history="1">
        <w:r w:rsidR="00241B0B">
          <w:rPr>
            <w:rStyle w:val="Hyperlink"/>
            <w:sz w:val="24"/>
            <w:szCs w:val="24"/>
            <w:lang w:bidi="en-US"/>
          </w:rPr>
          <w:t>https://doi.org/10.2166/wpt.2017.061</w:t>
        </w:r>
      </w:hyperlink>
    </w:p>
    <w:p w14:paraId="374B7EAA" w14:textId="77777777" w:rsidR="00241B0B" w:rsidRDefault="00000000">
      <w:pPr>
        <w:spacing w:before="22" w:line="360" w:lineRule="auto"/>
        <w:ind w:left="720" w:hanging="720"/>
        <w:jc w:val="both"/>
        <w:rPr>
          <w:sz w:val="24"/>
          <w:szCs w:val="24"/>
          <w:lang w:bidi="en-US"/>
        </w:rPr>
      </w:pPr>
      <w:r>
        <w:rPr>
          <w:sz w:val="24"/>
          <w:szCs w:val="24"/>
          <w:lang w:bidi="en-US"/>
        </w:rPr>
        <w:t xml:space="preserve">Ogutu, F. A., Kimata, D. M., &amp; </w:t>
      </w:r>
      <w:proofErr w:type="spellStart"/>
      <w:r>
        <w:rPr>
          <w:sz w:val="24"/>
          <w:szCs w:val="24"/>
          <w:lang w:bidi="en-US"/>
        </w:rPr>
        <w:t>Kweyu</w:t>
      </w:r>
      <w:proofErr w:type="spellEnd"/>
      <w:r>
        <w:rPr>
          <w:sz w:val="24"/>
          <w:szCs w:val="24"/>
          <w:lang w:bidi="en-US"/>
        </w:rPr>
        <w:t>, R. M. (2021). Partnerships for sustainable cities as options for improving solid waste management in Nairobi city. </w:t>
      </w:r>
      <w:r>
        <w:rPr>
          <w:i/>
          <w:iCs/>
          <w:sz w:val="24"/>
          <w:szCs w:val="24"/>
          <w:lang w:bidi="en-US"/>
        </w:rPr>
        <w:t>Waste Management &amp; Research, 39</w:t>
      </w:r>
      <w:r>
        <w:rPr>
          <w:sz w:val="24"/>
          <w:szCs w:val="24"/>
          <w:lang w:bidi="en-US"/>
        </w:rPr>
        <w:t>, 25–31. </w:t>
      </w:r>
      <w:hyperlink r:id="rId54" w:tgtFrame="_blank" w:history="1">
        <w:r w:rsidR="00241B0B">
          <w:rPr>
            <w:rStyle w:val="Hyperlink"/>
            <w:sz w:val="24"/>
            <w:szCs w:val="24"/>
            <w:lang w:bidi="en-US"/>
          </w:rPr>
          <w:t>https://doi.org/10.1177/0734242X20967735</w:t>
        </w:r>
      </w:hyperlink>
    </w:p>
    <w:p w14:paraId="6646FE82" w14:textId="77777777" w:rsidR="00241B0B" w:rsidRDefault="00000000">
      <w:pPr>
        <w:spacing w:before="22" w:line="360" w:lineRule="auto"/>
        <w:ind w:left="720" w:hanging="720"/>
        <w:jc w:val="both"/>
        <w:rPr>
          <w:sz w:val="24"/>
          <w:szCs w:val="24"/>
          <w:lang w:bidi="en-US"/>
        </w:rPr>
      </w:pPr>
      <w:proofErr w:type="spellStart"/>
      <w:r>
        <w:rPr>
          <w:sz w:val="24"/>
          <w:szCs w:val="24"/>
          <w:lang w:bidi="en-US"/>
        </w:rPr>
        <w:t>Okoliko</w:t>
      </w:r>
      <w:proofErr w:type="spellEnd"/>
      <w:r>
        <w:rPr>
          <w:sz w:val="24"/>
          <w:szCs w:val="24"/>
          <w:lang w:bidi="en-US"/>
        </w:rPr>
        <w:t>, D. A., &amp; David, J. O. (2021). Ubuntu and climate change governance: Moving beyond conceptual conundrum. </w:t>
      </w:r>
      <w:r>
        <w:rPr>
          <w:i/>
          <w:iCs/>
          <w:sz w:val="24"/>
          <w:szCs w:val="24"/>
          <w:lang w:bidi="en-US"/>
        </w:rPr>
        <w:t>Journal of Public Affairs, 21</w:t>
      </w:r>
      <w:r>
        <w:rPr>
          <w:sz w:val="24"/>
          <w:szCs w:val="24"/>
          <w:lang w:bidi="en-US"/>
        </w:rPr>
        <w:t>, 2232. </w:t>
      </w:r>
      <w:hyperlink r:id="rId55" w:tgtFrame="_blank" w:history="1">
        <w:r w:rsidR="00241B0B">
          <w:rPr>
            <w:rStyle w:val="Hyperlink"/>
            <w:sz w:val="24"/>
            <w:szCs w:val="24"/>
            <w:lang w:bidi="en-US"/>
          </w:rPr>
          <w:t>https://doi.org/10.1002/pa.2232</w:t>
        </w:r>
      </w:hyperlink>
    </w:p>
    <w:p w14:paraId="4C9EB2F8" w14:textId="157163E9" w:rsidR="00241B0B" w:rsidRDefault="00000000" w:rsidP="00C90731">
      <w:pPr>
        <w:spacing w:before="22" w:line="360" w:lineRule="auto"/>
        <w:ind w:left="720" w:hanging="720"/>
        <w:jc w:val="both"/>
        <w:rPr>
          <w:sz w:val="24"/>
          <w:szCs w:val="24"/>
          <w:lang w:bidi="en-US"/>
        </w:rPr>
      </w:pPr>
      <w:r>
        <w:rPr>
          <w:sz w:val="24"/>
          <w:szCs w:val="24"/>
          <w:lang w:bidi="en-US"/>
        </w:rPr>
        <w:t xml:space="preserve">Opoku, A., &amp; </w:t>
      </w:r>
      <w:proofErr w:type="spellStart"/>
      <w:r>
        <w:rPr>
          <w:sz w:val="24"/>
          <w:szCs w:val="24"/>
          <w:lang w:bidi="en-US"/>
        </w:rPr>
        <w:t>Akotia</w:t>
      </w:r>
      <w:proofErr w:type="spellEnd"/>
      <w:r>
        <w:rPr>
          <w:sz w:val="24"/>
          <w:szCs w:val="24"/>
          <w:lang w:bidi="en-US"/>
        </w:rPr>
        <w:t xml:space="preserve">, J. (2020). Special issue: Urban regeneration for sustainable </w:t>
      </w:r>
      <w:r w:rsidR="00C90731">
        <w:rPr>
          <w:sz w:val="24"/>
          <w:szCs w:val="24"/>
          <w:lang w:bidi="en-US"/>
        </w:rPr>
        <w:t>d</w:t>
      </w:r>
      <w:r>
        <w:rPr>
          <w:sz w:val="24"/>
          <w:szCs w:val="24"/>
          <w:lang w:bidi="en-US"/>
        </w:rPr>
        <w:t>evelopment. </w:t>
      </w:r>
      <w:r>
        <w:rPr>
          <w:i/>
          <w:iCs/>
          <w:sz w:val="24"/>
          <w:szCs w:val="24"/>
          <w:lang w:bidi="en-US"/>
        </w:rPr>
        <w:t>Construction Economics and Building, 20</w:t>
      </w:r>
      <w:r>
        <w:rPr>
          <w:sz w:val="24"/>
          <w:szCs w:val="24"/>
          <w:lang w:bidi="en-US"/>
        </w:rPr>
        <w:t>(2), 1–</w:t>
      </w:r>
      <w:r w:rsidR="00C90731">
        <w:rPr>
          <w:sz w:val="24"/>
          <w:szCs w:val="24"/>
          <w:lang w:bidi="en-US"/>
        </w:rPr>
        <w:lastRenderedPageBreak/>
        <w:t>5</w:t>
      </w:r>
      <w:r>
        <w:rPr>
          <w:sz w:val="24"/>
          <w:szCs w:val="24"/>
          <w:lang w:bidi="en-US"/>
        </w:rPr>
        <w:t>.</w:t>
      </w:r>
      <w:r w:rsidR="00C90731">
        <w:rPr>
          <w:sz w:val="24"/>
          <w:szCs w:val="24"/>
          <w:lang w:bidi="en-US"/>
        </w:rPr>
        <w:t xml:space="preserve"> </w:t>
      </w:r>
      <w:r>
        <w:rPr>
          <w:sz w:val="24"/>
          <w:szCs w:val="24"/>
          <w:lang w:bidi="en-US"/>
        </w:rPr>
        <w:t> </w:t>
      </w:r>
      <w:hyperlink r:id="rId56" w:tgtFrame="_blank" w:history="1">
        <w:r w:rsidR="00241B0B">
          <w:rPr>
            <w:rStyle w:val="Hyperlink"/>
            <w:sz w:val="24"/>
            <w:szCs w:val="24"/>
            <w:lang w:bidi="en-US"/>
          </w:rPr>
          <w:t>http://dx.doi.org/10.5130/AJCEB.v20i2.7191</w:t>
        </w:r>
      </w:hyperlink>
    </w:p>
    <w:p w14:paraId="7F44A397" w14:textId="77777777" w:rsidR="00241B0B" w:rsidRDefault="00000000">
      <w:pPr>
        <w:spacing w:before="22" w:line="360" w:lineRule="auto"/>
        <w:ind w:left="720" w:hanging="720"/>
        <w:jc w:val="both"/>
        <w:rPr>
          <w:sz w:val="24"/>
          <w:szCs w:val="24"/>
          <w:lang w:bidi="en-US"/>
        </w:rPr>
      </w:pPr>
      <w:r>
        <w:rPr>
          <w:sz w:val="24"/>
          <w:szCs w:val="24"/>
          <w:lang w:bidi="en-US"/>
        </w:rPr>
        <w:t>Pahl-</w:t>
      </w:r>
      <w:proofErr w:type="spellStart"/>
      <w:r>
        <w:rPr>
          <w:sz w:val="24"/>
          <w:szCs w:val="24"/>
          <w:lang w:bidi="en-US"/>
        </w:rPr>
        <w:t>Wostl</w:t>
      </w:r>
      <w:proofErr w:type="spellEnd"/>
      <w:r>
        <w:rPr>
          <w:sz w:val="24"/>
          <w:szCs w:val="24"/>
          <w:lang w:bidi="en-US"/>
        </w:rPr>
        <w:t xml:space="preserve">, C., Jeffrey, P., Isendahl, N., &amp; </w:t>
      </w:r>
      <w:proofErr w:type="spellStart"/>
      <w:r>
        <w:rPr>
          <w:sz w:val="24"/>
          <w:szCs w:val="24"/>
          <w:lang w:bidi="en-US"/>
        </w:rPr>
        <w:t>Brugnach</w:t>
      </w:r>
      <w:proofErr w:type="spellEnd"/>
      <w:r>
        <w:rPr>
          <w:sz w:val="24"/>
          <w:szCs w:val="24"/>
          <w:lang w:bidi="en-US"/>
        </w:rPr>
        <w:t>, M. (2011). Maturing the new water management paradigm: Progressing from aspiration to practice. </w:t>
      </w:r>
      <w:r>
        <w:rPr>
          <w:i/>
          <w:iCs/>
          <w:sz w:val="24"/>
          <w:szCs w:val="24"/>
          <w:lang w:bidi="en-US"/>
        </w:rPr>
        <w:t>Water Resources Management, 25</w:t>
      </w:r>
      <w:r>
        <w:rPr>
          <w:sz w:val="24"/>
          <w:szCs w:val="24"/>
          <w:lang w:bidi="en-US"/>
        </w:rPr>
        <w:t>, 837–856. </w:t>
      </w:r>
      <w:hyperlink r:id="rId57" w:tgtFrame="_blank" w:history="1">
        <w:r w:rsidR="00241B0B">
          <w:rPr>
            <w:rStyle w:val="Hyperlink"/>
            <w:sz w:val="24"/>
            <w:szCs w:val="24"/>
            <w:lang w:bidi="en-US"/>
          </w:rPr>
          <w:t>https://doi.org/10.1007/s11269-010-9729-2</w:t>
        </w:r>
      </w:hyperlink>
    </w:p>
    <w:p w14:paraId="0744CD59" w14:textId="77777777" w:rsidR="00241B0B" w:rsidRDefault="00000000">
      <w:pPr>
        <w:spacing w:before="22" w:line="360" w:lineRule="auto"/>
        <w:ind w:left="720" w:hanging="720"/>
        <w:jc w:val="both"/>
        <w:rPr>
          <w:sz w:val="24"/>
          <w:szCs w:val="24"/>
          <w:lang w:bidi="en-US"/>
        </w:rPr>
      </w:pPr>
      <w:r>
        <w:rPr>
          <w:sz w:val="24"/>
          <w:szCs w:val="24"/>
          <w:lang w:bidi="en-US"/>
        </w:rPr>
        <w:t>Papa, F., et al. (2023). Water resources in Africa under global change: Monitoring surface waters from space. </w:t>
      </w:r>
      <w:r>
        <w:rPr>
          <w:i/>
          <w:iCs/>
          <w:sz w:val="24"/>
          <w:szCs w:val="24"/>
          <w:lang w:bidi="en-US"/>
        </w:rPr>
        <w:t>Surveys in Geophysics, 44</w:t>
      </w:r>
      <w:r>
        <w:rPr>
          <w:sz w:val="24"/>
          <w:szCs w:val="24"/>
          <w:lang w:bidi="en-US"/>
        </w:rPr>
        <w:t>, 43–93. </w:t>
      </w:r>
      <w:hyperlink r:id="rId58" w:tgtFrame="_blank" w:history="1">
        <w:r w:rsidR="00241B0B">
          <w:rPr>
            <w:rStyle w:val="Hyperlink"/>
            <w:sz w:val="24"/>
            <w:szCs w:val="24"/>
            <w:lang w:bidi="en-US"/>
          </w:rPr>
          <w:t>https://doi.org/10.1007/s10712-022-09700-9</w:t>
        </w:r>
      </w:hyperlink>
    </w:p>
    <w:p w14:paraId="75867B9D" w14:textId="77777777" w:rsidR="00241B0B" w:rsidRDefault="00000000">
      <w:pPr>
        <w:spacing w:before="22" w:line="360" w:lineRule="auto"/>
        <w:ind w:left="720" w:hanging="720"/>
        <w:jc w:val="both"/>
        <w:rPr>
          <w:sz w:val="24"/>
          <w:szCs w:val="24"/>
          <w:lang w:bidi="en-US"/>
        </w:rPr>
      </w:pPr>
      <w:r>
        <w:rPr>
          <w:sz w:val="24"/>
          <w:szCs w:val="24"/>
          <w:lang w:bidi="en-US"/>
        </w:rPr>
        <w:t>Republic of Kenya. (2013). </w:t>
      </w:r>
      <w:r>
        <w:rPr>
          <w:i/>
          <w:iCs/>
          <w:sz w:val="24"/>
          <w:szCs w:val="24"/>
          <w:lang w:bidi="en-US"/>
        </w:rPr>
        <w:t>National environmental policy, 2013</w:t>
      </w:r>
      <w:r>
        <w:rPr>
          <w:sz w:val="24"/>
          <w:szCs w:val="24"/>
          <w:lang w:bidi="en-US"/>
        </w:rPr>
        <w:t>. Ministry of Environment, Water and Natural Resources. </w:t>
      </w:r>
      <w:hyperlink r:id="rId59" w:tgtFrame="_blank" w:history="1">
        <w:r w:rsidR="00241B0B">
          <w:rPr>
            <w:rStyle w:val="Hyperlink"/>
            <w:sz w:val="24"/>
            <w:szCs w:val="24"/>
            <w:lang w:bidi="en-US"/>
          </w:rPr>
          <w:t>www.environment.go.ke</w:t>
        </w:r>
      </w:hyperlink>
    </w:p>
    <w:p w14:paraId="43411D49" w14:textId="77777777" w:rsidR="00241B0B" w:rsidRDefault="00000000">
      <w:pPr>
        <w:spacing w:before="22" w:line="360" w:lineRule="auto"/>
        <w:ind w:left="720" w:hanging="720"/>
        <w:jc w:val="both"/>
        <w:rPr>
          <w:sz w:val="24"/>
          <w:szCs w:val="24"/>
          <w:lang w:bidi="en-US"/>
        </w:rPr>
      </w:pPr>
      <w:r>
        <w:rPr>
          <w:sz w:val="24"/>
          <w:szCs w:val="24"/>
          <w:lang w:bidi="en-US"/>
        </w:rPr>
        <w:t xml:space="preserve">Seehawer, M. (2018). South African science teachers' strategies for integrating indigenous and Western knowledges in their classes: Practical lessons in </w:t>
      </w:r>
      <w:proofErr w:type="spellStart"/>
      <w:r>
        <w:rPr>
          <w:sz w:val="24"/>
          <w:szCs w:val="24"/>
          <w:lang w:bidi="en-US"/>
        </w:rPr>
        <w:t>decolonisation</w:t>
      </w:r>
      <w:proofErr w:type="spellEnd"/>
      <w:r>
        <w:rPr>
          <w:sz w:val="24"/>
          <w:szCs w:val="24"/>
          <w:lang w:bidi="en-US"/>
        </w:rPr>
        <w:t>. </w:t>
      </w:r>
      <w:r>
        <w:rPr>
          <w:i/>
          <w:iCs/>
          <w:sz w:val="24"/>
          <w:szCs w:val="24"/>
          <w:lang w:bidi="en-US"/>
        </w:rPr>
        <w:t>Change, 7</w:t>
      </w:r>
      <w:r>
        <w:rPr>
          <w:sz w:val="24"/>
          <w:szCs w:val="24"/>
          <w:lang w:bidi="en-US"/>
        </w:rPr>
        <w:t>, 91–110. </w:t>
      </w:r>
      <w:hyperlink r:id="rId60" w:tgtFrame="_blank" w:history="1">
        <w:r w:rsidR="00241B0B">
          <w:rPr>
            <w:rStyle w:val="Hyperlink"/>
            <w:sz w:val="24"/>
            <w:szCs w:val="24"/>
            <w:lang w:bidi="en-US"/>
          </w:rPr>
          <w:t>https://doi.org/10.17159/2221-4070/2018/v7i0a7</w:t>
        </w:r>
      </w:hyperlink>
    </w:p>
    <w:p w14:paraId="340D5F0C" w14:textId="77777777" w:rsidR="00241B0B" w:rsidRDefault="00000000">
      <w:pPr>
        <w:spacing w:before="22" w:line="360" w:lineRule="auto"/>
        <w:ind w:left="720" w:hanging="720"/>
        <w:jc w:val="both"/>
        <w:rPr>
          <w:sz w:val="24"/>
          <w:szCs w:val="24"/>
          <w:lang w:bidi="en-US"/>
        </w:rPr>
      </w:pPr>
      <w:r>
        <w:rPr>
          <w:sz w:val="24"/>
          <w:szCs w:val="24"/>
          <w:lang w:bidi="en-US"/>
        </w:rPr>
        <w:t>Steffen, W., et al. (2015). Planetary boundaries: Guiding human development on a changing planet. </w:t>
      </w:r>
      <w:r>
        <w:rPr>
          <w:i/>
          <w:iCs/>
          <w:sz w:val="24"/>
          <w:szCs w:val="24"/>
          <w:lang w:bidi="en-US"/>
        </w:rPr>
        <w:t>Science, 347</w:t>
      </w:r>
      <w:r>
        <w:rPr>
          <w:sz w:val="24"/>
          <w:szCs w:val="24"/>
          <w:lang w:bidi="en-US"/>
        </w:rPr>
        <w:t>, 1259855. </w:t>
      </w:r>
      <w:hyperlink r:id="rId61" w:tgtFrame="_blank" w:history="1">
        <w:r w:rsidR="00241B0B">
          <w:rPr>
            <w:rStyle w:val="Hyperlink"/>
            <w:sz w:val="24"/>
            <w:szCs w:val="24"/>
            <w:lang w:bidi="en-US"/>
          </w:rPr>
          <w:t>https://doi.org/10.1126/science.1259855</w:t>
        </w:r>
      </w:hyperlink>
    </w:p>
    <w:p w14:paraId="00042DEC" w14:textId="77777777" w:rsidR="00241B0B" w:rsidRDefault="00000000">
      <w:pPr>
        <w:spacing w:before="22" w:line="360" w:lineRule="auto"/>
        <w:ind w:left="720" w:hanging="720"/>
        <w:jc w:val="both"/>
        <w:rPr>
          <w:sz w:val="24"/>
          <w:szCs w:val="24"/>
          <w:lang w:bidi="en-US"/>
        </w:rPr>
      </w:pPr>
      <w:r>
        <w:rPr>
          <w:sz w:val="24"/>
          <w:szCs w:val="24"/>
          <w:lang w:bidi="en-US"/>
        </w:rPr>
        <w:t>Sustainable Waste Management Act, No. 31. (2022). Kenya Law Reports.</w:t>
      </w:r>
    </w:p>
    <w:p w14:paraId="3B62730D" w14:textId="77777777" w:rsidR="00241B0B" w:rsidRDefault="00000000">
      <w:pPr>
        <w:spacing w:before="22" w:line="360" w:lineRule="auto"/>
        <w:ind w:left="720" w:hanging="720"/>
        <w:jc w:val="both"/>
        <w:rPr>
          <w:sz w:val="24"/>
          <w:szCs w:val="24"/>
          <w:lang w:bidi="en-US"/>
        </w:rPr>
      </w:pPr>
      <w:r>
        <w:rPr>
          <w:sz w:val="24"/>
          <w:szCs w:val="24"/>
          <w:lang w:bidi="en-US"/>
        </w:rPr>
        <w:t xml:space="preserve">Syahputra, B., Fajar, B., &amp; </w:t>
      </w:r>
      <w:proofErr w:type="spellStart"/>
      <w:r>
        <w:rPr>
          <w:sz w:val="24"/>
          <w:szCs w:val="24"/>
          <w:lang w:bidi="en-US"/>
        </w:rPr>
        <w:t>Sudarno</w:t>
      </w:r>
      <w:proofErr w:type="spellEnd"/>
      <w:r>
        <w:rPr>
          <w:sz w:val="24"/>
          <w:szCs w:val="24"/>
          <w:lang w:bidi="en-US"/>
        </w:rPr>
        <w:t xml:space="preserve">. (2023). Community participation in river basin management. In L. Ray, R. G. </w:t>
      </w:r>
      <w:proofErr w:type="spellStart"/>
      <w:r>
        <w:rPr>
          <w:sz w:val="24"/>
          <w:szCs w:val="24"/>
          <w:lang w:bidi="en-US"/>
        </w:rPr>
        <w:t>Panagoulia</w:t>
      </w:r>
      <w:proofErr w:type="spellEnd"/>
      <w:r>
        <w:rPr>
          <w:sz w:val="24"/>
          <w:szCs w:val="24"/>
          <w:lang w:bidi="en-US"/>
        </w:rPr>
        <w:t xml:space="preserve">, &amp; D. Shantha </w:t>
      </w:r>
      <w:proofErr w:type="spellStart"/>
      <w:r>
        <w:rPr>
          <w:sz w:val="24"/>
          <w:szCs w:val="24"/>
          <w:lang w:bidi="en-US"/>
        </w:rPr>
        <w:t>Abeysingha</w:t>
      </w:r>
      <w:proofErr w:type="spellEnd"/>
      <w:r>
        <w:rPr>
          <w:sz w:val="24"/>
          <w:szCs w:val="24"/>
          <w:lang w:bidi="en-US"/>
        </w:rPr>
        <w:t xml:space="preserve"> (Eds.), </w:t>
      </w:r>
      <w:r>
        <w:rPr>
          <w:i/>
          <w:iCs/>
          <w:sz w:val="24"/>
          <w:szCs w:val="24"/>
          <w:lang w:bidi="en-US"/>
        </w:rPr>
        <w:t>River basin management - under a changing climate</w:t>
      </w:r>
      <w:r>
        <w:rPr>
          <w:sz w:val="24"/>
          <w:szCs w:val="24"/>
          <w:lang w:bidi="en-US"/>
        </w:rPr>
        <w:t xml:space="preserve">. </w:t>
      </w:r>
      <w:proofErr w:type="spellStart"/>
      <w:r>
        <w:rPr>
          <w:sz w:val="24"/>
          <w:szCs w:val="24"/>
          <w:lang w:bidi="en-US"/>
        </w:rPr>
        <w:t>IntechOpen</w:t>
      </w:r>
      <w:proofErr w:type="spellEnd"/>
      <w:r>
        <w:rPr>
          <w:sz w:val="24"/>
          <w:szCs w:val="24"/>
          <w:lang w:bidi="en-US"/>
        </w:rPr>
        <w:t>. </w:t>
      </w:r>
      <w:hyperlink r:id="rId62" w:tgtFrame="_blank" w:history="1">
        <w:r w:rsidR="00241B0B">
          <w:rPr>
            <w:rStyle w:val="Hyperlink"/>
            <w:sz w:val="24"/>
            <w:szCs w:val="24"/>
            <w:lang w:bidi="en-US"/>
          </w:rPr>
          <w:t>https://doi.org/10.5772/intechopen.105954</w:t>
        </w:r>
      </w:hyperlink>
    </w:p>
    <w:p w14:paraId="4AE49C08" w14:textId="77777777" w:rsidR="00241B0B" w:rsidRDefault="00000000">
      <w:pPr>
        <w:spacing w:before="22" w:line="360" w:lineRule="auto"/>
        <w:ind w:left="720" w:hanging="720"/>
        <w:jc w:val="both"/>
        <w:rPr>
          <w:sz w:val="24"/>
          <w:szCs w:val="24"/>
          <w:lang w:bidi="en-US"/>
        </w:rPr>
      </w:pPr>
      <w:r>
        <w:rPr>
          <w:sz w:val="24"/>
          <w:szCs w:val="24"/>
          <w:lang w:bidi="en-US"/>
        </w:rPr>
        <w:t>Tam, K.-P., &amp; Chan, H.-W. (2017). Environmental concern has a weaker association with pro-environmental behavior in some societies than others: A cross-cultural psychology perspective. </w:t>
      </w:r>
      <w:r>
        <w:rPr>
          <w:i/>
          <w:iCs/>
          <w:sz w:val="24"/>
          <w:szCs w:val="24"/>
          <w:lang w:bidi="en-US"/>
        </w:rPr>
        <w:t>Journal of Environmental Psychology, 53</w:t>
      </w:r>
      <w:r>
        <w:rPr>
          <w:sz w:val="24"/>
          <w:szCs w:val="24"/>
          <w:lang w:bidi="en-US"/>
        </w:rPr>
        <w:t>, 213–223. </w:t>
      </w:r>
      <w:hyperlink r:id="rId63" w:tgtFrame="_blank" w:history="1">
        <w:r w:rsidR="00241B0B">
          <w:rPr>
            <w:rStyle w:val="Hyperlink"/>
            <w:sz w:val="24"/>
            <w:szCs w:val="24"/>
            <w:lang w:bidi="en-US"/>
          </w:rPr>
          <w:t>https://doi.org/10.1016/j.jenvp.2017.09.001</w:t>
        </w:r>
      </w:hyperlink>
    </w:p>
    <w:p w14:paraId="3F42AC3C" w14:textId="77777777" w:rsidR="00241B0B" w:rsidRDefault="00000000">
      <w:pPr>
        <w:spacing w:before="22" w:line="360" w:lineRule="auto"/>
        <w:ind w:left="720" w:hanging="720"/>
        <w:jc w:val="both"/>
        <w:rPr>
          <w:sz w:val="24"/>
          <w:szCs w:val="24"/>
          <w:lang w:bidi="en-US"/>
        </w:rPr>
      </w:pPr>
      <w:r>
        <w:rPr>
          <w:sz w:val="24"/>
          <w:szCs w:val="24"/>
          <w:lang w:bidi="en-US"/>
        </w:rPr>
        <w:t>UN-Habitat. (2016). </w:t>
      </w:r>
      <w:r>
        <w:rPr>
          <w:i/>
          <w:iCs/>
          <w:sz w:val="24"/>
          <w:szCs w:val="24"/>
          <w:lang w:bidi="en-US"/>
        </w:rPr>
        <w:t>Urbanization and development: Emerging futures, World cities report</w:t>
      </w:r>
      <w:r>
        <w:rPr>
          <w:sz w:val="24"/>
          <w:szCs w:val="24"/>
          <w:lang w:bidi="en-US"/>
        </w:rPr>
        <w:t>. UN-Habitat.</w:t>
      </w:r>
    </w:p>
    <w:p w14:paraId="7BD63EA7" w14:textId="77777777" w:rsidR="00241B0B" w:rsidRDefault="00000000">
      <w:pPr>
        <w:spacing w:before="22" w:line="360" w:lineRule="auto"/>
        <w:ind w:left="720" w:hanging="720"/>
        <w:jc w:val="both"/>
        <w:rPr>
          <w:sz w:val="24"/>
          <w:szCs w:val="24"/>
          <w:lang w:bidi="en-US"/>
        </w:rPr>
      </w:pPr>
      <w:r>
        <w:rPr>
          <w:sz w:val="24"/>
          <w:szCs w:val="24"/>
          <w:lang w:bidi="en-US"/>
        </w:rPr>
        <w:t xml:space="preserve">UN-Habitat. (2020). </w:t>
      </w:r>
      <w:r>
        <w:rPr>
          <w:i/>
          <w:iCs/>
          <w:sz w:val="24"/>
          <w:szCs w:val="24"/>
          <w:lang w:bidi="en-US"/>
        </w:rPr>
        <w:t>Informal Settlements’ Vulnerability Mapping in Kenya. The Case of Kibera.</w:t>
      </w:r>
      <w:r>
        <w:rPr>
          <w:sz w:val="24"/>
          <w:szCs w:val="24"/>
          <w:lang w:bidi="en-US"/>
        </w:rPr>
        <w:t xml:space="preserve"> UN-Habitat.</w:t>
      </w:r>
    </w:p>
    <w:p w14:paraId="652E8A19" w14:textId="77777777" w:rsidR="00241B0B" w:rsidRDefault="00000000">
      <w:pPr>
        <w:spacing w:before="22" w:line="360" w:lineRule="auto"/>
        <w:ind w:left="720" w:hanging="720"/>
        <w:jc w:val="both"/>
        <w:rPr>
          <w:sz w:val="24"/>
          <w:szCs w:val="24"/>
          <w:lang w:bidi="en-US"/>
        </w:rPr>
      </w:pPr>
      <w:r>
        <w:rPr>
          <w:sz w:val="24"/>
          <w:szCs w:val="24"/>
          <w:lang w:bidi="en-US"/>
        </w:rPr>
        <w:t>United Nations. (2018). </w:t>
      </w:r>
      <w:r>
        <w:rPr>
          <w:i/>
          <w:iCs/>
          <w:sz w:val="24"/>
          <w:szCs w:val="24"/>
          <w:lang w:bidi="en-US"/>
        </w:rPr>
        <w:t>The 2030 agenda and the sustainable development goals an opportunity for Latin America and the Caribbean</w:t>
      </w:r>
      <w:r>
        <w:rPr>
          <w:sz w:val="24"/>
          <w:szCs w:val="24"/>
          <w:lang w:bidi="en-US"/>
        </w:rPr>
        <w:t>. United Nations, ECLAC.</w:t>
      </w:r>
    </w:p>
    <w:p w14:paraId="4574BD9E" w14:textId="77777777" w:rsidR="00241B0B" w:rsidRDefault="00000000">
      <w:pPr>
        <w:spacing w:before="22" w:line="360" w:lineRule="auto"/>
        <w:ind w:left="720" w:hanging="720"/>
        <w:jc w:val="both"/>
        <w:rPr>
          <w:sz w:val="24"/>
          <w:szCs w:val="24"/>
          <w:lang w:bidi="en-US"/>
        </w:rPr>
      </w:pPr>
      <w:r>
        <w:rPr>
          <w:sz w:val="24"/>
          <w:szCs w:val="24"/>
          <w:lang w:bidi="en-US"/>
        </w:rPr>
        <w:t xml:space="preserve">Van Ham, M., </w:t>
      </w:r>
      <w:proofErr w:type="spellStart"/>
      <w:r>
        <w:rPr>
          <w:sz w:val="24"/>
          <w:szCs w:val="24"/>
          <w:lang w:bidi="en-US"/>
        </w:rPr>
        <w:t>Tammaru</w:t>
      </w:r>
      <w:proofErr w:type="spellEnd"/>
      <w:r>
        <w:rPr>
          <w:sz w:val="24"/>
          <w:szCs w:val="24"/>
          <w:lang w:bidi="en-US"/>
        </w:rPr>
        <w:t xml:space="preserve">, T., </w:t>
      </w:r>
      <w:proofErr w:type="spellStart"/>
      <w:r>
        <w:rPr>
          <w:sz w:val="24"/>
          <w:szCs w:val="24"/>
          <w:lang w:bidi="en-US"/>
        </w:rPr>
        <w:t>Ubarevičienė</w:t>
      </w:r>
      <w:proofErr w:type="spellEnd"/>
      <w:r>
        <w:rPr>
          <w:sz w:val="24"/>
          <w:szCs w:val="24"/>
          <w:lang w:bidi="en-US"/>
        </w:rPr>
        <w:t>, R., &amp; Janssen, H. (Eds.). (2021). </w:t>
      </w:r>
      <w:r>
        <w:rPr>
          <w:i/>
          <w:iCs/>
          <w:sz w:val="24"/>
          <w:szCs w:val="24"/>
          <w:lang w:bidi="en-US"/>
        </w:rPr>
        <w:t>Urban socio-economic segregation and income inequality: A global perspective</w:t>
      </w:r>
      <w:r>
        <w:rPr>
          <w:sz w:val="24"/>
          <w:szCs w:val="24"/>
          <w:lang w:bidi="en-US"/>
        </w:rPr>
        <w:t> (The urban book series). Springer International Publishing. </w:t>
      </w:r>
      <w:hyperlink r:id="rId64" w:tgtFrame="_blank" w:history="1">
        <w:r w:rsidR="00241B0B">
          <w:rPr>
            <w:rStyle w:val="Hyperlink"/>
            <w:sz w:val="24"/>
            <w:szCs w:val="24"/>
            <w:lang w:bidi="en-US"/>
          </w:rPr>
          <w:t>https://doi.org/10.1007/978-3-030-64569-4</w:t>
        </w:r>
      </w:hyperlink>
    </w:p>
    <w:p w14:paraId="2A9B3CC1" w14:textId="77777777" w:rsidR="00241B0B" w:rsidRDefault="00000000">
      <w:pPr>
        <w:spacing w:before="22" w:line="360" w:lineRule="auto"/>
        <w:ind w:left="720" w:hanging="720"/>
        <w:jc w:val="both"/>
        <w:rPr>
          <w:sz w:val="24"/>
          <w:szCs w:val="24"/>
          <w:lang w:bidi="en-US"/>
        </w:rPr>
      </w:pPr>
      <w:proofErr w:type="spellStart"/>
      <w:r>
        <w:rPr>
          <w:sz w:val="24"/>
          <w:szCs w:val="24"/>
          <w:lang w:bidi="en-US"/>
        </w:rPr>
        <w:t>Viviroli</w:t>
      </w:r>
      <w:proofErr w:type="spellEnd"/>
      <w:r>
        <w:rPr>
          <w:sz w:val="24"/>
          <w:szCs w:val="24"/>
          <w:lang w:bidi="en-US"/>
        </w:rPr>
        <w:t xml:space="preserve">, D., et al. (2011). Climate change and mountain water resources: Overview and </w:t>
      </w:r>
      <w:r>
        <w:rPr>
          <w:sz w:val="24"/>
          <w:szCs w:val="24"/>
          <w:lang w:bidi="en-US"/>
        </w:rPr>
        <w:lastRenderedPageBreak/>
        <w:t>recommendations for research, management and policy. </w:t>
      </w:r>
      <w:r>
        <w:rPr>
          <w:i/>
          <w:iCs/>
          <w:sz w:val="24"/>
          <w:szCs w:val="24"/>
          <w:lang w:bidi="en-US"/>
        </w:rPr>
        <w:t>Hydrology and Earth System Sciences, 15</w:t>
      </w:r>
      <w:r>
        <w:rPr>
          <w:sz w:val="24"/>
          <w:szCs w:val="24"/>
          <w:lang w:bidi="en-US"/>
        </w:rPr>
        <w:t>, 471–504. </w:t>
      </w:r>
      <w:hyperlink r:id="rId65" w:tgtFrame="_blank" w:history="1">
        <w:r w:rsidR="00241B0B">
          <w:rPr>
            <w:rStyle w:val="Hyperlink"/>
            <w:sz w:val="24"/>
            <w:szCs w:val="24"/>
            <w:lang w:bidi="en-US"/>
          </w:rPr>
          <w:t>https://doi.org/10.5194/hess-15-471-2011</w:t>
        </w:r>
      </w:hyperlink>
    </w:p>
    <w:p w14:paraId="2076703D" w14:textId="77777777" w:rsidR="00241B0B" w:rsidRDefault="00000000">
      <w:pPr>
        <w:spacing w:before="22" w:line="360" w:lineRule="auto"/>
        <w:ind w:left="720" w:hanging="720"/>
        <w:jc w:val="both"/>
        <w:rPr>
          <w:sz w:val="24"/>
          <w:szCs w:val="24"/>
          <w:lang w:bidi="en-US"/>
        </w:rPr>
      </w:pPr>
      <w:r>
        <w:rPr>
          <w:sz w:val="24"/>
          <w:szCs w:val="24"/>
          <w:lang w:bidi="en-US"/>
        </w:rPr>
        <w:t>Vörösmarty, C. J., et al. (2010). Global threats to human water security and river biodiversity. </w:t>
      </w:r>
      <w:r>
        <w:rPr>
          <w:i/>
          <w:iCs/>
          <w:sz w:val="24"/>
          <w:szCs w:val="24"/>
          <w:lang w:bidi="en-US"/>
        </w:rPr>
        <w:t>Nature, 467</w:t>
      </w:r>
      <w:r>
        <w:rPr>
          <w:sz w:val="24"/>
          <w:szCs w:val="24"/>
          <w:lang w:bidi="en-US"/>
        </w:rPr>
        <w:t>, 555–561. </w:t>
      </w:r>
      <w:hyperlink r:id="rId66" w:tgtFrame="_blank" w:history="1">
        <w:r w:rsidR="00241B0B">
          <w:rPr>
            <w:rStyle w:val="Hyperlink"/>
            <w:sz w:val="24"/>
            <w:szCs w:val="24"/>
            <w:lang w:bidi="en-US"/>
          </w:rPr>
          <w:t>https://doi.org/10.1038/nature09440</w:t>
        </w:r>
      </w:hyperlink>
    </w:p>
    <w:p w14:paraId="7ABC8981" w14:textId="77777777" w:rsidR="00241B0B" w:rsidRDefault="00000000">
      <w:pPr>
        <w:spacing w:before="22" w:line="360" w:lineRule="auto"/>
        <w:ind w:left="720" w:hanging="720"/>
        <w:jc w:val="both"/>
        <w:rPr>
          <w:sz w:val="24"/>
          <w:szCs w:val="24"/>
          <w:lang w:bidi="en-US"/>
        </w:rPr>
      </w:pPr>
      <w:r>
        <w:rPr>
          <w:sz w:val="24"/>
          <w:szCs w:val="24"/>
          <w:lang w:bidi="en-US"/>
        </w:rPr>
        <w:t>Waste and Environment Management Association of Kenya v County Government of Nairobi &amp; another (Petition 3 of 2021) KEELC 3172 (KLR) (3 August 2022) (Judgment). </w:t>
      </w:r>
      <w:hyperlink r:id="rId67" w:tgtFrame="_blank" w:history="1">
        <w:r w:rsidR="00241B0B">
          <w:rPr>
            <w:rStyle w:val="Hyperlink"/>
            <w:sz w:val="24"/>
            <w:szCs w:val="24"/>
            <w:lang w:bidi="en-US"/>
          </w:rPr>
          <w:t>https://kenyalaw.org/caselaw/cases/view/236972/</w:t>
        </w:r>
      </w:hyperlink>
    </w:p>
    <w:p w14:paraId="2DF426A8" w14:textId="77777777" w:rsidR="00241B0B" w:rsidRDefault="00000000">
      <w:pPr>
        <w:spacing w:before="22" w:line="360" w:lineRule="auto"/>
        <w:ind w:left="720" w:hanging="720"/>
        <w:jc w:val="both"/>
        <w:rPr>
          <w:sz w:val="24"/>
          <w:szCs w:val="24"/>
          <w:lang w:bidi="en-US"/>
        </w:rPr>
      </w:pPr>
      <w:r>
        <w:rPr>
          <w:sz w:val="24"/>
          <w:szCs w:val="24"/>
          <w:lang w:bidi="en-US"/>
        </w:rPr>
        <w:t>Wijsen, L. D., Borsboom, D., &amp; Alexandrova, A. (2022). Values in psychometrics. </w:t>
      </w:r>
      <w:r>
        <w:rPr>
          <w:i/>
          <w:iCs/>
          <w:sz w:val="24"/>
          <w:szCs w:val="24"/>
          <w:lang w:bidi="en-US"/>
        </w:rPr>
        <w:t>Perspectives on Psychological Science, 17</w:t>
      </w:r>
      <w:r>
        <w:rPr>
          <w:sz w:val="24"/>
          <w:szCs w:val="24"/>
          <w:lang w:bidi="en-US"/>
        </w:rPr>
        <w:t>(3), 788–804.</w:t>
      </w:r>
    </w:p>
    <w:p w14:paraId="0A7BBA33" w14:textId="77777777" w:rsidR="00241B0B" w:rsidRDefault="00000000">
      <w:pPr>
        <w:spacing w:before="22" w:line="360" w:lineRule="auto"/>
        <w:ind w:left="720" w:hanging="720"/>
        <w:jc w:val="both"/>
        <w:rPr>
          <w:sz w:val="24"/>
          <w:szCs w:val="24"/>
          <w:lang w:bidi="en-US"/>
        </w:rPr>
      </w:pPr>
      <w:r>
        <w:rPr>
          <w:sz w:val="24"/>
          <w:szCs w:val="24"/>
          <w:lang w:bidi="en-US"/>
        </w:rPr>
        <w:t>Yamane, T. (1973). </w:t>
      </w:r>
      <w:r>
        <w:rPr>
          <w:i/>
          <w:iCs/>
          <w:sz w:val="24"/>
          <w:szCs w:val="24"/>
          <w:lang w:bidi="en-US"/>
        </w:rPr>
        <w:t>Statistics: An introductory analysis</w:t>
      </w:r>
      <w:r>
        <w:rPr>
          <w:sz w:val="24"/>
          <w:szCs w:val="24"/>
          <w:lang w:bidi="en-US"/>
        </w:rPr>
        <w:t> (3rd ed.). Harper &amp; Row.</w:t>
      </w:r>
    </w:p>
    <w:p w14:paraId="47A2EEB9" w14:textId="77777777" w:rsidR="00241B0B" w:rsidRDefault="00241B0B">
      <w:pPr>
        <w:spacing w:before="22" w:line="360" w:lineRule="auto"/>
        <w:jc w:val="both"/>
        <w:rPr>
          <w:sz w:val="24"/>
          <w:szCs w:val="24"/>
          <w:lang w:bidi="en-US"/>
        </w:rPr>
      </w:pPr>
    </w:p>
    <w:sectPr w:rsidR="00241B0B">
      <w:footerReference w:type="default" r:id="rId68"/>
      <w:pgSz w:w="12240" w:h="15840"/>
      <w:pgMar w:top="1360" w:right="1440" w:bottom="1138" w:left="1080" w:header="0" w:footer="9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4DB489" w14:textId="77777777" w:rsidR="00F26C5D" w:rsidRDefault="00F26C5D">
      <w:r>
        <w:separator/>
      </w:r>
    </w:p>
  </w:endnote>
  <w:endnote w:type="continuationSeparator" w:id="0">
    <w:p w14:paraId="575FBA08" w14:textId="77777777" w:rsidR="00F26C5D" w:rsidRDefault="00F26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C8B2B" w14:textId="77777777" w:rsidR="00241B0B" w:rsidRDefault="00000000">
    <w:pPr>
      <w:pStyle w:val="BodyText"/>
      <w:spacing w:line="14" w:lineRule="auto"/>
      <w:ind w:left="0" w:firstLine="0"/>
      <w:rPr>
        <w:sz w:val="20"/>
      </w:rPr>
    </w:pPr>
    <w:r>
      <w:rPr>
        <w:noProof/>
        <w:sz w:val="20"/>
      </w:rPr>
      <mc:AlternateContent>
        <mc:Choice Requires="wps">
          <w:drawing>
            <wp:anchor distT="0" distB="0" distL="0" distR="0" simplePos="0" relativeHeight="251659264" behindDoc="1" locked="0" layoutInCell="1" allowOverlap="1" wp14:anchorId="2529E49C" wp14:editId="5333EE71">
              <wp:simplePos x="0" y="0"/>
              <wp:positionH relativeFrom="page">
                <wp:posOffset>6471920</wp:posOffset>
              </wp:positionH>
              <wp:positionV relativeFrom="page">
                <wp:posOffset>9318625</wp:posOffset>
              </wp:positionV>
              <wp:extent cx="155575" cy="157480"/>
              <wp:effectExtent l="0" t="0" r="0" b="0"/>
              <wp:wrapNone/>
              <wp:docPr id="1" name="Textbox 1"/>
              <wp:cNvGraphicFramePr/>
              <a:graphic xmlns:a="http://schemas.openxmlformats.org/drawingml/2006/main">
                <a:graphicData uri="http://schemas.microsoft.com/office/word/2010/wordprocessingShape">
                  <wps:wsp>
                    <wps:cNvSpPr txBox="1"/>
                    <wps:spPr>
                      <a:xfrm>
                        <a:off x="0" y="0"/>
                        <a:ext cx="155575" cy="157480"/>
                      </a:xfrm>
                      <a:prstGeom prst="rect">
                        <a:avLst/>
                      </a:prstGeom>
                    </wps:spPr>
                    <wps:txbx>
                      <w:txbxContent>
                        <w:p w14:paraId="0A4F409E" w14:textId="77777777" w:rsidR="00241B0B" w:rsidRDefault="00000000">
                          <w:pPr>
                            <w:spacing w:line="229" w:lineRule="exact"/>
                            <w:ind w:left="60"/>
                            <w:rPr>
                              <w:rFonts w:ascii="Calibri"/>
                              <w:sz w:val="20"/>
                            </w:rPr>
                          </w:pPr>
                          <w:r>
                            <w:rPr>
                              <w:rFonts w:ascii="Calibri"/>
                              <w:spacing w:val="-10"/>
                              <w:w w:val="105"/>
                              <w:sz w:val="20"/>
                            </w:rPr>
                            <w:fldChar w:fldCharType="begin"/>
                          </w:r>
                          <w:r>
                            <w:rPr>
                              <w:rFonts w:ascii="Calibri"/>
                              <w:spacing w:val="-10"/>
                              <w:w w:val="105"/>
                              <w:sz w:val="20"/>
                            </w:rPr>
                            <w:instrText xml:space="preserve"> PAGE </w:instrText>
                          </w:r>
                          <w:r>
                            <w:rPr>
                              <w:rFonts w:ascii="Calibri"/>
                              <w:spacing w:val="-10"/>
                              <w:w w:val="105"/>
                              <w:sz w:val="20"/>
                            </w:rPr>
                            <w:fldChar w:fldCharType="separate"/>
                          </w:r>
                          <w:r>
                            <w:rPr>
                              <w:rFonts w:ascii="Calibri"/>
                              <w:spacing w:val="-10"/>
                              <w:w w:val="105"/>
                              <w:sz w:val="20"/>
                            </w:rPr>
                            <w:t>1</w:t>
                          </w:r>
                          <w:r>
                            <w:rPr>
                              <w:rFonts w:ascii="Calibri"/>
                              <w:spacing w:val="-10"/>
                              <w:w w:val="105"/>
                              <w:sz w:val="20"/>
                            </w:rPr>
                            <w:fldChar w:fldCharType="end"/>
                          </w:r>
                        </w:p>
                      </w:txbxContent>
                    </wps:txbx>
                    <wps:bodyPr wrap="square" lIns="0" tIns="0" rIns="0" bIns="0" rtlCol="0">
                      <a:noAutofit/>
                    </wps:bodyPr>
                  </wps:wsp>
                </a:graphicData>
              </a:graphic>
            </wp:anchor>
          </w:drawing>
        </mc:Choice>
        <mc:Fallback xmlns:wpsCustomData="http://www.wps.cn/officeDocument/2013/wpsCustomData">
          <w:pict>
            <v:shape id="Textbox 1" o:spid="_x0000_s1026" o:spt="202" type="#_x0000_t202" style="position:absolute;left:0pt;margin-left:509.6pt;margin-top:733.75pt;height:12.4pt;width:12.25pt;mso-position-horizontal-relative:page;mso-position-vertical-relative:page;z-index:-251657216;mso-width-relative:page;mso-height-relative:page;" filled="f" stroked="f" coordsize="21600,21600" o:gfxdata="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gZ8GO3AAAAA8BAAAPAAAAAAAAAAEAIAAAACIAAABkcnMvZG93bnJldi54bWxQSwECFAAUAAAA&#10;CACHTuJAtLN8IrEBAABzAwAADgAAAAAAAAABACAAAAArAQAAZHJzL2Uyb0RvYy54bWxQSwUGAAAA&#10;AAYABgBZAQAATgUAAAAA&#10;">
              <v:fill on="f" focussize="0,0"/>
              <v:stroke on="f"/>
              <v:imagedata o:title=""/>
              <o:lock v:ext="edit" aspectratio="f"/>
              <v:textbox inset="0mm,0mm,0mm,0mm">
                <w:txbxContent>
                  <w:p w14:paraId="0220BD36">
                    <w:pPr>
                      <w:spacing w:line="229" w:lineRule="exact"/>
                      <w:ind w:left="60"/>
                      <w:rPr>
                        <w:rFonts w:ascii="Calibri"/>
                        <w:sz w:val="20"/>
                      </w:rPr>
                    </w:pPr>
                    <w:r>
                      <w:rPr>
                        <w:rFonts w:ascii="Calibri"/>
                        <w:spacing w:val="-10"/>
                        <w:w w:val="105"/>
                        <w:sz w:val="20"/>
                      </w:rPr>
                      <w:fldChar w:fldCharType="begin"/>
                    </w:r>
                    <w:r>
                      <w:rPr>
                        <w:rFonts w:ascii="Calibri"/>
                        <w:spacing w:val="-10"/>
                        <w:w w:val="105"/>
                        <w:sz w:val="20"/>
                      </w:rPr>
                      <w:instrText xml:space="preserve"> PAGE </w:instrText>
                    </w:r>
                    <w:r>
                      <w:rPr>
                        <w:rFonts w:ascii="Calibri"/>
                        <w:spacing w:val="-10"/>
                        <w:w w:val="105"/>
                        <w:sz w:val="20"/>
                      </w:rPr>
                      <w:fldChar w:fldCharType="separate"/>
                    </w:r>
                    <w:r>
                      <w:rPr>
                        <w:rFonts w:ascii="Calibri"/>
                        <w:spacing w:val="-10"/>
                        <w:w w:val="105"/>
                        <w:sz w:val="20"/>
                      </w:rPr>
                      <w:t>1</w:t>
                    </w:r>
                    <w:r>
                      <w:rPr>
                        <w:rFonts w:ascii="Calibri"/>
                        <w:spacing w:val="-10"/>
                        <w:w w:val="105"/>
                        <w:sz w:val="20"/>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8317454"/>
      <w:docPartObj>
        <w:docPartGallery w:val="AutoText"/>
      </w:docPartObj>
    </w:sdtPr>
    <w:sdtContent>
      <w:p w14:paraId="2E105790" w14:textId="77777777" w:rsidR="00241B0B" w:rsidRDefault="00000000">
        <w:pPr>
          <w:pStyle w:val="Footer"/>
          <w:jc w:val="right"/>
        </w:pPr>
        <w:r>
          <w:fldChar w:fldCharType="begin"/>
        </w:r>
        <w:r>
          <w:instrText xml:space="preserve"> PAGE   \* MERGEFORMAT </w:instrText>
        </w:r>
        <w:r>
          <w:fldChar w:fldCharType="separate"/>
        </w:r>
        <w:r>
          <w:t>2</w:t>
        </w:r>
        <w:r>
          <w:fldChar w:fldCharType="end"/>
        </w:r>
      </w:p>
    </w:sdtContent>
  </w:sdt>
  <w:p w14:paraId="43FC0A5A" w14:textId="77777777" w:rsidR="00241B0B" w:rsidRDefault="00241B0B">
    <w:pPr>
      <w:pStyle w:val="BodyText"/>
      <w:spacing w:line="14" w:lineRule="auto"/>
      <w:ind w:left="0" w:firstLine="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95E38" w14:textId="77777777" w:rsidR="00F26C5D" w:rsidRDefault="00F26C5D">
      <w:r>
        <w:separator/>
      </w:r>
    </w:p>
  </w:footnote>
  <w:footnote w:type="continuationSeparator" w:id="0">
    <w:p w14:paraId="3F43FAB9" w14:textId="77777777" w:rsidR="00F26C5D" w:rsidRDefault="00F26C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CAE"/>
    <w:rsid w:val="00004DAD"/>
    <w:rsid w:val="0001456D"/>
    <w:rsid w:val="0001669F"/>
    <w:rsid w:val="000322DF"/>
    <w:rsid w:val="00035D91"/>
    <w:rsid w:val="00041AC8"/>
    <w:rsid w:val="00042CF9"/>
    <w:rsid w:val="0009601A"/>
    <w:rsid w:val="000A2359"/>
    <w:rsid w:val="000B43A8"/>
    <w:rsid w:val="000C14FA"/>
    <w:rsid w:val="000D1F68"/>
    <w:rsid w:val="000D3F3D"/>
    <w:rsid w:val="000D6E46"/>
    <w:rsid w:val="000E5C91"/>
    <w:rsid w:val="00103A05"/>
    <w:rsid w:val="00104F7B"/>
    <w:rsid w:val="0011373D"/>
    <w:rsid w:val="00132369"/>
    <w:rsid w:val="00176520"/>
    <w:rsid w:val="001A4675"/>
    <w:rsid w:val="001D2EB8"/>
    <w:rsid w:val="001E0F52"/>
    <w:rsid w:val="00214F9A"/>
    <w:rsid w:val="00237036"/>
    <w:rsid w:val="00241B0B"/>
    <w:rsid w:val="00264058"/>
    <w:rsid w:val="00267DF5"/>
    <w:rsid w:val="00277510"/>
    <w:rsid w:val="002A405B"/>
    <w:rsid w:val="002B0455"/>
    <w:rsid w:val="002B2411"/>
    <w:rsid w:val="002B40D0"/>
    <w:rsid w:val="002B4AA6"/>
    <w:rsid w:val="002E1381"/>
    <w:rsid w:val="002E5A14"/>
    <w:rsid w:val="002F1174"/>
    <w:rsid w:val="002F31C7"/>
    <w:rsid w:val="00321998"/>
    <w:rsid w:val="00325D5A"/>
    <w:rsid w:val="00325E47"/>
    <w:rsid w:val="00333495"/>
    <w:rsid w:val="00341792"/>
    <w:rsid w:val="00344087"/>
    <w:rsid w:val="003510C7"/>
    <w:rsid w:val="00357291"/>
    <w:rsid w:val="0036547B"/>
    <w:rsid w:val="003717EB"/>
    <w:rsid w:val="00386A9B"/>
    <w:rsid w:val="00387062"/>
    <w:rsid w:val="003A4922"/>
    <w:rsid w:val="003C3522"/>
    <w:rsid w:val="003D0A18"/>
    <w:rsid w:val="003D10FF"/>
    <w:rsid w:val="003E277E"/>
    <w:rsid w:val="00404F97"/>
    <w:rsid w:val="00420843"/>
    <w:rsid w:val="00430789"/>
    <w:rsid w:val="0045644F"/>
    <w:rsid w:val="00467BD4"/>
    <w:rsid w:val="004A0922"/>
    <w:rsid w:val="004A42B0"/>
    <w:rsid w:val="004A498F"/>
    <w:rsid w:val="004B1121"/>
    <w:rsid w:val="004B2581"/>
    <w:rsid w:val="004B53D6"/>
    <w:rsid w:val="004D5C3E"/>
    <w:rsid w:val="004E7296"/>
    <w:rsid w:val="00511801"/>
    <w:rsid w:val="0052425D"/>
    <w:rsid w:val="00527573"/>
    <w:rsid w:val="00527996"/>
    <w:rsid w:val="005311DA"/>
    <w:rsid w:val="00540853"/>
    <w:rsid w:val="00560CF8"/>
    <w:rsid w:val="00584933"/>
    <w:rsid w:val="005A1C6B"/>
    <w:rsid w:val="005D28D8"/>
    <w:rsid w:val="005E07C3"/>
    <w:rsid w:val="005E106A"/>
    <w:rsid w:val="005F58B9"/>
    <w:rsid w:val="00606468"/>
    <w:rsid w:val="00606ED1"/>
    <w:rsid w:val="00612D9E"/>
    <w:rsid w:val="00633423"/>
    <w:rsid w:val="0067792E"/>
    <w:rsid w:val="0069506C"/>
    <w:rsid w:val="006A6CDD"/>
    <w:rsid w:val="006B2480"/>
    <w:rsid w:val="006B30CC"/>
    <w:rsid w:val="006B60A6"/>
    <w:rsid w:val="006C316B"/>
    <w:rsid w:val="006C3D25"/>
    <w:rsid w:val="006D5572"/>
    <w:rsid w:val="0071178E"/>
    <w:rsid w:val="00720633"/>
    <w:rsid w:val="00742D62"/>
    <w:rsid w:val="00764DFB"/>
    <w:rsid w:val="0078027C"/>
    <w:rsid w:val="0079438D"/>
    <w:rsid w:val="007C46A4"/>
    <w:rsid w:val="007C5AD6"/>
    <w:rsid w:val="007D46A6"/>
    <w:rsid w:val="007F3A64"/>
    <w:rsid w:val="007F56B0"/>
    <w:rsid w:val="008010D6"/>
    <w:rsid w:val="00823C28"/>
    <w:rsid w:val="008275B4"/>
    <w:rsid w:val="0083091C"/>
    <w:rsid w:val="00844670"/>
    <w:rsid w:val="008B3152"/>
    <w:rsid w:val="008B70C3"/>
    <w:rsid w:val="008C5049"/>
    <w:rsid w:val="008C7B38"/>
    <w:rsid w:val="008D3C6F"/>
    <w:rsid w:val="008D5390"/>
    <w:rsid w:val="008D7BA3"/>
    <w:rsid w:val="008E781B"/>
    <w:rsid w:val="008F0958"/>
    <w:rsid w:val="008F5D56"/>
    <w:rsid w:val="00900AEC"/>
    <w:rsid w:val="00901F8F"/>
    <w:rsid w:val="00903921"/>
    <w:rsid w:val="009227FC"/>
    <w:rsid w:val="009403C3"/>
    <w:rsid w:val="00983EB3"/>
    <w:rsid w:val="009F26C5"/>
    <w:rsid w:val="00A10CAE"/>
    <w:rsid w:val="00A1614F"/>
    <w:rsid w:val="00A3061A"/>
    <w:rsid w:val="00A31DE3"/>
    <w:rsid w:val="00A36469"/>
    <w:rsid w:val="00A40CE3"/>
    <w:rsid w:val="00A42734"/>
    <w:rsid w:val="00A4684E"/>
    <w:rsid w:val="00A560E2"/>
    <w:rsid w:val="00A765EC"/>
    <w:rsid w:val="00AB6DA2"/>
    <w:rsid w:val="00B05C2F"/>
    <w:rsid w:val="00B26227"/>
    <w:rsid w:val="00B41CAA"/>
    <w:rsid w:val="00B44FF5"/>
    <w:rsid w:val="00B75C83"/>
    <w:rsid w:val="00B864D0"/>
    <w:rsid w:val="00B93377"/>
    <w:rsid w:val="00B95A17"/>
    <w:rsid w:val="00BB7681"/>
    <w:rsid w:val="00BD353F"/>
    <w:rsid w:val="00BD7ABB"/>
    <w:rsid w:val="00BF13B8"/>
    <w:rsid w:val="00C10F60"/>
    <w:rsid w:val="00C47198"/>
    <w:rsid w:val="00C56F06"/>
    <w:rsid w:val="00C65673"/>
    <w:rsid w:val="00C8461B"/>
    <w:rsid w:val="00C90731"/>
    <w:rsid w:val="00CD3E96"/>
    <w:rsid w:val="00CF70F6"/>
    <w:rsid w:val="00D15E40"/>
    <w:rsid w:val="00D163E8"/>
    <w:rsid w:val="00D230F3"/>
    <w:rsid w:val="00D24B93"/>
    <w:rsid w:val="00D258D3"/>
    <w:rsid w:val="00D368A9"/>
    <w:rsid w:val="00D509D2"/>
    <w:rsid w:val="00D662B9"/>
    <w:rsid w:val="00D70CA6"/>
    <w:rsid w:val="00DC0093"/>
    <w:rsid w:val="00E130F1"/>
    <w:rsid w:val="00E22B4C"/>
    <w:rsid w:val="00E4344C"/>
    <w:rsid w:val="00E45E85"/>
    <w:rsid w:val="00E50E5D"/>
    <w:rsid w:val="00E51BB4"/>
    <w:rsid w:val="00E61C8B"/>
    <w:rsid w:val="00E65536"/>
    <w:rsid w:val="00E71D64"/>
    <w:rsid w:val="00E8077E"/>
    <w:rsid w:val="00E924C3"/>
    <w:rsid w:val="00EA3C3C"/>
    <w:rsid w:val="00EB4506"/>
    <w:rsid w:val="00ED21CD"/>
    <w:rsid w:val="00ED4D0F"/>
    <w:rsid w:val="00EE6845"/>
    <w:rsid w:val="00EF20BF"/>
    <w:rsid w:val="00F07D67"/>
    <w:rsid w:val="00F1104E"/>
    <w:rsid w:val="00F206A8"/>
    <w:rsid w:val="00F26C5D"/>
    <w:rsid w:val="00F411FA"/>
    <w:rsid w:val="00F427E5"/>
    <w:rsid w:val="00F4447E"/>
    <w:rsid w:val="00F72BFC"/>
    <w:rsid w:val="00F738DA"/>
    <w:rsid w:val="00F95406"/>
    <w:rsid w:val="00F970B0"/>
    <w:rsid w:val="00FA6525"/>
    <w:rsid w:val="00FB7365"/>
    <w:rsid w:val="02E57C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9EB89"/>
  <w15:docId w15:val="{C76CFCA1-5AD9-4015-8A69-BC48C323C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uiPriority w:val="9"/>
    <w:qFormat/>
    <w:pPr>
      <w:ind w:left="791" w:hanging="549"/>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91" w:hanging="657"/>
    </w:pPr>
  </w:style>
  <w:style w:type="paragraph" w:styleId="Caption">
    <w:name w:val="caption"/>
    <w:basedOn w:val="Normal"/>
    <w:next w:val="Normal"/>
    <w:uiPriority w:val="35"/>
    <w:unhideWhenUsed/>
    <w:qFormat/>
    <w:pPr>
      <w:spacing w:after="200"/>
    </w:pPr>
    <w:rPr>
      <w:i/>
      <w:iCs/>
      <w:color w:val="1F497D" w:themeColor="text2"/>
      <w:sz w:val="18"/>
      <w:szCs w:val="18"/>
    </w:rPr>
  </w:style>
  <w:style w:type="paragraph" w:styleId="Footer">
    <w:name w:val="footer"/>
    <w:basedOn w:val="Normal"/>
    <w:link w:val="FooterChar"/>
    <w:uiPriority w:val="99"/>
    <w:unhideWhenUsed/>
    <w:qFormat/>
    <w:pPr>
      <w:tabs>
        <w:tab w:val="center" w:pos="4680"/>
        <w:tab w:val="right" w:pos="9360"/>
      </w:tabs>
    </w:p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qFormat/>
    <w:pPr>
      <w:widowControl/>
      <w:autoSpaceDE/>
      <w:jc w:val="both"/>
    </w:pPr>
    <w:rPr>
      <w:rFonts w:ascii="Palatino Linotype" w:eastAsia="SimSun" w:hAnsi="Palatino Linotype"/>
      <w:color w:val="000000"/>
      <w:sz w:val="20"/>
      <w:szCs w:val="20"/>
      <w:lang w:eastAsia="zh-CN"/>
    </w:r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000FF" w:themeColor="hyperlink"/>
      <w:u w:val="single"/>
    </w:rPr>
  </w:style>
  <w:style w:type="character" w:styleId="LineNumber">
    <w:name w:val="line number"/>
    <w:basedOn w:val="DefaultParagraphFont"/>
    <w:uiPriority w:val="99"/>
    <w:semiHidden/>
    <w:unhideWhenUsed/>
    <w:qFormat/>
  </w:style>
  <w:style w:type="paragraph" w:styleId="NormalWeb">
    <w:name w:val="Normal (Web)"/>
    <w:basedOn w:val="Normal"/>
    <w:uiPriority w:val="99"/>
    <w:semiHidden/>
    <w:unhideWhenUsed/>
    <w:rPr>
      <w:sz w:val="24"/>
      <w:szCs w:val="24"/>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pPr>
      <w:ind w:left="791" w:hanging="657"/>
    </w:pPr>
  </w:style>
  <w:style w:type="paragraph" w:customStyle="1" w:styleId="TableParagraph">
    <w:name w:val="Table Paragraph"/>
    <w:basedOn w:val="Normal"/>
    <w:uiPriority w:val="1"/>
    <w:qFormat/>
    <w:pPr>
      <w:ind w:left="102"/>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EJG31text">
    <w:name w:val="EJG_3.1_text"/>
    <w:qFormat/>
    <w:pPr>
      <w:autoSpaceDN w:val="0"/>
      <w:snapToGrid w:val="0"/>
      <w:ind w:firstLine="425"/>
      <w:jc w:val="both"/>
    </w:pPr>
    <w:rPr>
      <w:rFonts w:ascii="Calibri Light" w:eastAsia="Times New Roman" w:hAnsi="Calibri Light" w:cs="Times New Roman"/>
      <w:color w:val="000000"/>
      <w:sz w:val="22"/>
      <w:szCs w:val="22"/>
      <w:lang w:eastAsia="de-DE" w:bidi="en-US"/>
    </w:rPr>
  </w:style>
  <w:style w:type="table" w:customStyle="1" w:styleId="PlainTable21">
    <w:name w:val="Plain Tab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otnoteTextChar">
    <w:name w:val="Footnote Text Char"/>
    <w:basedOn w:val="DefaultParagraphFont"/>
    <w:link w:val="FootnoteText"/>
    <w:qFormat/>
    <w:rPr>
      <w:rFonts w:ascii="Palatino Linotype" w:eastAsia="SimSun" w:hAnsi="Palatino Linotype" w:cs="Times New Roman"/>
      <w:color w:val="000000"/>
      <w:sz w:val="20"/>
      <w:szCs w:val="20"/>
      <w:lang w:eastAsia="zh-CN"/>
    </w:rPr>
  </w:style>
  <w:style w:type="character" w:customStyle="1" w:styleId="HeaderChar">
    <w:name w:val="Header Char"/>
    <w:basedOn w:val="DefaultParagraphFont"/>
    <w:link w:val="Header"/>
    <w:uiPriority w:val="99"/>
    <w:qFormat/>
    <w:rPr>
      <w:rFonts w:ascii="Times New Roman" w:eastAsia="Times New Roman" w:hAnsi="Times New Roman" w:cs="Times New Roman"/>
    </w:rPr>
  </w:style>
  <w:style w:type="character" w:customStyle="1" w:styleId="FooterChar">
    <w:name w:val="Footer Char"/>
    <w:basedOn w:val="DefaultParagraphFont"/>
    <w:link w:val="Footer"/>
    <w:uiPriority w:val="99"/>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1371/journal.pone.0212206" TargetMode="External"/><Relationship Id="rId21" Type="http://schemas.openxmlformats.org/officeDocument/2006/relationships/image" Target="media/image5.png"/><Relationship Id="rId42" Type="http://schemas.openxmlformats.org/officeDocument/2006/relationships/hyperlink" Target="https://doi.org/10.23668/psycharchives.4489" TargetMode="External"/><Relationship Id="rId47" Type="http://schemas.openxmlformats.org/officeDocument/2006/relationships/hyperlink" Target="https://doi.org/10.70619/vol3iss1pp1-14" TargetMode="External"/><Relationship Id="rId63" Type="http://schemas.openxmlformats.org/officeDocument/2006/relationships/hyperlink" Target="https://doi.org/10.1016/j.jenvp.2017.09.001" TargetMode="Externa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doi.org/10.1111/sipr.12061" TargetMode="External"/><Relationship Id="rId11" Type="http://schemas.openxmlformats.org/officeDocument/2006/relationships/hyperlink" Target="mailto:kkiemo@uonbi.ac.ke" TargetMode="External"/><Relationship Id="rId24" Type="http://schemas.openxmlformats.org/officeDocument/2006/relationships/hyperlink" Target="https://doi.org/10.1007/s11356-020-11432-5" TargetMode="External"/><Relationship Id="rId32" Type="http://schemas.openxmlformats.org/officeDocument/2006/relationships/hyperlink" Target="https://doi.org/10.1111/ssqu.12071" TargetMode="External"/><Relationship Id="rId37" Type="http://schemas.openxmlformats.org/officeDocument/2006/relationships/hyperlink" Target="https://doi.org/10.1016/j.esg.2019.100031" TargetMode="External"/><Relationship Id="rId40" Type="http://schemas.openxmlformats.org/officeDocument/2006/relationships/hyperlink" Target="https://doi.org/10.5751/ES-07977-210115" TargetMode="External"/><Relationship Id="rId45" Type="http://schemas.openxmlformats.org/officeDocument/2006/relationships/hyperlink" Target="https://doi.org/10.1080/13504620220145401" TargetMode="External"/><Relationship Id="rId53" Type="http://schemas.openxmlformats.org/officeDocument/2006/relationships/hyperlink" Target="https://doi.org/10.2166/wpt.2017.061" TargetMode="External"/><Relationship Id="rId58" Type="http://schemas.openxmlformats.org/officeDocument/2006/relationships/hyperlink" Target="https://doi.org/10.1007/s10712-022-09700-9" TargetMode="External"/><Relationship Id="rId66" Type="http://schemas.openxmlformats.org/officeDocument/2006/relationships/hyperlink" Target="https://doi.org/10.1038/nature09440" TargetMode="External"/><Relationship Id="rId5" Type="http://schemas.openxmlformats.org/officeDocument/2006/relationships/webSettings" Target="webSettings.xml"/><Relationship Id="rId61" Type="http://schemas.openxmlformats.org/officeDocument/2006/relationships/hyperlink" Target="https://doi.org/10.1126/science.1259855" TargetMode="External"/><Relationship Id="rId19" Type="http://schemas.openxmlformats.org/officeDocument/2006/relationships/chart" Target="charts/chart2.xml"/><Relationship Id="rId14" Type="http://schemas.openxmlformats.org/officeDocument/2006/relationships/image" Target="media/image1.jpeg"/><Relationship Id="rId22" Type="http://schemas.openxmlformats.org/officeDocument/2006/relationships/image" Target="media/image6.png"/><Relationship Id="rId27" Type="http://schemas.openxmlformats.org/officeDocument/2006/relationships/hyperlink" Target="https://doi.org/10.1016/j.cities.2015.03.013" TargetMode="External"/><Relationship Id="rId30" Type="http://schemas.openxmlformats.org/officeDocument/2006/relationships/hyperlink" Target="https://doi.org/10.1504/IJW.2012.049493" TargetMode="External"/><Relationship Id="rId35" Type="http://schemas.openxmlformats.org/officeDocument/2006/relationships/hyperlink" Target="https://doi.org/10.1016/j.ecolecon.2019.106434" TargetMode="External"/><Relationship Id="rId43" Type="http://schemas.openxmlformats.org/officeDocument/2006/relationships/hyperlink" Target="https://doi.org/10.1007/s11625-018-0648-0" TargetMode="External"/><Relationship Id="rId48" Type="http://schemas.openxmlformats.org/officeDocument/2006/relationships/hyperlink" Target="https://doi.org/10.1038/s41598-017-06765-0" TargetMode="External"/><Relationship Id="rId56" Type="http://schemas.openxmlformats.org/officeDocument/2006/relationships/hyperlink" Target="http://dx.doi.org/10.5130/AJCEB.v20i2.7191" TargetMode="External"/><Relationship Id="rId64" Type="http://schemas.openxmlformats.org/officeDocument/2006/relationships/hyperlink" Target="https://doi.org/10.1007/978-3-030-64569-4" TargetMode="External"/><Relationship Id="rId69" Type="http://schemas.openxmlformats.org/officeDocument/2006/relationships/fontTable" Target="fontTable.xml"/><Relationship Id="rId8" Type="http://schemas.openxmlformats.org/officeDocument/2006/relationships/hyperlink" Target="mailto:bosibori@students.uonbi.ac.ke" TargetMode="External"/><Relationship Id="rId51" Type="http://schemas.openxmlformats.org/officeDocument/2006/relationships/hyperlink" Target="https://doi.org/10.3390/w15040660" TargetMode="External"/><Relationship Id="rId3" Type="http://schemas.openxmlformats.org/officeDocument/2006/relationships/styles" Target="styles.xml"/><Relationship Id="rId12" Type="http://schemas.openxmlformats.org/officeDocument/2006/relationships/hyperlink" Target="mailto:bosibori@students.uonbi.ac.ke" TargetMode="External"/><Relationship Id="rId17" Type="http://schemas.openxmlformats.org/officeDocument/2006/relationships/image" Target="media/image4.png"/><Relationship Id="rId25" Type="http://schemas.openxmlformats.org/officeDocument/2006/relationships/hyperlink" Target="https://doi.org/10.1016/j.jenvp.2006.12.002" TargetMode="External"/><Relationship Id="rId33" Type="http://schemas.openxmlformats.org/officeDocument/2006/relationships/hyperlink" Target="https://psycnet.apa.org/doi/10.1177/0956797616660078" TargetMode="External"/><Relationship Id="rId38" Type="http://schemas.openxmlformats.org/officeDocument/2006/relationships/hyperlink" Target="https://doi.org/10.1177/1086026615575331" TargetMode="External"/><Relationship Id="rId46" Type="http://schemas.openxmlformats.org/officeDocument/2006/relationships/hyperlink" Target="https://doi.org/10.3390/rel16030311" TargetMode="External"/><Relationship Id="rId59" Type="http://schemas.openxmlformats.org/officeDocument/2006/relationships/hyperlink" Target="http://www.environment.go.ke/" TargetMode="External"/><Relationship Id="rId67" Type="http://schemas.openxmlformats.org/officeDocument/2006/relationships/hyperlink" Target="https://kenyalaw.org/caselaw/cases/view/236972/" TargetMode="External"/><Relationship Id="rId20" Type="http://schemas.openxmlformats.org/officeDocument/2006/relationships/chart" Target="charts/chart3.xml"/><Relationship Id="rId41" Type="http://schemas.openxmlformats.org/officeDocument/2006/relationships/hyperlink" Target="https://doi.org/10.29322/IJSRP.10.02.2020.p98106" TargetMode="External"/><Relationship Id="rId54" Type="http://schemas.openxmlformats.org/officeDocument/2006/relationships/hyperlink" Target="https://doi.org/10.1177/0734242X20967735" TargetMode="External"/><Relationship Id="rId62" Type="http://schemas.openxmlformats.org/officeDocument/2006/relationships/hyperlink" Target="https://doi.org/10.5772/intechopen.105954"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hyperlink" Target="https://doi.org/10.3389/fsoc.2024.1456871" TargetMode="External"/><Relationship Id="rId36" Type="http://schemas.openxmlformats.org/officeDocument/2006/relationships/hyperlink" Target="https://doi.org/10.1016/j.jup.2020.101159" TargetMode="External"/><Relationship Id="rId49" Type="http://schemas.openxmlformats.org/officeDocument/2006/relationships/hyperlink" Target="https://doi.org/10.1016/j.jenvp.2009.09.001" TargetMode="External"/><Relationship Id="rId57" Type="http://schemas.openxmlformats.org/officeDocument/2006/relationships/hyperlink" Target="https://doi.org/10.1007/s11269-010-9729-2" TargetMode="External"/><Relationship Id="rId10" Type="http://schemas.openxmlformats.org/officeDocument/2006/relationships/hyperlink" Target="mailto:k22bessy@gmail.com" TargetMode="External"/><Relationship Id="rId31" Type="http://schemas.openxmlformats.org/officeDocument/2006/relationships/hyperlink" Target="https://doi.org/10.1016/j.sciaf.2021.e00772" TargetMode="External"/><Relationship Id="rId44" Type="http://schemas.openxmlformats.org/officeDocument/2006/relationships/hyperlink" Target="https://doi.org/10.1177/00139165251318098" TargetMode="External"/><Relationship Id="rId52" Type="http://schemas.openxmlformats.org/officeDocument/2006/relationships/hyperlink" Target="https://doi.org/10.1016/j.erss.2023.103041" TargetMode="External"/><Relationship Id="rId60" Type="http://schemas.openxmlformats.org/officeDocument/2006/relationships/hyperlink" Target="https://doi.org/10.17159/2221-4070/2018/v7i0a7" TargetMode="External"/><Relationship Id="rId65" Type="http://schemas.openxmlformats.org/officeDocument/2006/relationships/hyperlink" Target="https://doi.org/10.5194/hess-15-471-2011" TargetMode="External"/><Relationship Id="rId4" Type="http://schemas.openxmlformats.org/officeDocument/2006/relationships/settings" Target="settings.xml"/><Relationship Id="rId9" Type="http://schemas.openxmlformats.org/officeDocument/2006/relationships/hyperlink" Target="https://orcid.org/0000-0002-9131-0025" TargetMode="External"/><Relationship Id="rId13" Type="http://schemas.openxmlformats.org/officeDocument/2006/relationships/footer" Target="footer1.xml"/><Relationship Id="rId18" Type="http://schemas.openxmlformats.org/officeDocument/2006/relationships/chart" Target="charts/chart1.xml"/><Relationship Id="rId39" Type="http://schemas.openxmlformats.org/officeDocument/2006/relationships/hyperlink" Target="https://doi.org/10.3390/su14159311" TargetMode="External"/><Relationship Id="rId34" Type="http://schemas.openxmlformats.org/officeDocument/2006/relationships/hyperlink" Target="https://doi.org/10.1016/B978-0-323-91838-1.00016-6" TargetMode="External"/><Relationship Id="rId50" Type="http://schemas.openxmlformats.org/officeDocument/2006/relationships/hyperlink" Target="https://doi.org/10.1007/s10668-022-02354-y" TargetMode="External"/><Relationship Id="rId55" Type="http://schemas.openxmlformats.org/officeDocument/2006/relationships/hyperlink" Target="https://doi.org/10.1002/pa.2232"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charset="0"/>
                <a:cs typeface="Times New Roman" panose="02020603050405020304" charset="0"/>
              </a:rPr>
              <a:t>Levels of Environmental</a:t>
            </a:r>
            <a:r>
              <a:rPr lang="en-US" b="1" baseline="0">
                <a:solidFill>
                  <a:sysClr val="windowText" lastClr="000000"/>
                </a:solidFill>
                <a:latin typeface="Times New Roman" panose="02020603050405020304" charset="0"/>
                <a:cs typeface="Times New Roman" panose="02020603050405020304" charset="0"/>
              </a:rPr>
              <a:t> Concern </a:t>
            </a:r>
            <a:endParaRPr lang="en-US" b="1">
              <a:solidFill>
                <a:sysClr val="windowText" lastClr="000000"/>
              </a:solidFill>
              <a:latin typeface="Times New Roman" panose="02020603050405020304" charset="0"/>
              <a:cs typeface="Times New Roman" panose="02020603050405020304" charset="0"/>
            </a:endParaRPr>
          </a:p>
        </c:rich>
      </c:tx>
      <c:layout>
        <c:manualLayout>
          <c:xMode val="edge"/>
          <c:yMode val="edge"/>
          <c:x val="0.29293795006393403"/>
          <c:y val="3.2355915065723002E-2"/>
        </c:manualLayout>
      </c:layout>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Strongly Disagree</c:v>
                </c:pt>
              </c:strCache>
            </c:strRef>
          </c:tx>
          <c:spPr>
            <a:solidFill>
              <a:schemeClr val="accent1"/>
            </a:solidFill>
            <a:ln>
              <a:noFill/>
            </a:ln>
            <a:effectLst/>
          </c:spPr>
          <c:invertIfNegative val="0"/>
          <c:cat>
            <c:strRef>
              <c:f>Sheet1!$A$2:$A$6</c:f>
              <c:strCache>
                <c:ptCount val="5"/>
                <c:pt idx="0">
                  <c:v>Economic growth is more important than environmental protection</c:v>
                </c:pt>
                <c:pt idx="1">
                  <c:v>There is no point in doing anything unless everyone else does same</c:v>
                </c:pt>
                <c:pt idx="2">
                  <c:v>Environmental problems are often exaggerated by media/proponents</c:v>
                </c:pt>
                <c:pt idx="3">
                  <c:v>I don’t segregate waste because it is not my responsibility</c:v>
                </c:pt>
                <c:pt idx="4">
                  <c:v>Waste management is entirely the responsibility of government</c:v>
                </c:pt>
              </c:strCache>
            </c:strRef>
          </c:cat>
          <c:val>
            <c:numRef>
              <c:f>Sheet1!$B$2:$B$6</c:f>
              <c:numCache>
                <c:formatCode>0.00%</c:formatCode>
                <c:ptCount val="5"/>
                <c:pt idx="0">
                  <c:v>5.2999999999999999E-2</c:v>
                </c:pt>
                <c:pt idx="1">
                  <c:v>0.06</c:v>
                </c:pt>
                <c:pt idx="2">
                  <c:v>0.08</c:v>
                </c:pt>
                <c:pt idx="3">
                  <c:v>4.2999999999999997E-2</c:v>
                </c:pt>
                <c:pt idx="4">
                  <c:v>0.105</c:v>
                </c:pt>
              </c:numCache>
            </c:numRef>
          </c:val>
          <c:extLst>
            <c:ext xmlns:c16="http://schemas.microsoft.com/office/drawing/2014/chart" uri="{C3380CC4-5D6E-409C-BE32-E72D297353CC}">
              <c16:uniqueId val="{00000000-B1F2-4ED5-AE9C-2D8D41AEECBC}"/>
            </c:ext>
          </c:extLst>
        </c:ser>
        <c:ser>
          <c:idx val="1"/>
          <c:order val="1"/>
          <c:tx>
            <c:strRef>
              <c:f>Sheet1!$C$1</c:f>
              <c:strCache>
                <c:ptCount val="1"/>
                <c:pt idx="0">
                  <c:v>Disagree</c:v>
                </c:pt>
              </c:strCache>
            </c:strRef>
          </c:tx>
          <c:spPr>
            <a:solidFill>
              <a:schemeClr val="accent2"/>
            </a:solidFill>
            <a:ln>
              <a:noFill/>
            </a:ln>
            <a:effectLst/>
          </c:spPr>
          <c:invertIfNegative val="0"/>
          <c:cat>
            <c:strRef>
              <c:f>Sheet1!$A$2:$A$6</c:f>
              <c:strCache>
                <c:ptCount val="5"/>
                <c:pt idx="0">
                  <c:v>Economic growth is more important than environmental protection</c:v>
                </c:pt>
                <c:pt idx="1">
                  <c:v>There is no point in doing anything unless everyone else does same</c:v>
                </c:pt>
                <c:pt idx="2">
                  <c:v>Environmental problems are often exaggerated by media/proponents</c:v>
                </c:pt>
                <c:pt idx="3">
                  <c:v>I don’t segregate waste because it is not my responsibility</c:v>
                </c:pt>
                <c:pt idx="4">
                  <c:v>Waste management is entirely the responsibility of government</c:v>
                </c:pt>
              </c:strCache>
            </c:strRef>
          </c:cat>
          <c:val>
            <c:numRef>
              <c:f>Sheet1!$C$2:$C$6</c:f>
              <c:numCache>
                <c:formatCode>0.00%</c:formatCode>
                <c:ptCount val="5"/>
                <c:pt idx="0">
                  <c:v>0.34</c:v>
                </c:pt>
                <c:pt idx="1">
                  <c:v>0.24</c:v>
                </c:pt>
                <c:pt idx="2">
                  <c:v>0.57499999999999996</c:v>
                </c:pt>
                <c:pt idx="3">
                  <c:v>0.17</c:v>
                </c:pt>
                <c:pt idx="4">
                  <c:v>0.28499999999999998</c:v>
                </c:pt>
              </c:numCache>
            </c:numRef>
          </c:val>
          <c:extLst>
            <c:ext xmlns:c16="http://schemas.microsoft.com/office/drawing/2014/chart" uri="{C3380CC4-5D6E-409C-BE32-E72D297353CC}">
              <c16:uniqueId val="{00000001-B1F2-4ED5-AE9C-2D8D41AEECBC}"/>
            </c:ext>
          </c:extLst>
        </c:ser>
        <c:ser>
          <c:idx val="2"/>
          <c:order val="2"/>
          <c:tx>
            <c:strRef>
              <c:f>Sheet1!$D$1</c:f>
              <c:strCache>
                <c:ptCount val="1"/>
                <c:pt idx="0">
                  <c:v>Agree</c:v>
                </c:pt>
              </c:strCache>
            </c:strRef>
          </c:tx>
          <c:spPr>
            <a:solidFill>
              <a:schemeClr val="accent3"/>
            </a:solidFill>
            <a:ln>
              <a:noFill/>
            </a:ln>
            <a:effectLst/>
          </c:spPr>
          <c:invertIfNegative val="0"/>
          <c:cat>
            <c:strRef>
              <c:f>Sheet1!$A$2:$A$6</c:f>
              <c:strCache>
                <c:ptCount val="5"/>
                <c:pt idx="0">
                  <c:v>Economic growth is more important than environmental protection</c:v>
                </c:pt>
                <c:pt idx="1">
                  <c:v>There is no point in doing anything unless everyone else does same</c:v>
                </c:pt>
                <c:pt idx="2">
                  <c:v>Environmental problems are often exaggerated by media/proponents</c:v>
                </c:pt>
                <c:pt idx="3">
                  <c:v>I don’t segregate waste because it is not my responsibility</c:v>
                </c:pt>
                <c:pt idx="4">
                  <c:v>Waste management is entirely the responsibility of government</c:v>
                </c:pt>
              </c:strCache>
            </c:strRef>
          </c:cat>
          <c:val>
            <c:numRef>
              <c:f>Sheet1!$D$2:$D$6</c:f>
              <c:numCache>
                <c:formatCode>0.00%</c:formatCode>
                <c:ptCount val="5"/>
                <c:pt idx="0">
                  <c:v>0.435</c:v>
                </c:pt>
                <c:pt idx="1">
                  <c:v>0.33500000000000002</c:v>
                </c:pt>
                <c:pt idx="2">
                  <c:v>0.32800000000000001</c:v>
                </c:pt>
                <c:pt idx="3">
                  <c:v>0.50600000000000001</c:v>
                </c:pt>
                <c:pt idx="4">
                  <c:v>0.128</c:v>
                </c:pt>
              </c:numCache>
            </c:numRef>
          </c:val>
          <c:extLst>
            <c:ext xmlns:c16="http://schemas.microsoft.com/office/drawing/2014/chart" uri="{C3380CC4-5D6E-409C-BE32-E72D297353CC}">
              <c16:uniqueId val="{00000002-B1F2-4ED5-AE9C-2D8D41AEECBC}"/>
            </c:ext>
          </c:extLst>
        </c:ser>
        <c:ser>
          <c:idx val="3"/>
          <c:order val="3"/>
          <c:tx>
            <c:strRef>
              <c:f>Sheet1!$E$1</c:f>
              <c:strCache>
                <c:ptCount val="1"/>
                <c:pt idx="0">
                  <c:v>Strongly Agree</c:v>
                </c:pt>
              </c:strCache>
            </c:strRef>
          </c:tx>
          <c:spPr>
            <a:solidFill>
              <a:schemeClr val="accent4"/>
            </a:solidFill>
            <a:ln>
              <a:noFill/>
            </a:ln>
            <a:effectLst/>
          </c:spPr>
          <c:invertIfNegative val="0"/>
          <c:cat>
            <c:strRef>
              <c:f>Sheet1!$A$2:$A$6</c:f>
              <c:strCache>
                <c:ptCount val="5"/>
                <c:pt idx="0">
                  <c:v>Economic growth is more important than environmental protection</c:v>
                </c:pt>
                <c:pt idx="1">
                  <c:v>There is no point in doing anything unless everyone else does same</c:v>
                </c:pt>
                <c:pt idx="2">
                  <c:v>Environmental problems are often exaggerated by media/proponents</c:v>
                </c:pt>
                <c:pt idx="3">
                  <c:v>I don’t segregate waste because it is not my responsibility</c:v>
                </c:pt>
                <c:pt idx="4">
                  <c:v>Waste management is entirely the responsibility of government</c:v>
                </c:pt>
              </c:strCache>
            </c:strRef>
          </c:cat>
          <c:val>
            <c:numRef>
              <c:f>Sheet1!$E$2:$E$6</c:f>
              <c:numCache>
                <c:formatCode>0.00%</c:formatCode>
                <c:ptCount val="5"/>
                <c:pt idx="0">
                  <c:v>0.17299999999999999</c:v>
                </c:pt>
                <c:pt idx="1">
                  <c:v>0.36499999999999999</c:v>
                </c:pt>
                <c:pt idx="2">
                  <c:v>1.7999999999999999E-2</c:v>
                </c:pt>
                <c:pt idx="3">
                  <c:v>0.28100000000000003</c:v>
                </c:pt>
                <c:pt idx="4">
                  <c:v>0.48299999999999998</c:v>
                </c:pt>
              </c:numCache>
            </c:numRef>
          </c:val>
          <c:extLst>
            <c:ext xmlns:c16="http://schemas.microsoft.com/office/drawing/2014/chart" uri="{C3380CC4-5D6E-409C-BE32-E72D297353CC}">
              <c16:uniqueId val="{00000003-B1F2-4ED5-AE9C-2D8D41AEECBC}"/>
            </c:ext>
          </c:extLst>
        </c:ser>
        <c:dLbls>
          <c:showLegendKey val="0"/>
          <c:showVal val="0"/>
          <c:showCatName val="0"/>
          <c:showSerName val="0"/>
          <c:showPercent val="0"/>
          <c:showBubbleSize val="0"/>
        </c:dLbls>
        <c:gapWidth val="150"/>
        <c:overlap val="100"/>
        <c:axId val="2006700832"/>
        <c:axId val="2006703232"/>
      </c:barChart>
      <c:catAx>
        <c:axId val="2006700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2006703232"/>
        <c:crossesAt val="0"/>
        <c:auto val="1"/>
        <c:lblAlgn val="ctr"/>
        <c:lblOffset val="100"/>
        <c:noMultiLvlLbl val="0"/>
      </c:catAx>
      <c:valAx>
        <c:axId val="200670323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2006700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92258efd-e111-470e-9092-98e6e3df18ad}"/>
      </c:ext>
    </c:extLst>
  </c:chart>
  <c:spPr>
    <a:solidFill>
      <a:schemeClr val="bg1"/>
    </a:solidFill>
    <a:ln w="19050"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600" b="1" i="0" u="none" strike="noStrike" kern="1200" baseline="0">
                <a:solidFill>
                  <a:schemeClr val="tx2"/>
                </a:solidFill>
                <a:latin typeface="+mn-lt"/>
                <a:ea typeface="+mn-ea"/>
                <a:cs typeface="+mn-cs"/>
              </a:defRPr>
            </a:pPr>
            <a:r>
              <a:rPr lang="en-US">
                <a:solidFill>
                  <a:sysClr val="windowText" lastClr="000000"/>
                </a:solidFill>
                <a:latin typeface="Times New Roman" panose="02020603050405020304" charset="0"/>
                <a:cs typeface="Times New Roman" panose="02020603050405020304" charset="0"/>
              </a:rPr>
              <a:t>Waste Disposal and Sanitation</a:t>
            </a:r>
          </a:p>
        </c:rich>
      </c:tx>
      <c:overlay val="0"/>
      <c:spPr>
        <a:noFill/>
        <a:ln>
          <a:noFill/>
        </a:ln>
        <a:effectLst/>
      </c:spPr>
      <c:txPr>
        <a:bodyPr rot="0" spcFirstLastPara="1" vertOverflow="ellipsis" vert="horz" wrap="square" anchor="ctr" anchorCtr="1"/>
        <a:lstStyle/>
        <a:p>
          <a:pPr>
            <a:defRPr lang="en-US" sz="1600" b="1" i="0" u="none" strike="noStrike" kern="1200" baseline="0">
              <a:solidFill>
                <a:schemeClr val="tx2"/>
              </a:solidFill>
              <a:latin typeface="+mn-lt"/>
              <a:ea typeface="+mn-ea"/>
              <a:cs typeface="+mn-cs"/>
            </a:defRPr>
          </a:pPr>
          <a:endParaRPr lang="en-US"/>
        </a:p>
      </c:txPr>
    </c:title>
    <c:autoTitleDeleted val="0"/>
    <c:plotArea>
      <c:layout/>
      <c:barChart>
        <c:barDir val="bar"/>
        <c:grouping val="clustered"/>
        <c:varyColors val="0"/>
        <c:ser>
          <c:idx val="0"/>
          <c:order val="0"/>
          <c:tx>
            <c:strRef>
              <c:f>Sheet2!$B$1</c:f>
              <c:strCache>
                <c:ptCount val="1"/>
                <c:pt idx="0">
                  <c:v>Strongly Disagree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Sheet2!$A$2:$A$6</c:f>
              <c:strCache>
                <c:ptCount val="5"/>
                <c:pt idx="0">
                  <c:v>It is common to defecate in or near the river</c:v>
                </c:pt>
                <c:pt idx="1">
                  <c:v>It is common to wash cars, clothes, and motorcycles by the river</c:v>
                </c:pt>
                <c:pt idx="2">
                  <c:v>I know people who dispose waste in the river</c:v>
                </c:pt>
                <c:pt idx="3">
                  <c:v>It is cheaper to dispose waste in the river</c:v>
                </c:pt>
                <c:pt idx="4">
                  <c:v>I see people dumping waste but feel I can't do anything</c:v>
                </c:pt>
              </c:strCache>
            </c:strRef>
          </c:cat>
          <c:val>
            <c:numRef>
              <c:f>Sheet2!$B$2:$B$6</c:f>
              <c:numCache>
                <c:formatCode>0.00%</c:formatCode>
                <c:ptCount val="5"/>
                <c:pt idx="0">
                  <c:v>1.7999999999999999E-2</c:v>
                </c:pt>
                <c:pt idx="1">
                  <c:v>1.7999999999999999E-2</c:v>
                </c:pt>
                <c:pt idx="2">
                  <c:v>0.02</c:v>
                </c:pt>
                <c:pt idx="3">
                  <c:v>5.8000000000000003E-2</c:v>
                </c:pt>
                <c:pt idx="4">
                  <c:v>5.8000000000000003E-2</c:v>
                </c:pt>
              </c:numCache>
            </c:numRef>
          </c:val>
          <c:extLst>
            <c:ext xmlns:c16="http://schemas.microsoft.com/office/drawing/2014/chart" uri="{C3380CC4-5D6E-409C-BE32-E72D297353CC}">
              <c16:uniqueId val="{00000000-E9A0-49D7-B0F5-BB3923702780}"/>
            </c:ext>
          </c:extLst>
        </c:ser>
        <c:ser>
          <c:idx val="1"/>
          <c:order val="1"/>
          <c:tx>
            <c:strRef>
              <c:f>Sheet2!$C$1</c:f>
              <c:strCache>
                <c:ptCount val="1"/>
                <c:pt idx="0">
                  <c:v>Disagree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Sheet2!$A$2:$A$6</c:f>
              <c:strCache>
                <c:ptCount val="5"/>
                <c:pt idx="0">
                  <c:v>It is common to defecate in or near the river</c:v>
                </c:pt>
                <c:pt idx="1">
                  <c:v>It is common to wash cars, clothes, and motorcycles by the river</c:v>
                </c:pt>
                <c:pt idx="2">
                  <c:v>I know people who dispose waste in the river</c:v>
                </c:pt>
                <c:pt idx="3">
                  <c:v>It is cheaper to dispose waste in the river</c:v>
                </c:pt>
                <c:pt idx="4">
                  <c:v>I see people dumping waste but feel I can't do anything</c:v>
                </c:pt>
              </c:strCache>
            </c:strRef>
          </c:cat>
          <c:val>
            <c:numRef>
              <c:f>Sheet2!$C$2:$C$6</c:f>
              <c:numCache>
                <c:formatCode>0.00%</c:formatCode>
                <c:ptCount val="5"/>
                <c:pt idx="0">
                  <c:v>0.34799999999999998</c:v>
                </c:pt>
                <c:pt idx="1">
                  <c:v>0.155</c:v>
                </c:pt>
                <c:pt idx="2">
                  <c:v>0.32</c:v>
                </c:pt>
                <c:pt idx="3">
                  <c:v>0.155</c:v>
                </c:pt>
                <c:pt idx="4">
                  <c:v>0.19800000000000001</c:v>
                </c:pt>
              </c:numCache>
            </c:numRef>
          </c:val>
          <c:extLst>
            <c:ext xmlns:c16="http://schemas.microsoft.com/office/drawing/2014/chart" uri="{C3380CC4-5D6E-409C-BE32-E72D297353CC}">
              <c16:uniqueId val="{00000001-E9A0-49D7-B0F5-BB3923702780}"/>
            </c:ext>
          </c:extLst>
        </c:ser>
        <c:ser>
          <c:idx val="2"/>
          <c:order val="2"/>
          <c:tx>
            <c:strRef>
              <c:f>Sheet2!$D$1</c:f>
              <c:strCache>
                <c:ptCount val="1"/>
                <c:pt idx="0">
                  <c:v>Agree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Sheet2!$A$2:$A$6</c:f>
              <c:strCache>
                <c:ptCount val="5"/>
                <c:pt idx="0">
                  <c:v>It is common to defecate in or near the river</c:v>
                </c:pt>
                <c:pt idx="1">
                  <c:v>It is common to wash cars, clothes, and motorcycles by the river</c:v>
                </c:pt>
                <c:pt idx="2">
                  <c:v>I know people who dispose waste in the river</c:v>
                </c:pt>
                <c:pt idx="3">
                  <c:v>It is cheaper to dispose waste in the river</c:v>
                </c:pt>
                <c:pt idx="4">
                  <c:v>I see people dumping waste but feel I can't do anything</c:v>
                </c:pt>
              </c:strCache>
            </c:strRef>
          </c:cat>
          <c:val>
            <c:numRef>
              <c:f>Sheet2!$D$2:$D$6</c:f>
              <c:numCache>
                <c:formatCode>0.00%</c:formatCode>
                <c:ptCount val="5"/>
                <c:pt idx="0">
                  <c:v>0.49</c:v>
                </c:pt>
                <c:pt idx="1">
                  <c:v>0.56799999999999995</c:v>
                </c:pt>
                <c:pt idx="2">
                  <c:v>0.52</c:v>
                </c:pt>
                <c:pt idx="3">
                  <c:v>0.67</c:v>
                </c:pt>
                <c:pt idx="4">
                  <c:v>0.41299999999999998</c:v>
                </c:pt>
              </c:numCache>
            </c:numRef>
          </c:val>
          <c:extLst>
            <c:ext xmlns:c16="http://schemas.microsoft.com/office/drawing/2014/chart" uri="{C3380CC4-5D6E-409C-BE32-E72D297353CC}">
              <c16:uniqueId val="{00000002-E9A0-49D7-B0F5-BB3923702780}"/>
            </c:ext>
          </c:extLst>
        </c:ser>
        <c:ser>
          <c:idx val="3"/>
          <c:order val="3"/>
          <c:tx>
            <c:strRef>
              <c:f>Sheet2!$E$1</c:f>
              <c:strCache>
                <c:ptCount val="1"/>
                <c:pt idx="0">
                  <c:v>Strongly Agree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Sheet2!$A$2:$A$6</c:f>
              <c:strCache>
                <c:ptCount val="5"/>
                <c:pt idx="0">
                  <c:v>It is common to defecate in or near the river</c:v>
                </c:pt>
                <c:pt idx="1">
                  <c:v>It is common to wash cars, clothes, and motorcycles by the river</c:v>
                </c:pt>
                <c:pt idx="2">
                  <c:v>I know people who dispose waste in the river</c:v>
                </c:pt>
                <c:pt idx="3">
                  <c:v>It is cheaper to dispose waste in the river</c:v>
                </c:pt>
                <c:pt idx="4">
                  <c:v>I see people dumping waste but feel I can't do anything</c:v>
                </c:pt>
              </c:strCache>
            </c:strRef>
          </c:cat>
          <c:val>
            <c:numRef>
              <c:f>Sheet2!$E$2:$E$6</c:f>
              <c:numCache>
                <c:formatCode>0.00%</c:formatCode>
                <c:ptCount val="5"/>
                <c:pt idx="0">
                  <c:v>0.14499999999999999</c:v>
                </c:pt>
                <c:pt idx="1">
                  <c:v>0.26</c:v>
                </c:pt>
                <c:pt idx="2">
                  <c:v>0.14000000000000001</c:v>
                </c:pt>
                <c:pt idx="3">
                  <c:v>0.11799999999999999</c:v>
                </c:pt>
                <c:pt idx="4">
                  <c:v>0.33300000000000002</c:v>
                </c:pt>
              </c:numCache>
            </c:numRef>
          </c:val>
          <c:extLst>
            <c:ext xmlns:c16="http://schemas.microsoft.com/office/drawing/2014/chart" uri="{C3380CC4-5D6E-409C-BE32-E72D297353CC}">
              <c16:uniqueId val="{00000003-E9A0-49D7-B0F5-BB3923702780}"/>
            </c:ext>
          </c:extLst>
        </c:ser>
        <c:dLbls>
          <c:showLegendKey val="0"/>
          <c:showVal val="0"/>
          <c:showCatName val="0"/>
          <c:showSerName val="0"/>
          <c:showPercent val="0"/>
          <c:showBubbleSize val="0"/>
        </c:dLbls>
        <c:gapWidth val="100"/>
        <c:axId val="37521312"/>
        <c:axId val="37524672"/>
      </c:barChart>
      <c:catAx>
        <c:axId val="3752131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7524672"/>
        <c:crossesAt val="0"/>
        <c:auto val="1"/>
        <c:lblAlgn val="ctr"/>
        <c:lblOffset val="100"/>
        <c:noMultiLvlLbl val="0"/>
      </c:catAx>
      <c:valAx>
        <c:axId val="37524672"/>
        <c:scaling>
          <c:orientation val="minMax"/>
          <c:max val="1"/>
        </c:scaling>
        <c:delete val="0"/>
        <c:axPos val="b"/>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7521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2eab7229-58b6-4d6b-af45-db1999b659d5}"/>
      </c:ext>
    </c:extLst>
  </c:chart>
  <c:spPr>
    <a:solidFill>
      <a:schemeClr val="bg1"/>
    </a:solidFill>
    <a:ln w="9525" cap="flat" cmpd="sng" algn="ctr">
      <a:solidFill>
        <a:schemeClr val="tx2">
          <a:lumMod val="15000"/>
          <a:lumOff val="85000"/>
        </a:schemeClr>
      </a:solidFill>
      <a:round/>
    </a:ln>
    <a:effectLst/>
  </c:spPr>
  <c:txPr>
    <a:bodyPr/>
    <a:lstStyle/>
    <a:p>
      <a:pPr>
        <a:defRPr lang="en-US"/>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charset="0"/>
                <a:cs typeface="Times New Roman" panose="02020603050405020304" charset="0"/>
              </a:rPr>
              <a:t>Participation</a:t>
            </a:r>
            <a:r>
              <a:rPr lang="en-US" b="1" baseline="0">
                <a:solidFill>
                  <a:sysClr val="windowText" lastClr="000000"/>
                </a:solidFill>
                <a:latin typeface="Times New Roman" panose="02020603050405020304" charset="0"/>
                <a:cs typeface="Times New Roman" panose="02020603050405020304" charset="0"/>
              </a:rPr>
              <a:t> in Environmental Governance</a:t>
            </a:r>
            <a:endParaRPr lang="en-US" b="1">
              <a:solidFill>
                <a:sysClr val="windowText" lastClr="000000"/>
              </a:solidFill>
              <a:latin typeface="Times New Roman" panose="02020603050405020304" charset="0"/>
              <a:cs typeface="Times New Roman" panose="02020603050405020304" charset="0"/>
            </a:endParaRP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4971894515935698"/>
          <c:y val="9.8272920912133799E-2"/>
          <c:w val="0.60479791503079705"/>
          <c:h val="0.77651456971874899"/>
        </c:manualLayout>
      </c:layout>
      <c:barChart>
        <c:barDir val="bar"/>
        <c:grouping val="stacked"/>
        <c:varyColors val="0"/>
        <c:ser>
          <c:idx val="0"/>
          <c:order val="0"/>
          <c:tx>
            <c:strRef>
              <c:f>'Participation in Governance'!$B$1</c:f>
              <c:strCache>
                <c:ptCount val="1"/>
                <c:pt idx="0">
                  <c:v>Strongly Disagree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'Participation in Governance'!$A$2:$A$9</c:f>
              <c:strCache>
                <c:ptCount val="8"/>
                <c:pt idx="0">
                  <c:v>I sign pro-environmental petitions</c:v>
                </c:pt>
                <c:pt idx="1">
                  <c:v>I am an active member of an environmental group</c:v>
                </c:pt>
                <c:pt idx="2">
                  <c:v>I take part in environmental cleaning actions</c:v>
                </c:pt>
                <c:pt idx="3">
                  <c:v>I participate in community events/workshops</c:v>
                </c:pt>
                <c:pt idx="4">
                  <c:v>I write letters to politicians or authorities</c:v>
                </c:pt>
                <c:pt idx="5">
                  <c:v>I vote for pro-environmental candidates</c:v>
                </c:pt>
                <c:pt idx="6">
                  <c:v>We have residential clean up initiatives</c:v>
                </c:pt>
                <c:pt idx="7">
                  <c:v>We actively engage in community policing</c:v>
                </c:pt>
              </c:strCache>
            </c:strRef>
          </c:cat>
          <c:val>
            <c:numRef>
              <c:f>'Participation in Governance'!$B$2:$B$9</c:f>
              <c:numCache>
                <c:formatCode>0.00%</c:formatCode>
                <c:ptCount val="8"/>
                <c:pt idx="0">
                  <c:v>0.22500000000000001</c:v>
                </c:pt>
                <c:pt idx="1">
                  <c:v>0.24</c:v>
                </c:pt>
                <c:pt idx="2">
                  <c:v>0.23799999999999999</c:v>
                </c:pt>
                <c:pt idx="3">
                  <c:v>0.24</c:v>
                </c:pt>
                <c:pt idx="4">
                  <c:v>0.28299999999999997</c:v>
                </c:pt>
                <c:pt idx="5">
                  <c:v>0.25800000000000001</c:v>
                </c:pt>
                <c:pt idx="6">
                  <c:v>0.19500000000000001</c:v>
                </c:pt>
                <c:pt idx="7">
                  <c:v>0.26800000000000002</c:v>
                </c:pt>
              </c:numCache>
            </c:numRef>
          </c:val>
          <c:extLst>
            <c:ext xmlns:c16="http://schemas.microsoft.com/office/drawing/2014/chart" uri="{C3380CC4-5D6E-409C-BE32-E72D297353CC}">
              <c16:uniqueId val="{00000000-BED0-47AB-9CB8-BB0958178F13}"/>
            </c:ext>
          </c:extLst>
        </c:ser>
        <c:ser>
          <c:idx val="1"/>
          <c:order val="1"/>
          <c:tx>
            <c:strRef>
              <c:f>'Participation in Governance'!$C$1</c:f>
              <c:strCache>
                <c:ptCount val="1"/>
                <c:pt idx="0">
                  <c:v>Disagree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'Participation in Governance'!$A$2:$A$9</c:f>
              <c:strCache>
                <c:ptCount val="8"/>
                <c:pt idx="0">
                  <c:v>I sign pro-environmental petitions</c:v>
                </c:pt>
                <c:pt idx="1">
                  <c:v>I am an active member of an environmental group</c:v>
                </c:pt>
                <c:pt idx="2">
                  <c:v>I take part in environmental cleaning actions</c:v>
                </c:pt>
                <c:pt idx="3">
                  <c:v>I participate in community events/workshops</c:v>
                </c:pt>
                <c:pt idx="4">
                  <c:v>I write letters to politicians or authorities</c:v>
                </c:pt>
                <c:pt idx="5">
                  <c:v>I vote for pro-environmental candidates</c:v>
                </c:pt>
                <c:pt idx="6">
                  <c:v>We have residential clean up initiatives</c:v>
                </c:pt>
                <c:pt idx="7">
                  <c:v>We actively engage in community policing</c:v>
                </c:pt>
              </c:strCache>
            </c:strRef>
          </c:cat>
          <c:val>
            <c:numRef>
              <c:f>'Participation in Governance'!$C$2:$C$9</c:f>
              <c:numCache>
                <c:formatCode>0.00%</c:formatCode>
                <c:ptCount val="8"/>
                <c:pt idx="0">
                  <c:v>0.64300000000000002</c:v>
                </c:pt>
                <c:pt idx="1">
                  <c:v>0.69499999999999995</c:v>
                </c:pt>
                <c:pt idx="2">
                  <c:v>0.58499999999999996</c:v>
                </c:pt>
                <c:pt idx="3">
                  <c:v>0.61</c:v>
                </c:pt>
                <c:pt idx="4">
                  <c:v>0.66300000000000003</c:v>
                </c:pt>
                <c:pt idx="5">
                  <c:v>0.56000000000000005</c:v>
                </c:pt>
                <c:pt idx="6">
                  <c:v>0.628</c:v>
                </c:pt>
                <c:pt idx="7">
                  <c:v>0.61</c:v>
                </c:pt>
              </c:numCache>
            </c:numRef>
          </c:val>
          <c:extLst>
            <c:ext xmlns:c16="http://schemas.microsoft.com/office/drawing/2014/chart" uri="{C3380CC4-5D6E-409C-BE32-E72D297353CC}">
              <c16:uniqueId val="{00000001-BED0-47AB-9CB8-BB0958178F13}"/>
            </c:ext>
          </c:extLst>
        </c:ser>
        <c:ser>
          <c:idx val="2"/>
          <c:order val="2"/>
          <c:tx>
            <c:strRef>
              <c:f>'Participation in Governance'!$D$1</c:f>
              <c:strCache>
                <c:ptCount val="1"/>
                <c:pt idx="0">
                  <c:v>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'Participation in Governance'!$A$2:$A$9</c:f>
              <c:strCache>
                <c:ptCount val="8"/>
                <c:pt idx="0">
                  <c:v>I sign pro-environmental petitions</c:v>
                </c:pt>
                <c:pt idx="1">
                  <c:v>I am an active member of an environmental group</c:v>
                </c:pt>
                <c:pt idx="2">
                  <c:v>I take part in environmental cleaning actions</c:v>
                </c:pt>
                <c:pt idx="3">
                  <c:v>I participate in community events/workshops</c:v>
                </c:pt>
                <c:pt idx="4">
                  <c:v>I write letters to politicians or authorities</c:v>
                </c:pt>
                <c:pt idx="5">
                  <c:v>I vote for pro-environmental candidates</c:v>
                </c:pt>
                <c:pt idx="6">
                  <c:v>We have residential clean up initiatives</c:v>
                </c:pt>
                <c:pt idx="7">
                  <c:v>We actively engage in community policing</c:v>
                </c:pt>
              </c:strCache>
            </c:strRef>
          </c:cat>
          <c:val>
            <c:numRef>
              <c:f>'Participation in Governance'!$D$2:$D$9</c:f>
              <c:numCache>
                <c:formatCode>0.00%</c:formatCode>
                <c:ptCount val="8"/>
                <c:pt idx="0">
                  <c:v>0.123</c:v>
                </c:pt>
                <c:pt idx="1">
                  <c:v>5.8000000000000003E-2</c:v>
                </c:pt>
                <c:pt idx="2">
                  <c:v>0.16500000000000001</c:v>
                </c:pt>
                <c:pt idx="3">
                  <c:v>0.14299999999999999</c:v>
                </c:pt>
                <c:pt idx="4">
                  <c:v>4.2999999999999997E-2</c:v>
                </c:pt>
                <c:pt idx="5">
                  <c:v>0.14499999999999999</c:v>
                </c:pt>
                <c:pt idx="6">
                  <c:v>0.17299999999999999</c:v>
                </c:pt>
                <c:pt idx="7">
                  <c:v>0.108</c:v>
                </c:pt>
              </c:numCache>
            </c:numRef>
          </c:val>
          <c:extLst>
            <c:ext xmlns:c16="http://schemas.microsoft.com/office/drawing/2014/chart" uri="{C3380CC4-5D6E-409C-BE32-E72D297353CC}">
              <c16:uniqueId val="{00000002-BED0-47AB-9CB8-BB0958178F13}"/>
            </c:ext>
          </c:extLst>
        </c:ser>
        <c:ser>
          <c:idx val="3"/>
          <c:order val="3"/>
          <c:tx>
            <c:strRef>
              <c:f>'Participation in Governance'!$E$1</c:f>
              <c:strCache>
                <c:ptCount val="1"/>
                <c:pt idx="0">
                  <c:v>Strongly Agree</c:v>
                </c:pt>
              </c:strCache>
            </c:strRef>
          </c:tx>
          <c:spPr>
            <a:solidFill>
              <a:schemeClr val="accent4"/>
            </a:solidFill>
            <a:ln>
              <a:noFill/>
            </a:ln>
            <a:effectLst/>
          </c:spPr>
          <c:invertIfNegative val="0"/>
          <c:cat>
            <c:strRef>
              <c:f>'Participation in Governance'!$A$2:$A$9</c:f>
              <c:strCache>
                <c:ptCount val="8"/>
                <c:pt idx="0">
                  <c:v>I sign pro-environmental petitions</c:v>
                </c:pt>
                <c:pt idx="1">
                  <c:v>I am an active member of an environmental group</c:v>
                </c:pt>
                <c:pt idx="2">
                  <c:v>I take part in environmental cleaning actions</c:v>
                </c:pt>
                <c:pt idx="3">
                  <c:v>I participate in community events/workshops</c:v>
                </c:pt>
                <c:pt idx="4">
                  <c:v>I write letters to politicians or authorities</c:v>
                </c:pt>
                <c:pt idx="5">
                  <c:v>I vote for pro-environmental candidates</c:v>
                </c:pt>
                <c:pt idx="6">
                  <c:v>We have residential clean up initiatives</c:v>
                </c:pt>
                <c:pt idx="7">
                  <c:v>We actively engage in community policing</c:v>
                </c:pt>
              </c:strCache>
            </c:strRef>
          </c:cat>
          <c:val>
            <c:numRef>
              <c:f>'Participation in Governance'!$E$2:$E$9</c:f>
              <c:numCache>
                <c:formatCode>0.00%</c:formatCode>
                <c:ptCount val="8"/>
                <c:pt idx="0">
                  <c:v>0.01</c:v>
                </c:pt>
                <c:pt idx="1">
                  <c:v>8.0000000000000002E-3</c:v>
                </c:pt>
                <c:pt idx="2">
                  <c:v>1.2999999999999999E-2</c:v>
                </c:pt>
                <c:pt idx="3">
                  <c:v>8.0000000000000002E-3</c:v>
                </c:pt>
                <c:pt idx="4">
                  <c:v>1.2999999999999999E-2</c:v>
                </c:pt>
                <c:pt idx="5">
                  <c:v>3.7999999999999999E-2</c:v>
                </c:pt>
                <c:pt idx="6">
                  <c:v>5.0000000000000001E-3</c:v>
                </c:pt>
                <c:pt idx="7">
                  <c:v>1.4999999999999999E-2</c:v>
                </c:pt>
              </c:numCache>
            </c:numRef>
          </c:val>
          <c:extLst>
            <c:ext xmlns:c16="http://schemas.microsoft.com/office/drawing/2014/chart" uri="{C3380CC4-5D6E-409C-BE32-E72D297353CC}">
              <c16:uniqueId val="{00000003-BED0-47AB-9CB8-BB0958178F13}"/>
            </c:ext>
          </c:extLst>
        </c:ser>
        <c:dLbls>
          <c:showLegendKey val="0"/>
          <c:showVal val="0"/>
          <c:showCatName val="0"/>
          <c:showSerName val="0"/>
          <c:showPercent val="0"/>
          <c:showBubbleSize val="0"/>
        </c:dLbls>
        <c:gapWidth val="150"/>
        <c:overlap val="100"/>
        <c:axId val="41636000"/>
        <c:axId val="41658560"/>
      </c:barChart>
      <c:catAx>
        <c:axId val="41636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41658560"/>
        <c:crosses val="autoZero"/>
        <c:auto val="1"/>
        <c:lblAlgn val="ctr"/>
        <c:lblOffset val="100"/>
        <c:noMultiLvlLbl val="0"/>
      </c:catAx>
      <c:valAx>
        <c:axId val="4165856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tx1">
                <a:alpha val="88000"/>
              </a:schemeClr>
            </a:solid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4163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e8620472-b099-466d-bf75-1dc495de0cbc}"/>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DEB684-8D7C-4419-A4B8-0D58ADF9B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23</Pages>
  <Words>7226</Words>
  <Characters>41192</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Microsoft Word - Template.docx</vt:lpstr>
    </vt:vector>
  </TitlesOfParts>
  <Company/>
  <LinksUpToDate>false</LinksUpToDate>
  <CharactersWithSpaces>48322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Template.docx</dc:title>
  <dc:creator>rbhut</dc:creator>
  <cp:lastModifiedBy>Maureen Ogega</cp:lastModifiedBy>
  <cp:revision>9</cp:revision>
  <dcterms:created xsi:type="dcterms:W3CDTF">2026-06-02T10:32:00Z</dcterms:created>
  <dcterms:modified xsi:type="dcterms:W3CDTF">2026-06-03T08:01:00Z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2021-10-20T00:00:00Z</vt:filetime>
  </property>
  <property fmtid="{D5CDD505-2E9C-101B-9397-08002B2CF9AE}" pid="3" name="LastSaved">
    <vt:filetime>2026-04-26T00:00:00Z</vt:filetime>
  </property>
  <property fmtid="{D5CDD505-2E9C-101B-9397-08002B2CF9AE}" pid="4" name="Producer">
    <vt:lpwstr>Microsoft: Print To PDF</vt:lpwstr>
  </property>
  <property fmtid="{D5CDD505-2E9C-101B-9397-08002B2CF9AE}" pid="5" name="KSOTemplateDocerSaveRecord">
    <vt:lpwstr>eyJoZGlkIjoiZDljZTM0ZTI3ODAzNjE3NTk4OWJhNmRiNmY3YzczNWYifQ==</vt:lpwstr>
  </property>
  <property fmtid="{D5CDD505-2E9C-101B-9397-08002B2CF9AE}" pid="6" name="KSOProductBuildVer">
    <vt:lpwstr>1033-12.1.0.26372</vt:lpwstr>
  </property>
  <property fmtid="{D5CDD505-2E9C-101B-9397-08002B2CF9AE}" pid="7" name="ICV">
    <vt:lpwstr>92D3FBCFCBB1419D969482B862F12C22_12</vt:lpwstr>
  </property>
</Properties>
</file>